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9504" w14:textId="77777777" w:rsidR="00410694" w:rsidRPr="00A04CEF" w:rsidRDefault="00410694" w:rsidP="00410694">
      <w:pPr>
        <w:pStyle w:val="Nadpis1"/>
        <w:rPr>
          <w:sz w:val="2"/>
          <w:szCs w:val="2"/>
        </w:rPr>
      </w:pPr>
      <w:bookmarkStart w:id="0" w:name="_Toc193366678"/>
      <w:bookmarkStart w:id="1" w:name="_Toc176767109"/>
    </w:p>
    <w:p w14:paraId="7F28C598" w14:textId="77777777" w:rsidR="00307B34" w:rsidRDefault="00307B34" w:rsidP="00307B34">
      <w:pPr>
        <w:pStyle w:val="Nadpis1"/>
      </w:pPr>
      <w:bookmarkStart w:id="2" w:name="_Toc208920079"/>
      <w:bookmarkStart w:id="3" w:name="_Toc216777587"/>
      <w:bookmarkEnd w:id="0"/>
      <w:r>
        <w:t>3. Výkonnost odvětví</w:t>
      </w:r>
      <w:bookmarkEnd w:id="2"/>
      <w:bookmarkEnd w:id="3"/>
    </w:p>
    <w:tbl>
      <w:tblPr>
        <w:tblW w:w="9646" w:type="dxa"/>
        <w:tblInd w:w="-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55"/>
        <w:gridCol w:w="176"/>
        <w:gridCol w:w="7715"/>
      </w:tblGrid>
      <w:tr w:rsidR="00307B34" w:rsidRPr="0037004A" w14:paraId="606FDCCC" w14:textId="77777777" w:rsidTr="00135A1D">
        <w:trPr>
          <w:trHeight w:val="145"/>
        </w:trPr>
        <w:tc>
          <w:tcPr>
            <w:tcW w:w="1814" w:type="dxa"/>
          </w:tcPr>
          <w:p w14:paraId="5A316336" w14:textId="77777777" w:rsidR="00307B34" w:rsidRPr="00EE0E68" w:rsidRDefault="00307B34" w:rsidP="00135A1D">
            <w:pPr>
              <w:pStyle w:val="Marginlie"/>
              <w:rPr>
                <w:color w:val="000000" w:themeColor="text1"/>
                <w:spacing w:val="0"/>
                <w:lang w:eastAsia="en-US"/>
              </w:rPr>
            </w:pPr>
            <w:proofErr w:type="spellStart"/>
            <w:r>
              <w:rPr>
                <w:color w:val="000000" w:themeColor="text1"/>
                <w:spacing w:val="0"/>
                <w:lang w:eastAsia="en-US"/>
              </w:rPr>
              <w:t>Mezikvartální</w:t>
            </w:r>
            <w:proofErr w:type="spellEnd"/>
            <w:r>
              <w:rPr>
                <w:color w:val="000000" w:themeColor="text1"/>
                <w:spacing w:val="0"/>
                <w:lang w:eastAsia="en-US"/>
              </w:rPr>
              <w:t xml:space="preserve"> růst HPH byl letos podporován zejména stavebnictvím a téměř všemi hlavními odvětvími služeb.</w:t>
            </w:r>
          </w:p>
        </w:tc>
        <w:tc>
          <w:tcPr>
            <w:tcW w:w="179" w:type="dxa"/>
          </w:tcPr>
          <w:p w14:paraId="33B7E65C" w14:textId="77777777" w:rsidR="00307B34" w:rsidRPr="00EE0E68" w:rsidRDefault="00307B34" w:rsidP="00135A1D">
            <w:pPr>
              <w:pStyle w:val="Textpoznpodarou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7730" w:type="dxa"/>
          </w:tcPr>
          <w:p w14:paraId="310D25CC" w14:textId="77777777" w:rsidR="00307B34" w:rsidRPr="00140C14" w:rsidRDefault="00307B34" w:rsidP="00135A1D">
            <w:pPr>
              <w:rPr>
                <w:lang w:eastAsia="en-US"/>
              </w:rPr>
            </w:pPr>
            <w:r w:rsidRPr="00140C14">
              <w:rPr>
                <w:lang w:eastAsia="en-US"/>
              </w:rPr>
              <w:t>Z dosavadního letošního vývoje nabídkové strany ekonomiky plyne, že výkon tuzemského hospodářství pokračoval v loňském oživení a jeho růst mírně zrychloval. Celková hrubá přidaná hodnota (HPH)</w:t>
            </w:r>
            <w:r w:rsidRPr="00140C14">
              <w:rPr>
                <w:rStyle w:val="Znakapoznpodarou"/>
                <w:color w:val="0D0D0D" w:themeColor="text1" w:themeTint="F2"/>
              </w:rPr>
              <w:footnoteReference w:id="1"/>
            </w:r>
            <w:r w:rsidRPr="00140C14">
              <w:rPr>
                <w:lang w:eastAsia="en-US"/>
              </w:rPr>
              <w:t xml:space="preserve"> se ve 3. čtvrtletí 2025 mezikvartálně zvýšila </w:t>
            </w:r>
            <w:r>
              <w:rPr>
                <w:lang w:eastAsia="en-US"/>
              </w:rPr>
              <w:br/>
            </w:r>
            <w:r w:rsidRPr="00140C14">
              <w:rPr>
                <w:lang w:eastAsia="en-US"/>
              </w:rPr>
              <w:t xml:space="preserve">o 0,9 %, rostla šestý kvartál v řadě a aktuální tempo bylo nejvyšší za poslední čtyři roky. K růstu letos přispívaly zejména stavebnictví, uskupení obchod, doprava, ubytování </w:t>
            </w:r>
            <w:r>
              <w:rPr>
                <w:lang w:eastAsia="en-US"/>
              </w:rPr>
              <w:br/>
            </w:r>
            <w:r w:rsidRPr="00140C14">
              <w:rPr>
                <w:lang w:eastAsia="en-US"/>
              </w:rPr>
              <w:t xml:space="preserve">a pohostinství a rovněž informační a komunikační činnosti. Oživení mělo v zásadě plošný charakter, v samotném 3. čtvrtletí se z hlavních odvětví snižoval výkon pouze </w:t>
            </w:r>
            <w:r>
              <w:rPr>
                <w:lang w:eastAsia="en-US"/>
              </w:rPr>
              <w:br/>
            </w:r>
            <w:r w:rsidRPr="00140C14">
              <w:rPr>
                <w:lang w:eastAsia="en-US"/>
              </w:rPr>
              <w:t xml:space="preserve">v nezpracovatelských průmyslových oborech (zahrnujících zejména těžbu a dobývání či energetiku). </w:t>
            </w:r>
            <w:r w:rsidRPr="00140C14">
              <w:rPr>
                <w:color w:val="0D0D0D" w:themeColor="text1" w:themeTint="F2"/>
              </w:rPr>
              <w:t xml:space="preserve">Celkový výkon odvětví ekonomiky se tak nacházel o 4,8 % nad vrcholem </w:t>
            </w:r>
            <w:r>
              <w:rPr>
                <w:color w:val="0D0D0D" w:themeColor="text1" w:themeTint="F2"/>
              </w:rPr>
              <w:br/>
            </w:r>
            <w:r w:rsidRPr="00140C14">
              <w:rPr>
                <w:color w:val="0D0D0D" w:themeColor="text1" w:themeTint="F2"/>
              </w:rPr>
              <w:t>z období poslední konjunktury (4. čtvrtletí 2019), téměř výhradně ovšem zásluhou služeb (zejména ICT, finančnictví a vyspělých služeb pro podniky)</w:t>
            </w:r>
            <w:r w:rsidRPr="00140C14">
              <w:rPr>
                <w:rStyle w:val="Znakapoznpodarou"/>
                <w:color w:val="0D0D0D" w:themeColor="text1" w:themeTint="F2"/>
              </w:rPr>
              <w:footnoteReference w:id="2"/>
            </w:r>
            <w:r w:rsidRPr="00140C14">
              <w:rPr>
                <w:color w:val="0D0D0D" w:themeColor="text1" w:themeTint="F2"/>
              </w:rPr>
              <w:t>.</w:t>
            </w:r>
          </w:p>
        </w:tc>
      </w:tr>
      <w:tr w:rsidR="00307B34" w:rsidRPr="004D4FDB" w14:paraId="27A53F0F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3E766835" w14:textId="77777777" w:rsidR="00307B34" w:rsidRDefault="00307B34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 xml:space="preserve">Meziroční růst HPH zrychlil na tříleté maximum. Pozitivně se projevila rostoucí spotřeba domácností </w:t>
            </w:r>
            <w:r>
              <w:rPr>
                <w:color w:val="0D0D0D" w:themeColor="text1" w:themeTint="F2"/>
                <w:spacing w:val="0"/>
              </w:rPr>
              <w:br/>
              <w:t xml:space="preserve">i pokračující svižný růst v oblasti ICT. </w:t>
            </w:r>
          </w:p>
          <w:p w14:paraId="5F889AE2" w14:textId="77777777" w:rsidR="00307B34" w:rsidRDefault="00307B34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16AAC3F2" w14:textId="77777777" w:rsidR="00307B34" w:rsidRDefault="00307B34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302BC759" w14:textId="77777777" w:rsidR="00307B34" w:rsidRDefault="00307B34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1A8B7029" w14:textId="77777777" w:rsidR="00307B34" w:rsidRDefault="00307B34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725A8BAA" w14:textId="77777777" w:rsidR="00307B34" w:rsidRDefault="00307B34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16ACF07F" w14:textId="77777777" w:rsidR="00307B34" w:rsidRDefault="00307B34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0392F5CF" w14:textId="77777777" w:rsidR="00307B34" w:rsidRDefault="00307B34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37ECA61F" w14:textId="77777777" w:rsidR="00307B34" w:rsidRDefault="00307B34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 xml:space="preserve">Akcelerace výkonu stavebnictví souvisela s investicemi do dopravní infrastruktury. Průmysl významnější růstový impuls postrádá a jeho příspěvek k růstu celé ekonomiky je zatím letos nízký. </w:t>
            </w:r>
          </w:p>
        </w:tc>
        <w:tc>
          <w:tcPr>
            <w:tcW w:w="179" w:type="dxa"/>
            <w:tcMar>
              <w:left w:w="0" w:type="dxa"/>
            </w:tcMar>
          </w:tcPr>
          <w:p w14:paraId="0CADB547" w14:textId="77777777" w:rsidR="00307B34" w:rsidRPr="001E5B45" w:rsidRDefault="00307B34" w:rsidP="00135A1D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7F10193D" w14:textId="77777777" w:rsidR="00307B34" w:rsidRPr="00577C06" w:rsidRDefault="00307B34" w:rsidP="00135A1D">
            <w:pPr>
              <w:spacing w:after="200"/>
              <w:rPr>
                <w:color w:val="000000" w:themeColor="text1"/>
                <w:spacing w:val="-1"/>
                <w:lang w:eastAsia="en-US"/>
              </w:rPr>
            </w:pPr>
            <w:r>
              <w:rPr>
                <w:color w:val="000000" w:themeColor="text1"/>
                <w:spacing w:val="-1"/>
                <w:lang w:eastAsia="en-US"/>
              </w:rPr>
              <w:t xml:space="preserve">V 1. až 3. čtvrtletí 2025 meziroční růst celkové HPH zrychlil na 2,7 % (podobným tempem v obou letošních kvartálech), tedy na tříleté maximum. Přestože tempo růstu ekonomiky není nikterak výjimečné, přispělo k němu letos všech 11 hlavních odvětvových uskupení (což nenastalo ani v konjunkturním období let 2014–2019). O růst se skoro ze tří čtvrtin zasloužil sektor služeb a v rámci něj zejména </w:t>
            </w:r>
            <w:r>
              <w:rPr>
                <w:spacing w:val="-2"/>
                <w:lang w:eastAsia="en-US"/>
              </w:rPr>
              <w:t>uskupení o</w:t>
            </w:r>
            <w:r w:rsidRPr="00ED01F7">
              <w:rPr>
                <w:spacing w:val="-2"/>
                <w:lang w:eastAsia="en-US"/>
              </w:rPr>
              <w:t xml:space="preserve">bchod, doprava, ubytování </w:t>
            </w:r>
            <w:r>
              <w:rPr>
                <w:spacing w:val="-2"/>
                <w:lang w:eastAsia="en-US"/>
              </w:rPr>
              <w:br/>
            </w:r>
            <w:r w:rsidRPr="00ED01F7">
              <w:rPr>
                <w:spacing w:val="-2"/>
                <w:lang w:eastAsia="en-US"/>
              </w:rPr>
              <w:t>a pohostinství</w:t>
            </w:r>
            <w:r>
              <w:rPr>
                <w:spacing w:val="-2"/>
                <w:lang w:eastAsia="en-US"/>
              </w:rPr>
              <w:t xml:space="preserve">, kde k vyšší HPH (+3,6 %) přispěla zvyšující se spotřeba tuzemských domácností i pokračující rozvoj příjezdového cestovního ruchu. Významný vliv mělo </w:t>
            </w:r>
            <w:r>
              <w:rPr>
                <w:spacing w:val="-2"/>
                <w:lang w:eastAsia="en-US"/>
              </w:rPr>
              <w:br/>
              <w:t>i dlouhodobě dynamické odvětví informačních a komunikačních činností,</w:t>
            </w:r>
            <w:r>
              <w:rPr>
                <w:color w:val="000000" w:themeColor="text1"/>
                <w:spacing w:val="-1"/>
                <w:lang w:eastAsia="en-US"/>
              </w:rPr>
              <w:t xml:space="preserve"> svižný růst jeho HPH (7,8 %) probíhal při citelném posilováním produktivity práce</w:t>
            </w:r>
            <w:r>
              <w:rPr>
                <w:rStyle w:val="Znakapoznpodarou"/>
                <w:color w:val="000000" w:themeColor="text1"/>
                <w:spacing w:val="-1"/>
                <w:lang w:eastAsia="en-US"/>
              </w:rPr>
              <w:footnoteReference w:id="3"/>
            </w:r>
            <w:r>
              <w:rPr>
                <w:color w:val="000000" w:themeColor="text1"/>
                <w:spacing w:val="-1"/>
                <w:lang w:eastAsia="en-US"/>
              </w:rPr>
              <w:t>. Mírně nadprůměrný růst HPH vykázalo menší různorodé seskupení ostatních činností služeb, kde hrají významnou roli kulturní, zábavní a rekreační činnosti. Naopak nižší dynamika přetrvávala v odvětvích s převahou veřejného sektoru</w:t>
            </w:r>
            <w:r>
              <w:rPr>
                <w:rStyle w:val="Znakapoznpodarou"/>
                <w:color w:val="000000" w:themeColor="text1"/>
                <w:spacing w:val="-1"/>
                <w:lang w:eastAsia="en-US"/>
              </w:rPr>
              <w:footnoteReference w:id="4"/>
            </w:r>
            <w:r>
              <w:rPr>
                <w:color w:val="000000" w:themeColor="text1"/>
                <w:spacing w:val="-1"/>
                <w:lang w:eastAsia="en-US"/>
              </w:rPr>
              <w:t xml:space="preserve"> a také v činnostech v oblasti nemovitostí, kde se HPH (i přes svižně rostoucí zaměstnanost v posledních třech letech) stále nacházela pouze na úrovni roku 2019. Mimo oblast služeb vyčnívalo především stavebnictví, kde HPH po stagnaci v předchozích dvou letech let akcelerovala (na 6,6 %</w:t>
            </w:r>
            <w:r>
              <w:rPr>
                <w:rStyle w:val="Znakapoznpodarou"/>
                <w:color w:val="000000" w:themeColor="text1"/>
                <w:spacing w:val="-1"/>
                <w:lang w:eastAsia="en-US"/>
              </w:rPr>
              <w:footnoteReference w:id="5"/>
            </w:r>
            <w:r>
              <w:rPr>
                <w:color w:val="000000" w:themeColor="text1"/>
                <w:spacing w:val="-1"/>
                <w:lang w:eastAsia="en-US"/>
              </w:rPr>
              <w:t>). Zatímco stavebnictví aktuálně pomáhá významné zrychlení investic do dopravních staveb, v průmyslu podobný impuls z tuzemska stále chybí (investice do strojů a zařízení či dopravních prostředků se letos meziročně snižovaly). K tomu se přidává utlumená zahraniční poptávka odrážející nepříznivý hospodářský vývoj ve většině klíčových exportních teritorií. Tuzemský průmysl se tak po loňské recesi zotavuje jen pozvolna – HPH zde v 1. až 3. čtvrtletí meziročně vzrostla o 1,2 % (a k růstu souhrnné HPH přispěla jen 0,2 p. b.). Rychlejším tempem tak rostl výkon i v primárním sektoru (+2,3 %).</w:t>
            </w:r>
          </w:p>
        </w:tc>
      </w:tr>
      <w:tr w:rsidR="00307B34" w:rsidRPr="004D4FDB" w14:paraId="057180FA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0970ECB5" w14:textId="77777777" w:rsidR="00307B34" w:rsidRDefault="00307B34" w:rsidP="00135A1D">
            <w:pPr>
              <w:pStyle w:val="Marginlie"/>
              <w:spacing w:after="240"/>
              <w:rPr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t>V</w:t>
            </w:r>
            <w:r>
              <w:rPr>
                <w:spacing w:val="0"/>
              </w:rPr>
              <w:t>ýroba masa rostla druhým rokem v řadě, letos zejména vlivem vysoké poptávky po drůbežím masu.</w:t>
            </w:r>
          </w:p>
          <w:p w14:paraId="4C358F74" w14:textId="77777777" w:rsidR="00307B34" w:rsidRPr="00B93C05" w:rsidRDefault="00307B34" w:rsidP="00135A1D">
            <w:pPr>
              <w:pStyle w:val="Marginlie"/>
              <w:spacing w:after="240"/>
              <w:rPr>
                <w:spacing w:val="0"/>
              </w:rPr>
            </w:pPr>
            <w:r>
              <w:rPr>
                <w:spacing w:val="0"/>
              </w:rPr>
              <w:lastRenderedPageBreak/>
              <w:t>Sklizeň většiny druhů hlavních plodin se ve srovnání s horší loňskou úrodou znatelně zvýšila.</w:t>
            </w:r>
          </w:p>
          <w:p w14:paraId="3DCD3BB8" w14:textId="77777777" w:rsidR="00307B34" w:rsidRPr="001E5B45" w:rsidRDefault="00307B34" w:rsidP="00135A1D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tcMar>
              <w:left w:w="0" w:type="dxa"/>
            </w:tcMar>
          </w:tcPr>
          <w:p w14:paraId="0578CEE0" w14:textId="77777777" w:rsidR="00307B34" w:rsidRPr="001E5B45" w:rsidRDefault="00307B34" w:rsidP="00135A1D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06A5105D" w14:textId="77777777" w:rsidR="00307B34" w:rsidRPr="001B73EB" w:rsidRDefault="00307B34" w:rsidP="00135A1D">
            <w:pPr>
              <w:spacing w:after="200"/>
              <w:rPr>
                <w:rFonts w:eastAsia="MS Gothic" w:cs="Arial"/>
                <w:color w:val="0D0D0D" w:themeColor="text1" w:themeTint="F2"/>
                <w:spacing w:val="-2"/>
                <w:szCs w:val="20"/>
              </w:rPr>
            </w:pPr>
            <w:r>
              <w:rPr>
                <w:color w:val="0D0D0D" w:themeColor="text1" w:themeTint="F2"/>
                <w:spacing w:val="-2"/>
              </w:rPr>
              <w:t xml:space="preserve">Výše uvedený agregátní pohled detailněji rozvádějí výsledky podnikových statistik. </w:t>
            </w:r>
            <w:r w:rsidRPr="001B73EB">
              <w:rPr>
                <w:color w:val="0D0D0D" w:themeColor="text1" w:themeTint="F2"/>
                <w:spacing w:val="-2"/>
              </w:rPr>
              <w:t xml:space="preserve">V živočišné výrobě </w:t>
            </w:r>
            <w:r w:rsidRPr="001B73EB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i přes přetrvávající významnější cenové pohyby hlavních komodit (z</w:t>
            </w:r>
            <w:r w:rsidRPr="001B73EB">
              <w:rPr>
                <w:rStyle w:val="normaltextrun"/>
                <w:rFonts w:eastAsia="MS Gothic" w:cs="Arial"/>
                <w:color w:val="0D0D0D" w:themeColor="text1" w:themeTint="F2"/>
                <w:spacing w:val="-2"/>
              </w:rPr>
              <w:t>ejména hovězího a vepřového masa) i</w:t>
            </w:r>
            <w:r w:rsidRPr="001B73EB">
              <w:rPr>
                <w:color w:val="0D0D0D" w:themeColor="text1" w:themeTint="F2"/>
                <w:spacing w:val="-2"/>
              </w:rPr>
              <w:t> zvýšená</w:t>
            </w:r>
            <w:r w:rsidRPr="001B73EB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 xml:space="preserve"> hygienická rizika zůstala situace tuzemských producentů stabilizovaná. Druhý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m</w:t>
            </w:r>
            <w:r w:rsidRPr="001B73EB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 xml:space="preserve"> rok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e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pacing w:val="-2"/>
              </w:rPr>
              <w:t>m</w:t>
            </w:r>
            <w:r w:rsidRPr="001B73EB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 xml:space="preserve"> v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 </w:t>
            </w:r>
            <w:r w:rsidRPr="001B73EB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řadě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 xml:space="preserve"> </w:t>
            </w:r>
            <w:r w:rsidRPr="001B73EB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se zvyšovala výroba masa (v n</w:t>
            </w:r>
            <w:r w:rsidRPr="001B73EB">
              <w:rPr>
                <w:rStyle w:val="normaltextrun"/>
                <w:rFonts w:eastAsia="MS Gothic" w:cs="Arial"/>
                <w:color w:val="0D0D0D" w:themeColor="text1" w:themeTint="F2"/>
                <w:spacing w:val="-2"/>
              </w:rPr>
              <w:t xml:space="preserve">aturálním množství, na </w:t>
            </w:r>
            <w:r w:rsidRPr="001B73EB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tuzemských jatkách). Tento růst letos za tři čtvrtletí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 xml:space="preserve"> </w:t>
            </w:r>
            <w:r w:rsidRPr="001B73EB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mírně zrychlil (na 5,0 % meziročně</w:t>
            </w:r>
            <w:r w:rsidRPr="001B73EB">
              <w:rPr>
                <w:rStyle w:val="Znakapoznpodarou"/>
                <w:rFonts w:eastAsia="MS Gothic"/>
                <w:color w:val="0D0D0D" w:themeColor="text1" w:themeTint="F2"/>
                <w:spacing w:val="-2"/>
                <w:szCs w:val="20"/>
              </w:rPr>
              <w:footnoteReference w:id="6"/>
            </w:r>
            <w:r w:rsidRPr="001B73EB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)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, a to zásluhou rychle rostoucí spotřeby drůbežího masa.</w:t>
            </w:r>
            <w:r w:rsidRPr="001B73EB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 xml:space="preserve"> </w:t>
            </w:r>
            <w:r w:rsidRPr="001B73EB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lastRenderedPageBreak/>
              <w:t xml:space="preserve">Výroba mléka dále mírně rostla. Přímý nákup mléka 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(</w:t>
            </w:r>
            <w:r>
              <w:rPr>
                <w:rStyle w:val="normaltextrun"/>
                <w:rFonts w:eastAsia="MS Gothic"/>
                <w:color w:val="0D0D0D" w:themeColor="text1" w:themeTint="F2"/>
                <w:szCs w:val="20"/>
              </w:rPr>
              <w:t xml:space="preserve">prvními nakupujícími) </w:t>
            </w:r>
            <w:r w:rsidRPr="001B73EB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 xml:space="preserve">od prvovýrobců se zvýšil (+2,0 %, podobně jako v předchozích letech), z toho samotný nákup tuzemskými mlékárnami ovšem nepatrně klesl </w:t>
            </w:r>
            <w:r w:rsidRPr="001B73EB">
              <w:rPr>
                <w:rFonts w:eastAsia="MS Gothic" w:cs="Arial"/>
                <w:color w:val="0D0D0D" w:themeColor="text1" w:themeTint="F2"/>
                <w:spacing w:val="-2"/>
                <w:szCs w:val="20"/>
              </w:rPr>
              <w:t>(</w:t>
            </w:r>
            <w:r w:rsidRPr="001B73EB">
              <w:rPr>
                <w:spacing w:val="-2"/>
                <w:lang w:eastAsia="en-US"/>
              </w:rPr>
              <w:t>–</w:t>
            </w:r>
            <w:r w:rsidRPr="001B73EB">
              <w:rPr>
                <w:rFonts w:eastAsia="MS Gothic"/>
                <w:spacing w:val="-2"/>
              </w:rPr>
              <w:t xml:space="preserve">0,8 %). Více se tak dařilo mléko </w:t>
            </w:r>
            <w:r w:rsidRPr="001B73EB">
              <w:rPr>
                <w:rFonts w:eastAsia="MS Gothic"/>
                <w:color w:val="0D0D0D" w:themeColor="text1" w:themeTint="F2"/>
                <w:spacing w:val="-2"/>
              </w:rPr>
              <w:t xml:space="preserve">exportovat. </w:t>
            </w:r>
            <w:r w:rsidRPr="001B73EB">
              <w:rPr>
                <w:color w:val="0D0D0D" w:themeColor="text1" w:themeTint="F2"/>
                <w:spacing w:val="-2"/>
              </w:rPr>
              <w:t>V rostlinné produkci se projevil vliv dobrých letošních sklizní základních plodin</w:t>
            </w:r>
            <w:r>
              <w:rPr>
                <w:color w:val="0D0D0D" w:themeColor="text1" w:themeTint="F2"/>
                <w:spacing w:val="-2"/>
              </w:rPr>
              <w:t>. T</w:t>
            </w:r>
            <w:r w:rsidRPr="001B73EB">
              <w:rPr>
                <w:color w:val="0D0D0D" w:themeColor="text1" w:themeTint="F2"/>
                <w:spacing w:val="-2"/>
              </w:rPr>
              <w:t>en nastal i přes delší období sucha v první polovině roku a proměnlivé letní počasí, rozhodujíc</w:t>
            </w:r>
            <w:r>
              <w:rPr>
                <w:color w:val="0D0D0D" w:themeColor="text1" w:themeTint="F2"/>
                <w:spacing w:val="-2"/>
              </w:rPr>
              <w:t>í</w:t>
            </w:r>
            <w:r w:rsidRPr="001B73EB">
              <w:rPr>
                <w:color w:val="0D0D0D" w:themeColor="text1" w:themeTint="F2"/>
                <w:spacing w:val="-2"/>
              </w:rPr>
              <w:t xml:space="preserve"> </w:t>
            </w:r>
            <w:r>
              <w:rPr>
                <w:color w:val="0D0D0D" w:themeColor="text1" w:themeTint="F2"/>
                <w:spacing w:val="-2"/>
              </w:rPr>
              <w:t>tak</w:t>
            </w:r>
            <w:r w:rsidRPr="001B73EB">
              <w:rPr>
                <w:color w:val="0D0D0D" w:themeColor="text1" w:themeTint="F2"/>
                <w:spacing w:val="-2"/>
              </w:rPr>
              <w:t xml:space="preserve"> byla menší role extrémnějších jevů </w:t>
            </w:r>
            <w:r>
              <w:rPr>
                <w:color w:val="0D0D0D" w:themeColor="text1" w:themeTint="F2"/>
                <w:spacing w:val="-2"/>
              </w:rPr>
              <w:t>(ze</w:t>
            </w:r>
            <w:r w:rsidRPr="001B73EB">
              <w:rPr>
                <w:color w:val="0D0D0D" w:themeColor="text1" w:themeTint="F2"/>
                <w:spacing w:val="-2"/>
              </w:rPr>
              <w:t xml:space="preserve">jména jarních mrazů a velmi vysokých letních teplot). </w:t>
            </w:r>
            <w:r w:rsidRPr="001B73EB">
              <w:rPr>
                <w:rFonts w:cs="Arial"/>
                <w:spacing w:val="-2"/>
                <w:szCs w:val="20"/>
              </w:rPr>
              <w:t xml:space="preserve">Dle odhadu ze září 2025 se letos očekává </w:t>
            </w:r>
            <w:r w:rsidRPr="001B73EB">
              <w:rPr>
                <w:rFonts w:cs="Arial"/>
                <w:bCs/>
                <w:spacing w:val="-2"/>
                <w:szCs w:val="20"/>
              </w:rPr>
              <w:t xml:space="preserve">celková sklizeň obilovin </w:t>
            </w:r>
            <w:r>
              <w:rPr>
                <w:rFonts w:cs="Arial"/>
                <w:bCs/>
                <w:spacing w:val="-2"/>
                <w:szCs w:val="20"/>
              </w:rPr>
              <w:br/>
            </w:r>
            <w:r w:rsidRPr="001B73EB">
              <w:rPr>
                <w:rFonts w:cs="Arial"/>
                <w:bCs/>
                <w:spacing w:val="-2"/>
                <w:szCs w:val="20"/>
              </w:rPr>
              <w:t>(</w:t>
            </w:r>
            <w:r w:rsidRPr="001B73EB">
              <w:rPr>
                <w:rFonts w:cs="Arial"/>
                <w:spacing w:val="-2"/>
                <w:szCs w:val="20"/>
              </w:rPr>
              <w:t>vč. kukuřice na zrno) ve výši 8 329 tis. tun (meziročně +10,9 %</w:t>
            </w:r>
            <w:r w:rsidRPr="001B73EB">
              <w:rPr>
                <w:rStyle w:val="Znakapoznpodarou"/>
                <w:spacing w:val="-2"/>
                <w:szCs w:val="20"/>
              </w:rPr>
              <w:footnoteReference w:id="7"/>
            </w:r>
            <w:r w:rsidRPr="001B73EB">
              <w:rPr>
                <w:rFonts w:cs="Arial"/>
                <w:spacing w:val="-2"/>
                <w:szCs w:val="20"/>
              </w:rPr>
              <w:t xml:space="preserve">, proti průměru za období </w:t>
            </w:r>
            <w:r>
              <w:rPr>
                <w:rFonts w:cs="Arial"/>
                <w:spacing w:val="-2"/>
                <w:szCs w:val="20"/>
              </w:rPr>
              <w:t xml:space="preserve">let </w:t>
            </w:r>
            <w:r w:rsidRPr="001B73EB">
              <w:rPr>
                <w:rFonts w:cs="Arial"/>
                <w:spacing w:val="-2"/>
                <w:szCs w:val="20"/>
              </w:rPr>
              <w:t xml:space="preserve">2020 až 2024 vyšší o 4,0 %). Mělo by tak jít o nejvyšší úrodu za posledních devět let. </w:t>
            </w:r>
            <w:r w:rsidRPr="00662643">
              <w:rPr>
                <w:rStyle w:val="normaltextrun"/>
                <w:rFonts w:eastAsia="MS Gothic" w:cs="Arial"/>
                <w:szCs w:val="20"/>
              </w:rPr>
              <w:t xml:space="preserve">Po loňské celkově slabší sklizni došlo letos u výrazné většiny </w:t>
            </w:r>
            <w:r>
              <w:rPr>
                <w:rStyle w:val="normaltextrun"/>
                <w:rFonts w:eastAsia="MS Gothic" w:cs="Arial"/>
                <w:szCs w:val="20"/>
              </w:rPr>
              <w:t>d</w:t>
            </w:r>
            <w:r>
              <w:rPr>
                <w:rStyle w:val="normaltextrun"/>
                <w:rFonts w:eastAsia="MS Gothic"/>
              </w:rPr>
              <w:t xml:space="preserve">alších </w:t>
            </w:r>
            <w:r w:rsidRPr="00662643">
              <w:rPr>
                <w:rStyle w:val="normaltextrun"/>
                <w:rFonts w:eastAsia="MS Gothic" w:cs="Arial"/>
                <w:szCs w:val="20"/>
              </w:rPr>
              <w:t>plodin (vyjma kukuřice na zrno, cukrové řepy a některých druhů pícnin) ke zřetelnému zlepšení.</w:t>
            </w:r>
            <w:r>
              <w:rPr>
                <w:rStyle w:val="normaltextrun"/>
                <w:rFonts w:eastAsia="MS Gothic" w:cs="Arial"/>
                <w:szCs w:val="20"/>
              </w:rPr>
              <w:t xml:space="preserve"> To bylo patrné zejména u brambor (letošní sklizeň byla nejvyšší za posledních 14 let), většiny olejnin a luskovin, kukuřice na zeleno, máku a významnějších druhů ovoce </w:t>
            </w:r>
            <w:r>
              <w:rPr>
                <w:rStyle w:val="normaltextrun"/>
                <w:rFonts w:eastAsia="MS Gothic" w:cs="Arial"/>
                <w:szCs w:val="20"/>
              </w:rPr>
              <w:br/>
              <w:t xml:space="preserve">a zeleniny. </w:t>
            </w:r>
            <w:r>
              <w:rPr>
                <w:rFonts w:cs="Arial"/>
              </w:rPr>
              <w:t xml:space="preserve">Sklizeň dominantní plodiny </w:t>
            </w:r>
            <w:r w:rsidRPr="000532DE">
              <w:rPr>
                <w:rFonts w:cs="Arial"/>
              </w:rPr>
              <w:t>– řepky – sice</w:t>
            </w:r>
            <w:r>
              <w:rPr>
                <w:rFonts w:cs="Arial"/>
              </w:rPr>
              <w:t xml:space="preserve"> meziročně vzrostla o 8,4 %</w:t>
            </w:r>
            <w:r>
              <w:rPr>
                <w:rStyle w:val="Znakapoznpodarou"/>
              </w:rPr>
              <w:footnoteReference w:id="8"/>
            </w:r>
            <w:r>
              <w:rPr>
                <w:rFonts w:cs="Arial"/>
              </w:rPr>
              <w:t>, avšak její výše (</w:t>
            </w:r>
            <w:r>
              <w:rPr>
                <w:rFonts w:cs="Arial"/>
                <w:szCs w:val="20"/>
              </w:rPr>
              <w:t>1 026 tis. tun) byla třetí nejnižší po roce 2006.</w:t>
            </w:r>
          </w:p>
        </w:tc>
      </w:tr>
      <w:tr w:rsidR="00307B34" w:rsidRPr="004D4FDB" w14:paraId="462D51ED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6E6DAB58" w14:textId="77777777" w:rsidR="00307B34" w:rsidRPr="00EE0E68" w:rsidRDefault="00307B34" w:rsidP="00135A1D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</w:rPr>
              <w:lastRenderedPageBreak/>
              <w:t>O</w:t>
            </w:r>
            <w:r w:rsidRPr="00EE0E68">
              <w:rPr>
                <w:color w:val="000000" w:themeColor="text1"/>
                <w:spacing w:val="0"/>
              </w:rPr>
              <w:t>živení průmyslu na počátku roku</w:t>
            </w:r>
            <w:r>
              <w:rPr>
                <w:color w:val="000000" w:themeColor="text1"/>
                <w:spacing w:val="0"/>
              </w:rPr>
              <w:t xml:space="preserve"> zčásti souviselo se </w:t>
            </w:r>
            <w:r w:rsidRPr="00EE0E68">
              <w:rPr>
                <w:color w:val="000000" w:themeColor="text1"/>
                <w:spacing w:val="0"/>
              </w:rPr>
              <w:t>snahou obchodních partnerů Česka o předzásobení kvůli změně obchodní politiky USA</w:t>
            </w:r>
            <w:r>
              <w:rPr>
                <w:color w:val="000000" w:themeColor="text1"/>
                <w:spacing w:val="0"/>
              </w:rPr>
              <w:t>. Tento vliv v další části roku však vyprchával.</w:t>
            </w:r>
          </w:p>
        </w:tc>
        <w:tc>
          <w:tcPr>
            <w:tcW w:w="179" w:type="dxa"/>
            <w:tcMar>
              <w:left w:w="0" w:type="dxa"/>
            </w:tcMar>
          </w:tcPr>
          <w:p w14:paraId="0053357A" w14:textId="77777777" w:rsidR="00307B34" w:rsidRPr="00EE0E68" w:rsidRDefault="00307B34" w:rsidP="00135A1D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13372905" w14:textId="77777777" w:rsidR="00307B34" w:rsidRPr="005B18CB" w:rsidRDefault="00307B34" w:rsidP="00135A1D">
            <w:pPr>
              <w:spacing w:after="200"/>
              <w:rPr>
                <w:color w:val="000000" w:themeColor="text1"/>
                <w:spacing w:val="-2"/>
              </w:rPr>
            </w:pPr>
            <w:r w:rsidRPr="005B18CB">
              <w:rPr>
                <w:color w:val="000000" w:themeColor="text1"/>
                <w:spacing w:val="-2"/>
              </w:rPr>
              <w:t>Průmyslová produkce</w:t>
            </w:r>
            <w:r w:rsidRPr="005B18CB">
              <w:rPr>
                <w:rStyle w:val="Znakapoznpodarou"/>
                <w:color w:val="000000" w:themeColor="text1"/>
                <w:spacing w:val="-2"/>
              </w:rPr>
              <w:footnoteReference w:id="9"/>
            </w:r>
            <w:r w:rsidRPr="005B18CB">
              <w:rPr>
                <w:color w:val="000000" w:themeColor="text1"/>
                <w:spacing w:val="-2"/>
              </w:rPr>
              <w:t xml:space="preserve"> v Česku se na počátku letošního roku mezikvartálně zvýšila </w:t>
            </w:r>
            <w:r w:rsidRPr="005B18CB">
              <w:rPr>
                <w:color w:val="000000" w:themeColor="text1"/>
                <w:spacing w:val="-2"/>
              </w:rPr>
              <w:br/>
              <w:t>o 1,</w:t>
            </w:r>
            <w:r>
              <w:rPr>
                <w:color w:val="000000" w:themeColor="text1"/>
                <w:spacing w:val="-2"/>
              </w:rPr>
              <w:t>6</w:t>
            </w:r>
            <w:r w:rsidRPr="005B18CB">
              <w:rPr>
                <w:color w:val="000000" w:themeColor="text1"/>
                <w:spacing w:val="-2"/>
              </w:rPr>
              <w:t xml:space="preserve"> %, což představovalo nejvýraznější oživení od konce roku 2023. Přispěla k tomu zejména energetika, strojírenství a některé významnější obory zaměřené na výrobu meziproduktů (elektrotechnika, hutnictví a slévárenství, výroba stavebních materiálů, gumárenství a </w:t>
            </w:r>
            <w:proofErr w:type="spellStart"/>
            <w:r w:rsidRPr="005B18CB">
              <w:rPr>
                <w:color w:val="000000" w:themeColor="text1"/>
                <w:spacing w:val="-2"/>
              </w:rPr>
              <w:t>plastikářství</w:t>
            </w:r>
            <w:proofErr w:type="spellEnd"/>
            <w:r w:rsidRPr="005B18CB">
              <w:rPr>
                <w:color w:val="000000" w:themeColor="text1"/>
                <w:spacing w:val="-2"/>
              </w:rPr>
              <w:t>). Posílení části exportních oborů mohlo souviset se snahou obchodních partnerů o předzásobení se před účinností opatření vlády USA v oblasti obchodní politiky. V další části roku ale tento efekt vyprchával, což bylo patrné také na výkonu průmyslu v EU</w:t>
            </w:r>
            <w:r w:rsidRPr="005B18CB">
              <w:rPr>
                <w:rStyle w:val="Znakapoznpodarou"/>
                <w:color w:val="000000" w:themeColor="text1"/>
                <w:spacing w:val="-2"/>
              </w:rPr>
              <w:footnoteReference w:id="10"/>
            </w:r>
            <w:r w:rsidRPr="005B18CB">
              <w:rPr>
                <w:color w:val="000000" w:themeColor="text1"/>
                <w:spacing w:val="-2"/>
              </w:rPr>
              <w:t xml:space="preserve">. V Česku jeho produkce ve 2. kvartálu fakticky stagnovala </w:t>
            </w:r>
            <w:r>
              <w:rPr>
                <w:color w:val="000000" w:themeColor="text1"/>
                <w:spacing w:val="-2"/>
              </w:rPr>
              <w:br/>
            </w:r>
            <w:r w:rsidRPr="005B18CB">
              <w:rPr>
                <w:color w:val="000000" w:themeColor="text1"/>
                <w:spacing w:val="-2"/>
              </w:rPr>
              <w:t>a v následujícím období se dokonce mezikvartálně snížila (</w:t>
            </w:r>
            <w:r w:rsidRPr="005B18CB">
              <w:rPr>
                <w:color w:val="0D0D0D" w:themeColor="text1" w:themeTint="F2"/>
                <w:spacing w:val="-2"/>
                <w:szCs w:val="20"/>
              </w:rPr>
              <w:t>−</w:t>
            </w:r>
            <w:r w:rsidRPr="005B18CB">
              <w:rPr>
                <w:color w:val="000000" w:themeColor="text1"/>
                <w:spacing w:val="-2"/>
              </w:rPr>
              <w:t>0,</w:t>
            </w:r>
            <w:r>
              <w:rPr>
                <w:color w:val="000000" w:themeColor="text1"/>
                <w:spacing w:val="-2"/>
              </w:rPr>
              <w:t>7</w:t>
            </w:r>
            <w:r w:rsidRPr="005B18CB">
              <w:rPr>
                <w:color w:val="000000" w:themeColor="text1"/>
                <w:spacing w:val="-2"/>
              </w:rPr>
              <w:t xml:space="preserve"> %). Za tímto zpomalením stály zejména obory zaměřené na výrobu energií a také spotřebního zboží. Ve 3. čtvrtletí 2025 tak z dílčích oborů významněji prorůstově působil pou</w:t>
            </w:r>
            <w:r>
              <w:rPr>
                <w:color w:val="000000" w:themeColor="text1"/>
                <w:spacing w:val="-2"/>
              </w:rPr>
              <w:t>ze chemický,</w:t>
            </w:r>
            <w:r w:rsidRPr="005B18CB">
              <w:rPr>
                <w:color w:val="000000" w:themeColor="text1"/>
                <w:spacing w:val="-2"/>
              </w:rPr>
              <w:t xml:space="preserve"> kovodělný </w:t>
            </w:r>
            <w:r>
              <w:rPr>
                <w:color w:val="000000" w:themeColor="text1"/>
                <w:spacing w:val="-2"/>
              </w:rPr>
              <w:br/>
            </w:r>
            <w:r w:rsidRPr="000A0568">
              <w:rPr>
                <w:color w:val="000000" w:themeColor="text1"/>
                <w:spacing w:val="-4"/>
              </w:rPr>
              <w:t>a strojírenský průmysl. I proto celková průmyslová produkce letos ve 3. čtvrtletí za vrcholem</w:t>
            </w:r>
            <w:r w:rsidRPr="005B18CB">
              <w:rPr>
                <w:color w:val="000000" w:themeColor="text1"/>
                <w:spacing w:val="-2"/>
              </w:rPr>
              <w:t xml:space="preserve"> </w:t>
            </w:r>
            <w:r w:rsidRPr="000A0568">
              <w:rPr>
                <w:color w:val="000000" w:themeColor="text1"/>
                <w:spacing w:val="-2"/>
              </w:rPr>
              <w:t>z období předpandemické konjunktury (2. čtvrtletí 2019) mírně zaostala (o 1,9 %)</w:t>
            </w:r>
            <w:r w:rsidRPr="000A0568">
              <w:rPr>
                <w:rStyle w:val="Znakapoznpodarou"/>
                <w:color w:val="000000" w:themeColor="text1"/>
                <w:spacing w:val="-2"/>
              </w:rPr>
              <w:footnoteReference w:id="11"/>
            </w:r>
            <w:r w:rsidRPr="000A0568">
              <w:rPr>
                <w:color w:val="000000" w:themeColor="text1"/>
                <w:spacing w:val="-2"/>
              </w:rPr>
              <w:t>.</w:t>
            </w:r>
          </w:p>
        </w:tc>
      </w:tr>
      <w:tr w:rsidR="00307B34" w:rsidRPr="004D4FDB" w14:paraId="2152BBEB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53ACC047" w14:textId="77777777" w:rsidR="00307B34" w:rsidRPr="00EE0E68" w:rsidRDefault="00307B34" w:rsidP="00135A1D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 w:rsidRPr="00EE0E68">
              <w:rPr>
                <w:color w:val="000000" w:themeColor="text1"/>
                <w:spacing w:val="0"/>
              </w:rPr>
              <w:t xml:space="preserve">Vývoj průmyslové produkce byl letos nejvíce ovlivněn energetikou. Ve vyšší </w:t>
            </w:r>
            <w:r w:rsidRPr="00EE0E68">
              <w:rPr>
                <w:color w:val="000000" w:themeColor="text1"/>
                <w:spacing w:val="0"/>
              </w:rPr>
              <w:lastRenderedPageBreak/>
              <w:t xml:space="preserve">poptávce po energiích se projevilo chladnější počasí i </w:t>
            </w:r>
            <w:r>
              <w:rPr>
                <w:color w:val="000000" w:themeColor="text1"/>
                <w:spacing w:val="0"/>
              </w:rPr>
              <w:t xml:space="preserve">menší </w:t>
            </w:r>
            <w:r w:rsidRPr="00EE0E68">
              <w:rPr>
                <w:color w:val="000000" w:themeColor="text1"/>
                <w:spacing w:val="0"/>
              </w:rPr>
              <w:t xml:space="preserve">ochota domácností k dalším úsporám. </w:t>
            </w:r>
          </w:p>
        </w:tc>
        <w:tc>
          <w:tcPr>
            <w:tcW w:w="179" w:type="dxa"/>
            <w:tcMar>
              <w:left w:w="0" w:type="dxa"/>
            </w:tcMar>
          </w:tcPr>
          <w:p w14:paraId="25594547" w14:textId="77777777" w:rsidR="00307B34" w:rsidRPr="00EE0E68" w:rsidRDefault="00307B34" w:rsidP="00135A1D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6CC37454" w14:textId="77777777" w:rsidR="00307B34" w:rsidRPr="000A42FF" w:rsidRDefault="00307B34" w:rsidP="00135A1D">
            <w:pPr>
              <w:spacing w:after="200"/>
              <w:rPr>
                <w:color w:val="000000" w:themeColor="text1"/>
                <w:spacing w:val="-2"/>
              </w:rPr>
            </w:pPr>
            <w:r w:rsidRPr="000A42FF">
              <w:rPr>
                <w:color w:val="000000" w:themeColor="text1"/>
              </w:rPr>
              <w:t>V 1. až 3. čtvrtletí 2025 se průmyslová produkce zvýšila meziročně sice jen o 0,8 %</w:t>
            </w:r>
            <w:r w:rsidRPr="000A42FF">
              <w:rPr>
                <w:rStyle w:val="Znakapoznpodarou"/>
                <w:color w:val="000000" w:themeColor="text1"/>
              </w:rPr>
              <w:footnoteReference w:id="12"/>
            </w:r>
            <w:r w:rsidRPr="000A42FF">
              <w:rPr>
                <w:color w:val="000000" w:themeColor="text1"/>
              </w:rPr>
              <w:t xml:space="preserve">, v předchozích dvou letech však odvětví procházelo mírnou recesí. Do letošního vývoje průmyslu se nejvíce otiskla energetika, jejíž výkon vzrostl o 5,4 % (tedy nejvíce od roku </w:t>
            </w:r>
            <w:r w:rsidRPr="000A42FF">
              <w:rPr>
                <w:color w:val="000000" w:themeColor="text1"/>
              </w:rPr>
              <w:lastRenderedPageBreak/>
              <w:t>2003) a k růstu celého průmyslu přispěla 0,4 p. b</w:t>
            </w:r>
            <w:r>
              <w:rPr>
                <w:color w:val="000000" w:themeColor="text1"/>
              </w:rPr>
              <w:t>. Zvyšovala se</w:t>
            </w:r>
            <w:r w:rsidRPr="000A42FF">
              <w:rPr>
                <w:color w:val="000000" w:themeColor="text1"/>
              </w:rPr>
              <w:t xml:space="preserve"> výroba i spotřeba elektřiny</w:t>
            </w:r>
            <w:r w:rsidRPr="000A42FF">
              <w:rPr>
                <w:rStyle w:val="Znakapoznpodarou"/>
                <w:color w:val="000000" w:themeColor="text1"/>
                <w:spacing w:val="-2"/>
              </w:rPr>
              <w:footnoteReference w:id="13"/>
            </w:r>
            <w:r w:rsidRPr="000A42FF">
              <w:rPr>
                <w:color w:val="000000" w:themeColor="text1"/>
                <w:spacing w:val="-2"/>
              </w:rPr>
              <w:t xml:space="preserve"> i plynu</w:t>
            </w:r>
            <w:r w:rsidRPr="000A42FF">
              <w:rPr>
                <w:rStyle w:val="Znakapoznpodarou"/>
                <w:color w:val="000000" w:themeColor="text1"/>
                <w:spacing w:val="-2"/>
              </w:rPr>
              <w:footnoteReference w:id="14"/>
            </w:r>
            <w:r w:rsidRPr="000A42FF">
              <w:rPr>
                <w:color w:val="000000" w:themeColor="text1"/>
                <w:spacing w:val="-2"/>
              </w:rPr>
              <w:t>. To souvisí zejména s tím, že počátek letošního roku nebyl teplotně natolik nadprůměrný jako ten loňský a relativně chladněji bylo letos i v květnu či září. Navíc efekt nedávných úsporných opatření v domácnostech i firmách se zřejmě vyčerpává. Motivace k úsporám, zejména v domácnostech, klesá i vlivem stabilizace a následného zlevňování cen energií, jež bylo znatelnější hlavně u zemního plynu. Do vyšší spotřeby se promítá i loňské obnovení růstu reálných příjmů domácností, jakož i postupné oživení výkonu ekonomiky doprovázené stabilizací poptávky v některých energeticky náročných průmyslových oborech.</w:t>
            </w:r>
          </w:p>
        </w:tc>
      </w:tr>
      <w:tr w:rsidR="00307B34" w:rsidRPr="00884AAD" w14:paraId="7E5E4CC3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7DFFF485" w14:textId="77777777" w:rsidR="00307B34" w:rsidRPr="00EE0E68" w:rsidRDefault="00307B34" w:rsidP="00135A1D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</w:rPr>
              <w:lastRenderedPageBreak/>
              <w:t>Mírně vzrostla produkce ve v</w:t>
            </w:r>
            <w:r w:rsidRPr="00EE0E68">
              <w:rPr>
                <w:color w:val="000000" w:themeColor="text1"/>
                <w:spacing w:val="0"/>
              </w:rPr>
              <w:t>ětšině oborů zaměřených na výrobu meziproduktů</w:t>
            </w:r>
            <w:r>
              <w:rPr>
                <w:color w:val="000000" w:themeColor="text1"/>
                <w:spacing w:val="0"/>
              </w:rPr>
              <w:t>.</w:t>
            </w:r>
          </w:p>
        </w:tc>
        <w:tc>
          <w:tcPr>
            <w:tcW w:w="179" w:type="dxa"/>
            <w:tcMar>
              <w:left w:w="0" w:type="dxa"/>
            </w:tcMar>
          </w:tcPr>
          <w:p w14:paraId="5F547D76" w14:textId="77777777" w:rsidR="00307B34" w:rsidRPr="00EE0E68" w:rsidRDefault="00307B34" w:rsidP="00135A1D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475E0E7B" w14:textId="77777777" w:rsidR="00307B34" w:rsidRPr="00165816" w:rsidRDefault="00307B34" w:rsidP="00135A1D">
            <w:pPr>
              <w:spacing w:after="200"/>
              <w:rPr>
                <w:color w:val="000000" w:themeColor="text1"/>
              </w:rPr>
            </w:pPr>
            <w:r w:rsidRPr="00EE0E68">
              <w:rPr>
                <w:color w:val="000000" w:themeColor="text1"/>
              </w:rPr>
              <w:t>Průmysl</w:t>
            </w:r>
            <w:r>
              <w:rPr>
                <w:color w:val="000000" w:themeColor="text1"/>
              </w:rPr>
              <w:t>u</w:t>
            </w:r>
            <w:r w:rsidRPr="00EE0E68">
              <w:rPr>
                <w:color w:val="000000" w:themeColor="text1"/>
              </w:rPr>
              <w:t xml:space="preserve"> letos </w:t>
            </w:r>
            <w:r>
              <w:rPr>
                <w:color w:val="000000" w:themeColor="text1"/>
              </w:rPr>
              <w:t>pomohla</w:t>
            </w:r>
            <w:r w:rsidRPr="00EE0E6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i</w:t>
            </w:r>
            <w:r w:rsidRPr="00EE0E68">
              <w:rPr>
                <w:color w:val="000000" w:themeColor="text1"/>
              </w:rPr>
              <w:t xml:space="preserve"> většina oborů vyrábějících meziprodukty. </w:t>
            </w:r>
            <w:r>
              <w:rPr>
                <w:color w:val="000000" w:themeColor="text1"/>
              </w:rPr>
              <w:t>Dynamický r</w:t>
            </w:r>
            <w:r w:rsidRPr="00EE0E68">
              <w:rPr>
                <w:color w:val="000000" w:themeColor="text1"/>
              </w:rPr>
              <w:t xml:space="preserve">ozvoj tuzemského stavebnictví se </w:t>
            </w:r>
            <w:r>
              <w:rPr>
                <w:color w:val="000000" w:themeColor="text1"/>
              </w:rPr>
              <w:t xml:space="preserve">částečně </w:t>
            </w:r>
            <w:r w:rsidRPr="00EE0E68">
              <w:rPr>
                <w:color w:val="000000" w:themeColor="text1"/>
              </w:rPr>
              <w:t xml:space="preserve">promítl </w:t>
            </w:r>
            <w:r>
              <w:rPr>
                <w:color w:val="000000" w:themeColor="text1"/>
              </w:rPr>
              <w:t xml:space="preserve">i </w:t>
            </w:r>
            <w:r w:rsidRPr="00EE0E68">
              <w:rPr>
                <w:color w:val="000000" w:themeColor="text1"/>
              </w:rPr>
              <w:t xml:space="preserve">do výroby ostatních nekovových minerálních výrobků, kde produkce </w:t>
            </w:r>
            <w:r>
              <w:rPr>
                <w:color w:val="000000" w:themeColor="text1"/>
              </w:rPr>
              <w:t>za tři čtvrtletí</w:t>
            </w:r>
            <w:r w:rsidRPr="00EE0E68">
              <w:rPr>
                <w:color w:val="000000" w:themeColor="text1"/>
              </w:rPr>
              <w:t xml:space="preserve"> vzrostla meziročně o 3,</w:t>
            </w:r>
            <w:r>
              <w:rPr>
                <w:color w:val="000000" w:themeColor="text1"/>
              </w:rPr>
              <w:t>2</w:t>
            </w:r>
            <w:r w:rsidRPr="00EE0E68">
              <w:rPr>
                <w:color w:val="000000" w:themeColor="text1"/>
              </w:rPr>
              <w:t xml:space="preserve"> %. </w:t>
            </w:r>
            <w:r w:rsidRPr="00CE441B">
              <w:rPr>
                <w:color w:val="000000" w:themeColor="text1"/>
                <w:spacing w:val="-4"/>
              </w:rPr>
              <w:t xml:space="preserve">Po slabších loňských výsledcích došlo </w:t>
            </w:r>
            <w:r>
              <w:rPr>
                <w:color w:val="000000" w:themeColor="text1"/>
                <w:spacing w:val="-4"/>
              </w:rPr>
              <w:t xml:space="preserve">letos hlavně </w:t>
            </w:r>
            <w:r w:rsidRPr="00DB6ED4">
              <w:rPr>
                <w:color w:val="000000" w:themeColor="text1"/>
                <w:spacing w:val="-6"/>
              </w:rPr>
              <w:t xml:space="preserve">vlivem zahraniční poptávky k mírnému růstu produkce v </w:t>
            </w:r>
            <w:r>
              <w:rPr>
                <w:color w:val="000000" w:themeColor="text1"/>
                <w:spacing w:val="-6"/>
              </w:rPr>
              <w:t>nejbližších</w:t>
            </w:r>
            <w:r w:rsidRPr="00DB6ED4">
              <w:rPr>
                <w:color w:val="000000" w:themeColor="text1"/>
                <w:spacing w:val="-6"/>
              </w:rPr>
              <w:t xml:space="preserve"> subdodavatelských</w:t>
            </w:r>
            <w:r w:rsidRPr="00EE0E68">
              <w:rPr>
                <w:color w:val="000000" w:themeColor="text1"/>
              </w:rPr>
              <w:t xml:space="preserve"> obor</w:t>
            </w:r>
            <w:r>
              <w:rPr>
                <w:color w:val="000000" w:themeColor="text1"/>
              </w:rPr>
              <w:t>ech</w:t>
            </w:r>
            <w:r w:rsidRPr="00EE0E68">
              <w:rPr>
                <w:color w:val="000000" w:themeColor="text1"/>
              </w:rPr>
              <w:t xml:space="preserve"> automobilového průmyslu</w:t>
            </w:r>
            <w:r>
              <w:rPr>
                <w:color w:val="000000" w:themeColor="text1"/>
              </w:rPr>
              <w:t xml:space="preserve"> (</w:t>
            </w:r>
            <w:r w:rsidRPr="00EE0E68">
              <w:rPr>
                <w:color w:val="000000" w:themeColor="text1"/>
              </w:rPr>
              <w:t xml:space="preserve">elektrotechnice, gumárenství, </w:t>
            </w:r>
            <w:proofErr w:type="spellStart"/>
            <w:r w:rsidRPr="00EE0E68">
              <w:rPr>
                <w:color w:val="000000" w:themeColor="text1"/>
              </w:rPr>
              <w:t>plastikářství</w:t>
            </w:r>
            <w:proofErr w:type="spellEnd"/>
            <w:r w:rsidRPr="00EE0E68">
              <w:rPr>
                <w:color w:val="000000" w:themeColor="text1"/>
              </w:rPr>
              <w:t xml:space="preserve">). </w:t>
            </w:r>
            <w:r>
              <w:rPr>
                <w:color w:val="000000" w:themeColor="text1"/>
              </w:rPr>
              <w:t>Náznak mírného oživení byl letos (po hlubokém útlumu v předchozích třech letech) patrný i v hutnictví a slévárenství (+3,6 %, nejvyššímu mezi všemi zpracovatelskými obory</w:t>
            </w:r>
            <w:r w:rsidRPr="00EE0E68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, přesto jsou vyhlídky tohoto energeticky náročného oboru zatím nejisté, což naznačuje pokračující </w:t>
            </w:r>
            <w:r w:rsidRPr="00CE441B">
              <w:rPr>
                <w:color w:val="000000" w:themeColor="text1"/>
                <w:spacing w:val="-4"/>
              </w:rPr>
              <w:t xml:space="preserve">nepříznivý vývoj zakázek. </w:t>
            </w:r>
            <w:r>
              <w:rPr>
                <w:color w:val="000000" w:themeColor="text1"/>
                <w:spacing w:val="-4"/>
              </w:rPr>
              <w:t>P</w:t>
            </w:r>
            <w:r w:rsidRPr="00EE0E68">
              <w:rPr>
                <w:color w:val="000000" w:themeColor="text1"/>
              </w:rPr>
              <w:t>evnější základy má naopak růst v menším oboru papírenského průmyslu (+1,</w:t>
            </w:r>
            <w:r>
              <w:rPr>
                <w:color w:val="000000" w:themeColor="text1"/>
              </w:rPr>
              <w:t>5</w:t>
            </w:r>
            <w:r w:rsidRPr="00EE0E68">
              <w:rPr>
                <w:color w:val="000000" w:themeColor="text1"/>
              </w:rPr>
              <w:t xml:space="preserve"> %), jenž se díky dřívějším investicím do výrobních zařízení v Česku dlouhodobě rozvíjí (letos k tomu přispívá spíše tuzemská poptávka). Výše uvedené obory přispěly letos souhrnně k meziročnímu růstu celého průmyslu 0,</w:t>
            </w:r>
            <w:r>
              <w:rPr>
                <w:color w:val="000000" w:themeColor="text1"/>
              </w:rPr>
              <w:t>5</w:t>
            </w:r>
            <w:r w:rsidRPr="00EE0E68">
              <w:rPr>
                <w:color w:val="000000" w:themeColor="text1"/>
              </w:rPr>
              <w:t xml:space="preserve"> p. b.</w:t>
            </w:r>
          </w:p>
        </w:tc>
      </w:tr>
      <w:tr w:rsidR="00307B34" w:rsidRPr="00884AAD" w14:paraId="3286828A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02B3CB01" w14:textId="77777777" w:rsidR="00307B34" w:rsidRPr="00EE0E68" w:rsidRDefault="00307B34" w:rsidP="00135A1D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</w:rPr>
              <w:t>V růstu produkce</w:t>
            </w:r>
            <w:r w:rsidRPr="00EE0E68">
              <w:rPr>
                <w:color w:val="000000" w:themeColor="text1"/>
                <w:spacing w:val="0"/>
              </w:rPr>
              <w:t xml:space="preserve"> kovodělného průmyslu se odráží i rychlý rozvoj jeho zbrojního segmentu. </w:t>
            </w:r>
            <w:r>
              <w:rPr>
                <w:color w:val="000000" w:themeColor="text1"/>
                <w:spacing w:val="0"/>
              </w:rPr>
              <w:t>Pokračoval</w:t>
            </w:r>
            <w:r w:rsidRPr="00EE0E68">
              <w:rPr>
                <w:color w:val="000000" w:themeColor="text1"/>
                <w:spacing w:val="0"/>
              </w:rPr>
              <w:t xml:space="preserve"> dlouhodob</w:t>
            </w:r>
            <w:r>
              <w:rPr>
                <w:color w:val="000000" w:themeColor="text1"/>
                <w:spacing w:val="0"/>
              </w:rPr>
              <w:t>ý</w:t>
            </w:r>
            <w:r w:rsidRPr="00EE0E68">
              <w:rPr>
                <w:color w:val="000000" w:themeColor="text1"/>
                <w:spacing w:val="0"/>
              </w:rPr>
              <w:t xml:space="preserve"> rozv</w:t>
            </w:r>
            <w:r>
              <w:rPr>
                <w:color w:val="000000" w:themeColor="text1"/>
                <w:spacing w:val="0"/>
              </w:rPr>
              <w:t>oj</w:t>
            </w:r>
            <w:r w:rsidRPr="00EE0E68">
              <w:rPr>
                <w:color w:val="000000" w:themeColor="text1"/>
                <w:spacing w:val="0"/>
              </w:rPr>
              <w:t xml:space="preserve"> výrob</w:t>
            </w:r>
            <w:r>
              <w:rPr>
                <w:color w:val="000000" w:themeColor="text1"/>
                <w:spacing w:val="0"/>
              </w:rPr>
              <w:t>y</w:t>
            </w:r>
            <w:r w:rsidRPr="00EE0E68">
              <w:rPr>
                <w:color w:val="000000" w:themeColor="text1"/>
                <w:spacing w:val="0"/>
              </w:rPr>
              <w:t xml:space="preserve"> kolejových dopravních prostředků.</w:t>
            </w:r>
          </w:p>
        </w:tc>
        <w:tc>
          <w:tcPr>
            <w:tcW w:w="179" w:type="dxa"/>
            <w:tcMar>
              <w:left w:w="0" w:type="dxa"/>
            </w:tcMar>
          </w:tcPr>
          <w:p w14:paraId="467FAA13" w14:textId="77777777" w:rsidR="00307B34" w:rsidRPr="00EE0E68" w:rsidRDefault="00307B34" w:rsidP="00135A1D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2AAC6409" w14:textId="77777777" w:rsidR="00307B34" w:rsidRPr="00EE0E68" w:rsidRDefault="00307B34" w:rsidP="00135A1D">
            <w:pPr>
              <w:spacing w:after="200"/>
              <w:rPr>
                <w:bCs/>
                <w:color w:val="000000" w:themeColor="text1"/>
              </w:rPr>
            </w:pPr>
            <w:r w:rsidRPr="00EE0E68">
              <w:rPr>
                <w:bCs/>
                <w:color w:val="000000" w:themeColor="text1"/>
              </w:rPr>
              <w:t xml:space="preserve">Z investičně zaměřených oborů bylo z pohledu celého průmyslu nejvýznamnější zotavení ve výrobě kovových konstrukci a kovodělných výrobků, k němuž došlo již </w:t>
            </w:r>
            <w:r>
              <w:rPr>
                <w:bCs/>
                <w:color w:val="000000" w:themeColor="text1"/>
              </w:rPr>
              <w:t>vloni</w:t>
            </w:r>
            <w:r w:rsidRPr="00EE0E68">
              <w:rPr>
                <w:bCs/>
                <w:color w:val="000000" w:themeColor="text1"/>
              </w:rPr>
              <w:t>. Mírný letošní růst výkonu tohoto oboru (+</w:t>
            </w:r>
            <w:r>
              <w:rPr>
                <w:bCs/>
                <w:color w:val="000000" w:themeColor="text1"/>
              </w:rPr>
              <w:t>2,3</w:t>
            </w:r>
            <w:r w:rsidRPr="00EE0E68">
              <w:rPr>
                <w:bCs/>
                <w:color w:val="000000" w:themeColor="text1"/>
              </w:rPr>
              <w:t xml:space="preserve"> %) je spojen s vyšší domácí i zahraniční poptávkou a v</w:t>
            </w:r>
            <w:r w:rsidRPr="00EE0E68">
              <w:rPr>
                <w:color w:val="000000" w:themeColor="text1"/>
              </w:rPr>
              <w:t xml:space="preserve">ýznamný růstový impuls zde již několik čtvrtletí představuje </w:t>
            </w:r>
            <w:r>
              <w:rPr>
                <w:color w:val="000000" w:themeColor="text1"/>
              </w:rPr>
              <w:t xml:space="preserve">dosud spíše okrajový segment </w:t>
            </w:r>
            <w:r w:rsidRPr="00EE0E68">
              <w:rPr>
                <w:color w:val="000000" w:themeColor="text1"/>
              </w:rPr>
              <w:t>zbrojního průmyslu. Dařilo se i dlouhodobě rostoucímu oboru opravy a instalace strojů a zařízení zaměřenému tradičně spíše na domácí trh (např. opravy jaderných zařízení). K jeho letošnímu růstu produkce (+</w:t>
            </w:r>
            <w:r>
              <w:rPr>
                <w:color w:val="000000" w:themeColor="text1"/>
              </w:rPr>
              <w:t>3</w:t>
            </w:r>
            <w:r w:rsidRPr="00EE0E6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2</w:t>
            </w:r>
            <w:r w:rsidRPr="00EE0E68">
              <w:rPr>
                <w:color w:val="000000" w:themeColor="text1"/>
              </w:rPr>
              <w:t xml:space="preserve"> %</w:t>
            </w:r>
            <w:r>
              <w:rPr>
                <w:color w:val="000000" w:themeColor="text1"/>
              </w:rPr>
              <w:t xml:space="preserve">) </w:t>
            </w:r>
            <w:r w:rsidRPr="00EE0E68">
              <w:rPr>
                <w:color w:val="000000" w:themeColor="text1"/>
              </w:rPr>
              <w:t xml:space="preserve">ale přispěla i vyšší poptávka ze zahraničí. Mírně se letos </w:t>
            </w:r>
            <w:r>
              <w:rPr>
                <w:color w:val="000000" w:themeColor="text1"/>
              </w:rPr>
              <w:t xml:space="preserve">díky vyšší poptávce ze zahraničí </w:t>
            </w:r>
            <w:r w:rsidRPr="00EE0E68">
              <w:rPr>
                <w:color w:val="000000" w:themeColor="text1"/>
              </w:rPr>
              <w:t>zvýšil výkon i ve výrobě ostatních (především kolejových) dopravních prostředků (+1,</w:t>
            </w:r>
            <w:r>
              <w:rPr>
                <w:color w:val="000000" w:themeColor="text1"/>
              </w:rPr>
              <w:t>7</w:t>
            </w:r>
            <w:r w:rsidRPr="00EE0E68">
              <w:rPr>
                <w:color w:val="000000" w:themeColor="text1"/>
              </w:rPr>
              <w:t xml:space="preserve"> %)</w:t>
            </w:r>
            <w:r>
              <w:rPr>
                <w:color w:val="000000" w:themeColor="text1"/>
              </w:rPr>
              <w:t>.</w:t>
            </w:r>
            <w:r w:rsidRPr="00EE0E68">
              <w:rPr>
                <w:color w:val="000000" w:themeColor="text1"/>
              </w:rPr>
              <w:t xml:space="preserve"> Produkce v tomto relativně malém oboru má však tradičně volatilní charakter a projevuje se zde dopad nepravidelné fakturace větších zakázek. Výše uvedené </w:t>
            </w:r>
            <w:r>
              <w:rPr>
                <w:color w:val="000000" w:themeColor="text1"/>
              </w:rPr>
              <w:t xml:space="preserve">„investiční </w:t>
            </w:r>
            <w:r w:rsidRPr="00EE0E68">
              <w:rPr>
                <w:color w:val="000000" w:themeColor="text1"/>
              </w:rPr>
              <w:t>obory</w:t>
            </w:r>
            <w:r>
              <w:rPr>
                <w:color w:val="000000" w:themeColor="text1"/>
              </w:rPr>
              <w:t>“</w:t>
            </w:r>
            <w:r w:rsidRPr="00EE0E68">
              <w:rPr>
                <w:color w:val="000000" w:themeColor="text1"/>
              </w:rPr>
              <w:t xml:space="preserve"> přispěly letos k růstu průmyslu 0,</w:t>
            </w:r>
            <w:r>
              <w:rPr>
                <w:color w:val="000000" w:themeColor="text1"/>
              </w:rPr>
              <w:t>4</w:t>
            </w:r>
            <w:r w:rsidRPr="00EE0E68">
              <w:rPr>
                <w:color w:val="000000" w:themeColor="text1"/>
              </w:rPr>
              <w:t xml:space="preserve"> p. b. </w:t>
            </w:r>
          </w:p>
        </w:tc>
      </w:tr>
      <w:tr w:rsidR="00307B34" w:rsidRPr="00884AAD" w14:paraId="7DB18F0C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6D4AB6BB" w14:textId="77777777" w:rsidR="00307B34" w:rsidRPr="00EE0E68" w:rsidRDefault="00307B34" w:rsidP="00135A1D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 w:rsidRPr="00EE0E68">
              <w:rPr>
                <w:color w:val="000000" w:themeColor="text1"/>
                <w:spacing w:val="0"/>
              </w:rPr>
              <w:t>Zvyšující se kupní síla domácností dále podporovala rozvoj potravinářství. Růst produkce zde však oproti loňskému roku zmírnil.</w:t>
            </w:r>
          </w:p>
        </w:tc>
        <w:tc>
          <w:tcPr>
            <w:tcW w:w="179" w:type="dxa"/>
            <w:tcMar>
              <w:left w:w="0" w:type="dxa"/>
            </w:tcMar>
          </w:tcPr>
          <w:p w14:paraId="66511287" w14:textId="77777777" w:rsidR="00307B34" w:rsidRPr="00EE0E68" w:rsidRDefault="00307B34" w:rsidP="00135A1D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4F40A2C7" w14:textId="77777777" w:rsidR="00307B34" w:rsidRPr="000A0568" w:rsidRDefault="00307B34" w:rsidP="00135A1D">
            <w:pPr>
              <w:rPr>
                <w:color w:val="000000" w:themeColor="text1"/>
                <w:spacing w:val="-4"/>
              </w:rPr>
            </w:pPr>
            <w:r w:rsidRPr="000A0568">
              <w:rPr>
                <w:color w:val="000000" w:themeColor="text1"/>
                <w:spacing w:val="-4"/>
              </w:rPr>
              <w:t xml:space="preserve">Z oborů vyrábějících spotřební zboží se díky rostoucí kupní síle domácností dařilo zejména </w:t>
            </w:r>
            <w:r w:rsidRPr="00E623D2">
              <w:rPr>
                <w:color w:val="000000" w:themeColor="text1"/>
                <w:spacing w:val="-6"/>
              </w:rPr>
              <w:t>potravinářství. Nicméně růst produkce v tomto oboru ve srovnání s loňským 1. až</w:t>
            </w:r>
            <w:r w:rsidRPr="000A0568">
              <w:rPr>
                <w:color w:val="000000" w:themeColor="text1"/>
                <w:spacing w:val="-4"/>
              </w:rPr>
              <w:t xml:space="preserve"> 3. čtvrtletím zvolnil (na 2,6 %). Obdobné platí i pro ostatní zpracovatelský průmysl (+1,5 %) zahrnující např. výrobu sportovních potřeb, her a hraček. Po výraznějším útlumu v předchozích dvou letech letos ožila produkce v nábytkářském průmyslu (+1,7 %). Zatímco na přelomu let 2024 a 2025 k tomu přispívala pouze sílící zahraniční poptávka, letos ve 2. i 3. čtvrtletí je patrný mírný růst tržeb z tuzemska. Postupné zlepšení finanční situace domácností se tak již </w:t>
            </w:r>
            <w:r w:rsidRPr="000A0568">
              <w:rPr>
                <w:color w:val="000000" w:themeColor="text1"/>
                <w:spacing w:val="-4"/>
              </w:rPr>
              <w:lastRenderedPageBreak/>
              <w:t>neprojevuje jen ve vyšší poptávce po zboží krátkodobé spotřeby, ale zvolna se rozšiřuje i na další komodity. Výše uvedené obory vyrábějící převážně spotřební zboží však letos souhrnně podpořily růst celého průmyslu pouze 0,2 p. b.</w:t>
            </w:r>
          </w:p>
        </w:tc>
      </w:tr>
      <w:tr w:rsidR="00307B34" w:rsidRPr="00884AAD" w14:paraId="33850542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1FC9A8A3" w14:textId="77777777" w:rsidR="00307B34" w:rsidRPr="00EE0E68" w:rsidRDefault="00307B34" w:rsidP="00135A1D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tcMar>
              <w:left w:w="0" w:type="dxa"/>
            </w:tcMar>
          </w:tcPr>
          <w:p w14:paraId="165730A3" w14:textId="77777777" w:rsidR="00307B34" w:rsidRPr="00EE0E68" w:rsidRDefault="00307B34" w:rsidP="00135A1D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tcMar>
              <w:left w:w="0" w:type="dxa"/>
            </w:tcMar>
          </w:tcPr>
          <w:p w14:paraId="29F19244" w14:textId="77777777" w:rsidR="00307B34" w:rsidRPr="00EE0E68" w:rsidRDefault="00307B34" w:rsidP="00135A1D">
            <w:pPr>
              <w:spacing w:after="40"/>
              <w:rPr>
                <w:color w:val="0D0D0D" w:themeColor="text1" w:themeTint="F2"/>
              </w:rPr>
            </w:pPr>
            <w:r w:rsidRPr="00EE0E68">
              <w:rPr>
                <w:b/>
                <w:color w:val="0D0D0D" w:themeColor="text1" w:themeTint="F2"/>
              </w:rPr>
              <w:t>Graf č. 4 Příspěvky dílčích odvětví k meziroční změně průmyslové produkce v ČR</w:t>
            </w:r>
            <w:r w:rsidRPr="00EE0E68">
              <w:rPr>
                <w:color w:val="0D0D0D" w:themeColor="text1" w:themeTint="F2"/>
              </w:rPr>
              <w:t xml:space="preserve"> (očištěno o kalendářní vlivy, reálně, v p. b.) </w:t>
            </w:r>
            <w:r w:rsidRPr="00EE0E68">
              <w:rPr>
                <w:b/>
                <w:color w:val="0D0D0D" w:themeColor="text1" w:themeTint="F2"/>
              </w:rPr>
              <w:t>a produkce v celém průmyslu v ČR, Německu a EU27</w:t>
            </w:r>
            <w:r w:rsidRPr="00EE0E68">
              <w:rPr>
                <w:i/>
                <w:color w:val="0D0D0D" w:themeColor="text1" w:themeTint="F2"/>
              </w:rPr>
              <w:t xml:space="preserve"> </w:t>
            </w:r>
            <w:r w:rsidRPr="00EE0E68">
              <w:rPr>
                <w:color w:val="0D0D0D" w:themeColor="text1" w:themeTint="F2"/>
              </w:rPr>
              <w:t>(sezónně očištěno, úroveň roku 2021=100, pravá osa)</w:t>
            </w:r>
          </w:p>
        </w:tc>
      </w:tr>
      <w:tr w:rsidR="00307B34" w:rsidRPr="0067514E" w14:paraId="51F261E7" w14:textId="77777777" w:rsidTr="00135A1D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814" w:type="dxa"/>
          </w:tcPr>
          <w:p w14:paraId="1127848E" w14:textId="77777777" w:rsidR="00307B34" w:rsidRPr="00EE0E68" w:rsidRDefault="00307B34" w:rsidP="00135A1D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</w:tcPr>
          <w:p w14:paraId="3414EB51" w14:textId="77777777" w:rsidR="00307B34" w:rsidRPr="00EE0E68" w:rsidRDefault="00307B34" w:rsidP="00135A1D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</w:tcPr>
          <w:p w14:paraId="219450F4" w14:textId="77777777" w:rsidR="00307B34" w:rsidRPr="00EE0E68" w:rsidRDefault="00307B34" w:rsidP="00135A1D">
            <w:pPr>
              <w:spacing w:before="40" w:after="40"/>
              <w:rPr>
                <w:color w:val="0D0D0D" w:themeColor="text1" w:themeTint="F2"/>
              </w:rPr>
            </w:pPr>
            <w:r>
              <w:rPr>
                <w:noProof/>
              </w:rPr>
              <w:drawing>
                <wp:inline distT="0" distB="0" distL="0" distR="0" wp14:anchorId="71F95B1E" wp14:editId="0629784D">
                  <wp:extent cx="4620315" cy="3686204"/>
                  <wp:effectExtent l="0" t="0" r="8890" b="0"/>
                  <wp:docPr id="1934080732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307B34" w:rsidRPr="00E52D45" w14:paraId="045DF391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5AA2BCC6" w14:textId="77777777" w:rsidR="00307B34" w:rsidRPr="00EE0E68" w:rsidRDefault="00307B34" w:rsidP="00135A1D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tcMar>
              <w:left w:w="0" w:type="dxa"/>
            </w:tcMar>
          </w:tcPr>
          <w:p w14:paraId="3030DA50" w14:textId="77777777" w:rsidR="00307B34" w:rsidRPr="00EE0E68" w:rsidRDefault="00307B34" w:rsidP="00135A1D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tcMar>
              <w:left w:w="0" w:type="dxa"/>
            </w:tcMar>
          </w:tcPr>
          <w:p w14:paraId="5D33F57E" w14:textId="77777777" w:rsidR="00307B34" w:rsidRPr="00EE0E68" w:rsidRDefault="00307B34" w:rsidP="00135A1D">
            <w:pPr>
              <w:spacing w:after="0"/>
              <w:rPr>
                <w:color w:val="0D0D0D" w:themeColor="text1" w:themeTint="F2"/>
                <w:sz w:val="14"/>
                <w:szCs w:val="14"/>
              </w:rPr>
            </w:pPr>
            <w:r w:rsidRPr="00EE0E68">
              <w:rPr>
                <w:color w:val="0D0D0D" w:themeColor="text1" w:themeTint="F2"/>
                <w:sz w:val="14"/>
                <w:szCs w:val="14"/>
              </w:rPr>
              <w:t>*Příspěvek zbývajícího zpracovatelského průmyslu zahrnuje i vliv celkové metodické diskrepance pramenící ze změny vah.</w:t>
            </w:r>
          </w:p>
          <w:p w14:paraId="2D5DD916" w14:textId="77777777" w:rsidR="00307B34" w:rsidRPr="00EE0E68" w:rsidRDefault="00307B34" w:rsidP="00135A1D">
            <w:pPr>
              <w:spacing w:after="200"/>
              <w:jc w:val="right"/>
              <w:rPr>
                <w:color w:val="0D0D0D" w:themeColor="text1" w:themeTint="F2"/>
              </w:rPr>
            </w:pPr>
            <w:r w:rsidRPr="00EE0E68">
              <w:rPr>
                <w:color w:val="0D0D0D" w:themeColor="text1" w:themeTint="F2"/>
                <w:sz w:val="14"/>
                <w:szCs w:val="14"/>
              </w:rPr>
              <w:t>Zdroj: ČSÚ, Eurostat</w:t>
            </w:r>
          </w:p>
        </w:tc>
      </w:tr>
      <w:tr w:rsidR="00307B34" w:rsidRPr="009658AC" w14:paraId="5E99C810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2355BB99" w14:textId="77777777" w:rsidR="00307B34" w:rsidRDefault="00307B34" w:rsidP="00135A1D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</w:rPr>
              <w:t>Ve většině významných, investičně zaměřených oborů se produkce snížila – nejvíce v elektronickém průmyslu.</w:t>
            </w:r>
          </w:p>
          <w:p w14:paraId="2B0A9FB8" w14:textId="77777777" w:rsidR="00307B34" w:rsidRDefault="00307B34" w:rsidP="00135A1D">
            <w:pPr>
              <w:pStyle w:val="Marginlie"/>
              <w:rPr>
                <w:color w:val="000000" w:themeColor="text1"/>
                <w:spacing w:val="0"/>
              </w:rPr>
            </w:pPr>
          </w:p>
          <w:p w14:paraId="519E2617" w14:textId="77777777" w:rsidR="00307B34" w:rsidRPr="00EE0E68" w:rsidRDefault="00307B34" w:rsidP="00135A1D">
            <w:pPr>
              <w:pStyle w:val="Marginlie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</w:rPr>
              <w:t>Ve výrobě automobilů posiloval segment elektrických vozů, celková fyzická produkce osobních automobilů ale mírně klesla</w:t>
            </w:r>
            <w:r w:rsidRPr="00EE0E68">
              <w:rPr>
                <w:color w:val="000000" w:themeColor="text1"/>
                <w:spacing w:val="0"/>
              </w:rPr>
              <w:t>.</w:t>
            </w:r>
          </w:p>
        </w:tc>
        <w:tc>
          <w:tcPr>
            <w:tcW w:w="179" w:type="dxa"/>
            <w:tcMar>
              <w:left w:w="0" w:type="dxa"/>
            </w:tcMar>
          </w:tcPr>
          <w:p w14:paraId="3B282ECD" w14:textId="77777777" w:rsidR="00307B34" w:rsidRPr="00EE0E68" w:rsidRDefault="00307B34" w:rsidP="00135A1D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0F983E46" w14:textId="77777777" w:rsidR="00307B34" w:rsidRPr="00EE0E68" w:rsidRDefault="00307B34" w:rsidP="00135A1D">
            <w:pPr>
              <w:spacing w:after="0"/>
              <w:rPr>
                <w:color w:val="000000" w:themeColor="text1"/>
              </w:rPr>
            </w:pPr>
            <w:r w:rsidRPr="00EE0E68">
              <w:rPr>
                <w:color w:val="000000" w:themeColor="text1"/>
              </w:rPr>
              <w:t xml:space="preserve">Růst výkonu průmyslu v 1. </w:t>
            </w:r>
            <w:r>
              <w:rPr>
                <w:color w:val="000000" w:themeColor="text1"/>
              </w:rPr>
              <w:t>až 3. čtvrtletí 2025</w:t>
            </w:r>
            <w:r w:rsidRPr="00EE0E6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tlumily</w:t>
            </w:r>
            <w:r w:rsidRPr="00EE0E68">
              <w:rPr>
                <w:color w:val="000000" w:themeColor="text1"/>
              </w:rPr>
              <w:t xml:space="preserve"> především některé významné investičně zaměřené obory. </w:t>
            </w:r>
            <w:r>
              <w:rPr>
                <w:color w:val="000000" w:themeColor="text1"/>
              </w:rPr>
              <w:t xml:space="preserve">Největší vliv zde měla </w:t>
            </w:r>
            <w:r w:rsidRPr="00EE0E68">
              <w:rPr>
                <w:color w:val="000000" w:themeColor="text1"/>
              </w:rPr>
              <w:t>výrob</w:t>
            </w:r>
            <w:r>
              <w:rPr>
                <w:color w:val="000000" w:themeColor="text1"/>
              </w:rPr>
              <w:t>a</w:t>
            </w:r>
            <w:r w:rsidRPr="00EE0E68">
              <w:rPr>
                <w:color w:val="000000" w:themeColor="text1"/>
              </w:rPr>
              <w:t xml:space="preserve"> počítačů, elektronických </w:t>
            </w:r>
            <w:r>
              <w:rPr>
                <w:color w:val="000000" w:themeColor="text1"/>
              </w:rPr>
              <w:br/>
            </w:r>
            <w:r w:rsidRPr="00EE0E68">
              <w:rPr>
                <w:color w:val="000000" w:themeColor="text1"/>
              </w:rPr>
              <w:t>a optických přístrojů, vyznačující se vysokou dovozní náročností a současně i výrazně proexportním zaměřením</w:t>
            </w:r>
            <w:r>
              <w:rPr>
                <w:color w:val="000000" w:themeColor="text1"/>
              </w:rPr>
              <w:t xml:space="preserve">. Produkce v tomto oboru, jež se v předchozích čtyřech letech slibně rozvíjel, letos klesla o 5,0 % (dokonce hlouběji než v „pandemickém roce“ 2020). Vedle slabší zahraniční poptávky zde negativně působila i tuzemská, jež byla ještě loni významněji podporována </w:t>
            </w:r>
            <w:r w:rsidRPr="00EE0E68">
              <w:rPr>
                <w:color w:val="0D0D0D" w:themeColor="text1" w:themeTint="F2"/>
              </w:rPr>
              <w:t>pokračující</w:t>
            </w:r>
            <w:r>
              <w:rPr>
                <w:color w:val="0D0D0D" w:themeColor="text1" w:themeTint="F2"/>
              </w:rPr>
              <w:t>m</w:t>
            </w:r>
            <w:r w:rsidRPr="00EE0E68">
              <w:rPr>
                <w:color w:val="0D0D0D" w:themeColor="text1" w:themeTint="F2"/>
              </w:rPr>
              <w:t xml:space="preserve"> rozvoj</w:t>
            </w:r>
            <w:r>
              <w:rPr>
                <w:color w:val="0D0D0D" w:themeColor="text1" w:themeTint="F2"/>
              </w:rPr>
              <w:t>em</w:t>
            </w:r>
            <w:r w:rsidRPr="00EE0E68">
              <w:rPr>
                <w:color w:val="0D0D0D" w:themeColor="text1" w:themeTint="F2"/>
              </w:rPr>
              <w:t xml:space="preserve"> fotovoltaiky.</w:t>
            </w:r>
            <w:r>
              <w:rPr>
                <w:color w:val="0D0D0D" w:themeColor="text1" w:themeTint="F2"/>
              </w:rPr>
              <w:t xml:space="preserve"> </w:t>
            </w:r>
            <w:r w:rsidRPr="00EE0E68">
              <w:rPr>
                <w:color w:val="000000" w:themeColor="text1"/>
              </w:rPr>
              <w:t xml:space="preserve">Ve výrobě dopravních prostředků se </w:t>
            </w:r>
            <w:r>
              <w:rPr>
                <w:color w:val="000000" w:themeColor="text1"/>
              </w:rPr>
              <w:t xml:space="preserve">letos </w:t>
            </w:r>
            <w:r w:rsidRPr="00EE0E68">
              <w:rPr>
                <w:color w:val="000000" w:themeColor="text1"/>
              </w:rPr>
              <w:t>produkce snížila o 0,6</w:t>
            </w:r>
            <w:r>
              <w:rPr>
                <w:color w:val="000000" w:themeColor="text1"/>
              </w:rPr>
              <w:t> </w:t>
            </w:r>
            <w:r w:rsidRPr="00EE0E68">
              <w:rPr>
                <w:color w:val="000000" w:themeColor="text1"/>
              </w:rPr>
              <w:t>% a</w:t>
            </w:r>
            <w:r>
              <w:rPr>
                <w:color w:val="000000" w:themeColor="text1"/>
              </w:rPr>
              <w:t> </w:t>
            </w:r>
            <w:r w:rsidRPr="00EE0E68">
              <w:rPr>
                <w:color w:val="000000" w:themeColor="text1"/>
              </w:rPr>
              <w:t xml:space="preserve">meziročně </w:t>
            </w:r>
            <w:r>
              <w:rPr>
                <w:color w:val="000000" w:themeColor="text1"/>
              </w:rPr>
              <w:t xml:space="preserve">mírně </w:t>
            </w:r>
            <w:r w:rsidRPr="00EE0E68">
              <w:rPr>
                <w:color w:val="000000" w:themeColor="text1"/>
              </w:rPr>
              <w:t xml:space="preserve">klesla </w:t>
            </w:r>
            <w:r>
              <w:rPr>
                <w:color w:val="000000" w:themeColor="text1"/>
              </w:rPr>
              <w:t>druhý rok</w:t>
            </w:r>
            <w:r w:rsidRPr="00EE0E68">
              <w:rPr>
                <w:color w:val="000000" w:themeColor="text1"/>
              </w:rPr>
              <w:t xml:space="preserve"> v řadě. Zatímco </w:t>
            </w:r>
            <w:r>
              <w:rPr>
                <w:color w:val="000000" w:themeColor="text1"/>
              </w:rPr>
              <w:t xml:space="preserve">vloni se tak stalo vlivem </w:t>
            </w:r>
            <w:r w:rsidRPr="00EE0E68">
              <w:rPr>
                <w:color w:val="0D0D0D" w:themeColor="text1" w:themeTint="F2"/>
              </w:rPr>
              <w:t>zhoršen</w:t>
            </w:r>
            <w:r>
              <w:rPr>
                <w:color w:val="0D0D0D" w:themeColor="text1" w:themeTint="F2"/>
              </w:rPr>
              <w:t>é</w:t>
            </w:r>
            <w:r w:rsidRPr="00EE0E68">
              <w:rPr>
                <w:color w:val="0D0D0D" w:themeColor="text1" w:themeTint="F2"/>
              </w:rPr>
              <w:t xml:space="preserve"> situac</w:t>
            </w:r>
            <w:r>
              <w:rPr>
                <w:color w:val="0D0D0D" w:themeColor="text1" w:themeTint="F2"/>
              </w:rPr>
              <w:t>e</w:t>
            </w:r>
            <w:r w:rsidRPr="00EE0E68">
              <w:rPr>
                <w:color w:val="0D0D0D" w:themeColor="text1" w:themeTint="F2"/>
              </w:rPr>
              <w:t xml:space="preserve"> přímých tuzemských subdodavatelů autodílů (působících v rámci odvětví automobilového průmyslu), letos se </w:t>
            </w:r>
            <w:r>
              <w:rPr>
                <w:color w:val="0D0D0D" w:themeColor="text1" w:themeTint="F2"/>
              </w:rPr>
              <w:t>projevily i horší výsledky</w:t>
            </w:r>
            <w:r w:rsidRPr="00EE0E68">
              <w:rPr>
                <w:color w:val="0D0D0D" w:themeColor="text1" w:themeTint="F2"/>
              </w:rPr>
              <w:t xml:space="preserve"> finální</w:t>
            </w:r>
            <w:r>
              <w:rPr>
                <w:color w:val="0D0D0D" w:themeColor="text1" w:themeTint="F2"/>
              </w:rPr>
              <w:t>ch</w:t>
            </w:r>
            <w:r w:rsidRPr="00EE0E68">
              <w:rPr>
                <w:color w:val="0D0D0D" w:themeColor="text1" w:themeTint="F2"/>
              </w:rPr>
              <w:t xml:space="preserve"> výrobc</w:t>
            </w:r>
            <w:r>
              <w:rPr>
                <w:color w:val="0D0D0D" w:themeColor="text1" w:themeTint="F2"/>
              </w:rPr>
              <w:t>ů</w:t>
            </w:r>
            <w:r w:rsidRPr="00EE0E68">
              <w:rPr>
                <w:color w:val="0D0D0D" w:themeColor="text1" w:themeTint="F2"/>
              </w:rPr>
              <w:t xml:space="preserve"> vozidel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15"/>
            </w:r>
            <w:r w:rsidRPr="00EE0E68">
              <w:rPr>
                <w:color w:val="0D0D0D" w:themeColor="text1" w:themeTint="F2"/>
              </w:rPr>
              <w:t xml:space="preserve">. Situace se </w:t>
            </w:r>
            <w:r>
              <w:rPr>
                <w:color w:val="0D0D0D" w:themeColor="text1" w:themeTint="F2"/>
              </w:rPr>
              <w:t>ale ve</w:t>
            </w:r>
            <w:r w:rsidRPr="00EE0E68">
              <w:rPr>
                <w:color w:val="0D0D0D" w:themeColor="text1" w:themeTint="F2"/>
              </w:rPr>
              <w:t xml:space="preserve"> 2. čtvrtletí zlepš</w:t>
            </w:r>
            <w:r>
              <w:rPr>
                <w:color w:val="0D0D0D" w:themeColor="text1" w:themeTint="F2"/>
              </w:rPr>
              <w:t>ila</w:t>
            </w:r>
            <w:r w:rsidRPr="00EE0E68">
              <w:rPr>
                <w:color w:val="0D0D0D" w:themeColor="text1" w:themeTint="F2"/>
              </w:rPr>
              <w:t xml:space="preserve">, neboť posílil odbyt vozidel v zahraničí. To se </w:t>
            </w:r>
            <w:r>
              <w:rPr>
                <w:color w:val="0D0D0D" w:themeColor="text1" w:themeTint="F2"/>
              </w:rPr>
              <w:t>odrazilo</w:t>
            </w:r>
            <w:r w:rsidRPr="00EE0E68">
              <w:rPr>
                <w:color w:val="0D0D0D" w:themeColor="text1" w:themeTint="F2"/>
              </w:rPr>
              <w:t xml:space="preserve"> i</w:t>
            </w:r>
            <w:r>
              <w:rPr>
                <w:color w:val="0D0D0D" w:themeColor="text1" w:themeTint="F2"/>
              </w:rPr>
              <w:t> v</w:t>
            </w:r>
            <w:r w:rsidRPr="00EE0E68">
              <w:rPr>
                <w:color w:val="0D0D0D" w:themeColor="text1" w:themeTint="F2"/>
              </w:rPr>
              <w:t xml:space="preserve"> </w:t>
            </w:r>
            <w:r w:rsidRPr="00EE0E68">
              <w:rPr>
                <w:color w:val="000000" w:themeColor="text1"/>
              </w:rPr>
              <w:t xml:space="preserve">růstu využití výrobních kapacit podniků na počátku 3. </w:t>
            </w:r>
            <w:r>
              <w:rPr>
                <w:color w:val="000000" w:themeColor="text1"/>
              </w:rPr>
              <w:t xml:space="preserve">i 4. </w:t>
            </w:r>
            <w:r w:rsidRPr="00EE0E68">
              <w:rPr>
                <w:color w:val="000000" w:themeColor="text1"/>
              </w:rPr>
              <w:t xml:space="preserve">čtvrtletí. </w:t>
            </w:r>
            <w:r w:rsidRPr="00EE0E68">
              <w:rPr>
                <w:color w:val="0D0D0D" w:themeColor="text1" w:themeTint="F2"/>
              </w:rPr>
              <w:t xml:space="preserve">Ve strojírenství se po krátkodobém oživení na počátku letošního roku produkce opět snížila </w:t>
            </w:r>
            <w:r>
              <w:rPr>
                <w:color w:val="0D0D0D" w:themeColor="text1" w:themeTint="F2"/>
              </w:rPr>
              <w:t xml:space="preserve">a v úhrnu za tři čtvrtletí byla meziročně nižší </w:t>
            </w:r>
            <w:r w:rsidRPr="00EE0E68">
              <w:rPr>
                <w:color w:val="0D0D0D" w:themeColor="text1" w:themeTint="F2"/>
              </w:rPr>
              <w:t xml:space="preserve">o </w:t>
            </w:r>
            <w:r>
              <w:rPr>
                <w:color w:val="0D0D0D" w:themeColor="text1" w:themeTint="F2"/>
              </w:rPr>
              <w:t>0</w:t>
            </w:r>
            <w:r w:rsidRPr="00EE0E68">
              <w:rPr>
                <w:color w:val="0D0D0D" w:themeColor="text1" w:themeTint="F2"/>
              </w:rPr>
              <w:t>,</w:t>
            </w:r>
            <w:r>
              <w:rPr>
                <w:color w:val="0D0D0D" w:themeColor="text1" w:themeTint="F2"/>
              </w:rPr>
              <w:t>6</w:t>
            </w:r>
            <w:r w:rsidRPr="00EE0E68">
              <w:rPr>
                <w:color w:val="0D0D0D" w:themeColor="text1" w:themeTint="F2"/>
              </w:rPr>
              <w:t xml:space="preserve"> %.</w:t>
            </w:r>
            <w:r>
              <w:rPr>
                <w:color w:val="0D0D0D" w:themeColor="text1" w:themeTint="F2"/>
              </w:rPr>
              <w:t xml:space="preserve"> Ve srovnání s loňským rokem jde ovšem o řádově menší pokles, což souvisí s relativně příznivým aktuálním vývojem tuzemské poptávky.</w:t>
            </w:r>
            <w:r w:rsidRPr="00EE0E68">
              <w:rPr>
                <w:color w:val="0D0D0D" w:themeColor="text1" w:themeTint="F2"/>
              </w:rPr>
              <w:t xml:space="preserve"> Výše uvedené investiční obory tak souhrnně letos působily proti růstu celého průmyslu silou 0,</w:t>
            </w:r>
            <w:r>
              <w:rPr>
                <w:color w:val="0D0D0D" w:themeColor="text1" w:themeTint="F2"/>
              </w:rPr>
              <w:t>3</w:t>
            </w:r>
            <w:r w:rsidRPr="00EE0E68">
              <w:rPr>
                <w:color w:val="0D0D0D" w:themeColor="text1" w:themeTint="F2"/>
              </w:rPr>
              <w:t xml:space="preserve"> p. b.</w:t>
            </w:r>
          </w:p>
        </w:tc>
      </w:tr>
      <w:tr w:rsidR="00307B34" w:rsidRPr="009658AC" w14:paraId="334AA19B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4C9CF656" w14:textId="77777777" w:rsidR="00307B34" w:rsidRPr="00EE0E68" w:rsidRDefault="00307B34" w:rsidP="00135A1D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>
              <w:rPr>
                <w:color w:val="000000" w:themeColor="text1"/>
                <w:spacing w:val="0"/>
              </w:rPr>
              <w:lastRenderedPageBreak/>
              <w:t xml:space="preserve">Energeticky náročné obory chemického </w:t>
            </w:r>
            <w:r>
              <w:rPr>
                <w:color w:val="000000" w:themeColor="text1"/>
                <w:spacing w:val="0"/>
              </w:rPr>
              <w:br/>
              <w:t>i těžebního průmyslu se nadále potýkaly se zvýšenými výrobními náklady i slabou poptávkou.</w:t>
            </w:r>
          </w:p>
        </w:tc>
        <w:tc>
          <w:tcPr>
            <w:tcW w:w="179" w:type="dxa"/>
            <w:tcMar>
              <w:left w:w="0" w:type="dxa"/>
            </w:tcMar>
          </w:tcPr>
          <w:p w14:paraId="3CA329FE" w14:textId="77777777" w:rsidR="00307B34" w:rsidRPr="00EE0E68" w:rsidRDefault="00307B34" w:rsidP="00135A1D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5A8ECC90" w14:textId="77777777" w:rsidR="00307B34" w:rsidRPr="00E82DC8" w:rsidRDefault="00307B34" w:rsidP="00135A1D">
            <w:pPr>
              <w:spacing w:after="200"/>
              <w:rPr>
                <w:color w:val="0D0D0D" w:themeColor="text1" w:themeTint="F2"/>
              </w:rPr>
            </w:pPr>
            <w:r w:rsidRPr="00EE0E68">
              <w:rPr>
                <w:color w:val="000000" w:themeColor="text1"/>
              </w:rPr>
              <w:t>S hlubšími problémy se stále potýkaly některé vesměs energeticky náročné obory vyrábějící meziprodukty. Šlo především o chemický průmysl, kde</w:t>
            </w:r>
            <w:r w:rsidRPr="00EE0E68">
              <w:rPr>
                <w:color w:val="0D0D0D" w:themeColor="text1" w:themeTint="F2"/>
              </w:rPr>
              <w:t xml:space="preserve"> se po dočasné stabilizaci </w:t>
            </w:r>
            <w:r>
              <w:rPr>
                <w:color w:val="0D0D0D" w:themeColor="text1" w:themeTint="F2"/>
              </w:rPr>
              <w:t xml:space="preserve">na počátku </w:t>
            </w:r>
            <w:r w:rsidRPr="00EE0E68">
              <w:rPr>
                <w:color w:val="0D0D0D" w:themeColor="text1" w:themeTint="F2"/>
              </w:rPr>
              <w:t>loňské</w:t>
            </w:r>
            <w:r>
              <w:rPr>
                <w:color w:val="0D0D0D" w:themeColor="text1" w:themeTint="F2"/>
              </w:rPr>
              <w:t>ho</w:t>
            </w:r>
            <w:r w:rsidRPr="00EE0E68">
              <w:rPr>
                <w:color w:val="0D0D0D" w:themeColor="text1" w:themeTint="F2"/>
              </w:rPr>
              <w:t xml:space="preserve"> ro</w:t>
            </w:r>
            <w:r>
              <w:rPr>
                <w:color w:val="0D0D0D" w:themeColor="text1" w:themeTint="F2"/>
              </w:rPr>
              <w:t>ku</w:t>
            </w:r>
            <w:r w:rsidRPr="00EE0E68">
              <w:rPr>
                <w:color w:val="0D0D0D" w:themeColor="text1" w:themeTint="F2"/>
              </w:rPr>
              <w:t xml:space="preserve"> v 1.</w:t>
            </w:r>
            <w:r>
              <w:rPr>
                <w:color w:val="0D0D0D" w:themeColor="text1" w:themeTint="F2"/>
              </w:rPr>
              <w:t xml:space="preserve"> až 3. čtvrtletí</w:t>
            </w:r>
            <w:r w:rsidRPr="00EE0E68">
              <w:rPr>
                <w:color w:val="0D0D0D" w:themeColor="text1" w:themeTint="F2"/>
              </w:rPr>
              <w:t xml:space="preserve"> 2025 výkon opět snížil (−</w:t>
            </w:r>
            <w:r>
              <w:rPr>
                <w:color w:val="0D0D0D" w:themeColor="text1" w:themeTint="F2"/>
              </w:rPr>
              <w:t>1</w:t>
            </w:r>
            <w:r w:rsidRPr="00EE0E68">
              <w:rPr>
                <w:color w:val="0D0D0D" w:themeColor="text1" w:themeTint="F2"/>
              </w:rPr>
              <w:t>,</w:t>
            </w:r>
            <w:r>
              <w:rPr>
                <w:color w:val="0D0D0D" w:themeColor="text1" w:themeTint="F2"/>
              </w:rPr>
              <w:t>6</w:t>
            </w:r>
            <w:r w:rsidRPr="00EE0E68">
              <w:rPr>
                <w:color w:val="0D0D0D" w:themeColor="text1" w:themeTint="F2"/>
              </w:rPr>
              <w:t xml:space="preserve"> % meziročně), </w:t>
            </w:r>
            <w:r>
              <w:rPr>
                <w:color w:val="0D0D0D" w:themeColor="text1" w:themeTint="F2"/>
              </w:rPr>
              <w:t xml:space="preserve">a to vlivem </w:t>
            </w:r>
            <w:r w:rsidRPr="00EE0E68">
              <w:rPr>
                <w:color w:val="0D0D0D" w:themeColor="text1" w:themeTint="F2"/>
              </w:rPr>
              <w:t>slabší domácí i zahraniční poptávk</w:t>
            </w:r>
            <w:r>
              <w:rPr>
                <w:color w:val="0D0D0D" w:themeColor="text1" w:themeTint="F2"/>
              </w:rPr>
              <w:t>y</w:t>
            </w:r>
            <w:r w:rsidRPr="00EE0E68">
              <w:rPr>
                <w:color w:val="0D0D0D" w:themeColor="text1" w:themeTint="F2"/>
              </w:rPr>
              <w:t>. Z</w:t>
            </w:r>
            <w:r w:rsidRPr="00EE0E68">
              <w:rPr>
                <w:color w:val="000000" w:themeColor="text1"/>
              </w:rPr>
              <w:t xml:space="preserve">a nižší produkcí stálo </w:t>
            </w:r>
            <w:r>
              <w:rPr>
                <w:color w:val="000000" w:themeColor="text1"/>
              </w:rPr>
              <w:br/>
            </w:r>
            <w:r w:rsidRPr="00EE0E68">
              <w:rPr>
                <w:color w:val="000000" w:themeColor="text1"/>
              </w:rPr>
              <w:t xml:space="preserve">i postupné </w:t>
            </w:r>
            <w:r>
              <w:rPr>
                <w:color w:val="000000" w:themeColor="text1"/>
              </w:rPr>
              <w:t>omezování</w:t>
            </w:r>
            <w:r w:rsidRPr="00EE0E68">
              <w:rPr>
                <w:color w:val="000000" w:themeColor="text1"/>
              </w:rPr>
              <w:t xml:space="preserve"> výrobních kapacit spojené s útlumem některých dříve tradičních výrob. </w:t>
            </w:r>
            <w:r>
              <w:rPr>
                <w:color w:val="000000" w:themeColor="text1"/>
              </w:rPr>
              <w:t xml:space="preserve">V těžbě a dobývání produkce poklesla o 3,3 %, na rozdíl od přechozích dvou let primárně vlivem nižší těžby stavebních materiálů (propad produkce v dosud stále dominantní oblasti těžby uhlí se patrně dočasně zastavil). Podobně se snížil i výkon </w:t>
            </w:r>
            <w:r w:rsidRPr="00EE0E68">
              <w:rPr>
                <w:color w:val="0D0D0D" w:themeColor="text1" w:themeTint="F2"/>
              </w:rPr>
              <w:t xml:space="preserve">v textilním průmyslu (již třetí rok v řadě), jehož klíčovou část tvoří výroba umělých textilií k užití v průmyslu i stavebnictví. </w:t>
            </w:r>
            <w:r>
              <w:rPr>
                <w:color w:val="0D0D0D" w:themeColor="text1" w:themeTint="F2"/>
              </w:rPr>
              <w:t>V dřevozpracujícím průmyslu se produkce díky lepšímu odbytu v zahraničí snížila jen mírně (−1,0 %), avšak tuzemská poptávka, jež je pro tento obor významná, zůstala poměrně slabá.</w:t>
            </w:r>
          </w:p>
        </w:tc>
      </w:tr>
      <w:tr w:rsidR="00307B34" w:rsidRPr="009658AC" w14:paraId="18CC1C09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5126835C" w14:textId="77777777" w:rsidR="00307B34" w:rsidRPr="00EE0E68" w:rsidRDefault="00307B34" w:rsidP="00135A1D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 w:rsidRPr="00EE0E68">
              <w:rPr>
                <w:color w:val="000000" w:themeColor="text1"/>
                <w:spacing w:val="0"/>
              </w:rPr>
              <w:t>Největší útlum produkce postihl drobné odvětví obuvnického</w:t>
            </w:r>
            <w:r w:rsidRPr="00EE0E68">
              <w:rPr>
                <w:color w:val="000000" w:themeColor="text1"/>
                <w:spacing w:val="0"/>
              </w:rPr>
              <w:br/>
              <w:t xml:space="preserve">a kožedělného průmyslu. </w:t>
            </w:r>
            <w:r>
              <w:rPr>
                <w:color w:val="000000" w:themeColor="text1"/>
                <w:spacing w:val="0"/>
              </w:rPr>
              <w:t>Po delším období klesl i výkon ve farmacii.</w:t>
            </w:r>
          </w:p>
        </w:tc>
        <w:tc>
          <w:tcPr>
            <w:tcW w:w="179" w:type="dxa"/>
            <w:tcMar>
              <w:left w:w="0" w:type="dxa"/>
            </w:tcMar>
          </w:tcPr>
          <w:p w14:paraId="4D8A4846" w14:textId="77777777" w:rsidR="00307B34" w:rsidRPr="00EE0E68" w:rsidRDefault="00307B34" w:rsidP="00135A1D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4D0375D4" w14:textId="77777777" w:rsidR="00307B34" w:rsidRPr="00EE0E68" w:rsidRDefault="00307B34" w:rsidP="00135A1D">
            <w:pPr>
              <w:spacing w:after="2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 většině</w:t>
            </w:r>
            <w:r w:rsidRPr="00EE0E68">
              <w:rPr>
                <w:color w:val="000000" w:themeColor="text1"/>
              </w:rPr>
              <w:t xml:space="preserve"> malých obor</w:t>
            </w:r>
            <w:r>
              <w:rPr>
                <w:color w:val="000000" w:themeColor="text1"/>
              </w:rPr>
              <w:t>ů</w:t>
            </w:r>
            <w:r w:rsidRPr="00EE0E68">
              <w:rPr>
                <w:color w:val="000000" w:themeColor="text1"/>
              </w:rPr>
              <w:t xml:space="preserve"> zaměřených na tvorbu produktů krátkodobé spotřeby loňský růst již letos nepokračoval. Největší propad přitom postihl kožedělný a obuvnický průmysl (</w:t>
            </w:r>
            <w:r w:rsidRPr="00EE0E68">
              <w:rPr>
                <w:color w:val="0D0D0D" w:themeColor="text1" w:themeTint="F2"/>
              </w:rPr>
              <w:t>−</w:t>
            </w:r>
            <w:r w:rsidRPr="00EE0E6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EE0E6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8</w:t>
            </w:r>
            <w:r w:rsidRPr="00EE0E68">
              <w:rPr>
                <w:color w:val="000000" w:themeColor="text1"/>
              </w:rPr>
              <w:t xml:space="preserve"> %</w:t>
            </w:r>
            <w:r>
              <w:rPr>
                <w:color w:val="000000" w:themeColor="text1"/>
              </w:rPr>
              <w:t>, srovnatelný s útlumem v roce 2020</w:t>
            </w:r>
            <w:r w:rsidRPr="00EE0E68">
              <w:rPr>
                <w:color w:val="000000" w:themeColor="text1"/>
              </w:rPr>
              <w:t xml:space="preserve">), a to výhradně vlivem výpadku zahraniční poptávky. Stejný faktor stál za </w:t>
            </w:r>
            <w:r>
              <w:rPr>
                <w:color w:val="000000" w:themeColor="text1"/>
              </w:rPr>
              <w:t xml:space="preserve">bezmála </w:t>
            </w:r>
            <w:proofErr w:type="gramStart"/>
            <w:r>
              <w:rPr>
                <w:color w:val="000000" w:themeColor="text1"/>
              </w:rPr>
              <w:t>5%</w:t>
            </w:r>
            <w:proofErr w:type="gramEnd"/>
            <w:r w:rsidRPr="00EE0E68">
              <w:rPr>
                <w:color w:val="000000" w:themeColor="text1"/>
              </w:rPr>
              <w:t xml:space="preserve"> úbytkem produkce oděvnictví. </w:t>
            </w:r>
            <w:r>
              <w:rPr>
                <w:color w:val="000000" w:themeColor="text1"/>
              </w:rPr>
              <w:t>Jen nepatrně méně</w:t>
            </w:r>
            <w:r w:rsidRPr="00EE0E68">
              <w:rPr>
                <w:color w:val="000000" w:themeColor="text1"/>
              </w:rPr>
              <w:t xml:space="preserve"> klesl výkon výrobců nápojů</w:t>
            </w:r>
            <w:r>
              <w:rPr>
                <w:color w:val="000000" w:themeColor="text1"/>
              </w:rPr>
              <w:t xml:space="preserve"> doprovázený oslabením tuzemské </w:t>
            </w:r>
            <w:r>
              <w:rPr>
                <w:color w:val="000000" w:themeColor="text1"/>
              </w:rPr>
              <w:br/>
              <w:t>i zahraniční poptávky.</w:t>
            </w:r>
            <w:r w:rsidRPr="00EE0E6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Projevil se zde i dopad relativně chladnějšího a deštivějšího léta (ve 3. čtvrtletí produkce nápojů meziročně propadla o 8,3 %, nejvíce od počátku roku 2021). I přes rostoucí tuzemskou poptávku </w:t>
            </w:r>
            <w:r w:rsidRPr="00EE0E68">
              <w:rPr>
                <w:color w:val="000000" w:themeColor="text1"/>
              </w:rPr>
              <w:t xml:space="preserve">se v 1. </w:t>
            </w:r>
            <w:r>
              <w:rPr>
                <w:color w:val="000000" w:themeColor="text1"/>
              </w:rPr>
              <w:t>až 3. čtvrtletí</w:t>
            </w:r>
            <w:r w:rsidRPr="00EE0E68">
              <w:rPr>
                <w:color w:val="000000" w:themeColor="text1"/>
              </w:rPr>
              <w:t xml:space="preserve"> produkce </w:t>
            </w:r>
            <w:r>
              <w:rPr>
                <w:color w:val="000000" w:themeColor="text1"/>
              </w:rPr>
              <w:t>v</w:t>
            </w:r>
            <w:r w:rsidRPr="00EE0E68">
              <w:rPr>
                <w:color w:val="000000" w:themeColor="text1"/>
              </w:rPr>
              <w:t xml:space="preserve">e výrazně exportně orientovaném farmaceutickém průmyslu meziročně snížila </w:t>
            </w:r>
            <w:r>
              <w:rPr>
                <w:color w:val="000000" w:themeColor="text1"/>
              </w:rPr>
              <w:t>(</w:t>
            </w:r>
            <w:r w:rsidRPr="00EE0E68">
              <w:rPr>
                <w:color w:val="0D0D0D" w:themeColor="text1" w:themeTint="F2"/>
              </w:rPr>
              <w:t>−</w:t>
            </w:r>
            <w:r>
              <w:rPr>
                <w:color w:val="000000" w:themeColor="text1"/>
              </w:rPr>
              <w:t>1,3</w:t>
            </w:r>
            <w:r w:rsidRPr="00EE0E68">
              <w:rPr>
                <w:color w:val="000000" w:themeColor="text1"/>
              </w:rPr>
              <w:t xml:space="preserve"> %, šlo </w:t>
            </w:r>
            <w:r>
              <w:rPr>
                <w:color w:val="000000" w:themeColor="text1"/>
              </w:rPr>
              <w:t xml:space="preserve">za shodné období </w:t>
            </w:r>
            <w:r w:rsidRPr="00EE0E68">
              <w:rPr>
                <w:color w:val="000000" w:themeColor="text1"/>
              </w:rPr>
              <w:t xml:space="preserve">o první pokles </w:t>
            </w:r>
            <w:r>
              <w:rPr>
                <w:color w:val="000000" w:themeColor="text1"/>
              </w:rPr>
              <w:t>po roce</w:t>
            </w:r>
            <w:r w:rsidRPr="00EE0E68">
              <w:rPr>
                <w:color w:val="000000" w:themeColor="text1"/>
              </w:rPr>
              <w:t xml:space="preserve"> 201</w:t>
            </w:r>
            <w:r>
              <w:rPr>
                <w:color w:val="000000" w:themeColor="text1"/>
              </w:rPr>
              <w:t>2)</w:t>
            </w:r>
            <w:r w:rsidRPr="00EE0E68">
              <w:rPr>
                <w:color w:val="000000" w:themeColor="text1"/>
              </w:rPr>
              <w:t xml:space="preserve">. Naopak vlivem slabší </w:t>
            </w:r>
            <w:r>
              <w:rPr>
                <w:color w:val="000000" w:themeColor="text1"/>
              </w:rPr>
              <w:t xml:space="preserve">domácí </w:t>
            </w:r>
            <w:r w:rsidRPr="00EE0E68">
              <w:rPr>
                <w:color w:val="000000" w:themeColor="text1"/>
              </w:rPr>
              <w:t>poptávky klesl letos výkon tiskárenského průmyslu (</w:t>
            </w:r>
            <w:r w:rsidRPr="00EE0E68">
              <w:rPr>
                <w:color w:val="0D0D0D" w:themeColor="text1" w:themeTint="F2"/>
              </w:rPr>
              <w:t>−</w:t>
            </w:r>
            <w:r>
              <w:rPr>
                <w:color w:val="0D0D0D" w:themeColor="text1" w:themeTint="F2"/>
              </w:rPr>
              <w:t>5</w:t>
            </w:r>
            <w:r w:rsidRPr="00EE0E6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  <w:r w:rsidRPr="00EE0E68">
              <w:rPr>
                <w:color w:val="000000" w:themeColor="text1"/>
              </w:rPr>
              <w:t xml:space="preserve"> %). </w:t>
            </w:r>
            <w:r w:rsidRPr="00EE0E68">
              <w:rPr>
                <w:color w:val="0D0D0D" w:themeColor="text1" w:themeTint="F2"/>
              </w:rPr>
              <w:t xml:space="preserve">Výše uvedené </w:t>
            </w:r>
            <w:r>
              <w:rPr>
                <w:color w:val="0D0D0D" w:themeColor="text1" w:themeTint="F2"/>
              </w:rPr>
              <w:t>spotřební</w:t>
            </w:r>
            <w:r w:rsidRPr="00EE0E68">
              <w:rPr>
                <w:color w:val="0D0D0D" w:themeColor="text1" w:themeTint="F2"/>
              </w:rPr>
              <w:t xml:space="preserve"> obory tak souhrnně letos působily proti růstu celého průmyslu silou 0,</w:t>
            </w:r>
            <w:r>
              <w:rPr>
                <w:color w:val="0D0D0D" w:themeColor="text1" w:themeTint="F2"/>
              </w:rPr>
              <w:t>2</w:t>
            </w:r>
            <w:r w:rsidRPr="00EE0E68">
              <w:rPr>
                <w:color w:val="0D0D0D" w:themeColor="text1" w:themeTint="F2"/>
              </w:rPr>
              <w:t xml:space="preserve"> p. b.</w:t>
            </w:r>
            <w:r>
              <w:rPr>
                <w:color w:val="0D0D0D" w:themeColor="text1" w:themeTint="F2"/>
              </w:rPr>
              <w:t xml:space="preserve"> a měly tak podobný vliv jako </w:t>
            </w:r>
            <w:r w:rsidRPr="00EE0E68">
              <w:rPr>
                <w:color w:val="000000" w:themeColor="text1"/>
              </w:rPr>
              <w:t>energeticky náročné obory vyrábějící meziprodukty.</w:t>
            </w:r>
          </w:p>
        </w:tc>
      </w:tr>
      <w:tr w:rsidR="00307B34" w:rsidRPr="009658AC" w14:paraId="1EA085AD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695C4CD3" w14:textId="77777777" w:rsidR="00307B34" w:rsidRPr="00EE0E68" w:rsidRDefault="00307B34" w:rsidP="00135A1D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  <w:r w:rsidRPr="00EE0E68">
              <w:rPr>
                <w:color w:val="0D0D0D" w:themeColor="text1" w:themeTint="F2"/>
                <w:spacing w:val="0"/>
              </w:rPr>
              <w:t xml:space="preserve">Hodnota nových zakázek </w:t>
            </w:r>
            <w:r>
              <w:rPr>
                <w:color w:val="0D0D0D" w:themeColor="text1" w:themeTint="F2"/>
                <w:spacing w:val="0"/>
              </w:rPr>
              <w:t xml:space="preserve">se letos zvyšovala jen mírně. Nejvíce se dařilo. kovodělnému průmyslu. Naopak vyhlídky </w:t>
            </w:r>
            <w:r w:rsidRPr="00EE0E68">
              <w:rPr>
                <w:color w:val="0D0D0D" w:themeColor="text1" w:themeTint="F2"/>
                <w:spacing w:val="0"/>
              </w:rPr>
              <w:t xml:space="preserve">hutnictví </w:t>
            </w:r>
            <w:r>
              <w:rPr>
                <w:color w:val="0D0D0D" w:themeColor="text1" w:themeTint="F2"/>
                <w:spacing w:val="0"/>
              </w:rPr>
              <w:t>i</w:t>
            </w:r>
            <w:r w:rsidRPr="00EE0E68">
              <w:rPr>
                <w:color w:val="0D0D0D" w:themeColor="text1" w:themeTint="F2"/>
                <w:spacing w:val="0"/>
              </w:rPr>
              <w:t xml:space="preserve"> chemick</w:t>
            </w:r>
            <w:r>
              <w:rPr>
                <w:color w:val="0D0D0D" w:themeColor="text1" w:themeTint="F2"/>
                <w:spacing w:val="0"/>
              </w:rPr>
              <w:t>ého</w:t>
            </w:r>
            <w:r w:rsidRPr="00EE0E68">
              <w:rPr>
                <w:color w:val="0D0D0D" w:themeColor="text1" w:themeTint="F2"/>
                <w:spacing w:val="0"/>
              </w:rPr>
              <w:t xml:space="preserve"> průmysl</w:t>
            </w:r>
            <w:r>
              <w:rPr>
                <w:color w:val="0D0D0D" w:themeColor="text1" w:themeTint="F2"/>
                <w:spacing w:val="0"/>
              </w:rPr>
              <w:t>u zůstaly nepříznivé.</w:t>
            </w:r>
          </w:p>
        </w:tc>
        <w:tc>
          <w:tcPr>
            <w:tcW w:w="179" w:type="dxa"/>
            <w:tcMar>
              <w:left w:w="0" w:type="dxa"/>
            </w:tcMar>
          </w:tcPr>
          <w:p w14:paraId="14FC2667" w14:textId="77777777" w:rsidR="00307B34" w:rsidRPr="00EE0E68" w:rsidRDefault="00307B34" w:rsidP="00135A1D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2859F88A" w14:textId="77777777" w:rsidR="00307B34" w:rsidRDefault="00307B34" w:rsidP="00135A1D">
            <w:pPr>
              <w:spacing w:after="200"/>
              <w:rPr>
                <w:color w:val="000000" w:themeColor="text1"/>
              </w:rPr>
            </w:pPr>
            <w:r w:rsidRPr="00EE0E68">
              <w:rPr>
                <w:color w:val="000000" w:themeColor="text1"/>
              </w:rPr>
              <w:t>Růst nominální hodnoty nových průmyslových zakázek</w:t>
            </w:r>
            <w:r w:rsidRPr="00EE0E68">
              <w:rPr>
                <w:color w:val="000000" w:themeColor="text1"/>
                <w:vertAlign w:val="superscript"/>
              </w:rPr>
              <w:footnoteReference w:id="16"/>
            </w:r>
            <w:r w:rsidRPr="00EE0E68">
              <w:rPr>
                <w:color w:val="000000" w:themeColor="text1"/>
              </w:rPr>
              <w:t xml:space="preserve"> již během druhé poloviny loňského roku zvolňoval a v 1. čtvrtletí 2025 se vinou slabší poptávky po klíčových exportních oborech zcela zastavil (−0,6 %). </w:t>
            </w:r>
            <w:r>
              <w:rPr>
                <w:color w:val="000000" w:themeColor="text1"/>
              </w:rPr>
              <w:t>N</w:t>
            </w:r>
            <w:r w:rsidRPr="00EE0E68">
              <w:rPr>
                <w:color w:val="000000" w:themeColor="text1"/>
              </w:rPr>
              <w:t>ásled</w:t>
            </w:r>
            <w:r>
              <w:rPr>
                <w:color w:val="000000" w:themeColor="text1"/>
              </w:rPr>
              <w:t>ně</w:t>
            </w:r>
            <w:r w:rsidRPr="00EE0E68">
              <w:rPr>
                <w:color w:val="000000" w:themeColor="text1"/>
              </w:rPr>
              <w:t xml:space="preserve"> však </w:t>
            </w:r>
            <w:r>
              <w:rPr>
                <w:color w:val="000000" w:themeColor="text1"/>
              </w:rPr>
              <w:t>nastalo drobné</w:t>
            </w:r>
            <w:r w:rsidRPr="00EE0E68">
              <w:rPr>
                <w:color w:val="000000" w:themeColor="text1"/>
              </w:rPr>
              <w:t xml:space="preserve"> oživení, </w:t>
            </w:r>
            <w:r>
              <w:rPr>
                <w:color w:val="000000" w:themeColor="text1"/>
              </w:rPr>
              <w:t xml:space="preserve">které pokračovalo také v letním období. V úhrnu za tři kvartály tak letos </w:t>
            </w:r>
            <w:r w:rsidRPr="00EE0E68">
              <w:rPr>
                <w:color w:val="000000" w:themeColor="text1"/>
              </w:rPr>
              <w:t xml:space="preserve">celkové zakázky meziročně vzrostly o </w:t>
            </w:r>
            <w:r>
              <w:rPr>
                <w:color w:val="000000" w:themeColor="text1"/>
              </w:rPr>
              <w:t>1</w:t>
            </w:r>
            <w:r w:rsidRPr="00EE0E6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3 </w:t>
            </w:r>
            <w:r w:rsidRPr="00EE0E68">
              <w:rPr>
                <w:color w:val="000000" w:themeColor="text1"/>
              </w:rPr>
              <w:t>%</w:t>
            </w:r>
            <w:r>
              <w:rPr>
                <w:color w:val="000000" w:themeColor="text1"/>
              </w:rPr>
              <w:t xml:space="preserve"> (podobně se zvyšovala </w:t>
            </w:r>
            <w:r w:rsidRPr="00EE0E68">
              <w:rPr>
                <w:color w:val="000000" w:themeColor="text1"/>
              </w:rPr>
              <w:t>poptáv</w:t>
            </w:r>
            <w:r>
              <w:rPr>
                <w:color w:val="000000" w:themeColor="text1"/>
              </w:rPr>
              <w:t>ka</w:t>
            </w:r>
            <w:r w:rsidRPr="00EE0E68">
              <w:rPr>
                <w:color w:val="000000" w:themeColor="text1"/>
              </w:rPr>
              <w:t xml:space="preserve"> z</w:t>
            </w:r>
            <w:r>
              <w:rPr>
                <w:color w:val="000000" w:themeColor="text1"/>
              </w:rPr>
              <w:t xml:space="preserve"> tuzemska i </w:t>
            </w:r>
            <w:r w:rsidRPr="00EE0E68">
              <w:rPr>
                <w:color w:val="000000" w:themeColor="text1"/>
              </w:rPr>
              <w:t>zahranič</w:t>
            </w:r>
            <w:r>
              <w:rPr>
                <w:color w:val="000000" w:themeColor="text1"/>
              </w:rPr>
              <w:t>í)</w:t>
            </w:r>
            <w:r w:rsidRPr="00EE0E6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Nejlepší vyhlídky má kovodělný průmysl (+6,8 %), což je umocněno i tím, že tempo růstu zakázek během letošního roku sílilo. Mírněji rostla poptávka ve strojírenství (</w:t>
            </w:r>
            <w:r w:rsidRPr="003D369F">
              <w:rPr>
                <w:color w:val="000000" w:themeColor="text1"/>
                <w:spacing w:val="-2"/>
              </w:rPr>
              <w:t>+3,8 %), výrobě dopravních prostředků (+1,8 %) a navazujícím oboru výroby elektrických</w:t>
            </w:r>
            <w:r>
              <w:rPr>
                <w:color w:val="000000" w:themeColor="text1"/>
              </w:rPr>
              <w:t xml:space="preserve"> zařízení. Naopak nejhůře na tom byl elektronický průmysl (</w:t>
            </w:r>
            <w:r w:rsidRPr="00EE0E68">
              <w:rPr>
                <w:color w:val="000000" w:themeColor="text1"/>
              </w:rPr>
              <w:t>−</w:t>
            </w:r>
            <w:r>
              <w:rPr>
                <w:color w:val="000000" w:themeColor="text1"/>
              </w:rPr>
              <w:t xml:space="preserve">5,5 %). Podobně se snížily zakázky </w:t>
            </w:r>
            <w:r>
              <w:rPr>
                <w:color w:val="000000" w:themeColor="text1"/>
              </w:rPr>
              <w:br/>
              <w:t xml:space="preserve">i v chemickém průmyslu, což lze však zčásti přičíst aktuálnímu poklesu cen v tomto oboru. Ten nastal rovněž v hutnictví a slévárenství, nicméně i po jeho zohlednění zde zatím nebylo patrné zřetelnější oživení poptávky. </w:t>
            </w:r>
          </w:p>
        </w:tc>
      </w:tr>
      <w:tr w:rsidR="00307B34" w:rsidRPr="009658AC" w14:paraId="5D960E4F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0F34F287" w14:textId="77777777" w:rsidR="00307B34" w:rsidRPr="00EE0E68" w:rsidRDefault="00307B34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EE0E68">
              <w:rPr>
                <w:color w:val="0D0D0D" w:themeColor="text1" w:themeTint="F2"/>
                <w:spacing w:val="0"/>
              </w:rPr>
              <w:t xml:space="preserve">Důvěra firem v průmyslu </w:t>
            </w:r>
            <w:r>
              <w:rPr>
                <w:color w:val="0D0D0D" w:themeColor="text1" w:themeTint="F2"/>
                <w:spacing w:val="0"/>
              </w:rPr>
              <w:t>letos</w:t>
            </w:r>
            <w:r w:rsidRPr="00EE0E68">
              <w:rPr>
                <w:color w:val="0D0D0D" w:themeColor="text1" w:themeTint="F2"/>
                <w:spacing w:val="0"/>
              </w:rPr>
              <w:t> setrvávala v lehce negativním pásmu. Mírně pozitivní byla očekávání výroby, nikol</w:t>
            </w:r>
            <w:r>
              <w:rPr>
                <w:color w:val="0D0D0D" w:themeColor="text1" w:themeTint="F2"/>
                <w:spacing w:val="0"/>
              </w:rPr>
              <w:t>i</w:t>
            </w:r>
            <w:r w:rsidRPr="00EE0E68">
              <w:rPr>
                <w:color w:val="0D0D0D" w:themeColor="text1" w:themeTint="F2"/>
                <w:spacing w:val="0"/>
              </w:rPr>
              <w:t xml:space="preserve"> zaměstnanosti. </w:t>
            </w:r>
            <w:r>
              <w:rPr>
                <w:color w:val="0D0D0D" w:themeColor="text1" w:themeTint="F2"/>
                <w:spacing w:val="0"/>
              </w:rPr>
              <w:t>Skoro p</w:t>
            </w:r>
            <w:r w:rsidRPr="00EE0E68">
              <w:rPr>
                <w:color w:val="0D0D0D" w:themeColor="text1" w:themeTint="F2"/>
                <w:spacing w:val="0"/>
              </w:rPr>
              <w:t xml:space="preserve">olovinu firem limitovala nedostatečná poptávka. </w:t>
            </w:r>
          </w:p>
          <w:p w14:paraId="7D48CCC0" w14:textId="77777777" w:rsidR="00307B34" w:rsidRPr="00EE0E68" w:rsidRDefault="00307B34" w:rsidP="00135A1D">
            <w:pPr>
              <w:pStyle w:val="Marginlie"/>
              <w:spacing w:after="240"/>
              <w:rPr>
                <w:color w:val="000000" w:themeColor="text1"/>
                <w:spacing w:val="0"/>
              </w:rPr>
            </w:pPr>
          </w:p>
        </w:tc>
        <w:tc>
          <w:tcPr>
            <w:tcW w:w="179" w:type="dxa"/>
            <w:tcMar>
              <w:left w:w="0" w:type="dxa"/>
            </w:tcMar>
          </w:tcPr>
          <w:p w14:paraId="6CE3EC4A" w14:textId="77777777" w:rsidR="00307B34" w:rsidRPr="00EE0E68" w:rsidRDefault="00307B34" w:rsidP="00135A1D">
            <w:pPr>
              <w:pStyle w:val="Textpoznpodarou"/>
              <w:spacing w:after="240"/>
              <w:jc w:val="both"/>
              <w:rPr>
                <w:color w:val="000000" w:themeColor="text1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7EECCD89" w14:textId="77777777" w:rsidR="00307B34" w:rsidRDefault="00307B34" w:rsidP="00135A1D">
            <w:pPr>
              <w:spacing w:after="200"/>
              <w:rPr>
                <w:color w:val="000000" w:themeColor="text1"/>
              </w:rPr>
            </w:pPr>
            <w:r w:rsidRPr="00EE0E68">
              <w:rPr>
                <w:color w:val="0D0D0D" w:themeColor="text1" w:themeTint="F2"/>
              </w:rPr>
              <w:t xml:space="preserve">Důvěra podnikatelů v průmyslu se od počátku letošního roku </w:t>
            </w:r>
            <w:r>
              <w:rPr>
                <w:color w:val="0D0D0D" w:themeColor="text1" w:themeTint="F2"/>
              </w:rPr>
              <w:t>příliš</w:t>
            </w:r>
            <w:r w:rsidRPr="00EE0E68">
              <w:rPr>
                <w:color w:val="0D0D0D" w:themeColor="text1" w:themeTint="F2"/>
              </w:rPr>
              <w:t xml:space="preserve"> neměnila a setrvala tak v lehce negativním pásmu (v </w:t>
            </w:r>
            <w:r>
              <w:rPr>
                <w:color w:val="0D0D0D" w:themeColor="text1" w:themeTint="F2"/>
              </w:rPr>
              <w:t>listopadu</w:t>
            </w:r>
            <w:r w:rsidRPr="00EE0E68">
              <w:rPr>
                <w:color w:val="0D0D0D" w:themeColor="text1" w:themeTint="F2"/>
              </w:rPr>
              <w:t xml:space="preserve"> činilo saldo −6 p. b.). </w:t>
            </w:r>
            <w:r w:rsidRPr="00EE0E68">
              <w:rPr>
                <w:rStyle w:val="normaltextrun"/>
                <w:rFonts w:eastAsia="MS Gothic" w:cs="Arial"/>
                <w:szCs w:val="20"/>
              </w:rPr>
              <w:t>Stabilně necelá pětina podniků hodnotí aktuální poptávku nepříznivě (nedostatečná poptávka je hlavní růstovou bariérou</w:t>
            </w:r>
            <w:r w:rsidRPr="00EE0E68">
              <w:rPr>
                <w:rStyle w:val="Znakapoznpodarou"/>
                <w:rFonts w:eastAsia="MS Gothic"/>
                <w:szCs w:val="20"/>
              </w:rPr>
              <w:footnoteReference w:id="17"/>
            </w:r>
            <w:r w:rsidRPr="00EE0E68">
              <w:rPr>
                <w:rStyle w:val="normaltextrun"/>
                <w:rFonts w:eastAsia="MS Gothic" w:cs="Arial"/>
                <w:szCs w:val="20"/>
              </w:rPr>
              <w:t xml:space="preserve"> v průmyslu </w:t>
            </w:r>
            <w:r>
              <w:rPr>
                <w:rStyle w:val="normaltextrun"/>
                <w:rFonts w:eastAsia="MS Gothic" w:cs="Arial"/>
                <w:szCs w:val="20"/>
              </w:rPr>
              <w:t>třetím rokem</w:t>
            </w:r>
            <w:r w:rsidRPr="00EE0E68">
              <w:rPr>
                <w:rStyle w:val="normaltextrun"/>
                <w:rFonts w:eastAsia="MS Gothic" w:cs="Arial"/>
                <w:szCs w:val="20"/>
              </w:rPr>
              <w:t> řadě, aktuálně s</w:t>
            </w:r>
            <w:r w:rsidRPr="00EE0E68">
              <w:rPr>
                <w:rStyle w:val="normaltextrun"/>
                <w:rFonts w:eastAsia="MS Gothic" w:cs="Arial"/>
              </w:rPr>
              <w:t xml:space="preserve">e </w:t>
            </w:r>
            <w:r w:rsidRPr="00EE0E68">
              <w:rPr>
                <w:rStyle w:val="normaltextrun"/>
                <w:rFonts w:eastAsia="MS Gothic" w:cs="Arial"/>
                <w:szCs w:val="20"/>
              </w:rPr>
              <w:t xml:space="preserve">již vyjádřilo </w:t>
            </w:r>
            <w:r>
              <w:rPr>
                <w:rStyle w:val="normaltextrun"/>
                <w:rFonts w:eastAsia="MS Gothic" w:cs="Arial"/>
                <w:szCs w:val="20"/>
              </w:rPr>
              <w:t>45</w:t>
            </w:r>
            <w:r w:rsidRPr="00EE0E68">
              <w:rPr>
                <w:rStyle w:val="normaltextrun"/>
                <w:rFonts w:eastAsia="MS Gothic" w:cs="Arial"/>
                <w:szCs w:val="20"/>
              </w:rPr>
              <w:t xml:space="preserve"> % podniků). K</w:t>
            </w:r>
            <w:r>
              <w:rPr>
                <w:rStyle w:val="normaltextrun"/>
                <w:rFonts w:eastAsia="MS Gothic" w:cs="Arial"/>
                <w:szCs w:val="20"/>
              </w:rPr>
              <w:t xml:space="preserve">e </w:t>
            </w:r>
            <w:r w:rsidRPr="00EE0E68">
              <w:rPr>
                <w:rStyle w:val="normaltextrun"/>
                <w:rFonts w:eastAsia="MS Gothic" w:cs="Arial"/>
                <w:szCs w:val="20"/>
              </w:rPr>
              <w:t xml:space="preserve">zlepšení </w:t>
            </w:r>
            <w:r>
              <w:rPr>
                <w:rStyle w:val="normaltextrun"/>
                <w:rFonts w:eastAsia="MS Gothic" w:cs="Arial"/>
                <w:szCs w:val="20"/>
              </w:rPr>
              <w:t xml:space="preserve">ale </w:t>
            </w:r>
            <w:r w:rsidRPr="00EE0E68">
              <w:rPr>
                <w:rStyle w:val="normaltextrun"/>
                <w:rFonts w:eastAsia="MS Gothic" w:cs="Arial"/>
                <w:szCs w:val="20"/>
              </w:rPr>
              <w:t>dochází od letošního jara u zahraniční poptávky, kde přibývá firem s jejím kladným hodnocením (v srpnu</w:t>
            </w:r>
            <w:r>
              <w:rPr>
                <w:rStyle w:val="normaltextrun"/>
                <w:rFonts w:eastAsia="MS Gothic" w:cs="Arial"/>
                <w:szCs w:val="20"/>
              </w:rPr>
              <w:t xml:space="preserve"> š</w:t>
            </w:r>
            <w:r>
              <w:rPr>
                <w:rStyle w:val="normaltextrun"/>
                <w:rFonts w:eastAsia="MS Gothic" w:cs="Arial"/>
              </w:rPr>
              <w:t>lo</w:t>
            </w:r>
            <w:r w:rsidRPr="00EE0E68">
              <w:rPr>
                <w:rStyle w:val="normaltextrun"/>
                <w:rFonts w:eastAsia="MS Gothic" w:cs="Arial"/>
                <w:szCs w:val="20"/>
              </w:rPr>
              <w:t xml:space="preserve"> již</w:t>
            </w:r>
            <w:r>
              <w:rPr>
                <w:rStyle w:val="normaltextrun"/>
                <w:rFonts w:eastAsia="MS Gothic" w:cs="Arial"/>
                <w:szCs w:val="20"/>
              </w:rPr>
              <w:t xml:space="preserve"> </w:t>
            </w:r>
            <w:r>
              <w:rPr>
                <w:rStyle w:val="normaltextrun"/>
                <w:rFonts w:eastAsia="MS Gothic" w:cs="Arial"/>
              </w:rPr>
              <w:t>o</w:t>
            </w:r>
            <w:r w:rsidRPr="00EE0E68">
              <w:rPr>
                <w:rStyle w:val="normaltextrun"/>
                <w:rFonts w:eastAsia="MS Gothic" w:cs="Arial"/>
                <w:szCs w:val="20"/>
              </w:rPr>
              <w:t xml:space="preserve"> 14 % podniků). K</w:t>
            </w:r>
            <w:r w:rsidRPr="00EE0E68">
              <w:rPr>
                <w:rStyle w:val="normaltextrun"/>
                <w:rFonts w:eastAsia="MS Gothic" w:cs="Arial"/>
              </w:rPr>
              <w:t xml:space="preserve">rátkodobá očekávání výroby </w:t>
            </w:r>
            <w:r w:rsidRPr="00EE0E68">
              <w:rPr>
                <w:rStyle w:val="normaltextrun"/>
                <w:rFonts w:eastAsia="MS Gothic" w:cs="Arial"/>
              </w:rPr>
              <w:br/>
              <w:t>i ekonomické situace podniků byla</w:t>
            </w:r>
            <w:r>
              <w:rPr>
                <w:rStyle w:val="normaltextrun"/>
                <w:rFonts w:eastAsia="MS Gothic" w:cs="Arial"/>
              </w:rPr>
              <w:t xml:space="preserve"> od počátku roku 2025</w:t>
            </w:r>
            <w:r w:rsidRPr="00EE0E68">
              <w:rPr>
                <w:rStyle w:val="normaltextrun"/>
                <w:rFonts w:eastAsia="MS Gothic" w:cs="Arial"/>
              </w:rPr>
              <w:t xml:space="preserve"> mírně pozitivní</w:t>
            </w:r>
            <w:r w:rsidRPr="00EE0E68">
              <w:rPr>
                <w:rStyle w:val="Znakapoznpodarou"/>
                <w:rFonts w:eastAsia="MS Gothic"/>
              </w:rPr>
              <w:footnoteReference w:id="18"/>
            </w:r>
            <w:r w:rsidRPr="00EE0E68">
              <w:rPr>
                <w:rStyle w:val="normaltextrun"/>
                <w:rFonts w:eastAsia="MS Gothic" w:cs="Arial"/>
              </w:rPr>
              <w:t xml:space="preserve">. </w:t>
            </w:r>
            <w:r w:rsidRPr="00EE0E68">
              <w:rPr>
                <w:rStyle w:val="normaltextrun"/>
                <w:rFonts w:eastAsia="MS Gothic"/>
              </w:rPr>
              <w:t>T</w:t>
            </w:r>
            <w:r>
              <w:rPr>
                <w:rStyle w:val="normaltextrun"/>
                <w:rFonts w:eastAsia="MS Gothic"/>
              </w:rPr>
              <w:t>o</w:t>
            </w:r>
            <w:r w:rsidRPr="00EE0E68">
              <w:rPr>
                <w:rStyle w:val="normaltextrun"/>
                <w:rFonts w:eastAsia="MS Gothic"/>
              </w:rPr>
              <w:t xml:space="preserve"> se </w:t>
            </w:r>
            <w:r>
              <w:rPr>
                <w:rStyle w:val="normaltextrun"/>
                <w:rFonts w:eastAsia="MS Gothic"/>
              </w:rPr>
              <w:t>ovšem</w:t>
            </w:r>
            <w:r w:rsidRPr="00EE0E68">
              <w:rPr>
                <w:rStyle w:val="normaltextrun"/>
                <w:rFonts w:eastAsia="MS Gothic"/>
              </w:rPr>
              <w:t xml:space="preserve"> nepromít</w:t>
            </w:r>
            <w:r>
              <w:rPr>
                <w:rStyle w:val="normaltextrun"/>
                <w:rFonts w:eastAsia="MS Gothic"/>
              </w:rPr>
              <w:t>á</w:t>
            </w:r>
            <w:r w:rsidRPr="00EE0E68">
              <w:rPr>
                <w:rStyle w:val="normaltextrun"/>
                <w:rFonts w:eastAsia="MS Gothic"/>
              </w:rPr>
              <w:t xml:space="preserve"> do zaměstnanosti, kde dochází k dalšímu úbytku pracovních míst, a také ve </w:t>
            </w:r>
            <w:r w:rsidRPr="00EE0E68">
              <w:rPr>
                <w:rStyle w:val="normaltextrun"/>
                <w:rFonts w:eastAsia="MS Gothic"/>
              </w:rPr>
              <w:lastRenderedPageBreak/>
              <w:t>výhledech stále převládá mírný pesimismus</w:t>
            </w:r>
            <w:r w:rsidRPr="00EE0E68">
              <w:rPr>
                <w:rStyle w:val="Znakapoznpodarou"/>
                <w:rFonts w:eastAsia="MS Gothic"/>
              </w:rPr>
              <w:footnoteReference w:id="19"/>
            </w:r>
            <w:r w:rsidRPr="00EE0E68">
              <w:rPr>
                <w:rStyle w:val="normaltextrun"/>
                <w:rFonts w:eastAsia="MS Gothic"/>
              </w:rPr>
              <w:t xml:space="preserve">. Příznivé je, že </w:t>
            </w:r>
            <w:r>
              <w:rPr>
                <w:rStyle w:val="normaltextrun"/>
                <w:rFonts w:eastAsia="MS Gothic"/>
              </w:rPr>
              <w:t xml:space="preserve">letos </w:t>
            </w:r>
            <w:r w:rsidRPr="00EE0E68">
              <w:rPr>
                <w:rStyle w:val="normaltextrun"/>
                <w:rFonts w:eastAsia="MS Gothic"/>
              </w:rPr>
              <w:t>mírně rost</w:t>
            </w:r>
            <w:r>
              <w:rPr>
                <w:rStyle w:val="normaltextrun"/>
                <w:rFonts w:eastAsia="MS Gothic"/>
              </w:rPr>
              <w:t>lo</w:t>
            </w:r>
            <w:r w:rsidRPr="00EE0E68">
              <w:rPr>
                <w:rStyle w:val="normaltextrun"/>
                <w:rFonts w:eastAsia="MS Gothic"/>
              </w:rPr>
              <w:t xml:space="preserve"> využití výrobních kapacit firem (v</w:t>
            </w:r>
            <w:r>
              <w:rPr>
                <w:rStyle w:val="normaltextrun"/>
                <w:rFonts w:eastAsia="MS Gothic"/>
              </w:rPr>
              <w:t>e 2. pololetí dosáhlo</w:t>
            </w:r>
            <w:r w:rsidRPr="00EE0E68">
              <w:rPr>
                <w:rStyle w:val="normaltextrun"/>
                <w:rFonts w:eastAsia="MS Gothic"/>
              </w:rPr>
              <w:t xml:space="preserve"> 84 %</w:t>
            </w:r>
            <w:r>
              <w:rPr>
                <w:rStyle w:val="normaltextrun"/>
                <w:rFonts w:eastAsia="MS Gothic"/>
              </w:rPr>
              <w:t>, což odpovídá dlouhodobému průměru</w:t>
            </w:r>
            <w:r w:rsidRPr="00EE0E68">
              <w:rPr>
                <w:rStyle w:val="normaltextrun"/>
                <w:rFonts w:eastAsia="MS Gothic"/>
              </w:rPr>
              <w:t>)</w:t>
            </w:r>
            <w:r>
              <w:rPr>
                <w:rStyle w:val="normaltextrun"/>
                <w:rFonts w:eastAsia="MS Gothic"/>
              </w:rPr>
              <w:t xml:space="preserve">, převážně díky výrobě dopravních prostředků. </w:t>
            </w:r>
            <w:r w:rsidRPr="00EE0E68">
              <w:rPr>
                <w:rStyle w:val="normaltextrun"/>
                <w:rFonts w:eastAsia="MS Gothic"/>
              </w:rPr>
              <w:t xml:space="preserve"> V nedávné minulosti se rovněž utlumily výraznější periodické potíže s dostupností materiálu a výrobních zařízení. To spolu s částečným zmírněním některých nákladových tlaků v oblasti energií vyústilo ve zklidnění inflačních očekávání podniků</w:t>
            </w:r>
            <w:r>
              <w:rPr>
                <w:rStyle w:val="Znakapoznpodarou"/>
                <w:rFonts w:eastAsia="MS Gothic"/>
              </w:rPr>
              <w:footnoteReference w:id="20"/>
            </w:r>
            <w:r w:rsidRPr="00EE0E68">
              <w:rPr>
                <w:rStyle w:val="normaltextrun"/>
                <w:rFonts w:eastAsia="MS Gothic"/>
              </w:rPr>
              <w:t>.</w:t>
            </w:r>
          </w:p>
        </w:tc>
      </w:tr>
      <w:tr w:rsidR="00307B34" w:rsidRPr="00705C3E" w14:paraId="74F158DD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60AFCB2F" w14:textId="77777777" w:rsidR="00307B34" w:rsidRPr="00EE0E68" w:rsidRDefault="00307B34" w:rsidP="00135A1D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tcMar>
              <w:left w:w="0" w:type="dxa"/>
            </w:tcMar>
          </w:tcPr>
          <w:p w14:paraId="5312A5C9" w14:textId="77777777" w:rsidR="00307B34" w:rsidRPr="00EE0E68" w:rsidRDefault="00307B34" w:rsidP="00135A1D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tcMar>
              <w:left w:w="0" w:type="dxa"/>
            </w:tcMar>
          </w:tcPr>
          <w:p w14:paraId="0D6EF673" w14:textId="77777777" w:rsidR="00307B34" w:rsidRPr="00EE0E68" w:rsidRDefault="00307B34" w:rsidP="00135A1D">
            <w:pPr>
              <w:spacing w:after="40"/>
              <w:rPr>
                <w:color w:val="0D0D0D" w:themeColor="text1" w:themeTint="F2"/>
              </w:rPr>
            </w:pPr>
            <w:r w:rsidRPr="00EE0E68">
              <w:rPr>
                <w:b/>
                <w:color w:val="0D0D0D" w:themeColor="text1" w:themeTint="F2"/>
              </w:rPr>
              <w:t>Graf č. 5 Nové zakázky v průmyslu</w:t>
            </w:r>
            <w:r w:rsidRPr="00EE0E68">
              <w:rPr>
                <w:color w:val="0D0D0D" w:themeColor="text1" w:themeTint="F2"/>
              </w:rPr>
              <w:t xml:space="preserve"> (nominálně, meziročně, v %)</w:t>
            </w:r>
            <w:r w:rsidRPr="00EE0E68">
              <w:rPr>
                <w:b/>
                <w:color w:val="0D0D0D" w:themeColor="text1" w:themeTint="F2"/>
              </w:rPr>
              <w:t>, využití výrobních kapacit v průmyslu, vybrané bariéry růstu*</w:t>
            </w:r>
            <w:r w:rsidRPr="00EE0E68">
              <w:rPr>
                <w:color w:val="0D0D0D" w:themeColor="text1" w:themeTint="F2"/>
              </w:rPr>
              <w:t xml:space="preserve"> (v %, pravá osa) </w:t>
            </w:r>
            <w:r w:rsidRPr="00EE0E68">
              <w:rPr>
                <w:b/>
                <w:color w:val="0D0D0D" w:themeColor="text1" w:themeTint="F2"/>
              </w:rPr>
              <w:t>a saldo důvěry podnikatelů v průmyslu*</w:t>
            </w:r>
            <w:r w:rsidRPr="00EE0E68">
              <w:rPr>
                <w:color w:val="0D0D0D" w:themeColor="text1" w:themeTint="F2"/>
              </w:rPr>
              <w:t xml:space="preserve"> (v p. b., pravá osa)</w:t>
            </w:r>
          </w:p>
        </w:tc>
      </w:tr>
      <w:tr w:rsidR="00307B34" w:rsidRPr="00705C3E" w14:paraId="01B257DA" w14:textId="77777777" w:rsidTr="00135A1D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814" w:type="dxa"/>
          </w:tcPr>
          <w:p w14:paraId="69EB143D" w14:textId="77777777" w:rsidR="00307B34" w:rsidRPr="00EE0E68" w:rsidRDefault="00307B34" w:rsidP="00135A1D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</w:tcPr>
          <w:p w14:paraId="7A744F09" w14:textId="77777777" w:rsidR="00307B34" w:rsidRPr="00EE0E68" w:rsidRDefault="00307B34" w:rsidP="00135A1D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</w:tcPr>
          <w:p w14:paraId="5B08F52B" w14:textId="77777777" w:rsidR="00307B34" w:rsidRPr="00EE0E68" w:rsidRDefault="00307B34" w:rsidP="00135A1D">
            <w:pPr>
              <w:spacing w:before="40" w:after="40"/>
              <w:rPr>
                <w:color w:val="0D0D0D" w:themeColor="text1" w:themeTint="F2"/>
              </w:rPr>
            </w:pPr>
            <w:r>
              <w:rPr>
                <w:noProof/>
              </w:rPr>
              <w:drawing>
                <wp:inline distT="0" distB="0" distL="0" distR="0" wp14:anchorId="7FF8D2BF" wp14:editId="07B9F31C">
                  <wp:extent cx="4679332" cy="3636780"/>
                  <wp:effectExtent l="0" t="0" r="6985" b="1905"/>
                  <wp:docPr id="817516860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307B34" w:rsidRPr="00705C3E" w14:paraId="0C5A8D6C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31E108E2" w14:textId="77777777" w:rsidR="00307B34" w:rsidRPr="00EE0E68" w:rsidRDefault="00307B34" w:rsidP="00135A1D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tcMar>
              <w:left w:w="0" w:type="dxa"/>
            </w:tcMar>
          </w:tcPr>
          <w:p w14:paraId="211E92E8" w14:textId="77777777" w:rsidR="00307B34" w:rsidRPr="00EE0E68" w:rsidRDefault="00307B34" w:rsidP="00135A1D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tcMar>
              <w:left w:w="0" w:type="dxa"/>
            </w:tcMar>
          </w:tcPr>
          <w:p w14:paraId="2CF69FBB" w14:textId="77777777" w:rsidR="00307B34" w:rsidRPr="00EE0E68" w:rsidRDefault="00307B34" w:rsidP="00135A1D">
            <w:pPr>
              <w:spacing w:after="220"/>
              <w:jc w:val="left"/>
              <w:rPr>
                <w:color w:val="0D0D0D" w:themeColor="text1" w:themeTint="F2"/>
                <w:sz w:val="14"/>
                <w:szCs w:val="14"/>
              </w:rPr>
            </w:pPr>
            <w:r w:rsidRPr="00EE0E68">
              <w:rPr>
                <w:color w:val="0D0D0D" w:themeColor="text1" w:themeTint="F2"/>
                <w:sz w:val="14"/>
                <w:szCs w:val="14"/>
              </w:rPr>
              <w:t>*Využití průmyslových kapacit i bariéry růstu vyjadřují stav v prvním měsíci daného čtvrtletí, saldo důvěry podnikatelů je vztaženo ke druhému měsíci čtvrtletí. Zakázky jsou očištěny o kalendářní vlivy, ostatní ukazatele jsou sezónně očištěny. Podniky mohly uvést více hlavních růstových bariér současně.                                                                                                                                Zdroj: ČSÚ, Eurostat</w:t>
            </w:r>
          </w:p>
        </w:tc>
      </w:tr>
      <w:tr w:rsidR="00307B34" w:rsidRPr="00710F53" w14:paraId="18811843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08F01C77" w14:textId="77777777" w:rsidR="00307B34" w:rsidRPr="00EE0E68" w:rsidRDefault="00307B34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  <w:proofErr w:type="spellStart"/>
            <w:r>
              <w:rPr>
                <w:color w:val="0D0D0D" w:themeColor="text1" w:themeTint="F2"/>
                <w:spacing w:val="0"/>
              </w:rPr>
              <w:t>M</w:t>
            </w:r>
            <w:r w:rsidRPr="00EE0E68">
              <w:rPr>
                <w:color w:val="0D0D0D" w:themeColor="text1" w:themeTint="F2"/>
                <w:spacing w:val="0"/>
              </w:rPr>
              <w:t>ezikvartální</w:t>
            </w:r>
            <w:proofErr w:type="spellEnd"/>
            <w:r w:rsidRPr="00EE0E68">
              <w:rPr>
                <w:color w:val="0D0D0D" w:themeColor="text1" w:themeTint="F2"/>
                <w:spacing w:val="0"/>
              </w:rPr>
              <w:t xml:space="preserve"> růst </w:t>
            </w:r>
            <w:r>
              <w:rPr>
                <w:color w:val="0D0D0D" w:themeColor="text1" w:themeTint="F2"/>
                <w:spacing w:val="0"/>
              </w:rPr>
              <w:t xml:space="preserve">stavební </w:t>
            </w:r>
            <w:r w:rsidRPr="00EE0E68">
              <w:rPr>
                <w:color w:val="0D0D0D" w:themeColor="text1" w:themeTint="F2"/>
                <w:spacing w:val="0"/>
              </w:rPr>
              <w:t>produkce</w:t>
            </w:r>
            <w:r>
              <w:rPr>
                <w:color w:val="0D0D0D" w:themeColor="text1" w:themeTint="F2"/>
                <w:spacing w:val="0"/>
              </w:rPr>
              <w:t xml:space="preserve"> přetrvává již od poloviny loňského roku.</w:t>
            </w:r>
            <w:r w:rsidRPr="00EE0E68">
              <w:rPr>
                <w:color w:val="0D0D0D" w:themeColor="text1" w:themeTint="F2"/>
                <w:spacing w:val="0"/>
              </w:rPr>
              <w:t xml:space="preserve"> </w:t>
            </w:r>
          </w:p>
        </w:tc>
        <w:tc>
          <w:tcPr>
            <w:tcW w:w="179" w:type="dxa"/>
            <w:tcMar>
              <w:left w:w="0" w:type="dxa"/>
            </w:tcMar>
          </w:tcPr>
          <w:p w14:paraId="7E80A57E" w14:textId="77777777" w:rsidR="00307B34" w:rsidRPr="00EE0E68" w:rsidRDefault="00307B34" w:rsidP="00135A1D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2859CFAE" w14:textId="77777777" w:rsidR="00307B34" w:rsidRPr="005A5AB9" w:rsidRDefault="00307B34" w:rsidP="00135A1D">
            <w:pPr>
              <w:spacing w:after="200"/>
              <w:rPr>
                <w:color w:val="0D0D0D" w:themeColor="text1" w:themeTint="F2"/>
              </w:rPr>
            </w:pPr>
            <w:r w:rsidRPr="00EE0E68">
              <w:rPr>
                <w:color w:val="0D0D0D" w:themeColor="text1" w:themeTint="F2"/>
              </w:rPr>
              <w:t>Situace ve stavebnictví se zlepšovala, zřetelné náznaky pozitivního obratu byly patrné již ve druhé polovině roku 2024. Stavební produkce</w:t>
            </w:r>
            <w:r w:rsidRPr="00EE0E68">
              <w:rPr>
                <w:rStyle w:val="Znakapoznpodarou"/>
                <w:color w:val="0D0D0D" w:themeColor="text1" w:themeTint="F2"/>
              </w:rPr>
              <w:footnoteReference w:id="21"/>
            </w:r>
            <w:r w:rsidRPr="00EE0E68">
              <w:rPr>
                <w:color w:val="0D0D0D" w:themeColor="text1" w:themeTint="F2"/>
              </w:rPr>
              <w:t xml:space="preserve"> se </w:t>
            </w:r>
            <w:r>
              <w:rPr>
                <w:color w:val="0D0D0D" w:themeColor="text1" w:themeTint="F2"/>
              </w:rPr>
              <w:t>od té doby</w:t>
            </w:r>
            <w:r w:rsidRPr="00EE0E68">
              <w:rPr>
                <w:color w:val="0D0D0D" w:themeColor="text1" w:themeTint="F2"/>
              </w:rPr>
              <w:t xml:space="preserve"> mezikvartálně </w:t>
            </w:r>
            <w:r>
              <w:rPr>
                <w:color w:val="0D0D0D" w:themeColor="text1" w:themeTint="F2"/>
              </w:rPr>
              <w:t xml:space="preserve">stále </w:t>
            </w:r>
            <w:r w:rsidRPr="0076033F">
              <w:rPr>
                <w:color w:val="0D0D0D" w:themeColor="text1" w:themeTint="F2"/>
                <w:spacing w:val="-2"/>
              </w:rPr>
              <w:t xml:space="preserve">zvyšovala a letos ve 3. čtvrtletí růst činil </w:t>
            </w:r>
            <w:r>
              <w:rPr>
                <w:color w:val="0D0D0D" w:themeColor="text1" w:themeTint="F2"/>
                <w:spacing w:val="-2"/>
              </w:rPr>
              <w:t>2</w:t>
            </w:r>
            <w:r w:rsidRPr="0076033F">
              <w:rPr>
                <w:color w:val="0D0D0D" w:themeColor="text1" w:themeTint="F2"/>
                <w:spacing w:val="-2"/>
              </w:rPr>
              <w:t>,</w:t>
            </w:r>
            <w:r>
              <w:rPr>
                <w:color w:val="0D0D0D" w:themeColor="text1" w:themeTint="F2"/>
                <w:spacing w:val="-2"/>
              </w:rPr>
              <w:t>6</w:t>
            </w:r>
            <w:r w:rsidRPr="0076033F">
              <w:rPr>
                <w:color w:val="0D0D0D" w:themeColor="text1" w:themeTint="F2"/>
                <w:spacing w:val="-2"/>
              </w:rPr>
              <w:t xml:space="preserve"> %. Výrazné</w:t>
            </w:r>
            <w:r w:rsidRPr="00EE0E68">
              <w:rPr>
                <w:color w:val="0D0D0D" w:themeColor="text1" w:themeTint="F2"/>
              </w:rPr>
              <w:t xml:space="preserve"> oživení bylo podporováno všemi segmenty odvětví</w:t>
            </w:r>
            <w:r>
              <w:rPr>
                <w:color w:val="0D0D0D" w:themeColor="text1" w:themeTint="F2"/>
              </w:rPr>
              <w:t>, aktuálně nejvíce inženýrským stavitelstvím.</w:t>
            </w:r>
            <w:r w:rsidRPr="00EE0E68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 xml:space="preserve">Celému </w:t>
            </w:r>
            <w:r w:rsidRPr="00EE0E68">
              <w:rPr>
                <w:color w:val="0D0D0D" w:themeColor="text1" w:themeTint="F2"/>
              </w:rPr>
              <w:t xml:space="preserve">odvětví pomáhají </w:t>
            </w:r>
            <w:r>
              <w:rPr>
                <w:color w:val="0D0D0D" w:themeColor="text1" w:themeTint="F2"/>
              </w:rPr>
              <w:t>zejména</w:t>
            </w:r>
            <w:r w:rsidRPr="00EE0E68">
              <w:rPr>
                <w:color w:val="0D0D0D" w:themeColor="text1" w:themeTint="F2"/>
              </w:rPr>
              <w:t xml:space="preserve"> rostoucí veřejné investice do dopravní infrastruktury. Letos patrně dochází </w:t>
            </w:r>
            <w:r>
              <w:rPr>
                <w:color w:val="0D0D0D" w:themeColor="text1" w:themeTint="F2"/>
              </w:rPr>
              <w:br/>
            </w:r>
            <w:r w:rsidRPr="00EE0E68">
              <w:rPr>
                <w:color w:val="0D0D0D" w:themeColor="text1" w:themeTint="F2"/>
              </w:rPr>
              <w:t xml:space="preserve">i k částečnému zotavování soukromých investic vlivem posilování růstu ekonomiky </w:t>
            </w:r>
            <w:r>
              <w:rPr>
                <w:color w:val="0D0D0D" w:themeColor="text1" w:themeTint="F2"/>
              </w:rPr>
              <w:br/>
            </w:r>
            <w:r w:rsidRPr="00EE0E68">
              <w:rPr>
                <w:color w:val="0D0D0D" w:themeColor="text1" w:themeTint="F2"/>
              </w:rPr>
              <w:t>i důvěry v ní. Významnou roli zde hrají i</w:t>
            </w:r>
            <w:r>
              <w:rPr>
                <w:color w:val="0D0D0D" w:themeColor="text1" w:themeTint="F2"/>
              </w:rPr>
              <w:t> </w:t>
            </w:r>
            <w:r w:rsidRPr="00EE0E68">
              <w:rPr>
                <w:color w:val="0D0D0D" w:themeColor="text1" w:themeTint="F2"/>
              </w:rPr>
              <w:t>cenové</w:t>
            </w:r>
            <w:r>
              <w:rPr>
                <w:color w:val="0D0D0D" w:themeColor="text1" w:themeTint="F2"/>
              </w:rPr>
              <w:t xml:space="preserve"> vlivy</w:t>
            </w:r>
            <w:r>
              <w:rPr>
                <w:rStyle w:val="Znakapoznpodarou"/>
                <w:color w:val="0D0D0D" w:themeColor="text1" w:themeTint="F2"/>
              </w:rPr>
              <w:footnoteReference w:id="22"/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307B34" w:rsidRPr="00D232BB" w14:paraId="0CBAFEC6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2B8C71D9" w14:textId="77777777" w:rsidR="00307B34" w:rsidRPr="00EE0E68" w:rsidRDefault="00307B34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EE0E68">
              <w:rPr>
                <w:color w:val="0D0D0D" w:themeColor="text1" w:themeTint="F2"/>
                <w:spacing w:val="0"/>
              </w:rPr>
              <w:t xml:space="preserve">Ke svižnému meziročnímu růstu produkce letos přispěly všechny segmenty stavebnictví. </w:t>
            </w:r>
          </w:p>
          <w:p w14:paraId="45F84B74" w14:textId="77777777" w:rsidR="00307B34" w:rsidRPr="00EE0E68" w:rsidRDefault="00307B34" w:rsidP="00135A1D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lastRenderedPageBreak/>
              <w:t>Klesla výstavba rodinných i bytových domů.</w:t>
            </w:r>
            <w:r w:rsidRPr="00EE0E68">
              <w:rPr>
                <w:color w:val="0D0D0D" w:themeColor="text1" w:themeTint="F2"/>
                <w:spacing w:val="0"/>
              </w:rPr>
              <w:t xml:space="preserve"> </w:t>
            </w:r>
            <w:r>
              <w:rPr>
                <w:color w:val="0D0D0D" w:themeColor="text1" w:themeTint="F2"/>
                <w:spacing w:val="0"/>
              </w:rPr>
              <w:t>R</w:t>
            </w:r>
            <w:r w:rsidRPr="00EE0E68">
              <w:rPr>
                <w:color w:val="0D0D0D" w:themeColor="text1" w:themeTint="F2"/>
                <w:spacing w:val="0"/>
              </w:rPr>
              <w:t>ychle se však rozvíjel malý segment konverzí stávajících bytových objektů i nebytových budov.</w:t>
            </w:r>
          </w:p>
        </w:tc>
        <w:tc>
          <w:tcPr>
            <w:tcW w:w="179" w:type="dxa"/>
            <w:tcMar>
              <w:left w:w="0" w:type="dxa"/>
            </w:tcMar>
          </w:tcPr>
          <w:p w14:paraId="61736EC4" w14:textId="77777777" w:rsidR="00307B34" w:rsidRPr="00EE0E68" w:rsidRDefault="00307B34" w:rsidP="00135A1D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tcMar>
              <w:left w:w="0" w:type="dxa"/>
            </w:tcMar>
          </w:tcPr>
          <w:p w14:paraId="246D35F0" w14:textId="77777777" w:rsidR="00307B34" w:rsidRPr="0076033F" w:rsidRDefault="00307B34" w:rsidP="00135A1D">
            <w:pPr>
              <w:spacing w:after="200"/>
              <w:rPr>
                <w:color w:val="0D0D0D" w:themeColor="text1" w:themeTint="F2"/>
                <w:spacing w:val="-2"/>
              </w:rPr>
            </w:pPr>
            <w:r w:rsidRPr="0076033F">
              <w:rPr>
                <w:color w:val="0D0D0D" w:themeColor="text1" w:themeTint="F2"/>
                <w:spacing w:val="-2"/>
              </w:rPr>
              <w:t>Za 1. až 3. čtvrtletí 2025 se stavební produkce meziročně zvýšila o 1</w:t>
            </w:r>
            <w:r>
              <w:rPr>
                <w:color w:val="0D0D0D" w:themeColor="text1" w:themeTint="F2"/>
                <w:spacing w:val="-2"/>
              </w:rPr>
              <w:t>0</w:t>
            </w:r>
            <w:r w:rsidRPr="0076033F">
              <w:rPr>
                <w:color w:val="0D0D0D" w:themeColor="text1" w:themeTint="F2"/>
                <w:spacing w:val="-2"/>
              </w:rPr>
              <w:t>,</w:t>
            </w:r>
            <w:r>
              <w:rPr>
                <w:color w:val="0D0D0D" w:themeColor="text1" w:themeTint="F2"/>
                <w:spacing w:val="-2"/>
              </w:rPr>
              <w:t>6</w:t>
            </w:r>
            <w:r w:rsidRPr="0076033F">
              <w:rPr>
                <w:color w:val="0D0D0D" w:themeColor="text1" w:themeTint="F2"/>
                <w:spacing w:val="-2"/>
              </w:rPr>
              <w:t xml:space="preserve"> % (vyšší tempo se objevilo naposledy v konjunkturním roce 2018), k čemuž vcelku rovnoměrně přispělo </w:t>
            </w:r>
            <w:r w:rsidRPr="0076033F">
              <w:rPr>
                <w:color w:val="0D0D0D" w:themeColor="text1" w:themeTint="F2"/>
                <w:spacing w:val="-4"/>
              </w:rPr>
              <w:t xml:space="preserve">pozemní </w:t>
            </w:r>
            <w:r>
              <w:rPr>
                <w:color w:val="0D0D0D" w:themeColor="text1" w:themeTint="F2"/>
                <w:spacing w:val="-4"/>
              </w:rPr>
              <w:t>a</w:t>
            </w:r>
            <w:r w:rsidRPr="0076033F">
              <w:rPr>
                <w:color w:val="0D0D0D" w:themeColor="text1" w:themeTint="F2"/>
                <w:spacing w:val="-4"/>
              </w:rPr>
              <w:t xml:space="preserve"> inženýrské stavitelství. Svižný růst pozemního stavitelství probíhal hlavně </w:t>
            </w:r>
            <w:r>
              <w:rPr>
                <w:color w:val="0D0D0D" w:themeColor="text1" w:themeTint="F2"/>
                <w:spacing w:val="-4"/>
              </w:rPr>
              <w:t xml:space="preserve">díky oživení </w:t>
            </w:r>
            <w:r w:rsidRPr="0076033F">
              <w:rPr>
                <w:color w:val="0D0D0D" w:themeColor="text1" w:themeTint="F2"/>
                <w:spacing w:val="-4"/>
              </w:rPr>
              <w:t>v oblasti</w:t>
            </w:r>
            <w:r w:rsidRPr="0076033F">
              <w:rPr>
                <w:color w:val="0D0D0D" w:themeColor="text1" w:themeTint="F2"/>
                <w:spacing w:val="-2"/>
              </w:rPr>
              <w:t xml:space="preserve"> výstavby budov, neboť v segmentu </w:t>
            </w:r>
            <w:r w:rsidRPr="0076033F">
              <w:rPr>
                <w:rStyle w:val="normaltextrun"/>
                <w:rFonts w:eastAsiaTheme="majorEastAsia" w:cs="Arial"/>
                <w:spacing w:val="-2"/>
                <w:szCs w:val="20"/>
              </w:rPr>
              <w:t xml:space="preserve">specializovaných stavebních činností </w:t>
            </w:r>
            <w:r w:rsidRPr="00026F7E">
              <w:rPr>
                <w:rStyle w:val="normaltextrun"/>
                <w:rFonts w:eastAsiaTheme="majorEastAsia" w:cs="Arial"/>
                <w:spacing w:val="-4"/>
                <w:szCs w:val="20"/>
              </w:rPr>
              <w:lastRenderedPageBreak/>
              <w:t xml:space="preserve">(kde hrají významnou roli drobní podnikatelé či malé podniky), se výkon zvyšoval mírněji </w:t>
            </w:r>
            <w:r w:rsidRPr="00026F7E">
              <w:rPr>
                <w:rFonts w:eastAsiaTheme="majorEastAsia" w:cs="Arial"/>
                <w:spacing w:val="-4"/>
                <w:szCs w:val="20"/>
              </w:rPr>
              <w:t>(+6,3 %)</w:t>
            </w:r>
            <w:r w:rsidRPr="00026F7E">
              <w:rPr>
                <w:rStyle w:val="normaltextrun"/>
                <w:rFonts w:eastAsiaTheme="majorEastAsia" w:cs="Arial"/>
                <w:spacing w:val="-4"/>
                <w:szCs w:val="20"/>
              </w:rPr>
              <w:t xml:space="preserve">. K rozvoji pozemního stavitelství zatím letos příliš nepomáhá </w:t>
            </w:r>
            <w:r w:rsidRPr="00026F7E">
              <w:rPr>
                <w:color w:val="0D0D0D" w:themeColor="text1" w:themeTint="F2"/>
                <w:spacing w:val="-4"/>
              </w:rPr>
              <w:t>utlumená</w:t>
            </w:r>
            <w:r w:rsidRPr="00026F7E">
              <w:rPr>
                <w:rStyle w:val="normaltextrun"/>
                <w:rFonts w:eastAsiaTheme="majorEastAsia" w:cs="Arial"/>
                <w:spacing w:val="-4"/>
                <w:szCs w:val="20"/>
              </w:rPr>
              <w:t xml:space="preserve"> bytová výstavba (více se patrně rozvíjejí jiné oblasti, např. výrobní a skladovací haly, dále třeba i veřejné budovy).</w:t>
            </w:r>
            <w:r w:rsidRPr="00026F7E">
              <w:rPr>
                <w:rStyle w:val="normaltextrun"/>
                <w:rFonts w:cs="Arial"/>
                <w:spacing w:val="-4"/>
              </w:rPr>
              <w:t xml:space="preserve"> </w:t>
            </w:r>
            <w:r w:rsidRPr="00026F7E">
              <w:rPr>
                <w:color w:val="0D0D0D" w:themeColor="text1" w:themeTint="F2"/>
                <w:spacing w:val="-4"/>
              </w:rPr>
              <w:t xml:space="preserve">Počet zahájených bytů za tři čtvrtletí se meziročně snížil o 7,6 %, na </w:t>
            </w:r>
            <w:r w:rsidRPr="00026F7E">
              <w:rPr>
                <w:rStyle w:val="normaltextrun"/>
                <w:rFonts w:eastAsiaTheme="majorEastAsia" w:cs="Arial"/>
                <w:spacing w:val="-4"/>
                <w:szCs w:val="20"/>
              </w:rPr>
              <w:t>25,2 tis. (sedmileté minimum), z toho počet rodinných domů byl dokonce nejnižší po roce 2000 (9,5 tis.). Meziročně ožil jen počet přístave</w:t>
            </w:r>
            <w:r w:rsidRPr="00026F7E">
              <w:rPr>
                <w:rStyle w:val="normaltextrun"/>
                <w:rFonts w:eastAsiaTheme="majorEastAsia" w:cs="Arial"/>
                <w:spacing w:val="-4"/>
              </w:rPr>
              <w:t>b</w:t>
            </w:r>
            <w:r w:rsidRPr="00026F7E">
              <w:rPr>
                <w:rStyle w:val="normaltextrun"/>
                <w:rFonts w:eastAsiaTheme="majorEastAsia" w:cs="Arial"/>
                <w:spacing w:val="-4"/>
                <w:szCs w:val="20"/>
              </w:rPr>
              <w:t xml:space="preserve"> k bytovým domům (+52 %, na 2,9 tis.). Dokončilo se c</w:t>
            </w:r>
            <w:r w:rsidRPr="00026F7E">
              <w:rPr>
                <w:rStyle w:val="normaltextrun"/>
                <w:rFonts w:eastAsiaTheme="majorEastAsia" w:cs="Arial"/>
                <w:spacing w:val="-4"/>
              </w:rPr>
              <w:t xml:space="preserve">elkem </w:t>
            </w:r>
            <w:r w:rsidRPr="00026F7E">
              <w:rPr>
                <w:rStyle w:val="normaltextrun"/>
                <w:rFonts w:eastAsiaTheme="majorEastAsia" w:cs="Arial"/>
                <w:spacing w:val="-4"/>
                <w:szCs w:val="20"/>
              </w:rPr>
              <w:t>25,5 tis. bytů (+5,</w:t>
            </w:r>
            <w:r w:rsidRPr="00026F7E">
              <w:rPr>
                <w:rStyle w:val="normaltextrun"/>
                <w:rFonts w:eastAsiaTheme="majorEastAsia" w:cs="Arial"/>
                <w:spacing w:val="-4"/>
              </w:rPr>
              <w:t>0</w:t>
            </w:r>
            <w:r w:rsidRPr="00026F7E">
              <w:rPr>
                <w:rStyle w:val="normaltextrun"/>
                <w:rFonts w:eastAsiaTheme="majorEastAsia" w:cs="Arial"/>
                <w:spacing w:val="-4"/>
                <w:szCs w:val="20"/>
              </w:rPr>
              <w:t xml:space="preserve"> %). Za mírným oživením stály jen přístavby (k rodinným i bytovým domům) a dále </w:t>
            </w:r>
            <w:r>
              <w:rPr>
                <w:rStyle w:val="normaltextrun"/>
                <w:rFonts w:eastAsiaTheme="majorEastAsia" w:cs="Arial"/>
                <w:spacing w:val="-4"/>
                <w:szCs w:val="20"/>
              </w:rPr>
              <w:t>k</w:t>
            </w:r>
            <w:r>
              <w:rPr>
                <w:rStyle w:val="normaltextrun"/>
                <w:rFonts w:eastAsiaTheme="majorEastAsia" w:cs="Arial"/>
                <w:spacing w:val="-4"/>
              </w:rPr>
              <w:t>onverze</w:t>
            </w:r>
            <w:r w:rsidRPr="00026F7E">
              <w:rPr>
                <w:rStyle w:val="normaltextrun"/>
                <w:rFonts w:eastAsiaTheme="majorEastAsia" w:cs="Arial"/>
                <w:spacing w:val="-4"/>
                <w:szCs w:val="20"/>
              </w:rPr>
              <w:t xml:space="preserve"> nebytových budov. V obou případech může zčásti jít o reakci investorů na vysokou administrativní i časovou náročnost příprav u jiných forem výstavby.</w:t>
            </w:r>
            <w:r w:rsidRPr="0076033F">
              <w:rPr>
                <w:rStyle w:val="normaltextrun"/>
                <w:rFonts w:eastAsiaTheme="majorEastAsia" w:cs="Arial"/>
                <w:spacing w:val="-2"/>
                <w:szCs w:val="20"/>
              </w:rPr>
              <w:t xml:space="preserve"> </w:t>
            </w:r>
          </w:p>
        </w:tc>
      </w:tr>
      <w:tr w:rsidR="00307B34" w:rsidRPr="00D232BB" w14:paraId="0E36A196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7CCCA973" w14:textId="77777777" w:rsidR="00307B34" w:rsidRPr="00EE0E68" w:rsidRDefault="00307B34" w:rsidP="00135A1D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tcMar>
              <w:left w:w="0" w:type="dxa"/>
            </w:tcMar>
          </w:tcPr>
          <w:p w14:paraId="528D9178" w14:textId="77777777" w:rsidR="00307B34" w:rsidRPr="00EE0E68" w:rsidRDefault="00307B34" w:rsidP="00135A1D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tcMar>
              <w:left w:w="0" w:type="dxa"/>
            </w:tcMar>
          </w:tcPr>
          <w:p w14:paraId="1C1289A1" w14:textId="77777777" w:rsidR="00307B34" w:rsidRPr="00EE0E68" w:rsidRDefault="00307B34" w:rsidP="00135A1D">
            <w:pPr>
              <w:spacing w:after="40"/>
              <w:rPr>
                <w:color w:val="0D0D0D" w:themeColor="text1" w:themeTint="F2"/>
              </w:rPr>
            </w:pPr>
            <w:r w:rsidRPr="00EE0E68">
              <w:rPr>
                <w:b/>
                <w:color w:val="0D0D0D" w:themeColor="text1" w:themeTint="F2"/>
              </w:rPr>
              <w:t>Graf č. 6 Příspěvky odvětví k meziroční změně stavební produkce (reálně, v p. b.),</w:t>
            </w:r>
            <w:r w:rsidRPr="00EE0E68">
              <w:rPr>
                <w:b/>
                <w:color w:val="0D0D0D" w:themeColor="text1" w:themeTint="F2"/>
              </w:rPr>
              <w:br/>
              <w:t>nové stavební zakázky</w:t>
            </w:r>
            <w:r w:rsidRPr="00EE0E68">
              <w:rPr>
                <w:color w:val="0D0D0D" w:themeColor="text1" w:themeTint="F2"/>
              </w:rPr>
              <w:t xml:space="preserve"> (nominálně, meziročně, v %), </w:t>
            </w:r>
            <w:r w:rsidRPr="00EE0E68">
              <w:rPr>
                <w:b/>
                <w:color w:val="0D0D0D" w:themeColor="text1" w:themeTint="F2"/>
              </w:rPr>
              <w:t>saldo důvěry podnikatelů ve stavebnictví*</w:t>
            </w:r>
            <w:r w:rsidRPr="00EE0E68">
              <w:rPr>
                <w:color w:val="0D0D0D" w:themeColor="text1" w:themeTint="F2"/>
              </w:rPr>
              <w:t xml:space="preserve"> (v p. b., pravá osa) </w:t>
            </w:r>
            <w:r w:rsidRPr="00EE0E68">
              <w:rPr>
                <w:b/>
                <w:color w:val="0D0D0D" w:themeColor="text1" w:themeTint="F2"/>
              </w:rPr>
              <w:t>a vybrané bariéry růstu*</w:t>
            </w:r>
            <w:r w:rsidRPr="00EE0E68">
              <w:rPr>
                <w:color w:val="0D0D0D" w:themeColor="text1" w:themeTint="F2"/>
              </w:rPr>
              <w:t xml:space="preserve"> (v %, pravá osa)</w:t>
            </w:r>
          </w:p>
        </w:tc>
      </w:tr>
      <w:tr w:rsidR="00307B34" w:rsidRPr="0067514E" w14:paraId="6F1350C8" w14:textId="77777777" w:rsidTr="00135A1D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814" w:type="dxa"/>
          </w:tcPr>
          <w:p w14:paraId="60E19E87" w14:textId="77777777" w:rsidR="00307B34" w:rsidRPr="00EE0E68" w:rsidRDefault="00307B34" w:rsidP="00135A1D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</w:tcPr>
          <w:p w14:paraId="4A8B933C" w14:textId="77777777" w:rsidR="00307B34" w:rsidRPr="00EE0E68" w:rsidRDefault="00307B34" w:rsidP="00135A1D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</w:tcPr>
          <w:p w14:paraId="679C37BE" w14:textId="77777777" w:rsidR="00307B34" w:rsidRPr="00EE0E68" w:rsidRDefault="00307B34" w:rsidP="00135A1D">
            <w:pPr>
              <w:spacing w:before="40" w:after="40"/>
              <w:rPr>
                <w:color w:val="0D0D0D" w:themeColor="text1" w:themeTint="F2"/>
              </w:rPr>
            </w:pPr>
            <w:r>
              <w:rPr>
                <w:noProof/>
              </w:rPr>
              <w:drawing>
                <wp:inline distT="0" distB="0" distL="0" distR="0" wp14:anchorId="03B02742" wp14:editId="17DEB74A">
                  <wp:extent cx="4665980" cy="3521034"/>
                  <wp:effectExtent l="0" t="0" r="1270" b="3810"/>
                  <wp:docPr id="594412481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E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307B34" w:rsidRPr="00EC434A" w14:paraId="737FEF28" w14:textId="77777777" w:rsidTr="00135A1D">
        <w:trPr>
          <w:trHeight w:val="145"/>
        </w:trPr>
        <w:tc>
          <w:tcPr>
            <w:tcW w:w="1814" w:type="dxa"/>
            <w:tcMar>
              <w:left w:w="0" w:type="dxa"/>
            </w:tcMar>
          </w:tcPr>
          <w:p w14:paraId="530F03EA" w14:textId="77777777" w:rsidR="00307B34" w:rsidRPr="00EE0E68" w:rsidRDefault="00307B34" w:rsidP="00135A1D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79" w:type="dxa"/>
            <w:tcMar>
              <w:left w:w="0" w:type="dxa"/>
            </w:tcMar>
          </w:tcPr>
          <w:p w14:paraId="0215FA35" w14:textId="77777777" w:rsidR="00307B34" w:rsidRPr="00EE0E68" w:rsidRDefault="00307B34" w:rsidP="00135A1D">
            <w:pPr>
              <w:pStyle w:val="Textpoznpodarou"/>
              <w:spacing w:after="240"/>
              <w:jc w:val="both"/>
            </w:pPr>
          </w:p>
        </w:tc>
        <w:tc>
          <w:tcPr>
            <w:tcW w:w="7730" w:type="dxa"/>
            <w:tcMar>
              <w:left w:w="0" w:type="dxa"/>
            </w:tcMar>
          </w:tcPr>
          <w:p w14:paraId="202C80B3" w14:textId="77777777" w:rsidR="00307B34" w:rsidRPr="00EE0E68" w:rsidRDefault="00307B34" w:rsidP="00135A1D">
            <w:pPr>
              <w:spacing w:after="0"/>
              <w:rPr>
                <w:color w:val="0D0D0D" w:themeColor="text1" w:themeTint="F2"/>
                <w:sz w:val="14"/>
                <w:szCs w:val="14"/>
              </w:rPr>
            </w:pPr>
            <w:r w:rsidRPr="00EE0E68">
              <w:rPr>
                <w:color w:val="0D0D0D" w:themeColor="text1" w:themeTint="F2"/>
                <w:sz w:val="14"/>
                <w:szCs w:val="14"/>
              </w:rPr>
              <w:t>Poznámka: Údaje o stavební produkci jsou očištěny o kalendářní vlivy.</w:t>
            </w:r>
          </w:p>
          <w:p w14:paraId="66520468" w14:textId="77777777" w:rsidR="00307B34" w:rsidRPr="00EE0E68" w:rsidRDefault="00307B34" w:rsidP="00135A1D">
            <w:pPr>
              <w:spacing w:after="200"/>
              <w:rPr>
                <w:color w:val="0D0D0D" w:themeColor="text1" w:themeTint="F2"/>
                <w:sz w:val="16"/>
                <w:szCs w:val="16"/>
              </w:rPr>
            </w:pPr>
            <w:r w:rsidRPr="00EE0E68">
              <w:rPr>
                <w:color w:val="0D0D0D" w:themeColor="text1" w:themeTint="F2"/>
                <w:sz w:val="14"/>
                <w:szCs w:val="14"/>
              </w:rPr>
              <w:t>*Saldo důvěry podnikatelů i bariéry růstu jsou sezónně očištěny a vyjadřují stav ve druhém měsíci daného čtvrtletí. Podniky mohly uvést více hlavních bariér současně.                                                                                                                                Zdroj: ČSÚ, Eurostat</w:t>
            </w:r>
          </w:p>
        </w:tc>
      </w:tr>
      <w:tr w:rsidR="00307B34" w14:paraId="5880B2CB" w14:textId="77777777" w:rsidTr="00135A1D">
        <w:trPr>
          <w:trHeight w:val="170"/>
        </w:trPr>
        <w:tc>
          <w:tcPr>
            <w:tcW w:w="1814" w:type="dxa"/>
            <w:tcMar>
              <w:left w:w="0" w:type="dxa"/>
            </w:tcMar>
          </w:tcPr>
          <w:p w14:paraId="0E06C885" w14:textId="77777777" w:rsidR="00307B34" w:rsidRPr="00EE0E68" w:rsidRDefault="00307B34" w:rsidP="00135A1D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EE0E68">
              <w:rPr>
                <w:color w:val="0D0D0D" w:themeColor="text1" w:themeTint="F2"/>
                <w:spacing w:val="0"/>
              </w:rPr>
              <w:t xml:space="preserve">Hodnota nových stavebních zakázek fakticky roste již dva roky v řadě. </w:t>
            </w:r>
            <w:r>
              <w:rPr>
                <w:color w:val="0D0D0D" w:themeColor="text1" w:themeTint="F2"/>
                <w:spacing w:val="0"/>
              </w:rPr>
              <w:t>Během léta došlo k pozitivnímu obratu ve vývoji stavebních povolení.</w:t>
            </w:r>
          </w:p>
          <w:p w14:paraId="35475AE0" w14:textId="77777777" w:rsidR="00307B34" w:rsidRPr="00EE0E68" w:rsidRDefault="00307B34" w:rsidP="00135A1D">
            <w:pPr>
              <w:pStyle w:val="Marginlie"/>
              <w:rPr>
                <w:spacing w:val="0"/>
              </w:rPr>
            </w:pPr>
          </w:p>
        </w:tc>
        <w:tc>
          <w:tcPr>
            <w:tcW w:w="179" w:type="dxa"/>
            <w:tcMar>
              <w:left w:w="0" w:type="dxa"/>
            </w:tcMar>
          </w:tcPr>
          <w:p w14:paraId="0D7624EF" w14:textId="77777777" w:rsidR="00307B34" w:rsidRPr="00EE0E68" w:rsidRDefault="00307B34" w:rsidP="00135A1D">
            <w:pPr>
              <w:pStyle w:val="Textpoznpodarou"/>
              <w:jc w:val="both"/>
            </w:pPr>
          </w:p>
        </w:tc>
        <w:tc>
          <w:tcPr>
            <w:tcW w:w="7730" w:type="dxa"/>
            <w:tcMar>
              <w:left w:w="0" w:type="dxa"/>
            </w:tcMar>
          </w:tcPr>
          <w:p w14:paraId="0873AB56" w14:textId="77777777" w:rsidR="00307B34" w:rsidRPr="00E32394" w:rsidRDefault="00307B34" w:rsidP="00135A1D">
            <w:pPr>
              <w:spacing w:after="200"/>
              <w:rPr>
                <w:rStyle w:val="normaltextrun"/>
                <w:rFonts w:eastAsiaTheme="majorEastAsia"/>
              </w:rPr>
            </w:pPr>
            <w:r w:rsidRPr="00E32394">
              <w:rPr>
                <w:rStyle w:val="normaltextrun"/>
                <w:rFonts w:eastAsiaTheme="majorEastAsia"/>
              </w:rPr>
              <w:t xml:space="preserve">Významná část předstihových ukazatelů naznačuje, že rozvoj stavební produkce by mohl v nejbližším období pokračovat. Hodnota nově uzavřených stavebních zakázek v ČR (v běžných cenách, v podnicích nad 50 zaměstnanců) ve 3. čtvrtletí meziročně vzrostla o </w:t>
            </w:r>
            <w:r>
              <w:rPr>
                <w:rStyle w:val="normaltextrun"/>
                <w:rFonts w:eastAsiaTheme="majorEastAsia"/>
              </w:rPr>
              <w:t>8</w:t>
            </w:r>
            <w:r w:rsidRPr="00E32394">
              <w:rPr>
                <w:rStyle w:val="normaltextrun"/>
                <w:rFonts w:eastAsiaTheme="majorEastAsia"/>
              </w:rPr>
              <w:t>,</w:t>
            </w:r>
            <w:r>
              <w:rPr>
                <w:rStyle w:val="normaltextrun"/>
                <w:rFonts w:eastAsiaTheme="majorEastAsia"/>
              </w:rPr>
              <w:t>9</w:t>
            </w:r>
            <w:r w:rsidRPr="00E32394">
              <w:rPr>
                <w:rStyle w:val="normaltextrun"/>
                <w:rFonts w:eastAsiaTheme="majorEastAsia"/>
              </w:rPr>
              <w:t xml:space="preserve"> % (podobným tempem v pozemním i inženýrském stavitelství), což je ale nejnižší tempo za poslední čtyři kvartály</w:t>
            </w:r>
            <w:r>
              <w:rPr>
                <w:rStyle w:val="Znakapoznpodarou"/>
                <w:rFonts w:eastAsiaTheme="majorEastAsia"/>
              </w:rPr>
              <w:footnoteReference w:id="23"/>
            </w:r>
            <w:r w:rsidRPr="00E32394">
              <w:rPr>
                <w:rStyle w:val="normaltextrun"/>
                <w:rFonts w:eastAsiaTheme="majorEastAsia"/>
              </w:rPr>
              <w:t>. Pozitivní je, že zatím nezvolňuje dynamický růst u celkové zásoby prací, neboť hodnota dosud nerealizovaných zakázek dosáhla na konci 3. čtvrtletí 4</w:t>
            </w:r>
            <w:r>
              <w:rPr>
                <w:rStyle w:val="normaltextrun"/>
                <w:rFonts w:eastAsiaTheme="majorEastAsia"/>
              </w:rPr>
              <w:t>10</w:t>
            </w:r>
            <w:r w:rsidRPr="00E32394">
              <w:rPr>
                <w:rStyle w:val="normaltextrun"/>
                <w:rFonts w:eastAsiaTheme="majorEastAsia"/>
              </w:rPr>
              <w:t xml:space="preserve"> mld. korun (z toho veřejných tuzemských 2</w:t>
            </w:r>
            <w:r>
              <w:rPr>
                <w:rStyle w:val="normaltextrun"/>
                <w:rFonts w:eastAsiaTheme="majorEastAsia"/>
              </w:rPr>
              <w:t>80</w:t>
            </w:r>
            <w:r w:rsidRPr="00E32394">
              <w:rPr>
                <w:rStyle w:val="normaltextrun"/>
                <w:rFonts w:eastAsiaTheme="majorEastAsia"/>
              </w:rPr>
              <w:t xml:space="preserve"> mld.) a meziročně byla vyšší o 2</w:t>
            </w:r>
            <w:r>
              <w:rPr>
                <w:rStyle w:val="normaltextrun"/>
                <w:rFonts w:eastAsiaTheme="majorEastAsia"/>
              </w:rPr>
              <w:t>5</w:t>
            </w:r>
            <w:r w:rsidRPr="00E32394">
              <w:rPr>
                <w:rStyle w:val="normaltextrun"/>
                <w:rFonts w:eastAsiaTheme="majorEastAsia"/>
              </w:rPr>
              <w:t xml:space="preserve"> % (resp. 32 %). </w:t>
            </w:r>
            <w:r>
              <w:rPr>
                <w:rStyle w:val="normaltextrun"/>
                <w:rFonts w:eastAsiaTheme="majorEastAsia"/>
              </w:rPr>
              <w:t>Dvojciferný r</w:t>
            </w:r>
            <w:r w:rsidRPr="00E32394">
              <w:rPr>
                <w:rStyle w:val="normaltextrun"/>
                <w:rFonts w:eastAsiaTheme="majorEastAsia"/>
              </w:rPr>
              <w:t xml:space="preserve">ůst </w:t>
            </w:r>
            <w:r>
              <w:rPr>
                <w:rStyle w:val="normaltextrun"/>
                <w:rFonts w:eastAsiaTheme="majorEastAsia"/>
              </w:rPr>
              <w:t xml:space="preserve">očekávané </w:t>
            </w:r>
            <w:r w:rsidRPr="00E32394">
              <w:rPr>
                <w:rStyle w:val="normaltextrun"/>
                <w:rFonts w:eastAsiaTheme="majorEastAsia"/>
              </w:rPr>
              <w:t xml:space="preserve">poptávky je navíc patrný také u soukromých zakázek a prací v zahraničí. </w:t>
            </w:r>
            <w:r w:rsidRPr="00777975">
              <w:rPr>
                <w:rStyle w:val="normaltextrun"/>
                <w:rFonts w:eastAsiaTheme="majorEastAsia"/>
              </w:rPr>
              <w:t>Orientační hodnota staveb, na které bylo v</w:t>
            </w:r>
            <w:r>
              <w:rPr>
                <w:rStyle w:val="normaltextrun"/>
                <w:rFonts w:eastAsiaTheme="majorEastAsia"/>
              </w:rPr>
              <w:t>e 3. čtvrtletí 2025</w:t>
            </w:r>
            <w:r w:rsidRPr="00777975">
              <w:rPr>
                <w:rStyle w:val="normaltextrun"/>
                <w:rFonts w:eastAsiaTheme="majorEastAsia"/>
              </w:rPr>
              <w:t xml:space="preserve"> vydáno stavební povolení,</w:t>
            </w:r>
            <w:r>
              <w:rPr>
                <w:rStyle w:val="normaltextrun"/>
                <w:rFonts w:eastAsiaTheme="majorEastAsia"/>
              </w:rPr>
              <w:t xml:space="preserve"> se meziročně zvýšila o 12,8 % (zastavil se tak pokles trvající předchozích pět kvartálů</w:t>
            </w:r>
            <w:r>
              <w:rPr>
                <w:rStyle w:val="Znakapoznpodarou"/>
                <w:rFonts w:eastAsiaTheme="majorEastAsia"/>
              </w:rPr>
              <w:footnoteReference w:id="24"/>
            </w:r>
            <w:r>
              <w:rPr>
                <w:rStyle w:val="normaltextrun"/>
                <w:rFonts w:eastAsiaTheme="majorEastAsia"/>
              </w:rPr>
              <w:t xml:space="preserve">). K tomuto pozitivnímu obratu přispěla </w:t>
            </w:r>
            <w:r>
              <w:rPr>
                <w:rStyle w:val="normaltextrun"/>
                <w:rFonts w:eastAsiaTheme="majorEastAsia"/>
              </w:rPr>
              <w:lastRenderedPageBreak/>
              <w:t xml:space="preserve">především dopravní infrastruktura (nová výstavba i opravy a modernizace), dařilo se </w:t>
            </w:r>
            <w:r>
              <w:rPr>
                <w:rStyle w:val="normaltextrun"/>
                <w:rFonts w:eastAsiaTheme="majorEastAsia"/>
              </w:rPr>
              <w:br/>
              <w:t xml:space="preserve">i ostatním inženýrským stavbám. </w:t>
            </w:r>
          </w:p>
        </w:tc>
      </w:tr>
      <w:tr w:rsidR="00307B34" w14:paraId="7B04E286" w14:textId="77777777" w:rsidTr="00135A1D">
        <w:trPr>
          <w:trHeight w:val="4537"/>
        </w:trPr>
        <w:tc>
          <w:tcPr>
            <w:tcW w:w="1814" w:type="dxa"/>
            <w:tcMar>
              <w:left w:w="0" w:type="dxa"/>
            </w:tcMar>
          </w:tcPr>
          <w:p w14:paraId="5C580A8F" w14:textId="77777777" w:rsidR="00307B34" w:rsidRPr="00EE0E68" w:rsidRDefault="00307B34" w:rsidP="00135A1D">
            <w:pPr>
              <w:pStyle w:val="Marginlie"/>
              <w:rPr>
                <w:spacing w:val="0"/>
              </w:rPr>
            </w:pPr>
            <w:r w:rsidRPr="00EE0E68">
              <w:rPr>
                <w:spacing w:val="0"/>
              </w:rPr>
              <w:lastRenderedPageBreak/>
              <w:t>Saldo důvěry podnikatelů ve stavebnictví se</w:t>
            </w:r>
            <w:r>
              <w:rPr>
                <w:spacing w:val="0"/>
              </w:rPr>
              <w:t xml:space="preserve"> po většinu roku zvyšovalo. </w:t>
            </w:r>
            <w:r w:rsidRPr="00EE0E68">
              <w:rPr>
                <w:spacing w:val="0"/>
              </w:rPr>
              <w:t>Zlepšilo se hodnocení poptávky</w:t>
            </w:r>
            <w:r>
              <w:rPr>
                <w:spacing w:val="0"/>
              </w:rPr>
              <w:t>,</w:t>
            </w:r>
            <w:r w:rsidRPr="00EE0E68">
              <w:rPr>
                <w:spacing w:val="0"/>
              </w:rPr>
              <w:t xml:space="preserve"> výhled</w:t>
            </w:r>
            <w:r>
              <w:rPr>
                <w:spacing w:val="0"/>
              </w:rPr>
              <w:t>y i</w:t>
            </w:r>
            <w:r>
              <w:rPr>
                <w:color w:val="0D0D0D" w:themeColor="text1" w:themeTint="F2"/>
                <w:spacing w:val="0"/>
              </w:rPr>
              <w:t> </w:t>
            </w:r>
            <w:r>
              <w:rPr>
                <w:spacing w:val="0"/>
              </w:rPr>
              <w:t xml:space="preserve">reálný stav </w:t>
            </w:r>
            <w:r w:rsidRPr="00EE0E68">
              <w:rPr>
                <w:spacing w:val="0"/>
              </w:rPr>
              <w:t xml:space="preserve">zaměstnanosti. </w:t>
            </w:r>
          </w:p>
        </w:tc>
        <w:tc>
          <w:tcPr>
            <w:tcW w:w="179" w:type="dxa"/>
            <w:tcMar>
              <w:left w:w="0" w:type="dxa"/>
            </w:tcMar>
          </w:tcPr>
          <w:p w14:paraId="3899F09C" w14:textId="77777777" w:rsidR="00307B34" w:rsidRPr="00EE0E68" w:rsidRDefault="00307B34" w:rsidP="00135A1D">
            <w:pPr>
              <w:pStyle w:val="Textpoznpodarou"/>
              <w:jc w:val="both"/>
            </w:pPr>
          </w:p>
        </w:tc>
        <w:tc>
          <w:tcPr>
            <w:tcW w:w="7730" w:type="dxa"/>
            <w:tcMar>
              <w:left w:w="0" w:type="dxa"/>
            </w:tcMar>
          </w:tcPr>
          <w:p w14:paraId="04B0504A" w14:textId="77777777" w:rsidR="00307B34" w:rsidRPr="00FF74BC" w:rsidRDefault="00307B34" w:rsidP="00135A1D">
            <w:pPr>
              <w:spacing w:after="200"/>
              <w:rPr>
                <w:rFonts w:eastAsia="MS Gothic"/>
              </w:rPr>
            </w:pPr>
            <w:r w:rsidRPr="00EE0E68">
              <w:rPr>
                <w:color w:val="0D0D0D" w:themeColor="text1" w:themeTint="F2"/>
              </w:rPr>
              <w:t>P</w:t>
            </w:r>
            <w:r w:rsidRPr="00EE0E68">
              <w:rPr>
                <w:rStyle w:val="normaltextrun"/>
                <w:rFonts w:eastAsiaTheme="majorEastAsia" w:cs="Arial"/>
                <w:szCs w:val="20"/>
              </w:rPr>
              <w:t>esimismus podnikatelů ve stavebnictví se od loňského podzimu zmírňoval a letos v červnu se saldo důvěry firem po více než třech letech vrátilo do kladného pásma</w:t>
            </w:r>
            <w:r>
              <w:rPr>
                <w:rStyle w:val="normaltextrun"/>
                <w:rFonts w:eastAsiaTheme="majorEastAsia" w:cs="Arial"/>
                <w:szCs w:val="20"/>
              </w:rPr>
              <w:t xml:space="preserve">. Na konci letošního roku sice došlo k mírné korekci, když saldo důvěry dosáhlo </w:t>
            </w:r>
            <w:r w:rsidRPr="00EE0E68">
              <w:rPr>
                <w:color w:val="000000" w:themeColor="text1"/>
              </w:rPr>
              <w:t>−</w:t>
            </w:r>
            <w:r>
              <w:rPr>
                <w:rStyle w:val="normaltextrun"/>
                <w:rFonts w:eastAsiaTheme="majorEastAsia" w:cs="Arial"/>
                <w:szCs w:val="20"/>
              </w:rPr>
              <w:t>4,5 bodu, v meziročním pohledu bylo však stále výrazněji vyšší.</w:t>
            </w:r>
            <w:r w:rsidRPr="00EE0E68">
              <w:rPr>
                <w:rStyle w:val="normaltextrun"/>
                <w:rFonts w:eastAsiaTheme="majorEastAsia" w:cs="Arial"/>
                <w:szCs w:val="20"/>
              </w:rPr>
              <w:t xml:space="preserve"> </w:t>
            </w:r>
            <w:r w:rsidRPr="00EE0E68">
              <w:rPr>
                <w:rStyle w:val="normaltextrun"/>
                <w:rFonts w:eastAsia="MS Gothic" w:cs="Arial"/>
                <w:szCs w:val="20"/>
              </w:rPr>
              <w:t>Přibylo podniků hodnotících současnou poptávku příznivě,</w:t>
            </w:r>
            <w:r>
              <w:rPr>
                <w:rStyle w:val="normaltextrun"/>
                <w:rFonts w:eastAsia="MS Gothic" w:cs="Arial"/>
                <w:szCs w:val="20"/>
              </w:rPr>
              <w:t xml:space="preserve"> </w:t>
            </w:r>
            <w:r w:rsidRPr="00EE0E68">
              <w:rPr>
                <w:rStyle w:val="normaltextrun"/>
                <w:rFonts w:eastAsia="MS Gothic" w:cs="Arial"/>
                <w:szCs w:val="20"/>
              </w:rPr>
              <w:t>jejich podíl (</w:t>
            </w:r>
            <w:r>
              <w:rPr>
                <w:rStyle w:val="normaltextrun"/>
                <w:rFonts w:eastAsia="MS Gothic" w:cs="Arial"/>
                <w:szCs w:val="20"/>
              </w:rPr>
              <w:t>13</w:t>
            </w:r>
            <w:r w:rsidRPr="00EE0E68">
              <w:rPr>
                <w:rStyle w:val="normaltextrun"/>
                <w:rFonts w:eastAsia="MS Gothic" w:cs="Arial"/>
                <w:szCs w:val="20"/>
              </w:rPr>
              <w:t xml:space="preserve"> %) je </w:t>
            </w:r>
            <w:r>
              <w:rPr>
                <w:rStyle w:val="normaltextrun"/>
                <w:rFonts w:eastAsia="MS Gothic" w:cs="Arial"/>
                <w:szCs w:val="20"/>
              </w:rPr>
              <w:t xml:space="preserve">však </w:t>
            </w:r>
            <w:r w:rsidRPr="00EE0E68">
              <w:rPr>
                <w:rStyle w:val="normaltextrun"/>
                <w:rFonts w:eastAsia="MS Gothic" w:cs="Arial"/>
                <w:szCs w:val="20"/>
              </w:rPr>
              <w:t>stále nižší než u nepříznivých hodnocení (2</w:t>
            </w:r>
            <w:r>
              <w:rPr>
                <w:rStyle w:val="normaltextrun"/>
                <w:rFonts w:eastAsia="MS Gothic" w:cs="Arial"/>
                <w:szCs w:val="20"/>
              </w:rPr>
              <w:t>1</w:t>
            </w:r>
            <w:r w:rsidRPr="00EE0E68">
              <w:rPr>
                <w:rStyle w:val="normaltextrun"/>
                <w:rFonts w:eastAsia="MS Gothic" w:cs="Arial"/>
                <w:szCs w:val="20"/>
              </w:rPr>
              <w:t xml:space="preserve"> %). </w:t>
            </w:r>
            <w:r>
              <w:rPr>
                <w:rStyle w:val="normaltextrun"/>
                <w:rFonts w:eastAsia="MS Gothic" w:cs="Arial"/>
                <w:szCs w:val="20"/>
              </w:rPr>
              <w:t>Mírně p</w:t>
            </w:r>
            <w:r w:rsidRPr="00EE0E68">
              <w:rPr>
                <w:rStyle w:val="normaltextrun"/>
                <w:rFonts w:eastAsia="MS Gothic" w:cs="Arial"/>
                <w:szCs w:val="20"/>
              </w:rPr>
              <w:t>ozitivní očekávání nejbližšího vývoje stavební činnosti se odrazila rovněž v plánech na nábor pracovníků</w:t>
            </w:r>
            <w:r>
              <w:rPr>
                <w:rStyle w:val="Znakapoznpodarou"/>
                <w:rFonts w:eastAsia="MS Gothic"/>
                <w:szCs w:val="20"/>
              </w:rPr>
              <w:footnoteReference w:id="25"/>
            </w:r>
            <w:r>
              <w:rPr>
                <w:rStyle w:val="normaltextrun"/>
                <w:rFonts w:eastAsia="MS Gothic" w:cs="Arial"/>
                <w:szCs w:val="20"/>
              </w:rPr>
              <w:t>, během října a listopadu 2025 ale došlo ke zhoršení výhledů (i po zohlednění sezónních vlivů)</w:t>
            </w:r>
            <w:r w:rsidRPr="00EE0E68">
              <w:rPr>
                <w:rStyle w:val="normaltextrun"/>
                <w:rFonts w:eastAsia="MS Gothic" w:cs="Arial"/>
                <w:szCs w:val="20"/>
              </w:rPr>
              <w:t>. O</w:t>
            </w:r>
            <w:r w:rsidRPr="00EE0E68">
              <w:rPr>
                <w:rStyle w:val="normaltextrun"/>
                <w:rFonts w:eastAsia="MS Gothic"/>
              </w:rPr>
              <w:t>čekávání ekonomické situace podnik</w:t>
            </w:r>
            <w:r>
              <w:rPr>
                <w:rStyle w:val="normaltextrun"/>
                <w:rFonts w:eastAsia="MS Gothic"/>
              </w:rPr>
              <w:t>ů</w:t>
            </w:r>
            <w:r w:rsidRPr="00EE0E68">
              <w:rPr>
                <w:rStyle w:val="normaltextrun"/>
                <w:rFonts w:eastAsia="MS Gothic"/>
              </w:rPr>
              <w:t xml:space="preserve"> zůstávala </w:t>
            </w:r>
            <w:r>
              <w:rPr>
                <w:rStyle w:val="normaltextrun"/>
                <w:rFonts w:eastAsia="MS Gothic"/>
              </w:rPr>
              <w:t xml:space="preserve">i s ohledem na sezónnost </w:t>
            </w:r>
            <w:r w:rsidRPr="00EE0E68">
              <w:rPr>
                <w:rStyle w:val="normaltextrun"/>
                <w:rFonts w:eastAsia="MS Gothic"/>
              </w:rPr>
              <w:t xml:space="preserve">mírně pozitivní. </w:t>
            </w:r>
            <w:r>
              <w:rPr>
                <w:rStyle w:val="normaltextrun"/>
                <w:rFonts w:eastAsia="MS Gothic"/>
              </w:rPr>
              <w:t>Výkon c</w:t>
            </w:r>
            <w:r w:rsidRPr="00EE0E68">
              <w:rPr>
                <w:rStyle w:val="normaltextrun"/>
                <w:rFonts w:eastAsia="MS Gothic"/>
              </w:rPr>
              <w:t>elé</w:t>
            </w:r>
            <w:r>
              <w:rPr>
                <w:rStyle w:val="normaltextrun"/>
                <w:rFonts w:eastAsia="MS Gothic"/>
              </w:rPr>
              <w:t>ho</w:t>
            </w:r>
            <w:r w:rsidRPr="00EE0E68">
              <w:rPr>
                <w:rStyle w:val="normaltextrun"/>
                <w:rFonts w:eastAsia="MS Gothic"/>
              </w:rPr>
              <w:t xml:space="preserve"> odvětví </w:t>
            </w:r>
            <w:r>
              <w:rPr>
                <w:rStyle w:val="normaltextrun"/>
                <w:rFonts w:eastAsia="MS Gothic"/>
              </w:rPr>
              <w:t>limitují</w:t>
            </w:r>
            <w:r w:rsidRPr="00EE0E68">
              <w:rPr>
                <w:rStyle w:val="normaltextrun"/>
                <w:rFonts w:eastAsia="MS Gothic"/>
              </w:rPr>
              <w:t xml:space="preserve"> chronické růstové bariéry</w:t>
            </w:r>
            <w:r w:rsidRPr="00EE0E68">
              <w:rPr>
                <w:rStyle w:val="Znakapoznpodarou"/>
                <w:rFonts w:eastAsia="MS Gothic"/>
              </w:rPr>
              <w:footnoteReference w:id="26"/>
            </w:r>
            <w:r w:rsidRPr="00EE0E68">
              <w:rPr>
                <w:rStyle w:val="normaltextrun"/>
                <w:rFonts w:eastAsia="MS Gothic"/>
              </w:rPr>
              <w:t>. Fakticky již sedm let v řadě je tou nejvýznamnější nedostatek (zejména kvalifikovaných) zaměstnanců (</w:t>
            </w:r>
            <w:r w:rsidRPr="00EE0E68">
              <w:rPr>
                <w:rStyle w:val="normaltextrun"/>
                <w:rFonts w:eastAsiaTheme="majorEastAsia" w:cs="Arial"/>
                <w:szCs w:val="20"/>
              </w:rPr>
              <w:t>jako jednu z bariér ji uvedl</w:t>
            </w:r>
            <w:r>
              <w:rPr>
                <w:rStyle w:val="normaltextrun"/>
                <w:rFonts w:eastAsiaTheme="majorEastAsia" w:cs="Arial"/>
                <w:szCs w:val="20"/>
              </w:rPr>
              <w:t xml:space="preserve">o přes 40 % </w:t>
            </w:r>
            <w:r w:rsidRPr="00EE0E68">
              <w:rPr>
                <w:rStyle w:val="normaltextrun"/>
                <w:rFonts w:eastAsiaTheme="majorEastAsia" w:cs="Arial"/>
                <w:szCs w:val="20"/>
              </w:rPr>
              <w:t>firem</w:t>
            </w:r>
            <w:r>
              <w:rPr>
                <w:rStyle w:val="normaltextrun"/>
                <w:rFonts w:eastAsiaTheme="majorEastAsia" w:cs="Arial"/>
                <w:szCs w:val="20"/>
              </w:rPr>
              <w:t>, stejně jako na konci loňského roku</w:t>
            </w:r>
            <w:r w:rsidRPr="00EE0E68">
              <w:rPr>
                <w:rStyle w:val="normaltextrun"/>
                <w:rFonts w:eastAsiaTheme="majorEastAsia" w:cs="Arial"/>
                <w:szCs w:val="20"/>
              </w:rPr>
              <w:t>)</w:t>
            </w:r>
            <w:r w:rsidRPr="00EE0E68">
              <w:rPr>
                <w:rStyle w:val="normaltextrun"/>
                <w:rFonts w:eastAsia="MS Gothic"/>
              </w:rPr>
              <w:t xml:space="preserve">. Nedostatečná poptávka </w:t>
            </w:r>
            <w:r>
              <w:rPr>
                <w:rStyle w:val="normaltextrun"/>
                <w:rFonts w:eastAsia="MS Gothic"/>
              </w:rPr>
              <w:t>omezovala</w:t>
            </w:r>
            <w:r w:rsidRPr="00EE0E68">
              <w:rPr>
                <w:rStyle w:val="normaltextrun"/>
                <w:rFonts w:eastAsia="MS Gothic"/>
              </w:rPr>
              <w:t xml:space="preserve"> třetinu firem</w:t>
            </w:r>
            <w:r w:rsidRPr="00EE0E68">
              <w:rPr>
                <w:rStyle w:val="Znakapoznpodarou"/>
                <w:rFonts w:eastAsia="MS Gothic"/>
              </w:rPr>
              <w:footnoteReference w:id="27"/>
            </w:r>
            <w:r w:rsidRPr="00EE0E68">
              <w:rPr>
                <w:rStyle w:val="normaltextrun"/>
                <w:rFonts w:eastAsia="MS Gothic"/>
              </w:rPr>
              <w:t xml:space="preserve"> a tento podíl se meziročně mírně zvýšil. Příznivé naopak je, že problém s nedostatkem materiálu či vybavení, který byl významný v letech 2021 až 2024, letos z velké části vymizel</w:t>
            </w:r>
            <w:r>
              <w:rPr>
                <w:rStyle w:val="normaltextrun"/>
                <w:rFonts w:eastAsia="MS Gothic"/>
              </w:rPr>
              <w:t xml:space="preserve"> (6 %, o rok dříve 18 %)</w:t>
            </w:r>
            <w:r w:rsidRPr="00EE0E68">
              <w:rPr>
                <w:rStyle w:val="normaltextrun"/>
                <w:rFonts w:eastAsia="MS Gothic"/>
              </w:rPr>
              <w:t xml:space="preserve">. To přispělo ke stabilizaci cen stavebních materiálů i </w:t>
            </w:r>
            <w:r w:rsidRPr="00ED12C0">
              <w:rPr>
                <w:rStyle w:val="normaltextrun"/>
                <w:rFonts w:eastAsiaTheme="majorEastAsia"/>
              </w:rPr>
              <w:t>zmírnění o</w:t>
            </w:r>
            <w:r>
              <w:rPr>
                <w:rStyle w:val="normaltextrun"/>
                <w:rFonts w:eastAsia="MS Gothic"/>
              </w:rPr>
              <w:t xml:space="preserve">čekávaného </w:t>
            </w:r>
            <w:r w:rsidRPr="00EE0E68">
              <w:rPr>
                <w:rStyle w:val="normaltextrun"/>
                <w:rFonts w:eastAsia="MS Gothic"/>
              </w:rPr>
              <w:t>růstu cen celkové stavební produkce</w:t>
            </w:r>
            <w:r w:rsidRPr="00EE0E68">
              <w:rPr>
                <w:rStyle w:val="Znakapoznpodarou"/>
                <w:rFonts w:eastAsia="MS Gothic"/>
              </w:rPr>
              <w:footnoteReference w:id="28"/>
            </w:r>
            <w:r w:rsidRPr="00EE0E68">
              <w:rPr>
                <w:rStyle w:val="normaltextrun"/>
                <w:rFonts w:eastAsia="MS Gothic"/>
              </w:rPr>
              <w:t>.</w:t>
            </w:r>
          </w:p>
        </w:tc>
      </w:tr>
      <w:tr w:rsidR="00307B34" w14:paraId="6E94792E" w14:textId="77777777" w:rsidTr="00135A1D">
        <w:trPr>
          <w:trHeight w:val="155"/>
        </w:trPr>
        <w:tc>
          <w:tcPr>
            <w:tcW w:w="1814" w:type="dxa"/>
            <w:tcMar>
              <w:left w:w="0" w:type="dxa"/>
            </w:tcMar>
          </w:tcPr>
          <w:p w14:paraId="05731F00" w14:textId="77777777" w:rsidR="00307B34" w:rsidRDefault="00307B34" w:rsidP="00135A1D">
            <w:pPr>
              <w:pStyle w:val="Marginlie"/>
              <w:rPr>
                <w:color w:val="0D0D0D" w:themeColor="text1" w:themeTint="F2"/>
                <w:spacing w:val="-4"/>
              </w:rPr>
            </w:pPr>
            <w:proofErr w:type="spellStart"/>
            <w:r>
              <w:rPr>
                <w:color w:val="0D0D0D" w:themeColor="text1" w:themeTint="F2"/>
                <w:spacing w:val="-4"/>
              </w:rPr>
              <w:t>Mezikvartální</w:t>
            </w:r>
            <w:proofErr w:type="spellEnd"/>
            <w:r>
              <w:rPr>
                <w:color w:val="0D0D0D" w:themeColor="text1" w:themeTint="F2"/>
                <w:spacing w:val="-4"/>
              </w:rPr>
              <w:t xml:space="preserve"> růst tržeb ve službách se během letošního roku zastavil. Růstový potenciál se aktuálně vyčerpal hlavně v odvětvích vázaných na vývoj v průmyslu.</w:t>
            </w:r>
          </w:p>
          <w:p w14:paraId="2C790144" w14:textId="77777777" w:rsidR="00307B34" w:rsidRPr="00EE0E68" w:rsidRDefault="00307B34" w:rsidP="00135A1D">
            <w:pPr>
              <w:pStyle w:val="Marginlie"/>
              <w:rPr>
                <w:spacing w:val="0"/>
              </w:rPr>
            </w:pPr>
          </w:p>
        </w:tc>
        <w:tc>
          <w:tcPr>
            <w:tcW w:w="179" w:type="dxa"/>
            <w:tcMar>
              <w:left w:w="0" w:type="dxa"/>
            </w:tcMar>
          </w:tcPr>
          <w:p w14:paraId="3932655F" w14:textId="77777777" w:rsidR="00307B34" w:rsidRPr="00EE0E68" w:rsidRDefault="00307B34" w:rsidP="00135A1D">
            <w:pPr>
              <w:pStyle w:val="Textpoznpodarou"/>
              <w:jc w:val="both"/>
            </w:pPr>
          </w:p>
        </w:tc>
        <w:tc>
          <w:tcPr>
            <w:tcW w:w="7730" w:type="dxa"/>
            <w:tcMar>
              <w:left w:w="0" w:type="dxa"/>
            </w:tcMar>
          </w:tcPr>
          <w:p w14:paraId="5D67B4EB" w14:textId="77777777" w:rsidR="00307B34" w:rsidRPr="00EE0E68" w:rsidRDefault="00307B34" w:rsidP="00135A1D">
            <w:pPr>
              <w:spacing w:after="200"/>
              <w:rPr>
                <w:rFonts w:cs="Arial"/>
                <w:szCs w:val="20"/>
              </w:rPr>
            </w:pPr>
            <w:r w:rsidRPr="006B7463">
              <w:rPr>
                <w:color w:val="0D0D0D" w:themeColor="text1" w:themeTint="F2"/>
                <w:spacing w:val="-6"/>
              </w:rPr>
              <w:t>Na přelomu let 2023 a 2024 nastal</w:t>
            </w:r>
            <w:r>
              <w:rPr>
                <w:color w:val="0D0D0D" w:themeColor="text1" w:themeTint="F2"/>
                <w:spacing w:val="-6"/>
              </w:rPr>
              <w:t xml:space="preserve"> </w:t>
            </w:r>
            <w:r w:rsidRPr="006B7463">
              <w:rPr>
                <w:color w:val="0D0D0D" w:themeColor="text1" w:themeTint="F2"/>
                <w:spacing w:val="-6"/>
              </w:rPr>
              <w:t>pozitivní obrat poptávky po službách a tento vývoj pokračoval i na počátku letošního roku.</w:t>
            </w:r>
            <w:r>
              <w:rPr>
                <w:color w:val="0D0D0D" w:themeColor="text1" w:themeTint="F2"/>
                <w:spacing w:val="-6"/>
              </w:rPr>
              <w:t xml:space="preserve"> </w:t>
            </w:r>
            <w:r w:rsidRPr="006B7463">
              <w:rPr>
                <w:color w:val="0D0D0D" w:themeColor="text1" w:themeTint="F2"/>
                <w:spacing w:val="-4"/>
              </w:rPr>
              <w:t>Stabilizace hladiny spotřebitelských cen pomohla opět nastartovat růst reálných mezd zaměstnanců, což se odrazilo v příznivější finanční situaci domácností a následně stimulovalo jejich spotřebu. Na služby působila pozitivně i</w:t>
            </w:r>
            <w:r w:rsidRPr="00EE0E68">
              <w:rPr>
                <w:rStyle w:val="normaltextrun"/>
                <w:rFonts w:eastAsia="MS Gothic"/>
              </w:rPr>
              <w:t> </w:t>
            </w:r>
            <w:r w:rsidRPr="006B7463">
              <w:rPr>
                <w:color w:val="0D0D0D" w:themeColor="text1" w:themeTint="F2"/>
                <w:spacing w:val="-4"/>
              </w:rPr>
              <w:t xml:space="preserve">mírně rostoucí podniková poptávka. </w:t>
            </w:r>
            <w:proofErr w:type="spellStart"/>
            <w:r w:rsidRPr="006B7463">
              <w:rPr>
                <w:color w:val="0D0D0D" w:themeColor="text1" w:themeTint="F2"/>
                <w:spacing w:val="-4"/>
              </w:rPr>
              <w:t>Mezikvartální</w:t>
            </w:r>
            <w:proofErr w:type="spellEnd"/>
            <w:r w:rsidRPr="006B7463">
              <w:rPr>
                <w:color w:val="0D0D0D" w:themeColor="text1" w:themeTint="F2"/>
                <w:spacing w:val="-4"/>
              </w:rPr>
              <w:t xml:space="preserve"> růst </w:t>
            </w:r>
            <w:r w:rsidRPr="006B7463">
              <w:rPr>
                <w:rFonts w:cs="Arial"/>
                <w:color w:val="0D0D0D" w:themeColor="text1" w:themeTint="F2"/>
                <w:spacing w:val="-6"/>
              </w:rPr>
              <w:t>tržeb ve službách</w:t>
            </w:r>
            <w:r w:rsidRPr="006B7463">
              <w:rPr>
                <w:color w:val="0D0D0D" w:themeColor="text1" w:themeTint="F2"/>
                <w:spacing w:val="-6"/>
                <w:vertAlign w:val="superscript"/>
              </w:rPr>
              <w:footnoteReference w:id="29"/>
            </w:r>
            <w:r w:rsidRPr="006B7463">
              <w:rPr>
                <w:rFonts w:cs="Arial"/>
                <w:color w:val="0D0D0D" w:themeColor="text1" w:themeTint="F2"/>
                <w:spacing w:val="-6"/>
              </w:rPr>
              <w:t xml:space="preserve"> na počátku</w:t>
            </w:r>
            <w:r>
              <w:rPr>
                <w:rFonts w:cs="Arial"/>
                <w:color w:val="0D0D0D" w:themeColor="text1" w:themeTint="F2"/>
                <w:spacing w:val="-6"/>
              </w:rPr>
              <w:t xml:space="preserve"> letošního roku proto zrychlil (na 1,5 %). V následujícím kvartálu se ovšem růst zastavil a ve 3.</w:t>
            </w:r>
            <w:r w:rsidRPr="00EE0E68">
              <w:rPr>
                <w:rStyle w:val="normaltextrun"/>
                <w:rFonts w:eastAsia="MS Gothic"/>
              </w:rPr>
              <w:t> </w:t>
            </w:r>
            <w:r>
              <w:rPr>
                <w:rFonts w:cs="Arial"/>
                <w:color w:val="0D0D0D" w:themeColor="text1" w:themeTint="F2"/>
                <w:spacing w:val="-6"/>
              </w:rPr>
              <w:t>čtvrtletí se dokonce mírně snížil (o 0,7 %). Tento vývoj souvisel především se slabšími výkony v dopravě a skladování, které zřetelně odrážely zhoršení situace v průmyslu. Nicméně i</w:t>
            </w:r>
            <w:r w:rsidRPr="00EE0E68">
              <w:rPr>
                <w:rStyle w:val="normaltextrun"/>
                <w:rFonts w:eastAsia="MS Gothic"/>
              </w:rPr>
              <w:t> </w:t>
            </w:r>
            <w:r>
              <w:rPr>
                <w:rFonts w:cs="Arial"/>
                <w:color w:val="0D0D0D" w:themeColor="text1" w:themeTint="F2"/>
                <w:spacing w:val="-6"/>
              </w:rPr>
              <w:t>v dalších odvětvích služeb byla patrná určitá korekce příznivého vývoje z počátku letošního roku. K </w:t>
            </w:r>
            <w:proofErr w:type="spellStart"/>
            <w:r>
              <w:rPr>
                <w:rFonts w:cs="Arial"/>
                <w:color w:val="0D0D0D" w:themeColor="text1" w:themeTint="F2"/>
                <w:spacing w:val="-6"/>
              </w:rPr>
              <w:t>mezikvartálnímu</w:t>
            </w:r>
            <w:proofErr w:type="spellEnd"/>
            <w:r>
              <w:rPr>
                <w:rFonts w:cs="Arial"/>
                <w:color w:val="0D0D0D" w:themeColor="text1" w:themeTint="F2"/>
                <w:spacing w:val="-6"/>
              </w:rPr>
              <w:t xml:space="preserve"> růstu tak ve 3. čtvrtletí přispívala jen většina vyspělých podnikových služeb a také aktivity vázané na cestovní ruch. Navzdory této korekci se c</w:t>
            </w:r>
            <w:r w:rsidRPr="006B7463">
              <w:rPr>
                <w:rFonts w:cs="Arial"/>
                <w:color w:val="0D0D0D" w:themeColor="text1" w:themeTint="F2"/>
                <w:spacing w:val="-6"/>
              </w:rPr>
              <w:t>elkové tržby ve službách aktuálně nacházely mírně nad úrovní z vrcholu předpandemické konju</w:t>
            </w:r>
            <w:r>
              <w:rPr>
                <w:rFonts w:cs="Arial"/>
                <w:color w:val="0D0D0D" w:themeColor="text1" w:themeTint="F2"/>
                <w:spacing w:val="-6"/>
              </w:rPr>
              <w:t>n</w:t>
            </w:r>
            <w:r w:rsidRPr="006B7463">
              <w:rPr>
                <w:rFonts w:cs="Arial"/>
                <w:color w:val="0D0D0D" w:themeColor="text1" w:themeTint="F2"/>
                <w:spacing w:val="-6"/>
              </w:rPr>
              <w:t>ktury</w:t>
            </w:r>
            <w:r w:rsidRPr="006B7463">
              <w:rPr>
                <w:rStyle w:val="Znakapoznpodarou"/>
                <w:color w:val="0D0D0D" w:themeColor="text1" w:themeTint="F2"/>
                <w:spacing w:val="-6"/>
              </w:rPr>
              <w:footnoteReference w:id="30"/>
            </w:r>
            <w:r w:rsidRPr="006B7463">
              <w:rPr>
                <w:rFonts w:cs="Arial"/>
                <w:color w:val="0D0D0D" w:themeColor="text1" w:themeTint="F2"/>
                <w:spacing w:val="-6"/>
              </w:rPr>
              <w:t>.</w:t>
            </w:r>
          </w:p>
        </w:tc>
      </w:tr>
      <w:tr w:rsidR="00307B34" w:rsidRPr="006B7463" w14:paraId="4203BA3B" w14:textId="77777777" w:rsidTr="00135A1D">
        <w:trPr>
          <w:trHeight w:val="170"/>
        </w:trPr>
        <w:tc>
          <w:tcPr>
            <w:tcW w:w="1814" w:type="dxa"/>
            <w:tcMar>
              <w:left w:w="0" w:type="dxa"/>
            </w:tcMar>
          </w:tcPr>
          <w:p w14:paraId="50F9C36F" w14:textId="77777777" w:rsidR="00307B34" w:rsidRDefault="00307B34" w:rsidP="00135A1D">
            <w:pPr>
              <w:pStyle w:val="Marginlie"/>
            </w:pPr>
            <w:r>
              <w:t>K meziročnímu růstu tržeb ve službách letos přispívala nejvíce oblast ICT, kde se dařilo hlavně telekomunikacím.</w:t>
            </w:r>
          </w:p>
        </w:tc>
        <w:tc>
          <w:tcPr>
            <w:tcW w:w="179" w:type="dxa"/>
            <w:tcMar>
              <w:left w:w="0" w:type="dxa"/>
            </w:tcMar>
          </w:tcPr>
          <w:p w14:paraId="18CB5E8E" w14:textId="77777777" w:rsidR="00307B34" w:rsidRPr="006B7463" w:rsidRDefault="00307B34" w:rsidP="00135A1D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4CF73046" w14:textId="77777777" w:rsidR="00307B34" w:rsidRPr="00723CA0" w:rsidRDefault="00307B34" w:rsidP="00135A1D">
            <w:pPr>
              <w:spacing w:after="200"/>
              <w:rPr>
                <w:color w:val="0D0D0D" w:themeColor="text1" w:themeTint="F2"/>
                <w:spacing w:val="-6"/>
              </w:rPr>
            </w:pPr>
            <w:r w:rsidRPr="006B7463">
              <w:rPr>
                <w:bCs/>
                <w:color w:val="0D0D0D" w:themeColor="text1" w:themeTint="F2"/>
              </w:rPr>
              <w:t>Za celé 1.</w:t>
            </w:r>
            <w:r>
              <w:rPr>
                <w:bCs/>
                <w:color w:val="0D0D0D" w:themeColor="text1" w:themeTint="F2"/>
              </w:rPr>
              <w:t xml:space="preserve"> až 3. čtvrtletí</w:t>
            </w:r>
            <w:r w:rsidRPr="006B7463">
              <w:rPr>
                <w:bCs/>
                <w:color w:val="0D0D0D" w:themeColor="text1" w:themeTint="F2"/>
              </w:rPr>
              <w:t xml:space="preserve"> 2025 se</w:t>
            </w:r>
            <w:r w:rsidRPr="006B7463">
              <w:rPr>
                <w:color w:val="0D0D0D" w:themeColor="text1" w:themeTint="F2"/>
                <w:spacing w:val="-6"/>
              </w:rPr>
              <w:t xml:space="preserve"> tržby ve </w:t>
            </w:r>
            <w:r>
              <w:rPr>
                <w:color w:val="0D0D0D" w:themeColor="text1" w:themeTint="F2"/>
                <w:spacing w:val="-6"/>
              </w:rPr>
              <w:t>službách zvýšily meziročně o 1,8</w:t>
            </w:r>
            <w:r w:rsidRPr="006B7463">
              <w:rPr>
                <w:color w:val="0D0D0D" w:themeColor="text1" w:themeTint="F2"/>
                <w:spacing w:val="-6"/>
              </w:rPr>
              <w:t xml:space="preserve"> %</w:t>
            </w:r>
            <w:r>
              <w:rPr>
                <w:color w:val="0D0D0D" w:themeColor="text1" w:themeTint="F2"/>
                <w:spacing w:val="-6"/>
              </w:rPr>
              <w:t xml:space="preserve"> (ve srovnání s loňským tempem šlo o mírně zpomalení). Na tomto růstu se skoro z poloviny</w:t>
            </w:r>
            <w:r w:rsidRPr="006B7463">
              <w:rPr>
                <w:color w:val="0D0D0D" w:themeColor="text1" w:themeTint="F2"/>
                <w:spacing w:val="-6"/>
              </w:rPr>
              <w:t xml:space="preserve"> podílely informační a komunikační činnosti</w:t>
            </w:r>
            <w:r>
              <w:rPr>
                <w:color w:val="0D0D0D" w:themeColor="text1" w:themeTint="F2"/>
                <w:spacing w:val="-6"/>
              </w:rPr>
              <w:t>, jimž tržby vzrostly o rovná 3 %. Oblast ICT těžila</w:t>
            </w:r>
            <w:r w:rsidRPr="006B7463">
              <w:rPr>
                <w:color w:val="0D0D0D" w:themeColor="text1" w:themeTint="F2"/>
                <w:spacing w:val="-6"/>
              </w:rPr>
              <w:t xml:space="preserve"> </w:t>
            </w:r>
            <w:r>
              <w:rPr>
                <w:color w:val="0D0D0D" w:themeColor="text1" w:themeTint="F2"/>
                <w:spacing w:val="-6"/>
              </w:rPr>
              <w:t xml:space="preserve">hlavně </w:t>
            </w:r>
            <w:r w:rsidRPr="006B7463">
              <w:rPr>
                <w:color w:val="0D0D0D" w:themeColor="text1" w:themeTint="F2"/>
                <w:spacing w:val="-6"/>
              </w:rPr>
              <w:t>z výrazného oživ</w:t>
            </w:r>
            <w:r>
              <w:rPr>
                <w:color w:val="0D0D0D" w:themeColor="text1" w:themeTint="F2"/>
                <w:spacing w:val="-6"/>
              </w:rPr>
              <w:t>ení výkonu telekomunikací (+7,5</w:t>
            </w:r>
            <w:r w:rsidRPr="006B7463">
              <w:rPr>
                <w:color w:val="0D0D0D" w:themeColor="text1" w:themeTint="F2"/>
                <w:spacing w:val="-6"/>
              </w:rPr>
              <w:t xml:space="preserve"> %, nejvyššího </w:t>
            </w:r>
            <w:r>
              <w:rPr>
                <w:color w:val="0D0D0D" w:themeColor="text1" w:themeTint="F2"/>
                <w:spacing w:val="-6"/>
              </w:rPr>
              <w:t xml:space="preserve">po </w:t>
            </w:r>
            <w:r w:rsidRPr="006B7463">
              <w:rPr>
                <w:color w:val="0D0D0D" w:themeColor="text1" w:themeTint="F2"/>
                <w:spacing w:val="-6"/>
              </w:rPr>
              <w:t>ro</w:t>
            </w:r>
            <w:r>
              <w:rPr>
                <w:color w:val="0D0D0D" w:themeColor="text1" w:themeTint="F2"/>
                <w:spacing w:val="-6"/>
              </w:rPr>
              <w:t>ce</w:t>
            </w:r>
            <w:r w:rsidRPr="006B7463">
              <w:rPr>
                <w:color w:val="0D0D0D" w:themeColor="text1" w:themeTint="F2"/>
                <w:spacing w:val="-6"/>
              </w:rPr>
              <w:t xml:space="preserve"> 2005), </w:t>
            </w:r>
            <w:r>
              <w:rPr>
                <w:color w:val="0D0D0D" w:themeColor="text1" w:themeTint="F2"/>
                <w:spacing w:val="-6"/>
              </w:rPr>
              <w:t xml:space="preserve">svižně však rostly i tržby </w:t>
            </w:r>
            <w:r>
              <w:rPr>
                <w:rFonts w:cs="Arial"/>
                <w:color w:val="0D0D0D" w:themeColor="text1" w:themeTint="F2"/>
                <w:spacing w:val="-6"/>
              </w:rPr>
              <w:t>informačním činnostem</w:t>
            </w:r>
            <w:r>
              <w:rPr>
                <w:rStyle w:val="Znakapoznpodarou"/>
                <w:color w:val="0D0D0D" w:themeColor="text1" w:themeTint="F2"/>
                <w:spacing w:val="-6"/>
              </w:rPr>
              <w:footnoteReference w:id="31"/>
            </w:r>
            <w:r>
              <w:rPr>
                <w:rFonts w:cs="Arial"/>
                <w:color w:val="0D0D0D" w:themeColor="text1" w:themeTint="F2"/>
                <w:spacing w:val="-6"/>
              </w:rPr>
              <w:t>, v nichž se dříve dynamický růst poptávky v předchozích třech letech zastavil. V dlouhodobě silně se rozvíjejících činnostech v oblasti IT</w:t>
            </w:r>
            <w:r>
              <w:rPr>
                <w:rStyle w:val="Znakapoznpodarou"/>
                <w:color w:val="0D0D0D" w:themeColor="text1" w:themeTint="F2"/>
                <w:spacing w:val="-6"/>
              </w:rPr>
              <w:footnoteReference w:id="32"/>
            </w:r>
            <w:r>
              <w:rPr>
                <w:rFonts w:cs="Arial"/>
                <w:color w:val="0D0D0D" w:themeColor="text1" w:themeTint="F2"/>
                <w:spacing w:val="-6"/>
              </w:rPr>
              <w:t xml:space="preserve"> rostly letos tržby mírněji (+2,2 %, o polovinu méně než ve stejném období loni). Naopak po útlumu v letech 2023 i 2024 mírně ožily </w:t>
            </w:r>
            <w:r>
              <w:rPr>
                <w:color w:val="0D0D0D" w:themeColor="text1" w:themeTint="F2"/>
                <w:spacing w:val="-6"/>
              </w:rPr>
              <w:t xml:space="preserve">vydavatelské činnosti (nejvíce v oblasti SW). </w:t>
            </w:r>
            <w:r>
              <w:rPr>
                <w:rFonts w:cs="Arial"/>
                <w:color w:val="0D0D0D" w:themeColor="text1" w:themeTint="F2"/>
                <w:spacing w:val="-6"/>
              </w:rPr>
              <w:t xml:space="preserve">V malém segmentu ICT </w:t>
            </w:r>
            <w:r>
              <w:rPr>
                <w:rFonts w:cs="Arial"/>
                <w:color w:val="0D0D0D" w:themeColor="text1" w:themeTint="F2"/>
                <w:spacing w:val="-6"/>
              </w:rPr>
              <w:lastRenderedPageBreak/>
              <w:t>– filmovém a hudebním průmyslu – se tržby po loňském propadu</w:t>
            </w:r>
            <w:r>
              <w:rPr>
                <w:rStyle w:val="Znakapoznpodarou"/>
                <w:color w:val="0D0D0D" w:themeColor="text1" w:themeTint="F2"/>
                <w:spacing w:val="-6"/>
              </w:rPr>
              <w:footnoteReference w:id="33"/>
            </w:r>
            <w:r>
              <w:rPr>
                <w:rFonts w:cs="Arial"/>
                <w:color w:val="0D0D0D" w:themeColor="text1" w:themeTint="F2"/>
                <w:spacing w:val="-6"/>
              </w:rPr>
              <w:t xml:space="preserve"> stabilizovaly (–2,1 %</w:t>
            </w:r>
            <w:r>
              <w:rPr>
                <w:rStyle w:val="Znakapoznpodarou"/>
                <w:color w:val="0D0D0D" w:themeColor="text1" w:themeTint="F2"/>
                <w:spacing w:val="-6"/>
              </w:rPr>
              <w:footnoteReference w:id="34"/>
            </w:r>
            <w:r>
              <w:rPr>
                <w:rFonts w:cs="Arial"/>
                <w:color w:val="0D0D0D" w:themeColor="text1" w:themeTint="F2"/>
                <w:spacing w:val="-6"/>
              </w:rPr>
              <w:t xml:space="preserve">) </w:t>
            </w:r>
            <w:r>
              <w:rPr>
                <w:rFonts w:cs="Arial"/>
                <w:color w:val="0D0D0D" w:themeColor="text1" w:themeTint="F2"/>
                <w:spacing w:val="-6"/>
              </w:rPr>
              <w:br/>
              <w:t>a oproti roku 2019 byly nižší o více než 30 %. V tvorbě televizních a rozhlasových programů, ve které jako jednom z mála dílčích odvětví služeb výrazněji nepropadla poptávka během „pandemického roku“ 2020, letos tržby proti loňsku klesly o 14,5 % (nejvíce po roce 2009).</w:t>
            </w:r>
          </w:p>
        </w:tc>
      </w:tr>
      <w:tr w:rsidR="00307B34" w:rsidRPr="006B7463" w14:paraId="0C645ED4" w14:textId="77777777" w:rsidTr="00135A1D">
        <w:trPr>
          <w:trHeight w:val="170"/>
        </w:trPr>
        <w:tc>
          <w:tcPr>
            <w:tcW w:w="1814" w:type="dxa"/>
            <w:tcMar>
              <w:left w:w="0" w:type="dxa"/>
            </w:tcMar>
          </w:tcPr>
          <w:p w14:paraId="240C4A3E" w14:textId="77777777" w:rsidR="00307B34" w:rsidRDefault="00307B34" w:rsidP="00135A1D">
            <w:pPr>
              <w:pStyle w:val="Marginlie"/>
            </w:pPr>
            <w:r>
              <w:lastRenderedPageBreak/>
              <w:t>Ve vyspělých službách pro podniky rostla poptávka nejvíce u</w:t>
            </w:r>
            <w:r>
              <w:rPr>
                <w:color w:val="0D0D0D" w:themeColor="text1" w:themeTint="F2"/>
                <w:spacing w:val="0"/>
              </w:rPr>
              <w:t> </w:t>
            </w:r>
            <w:r>
              <w:t>právních činností a</w:t>
            </w:r>
            <w:r>
              <w:rPr>
                <w:color w:val="0D0D0D" w:themeColor="text1" w:themeTint="F2"/>
                <w:spacing w:val="0"/>
              </w:rPr>
              <w:t> </w:t>
            </w:r>
            <w:r>
              <w:t>poradenství v oblasti vedení podniků. Naopak reálné tržby za reklamu se dále snižovaly.</w:t>
            </w:r>
          </w:p>
        </w:tc>
        <w:tc>
          <w:tcPr>
            <w:tcW w:w="179" w:type="dxa"/>
            <w:tcMar>
              <w:left w:w="0" w:type="dxa"/>
            </w:tcMar>
          </w:tcPr>
          <w:p w14:paraId="0688FA14" w14:textId="77777777" w:rsidR="00307B34" w:rsidRPr="006B7463" w:rsidRDefault="00307B34" w:rsidP="00135A1D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4FEE84AA" w14:textId="77777777" w:rsidR="00307B34" w:rsidRPr="00765ACC" w:rsidRDefault="00307B34" w:rsidP="00135A1D">
            <w:pPr>
              <w:spacing w:after="200"/>
              <w:rPr>
                <w:rFonts w:cs="Arial"/>
                <w:color w:val="0D0D0D" w:themeColor="text1" w:themeTint="F2"/>
                <w:spacing w:val="-4"/>
                <w:szCs w:val="20"/>
              </w:rPr>
            </w:pPr>
            <w:r w:rsidRPr="00A05E70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Rozvoj poptávky po podnikových službách byl 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na rozdíl od roku 2024 </w:t>
            </w:r>
            <w:r w:rsidRPr="00A05E70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letos soustředěn téměř výhradně do odvětví profesních, vědeckých a technických činností, v němž 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letos za tři čtvrtletí</w:t>
            </w:r>
            <w:r w:rsidRPr="00A05E70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tržby </w:t>
            </w:r>
            <w:r w:rsidRPr="00A05E70">
              <w:rPr>
                <w:rFonts w:cs="Arial"/>
                <w:color w:val="0D0D0D" w:themeColor="text1" w:themeTint="F2"/>
                <w:spacing w:val="-4"/>
                <w:szCs w:val="20"/>
              </w:rPr>
              <w:t>mezi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ročně posílily o 2,7</w:t>
            </w:r>
            <w:r w:rsidRPr="00A05E70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% 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(obdobně jako v předchozích dvou letech). S výjimkou reklamních činností</w:t>
            </w:r>
            <w:r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35"/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se zde dařilo všem dílčím oborům. Rozvoj celého odvětví byl tažen č</w:t>
            </w:r>
            <w:r w:rsidRPr="00B33FEE">
              <w:rPr>
                <w:rFonts w:cs="Arial"/>
                <w:color w:val="0D0D0D" w:themeColor="text1" w:themeTint="F2"/>
                <w:spacing w:val="-4"/>
                <w:szCs w:val="20"/>
              </w:rPr>
              <w:t>innost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m</w:t>
            </w:r>
            <w:r w:rsidRPr="00B33FEE">
              <w:rPr>
                <w:rFonts w:cs="Arial"/>
                <w:color w:val="0D0D0D" w:themeColor="text1" w:themeTint="F2"/>
                <w:spacing w:val="-4"/>
                <w:szCs w:val="20"/>
              </w:rPr>
              <w:t>i vedení podniků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a </w:t>
            </w:r>
            <w:r w:rsidRPr="00B33FEE">
              <w:rPr>
                <w:rFonts w:cs="Arial"/>
                <w:color w:val="0D0D0D" w:themeColor="text1" w:themeTint="F2"/>
                <w:spacing w:val="-4"/>
                <w:szCs w:val="20"/>
              </w:rPr>
              <w:t>poradenství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m</w:t>
            </w:r>
            <w:r w:rsidRPr="00B33FEE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v oblasti řízení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, kde růst tržeb zrychlil na 9,5 % </w:t>
            </w:r>
            <w:r>
              <w:rPr>
                <w:rFonts w:cs="Arial"/>
                <w:color w:val="0D0D0D" w:themeColor="text1" w:themeTint="F2"/>
                <w:spacing w:val="-6"/>
              </w:rPr>
              <w:t>–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tedy na čtyřleté maximum. Rovněž poptávka v dlouhodobě rostoucích právnických a účetnických činnostech posilovala (na 4,4 %)</w:t>
            </w:r>
            <w:r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36"/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.</w:t>
            </w:r>
            <w:r w:rsidRPr="00612F66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Dynamičtější</w:t>
            </w:r>
            <w:r w:rsidRPr="00612F66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růst poptávk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y pokračoval druhým rokem</w:t>
            </w:r>
            <w:r w:rsidRPr="00612F66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v diverzifikovaném segmentu </w:t>
            </w:r>
            <w:r w:rsidRPr="00612F66">
              <w:rPr>
                <w:spacing w:val="-4"/>
              </w:rPr>
              <w:t>ostatních profesních, vě</w:t>
            </w:r>
            <w:r>
              <w:rPr>
                <w:spacing w:val="-4"/>
              </w:rPr>
              <w:t>deckých a technických činností (+5,9 %)</w:t>
            </w:r>
            <w:r w:rsidRPr="00612F66">
              <w:rPr>
                <w:rStyle w:val="Znakapoznpodarou"/>
                <w:spacing w:val="-4"/>
              </w:rPr>
              <w:footnoteReference w:id="37"/>
            </w:r>
            <w:r>
              <w:rPr>
                <w:spacing w:val="-4"/>
              </w:rPr>
              <w:t xml:space="preserve"> a</w:t>
            </w:r>
            <w:r w:rsidRPr="00612F66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v samotném 2. čtvrtletí 2025 se zde </w:t>
            </w:r>
            <w:r w:rsidRPr="00612F66">
              <w:rPr>
                <w:spacing w:val="-4"/>
              </w:rPr>
              <w:t>tržb</w:t>
            </w:r>
            <w:r>
              <w:rPr>
                <w:spacing w:val="-4"/>
              </w:rPr>
              <w:t xml:space="preserve">y poprvé dorovnaly úrovni ze stejného období roku 2019. </w:t>
            </w:r>
            <w:r w:rsidRPr="00612F66">
              <w:rPr>
                <w:rFonts w:cs="Arial"/>
                <w:color w:val="0D0D0D" w:themeColor="text1" w:themeTint="F2"/>
                <w:spacing w:val="-4"/>
                <w:szCs w:val="20"/>
              </w:rPr>
              <w:t>V</w:t>
            </w:r>
            <w:r w:rsidRPr="00612F66">
              <w:rPr>
                <w:spacing w:val="-4"/>
              </w:rPr>
              <w:t xml:space="preserve"> a</w:t>
            </w:r>
            <w:r w:rsidRPr="00612F66">
              <w:rPr>
                <w:rFonts w:cs="Arial"/>
                <w:color w:val="0D0D0D" w:themeColor="text1" w:themeTint="F2"/>
                <w:spacing w:val="-4"/>
                <w:szCs w:val="20"/>
              </w:rPr>
              <w:t>rchitektonických a 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inženýrských činnostech</w:t>
            </w:r>
            <w:r w:rsidRPr="00612F66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vzrostly tržby 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navzdory svižnému rozvoji stavebnictví meziročně mírněji (+2</w:t>
            </w:r>
            <w:r w:rsidRPr="00612F66">
              <w:rPr>
                <w:rFonts w:cs="Arial"/>
                <w:color w:val="0D0D0D" w:themeColor="text1" w:themeTint="F2"/>
                <w:spacing w:val="-4"/>
                <w:szCs w:val="20"/>
              </w:rPr>
              <w:t>,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9</w:t>
            </w:r>
            <w:r w:rsidRPr="00612F66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%),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ve srovnání s úrovní z konce minulé dekády však byly znatelně vyšší (+16 %).</w:t>
            </w:r>
          </w:p>
        </w:tc>
      </w:tr>
      <w:tr w:rsidR="00307B34" w:rsidRPr="00A05E70" w14:paraId="35662980" w14:textId="77777777" w:rsidTr="00135A1D">
        <w:trPr>
          <w:trHeight w:val="170"/>
        </w:trPr>
        <w:tc>
          <w:tcPr>
            <w:tcW w:w="1814" w:type="dxa"/>
            <w:tcMar>
              <w:left w:w="0" w:type="dxa"/>
            </w:tcMar>
          </w:tcPr>
          <w:p w14:paraId="0196A22B" w14:textId="77777777" w:rsidR="00307B34" w:rsidRDefault="00307B34" w:rsidP="00135A1D">
            <w:pPr>
              <w:pStyle w:val="Marginlie"/>
            </w:pPr>
            <w:r>
              <w:t xml:space="preserve">K mírnému růstu tržeb v dopravě a skladování přispěly všechny dílčí obory, vyjma letecké dopravy. </w:t>
            </w:r>
          </w:p>
        </w:tc>
        <w:tc>
          <w:tcPr>
            <w:tcW w:w="179" w:type="dxa"/>
            <w:tcMar>
              <w:left w:w="0" w:type="dxa"/>
            </w:tcMar>
          </w:tcPr>
          <w:p w14:paraId="0AD7F31D" w14:textId="77777777" w:rsidR="00307B34" w:rsidRPr="006B7463" w:rsidRDefault="00307B34" w:rsidP="00135A1D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19964873" w14:textId="77777777" w:rsidR="00307B34" w:rsidRPr="00A05E70" w:rsidRDefault="00307B34" w:rsidP="00135A1D">
            <w:pPr>
              <w:spacing w:after="200"/>
              <w:rPr>
                <w:rFonts w:cs="Arial"/>
                <w:color w:val="0D0D0D" w:themeColor="text1" w:themeTint="F2"/>
                <w:spacing w:val="-4"/>
                <w:szCs w:val="20"/>
              </w:rPr>
            </w:pP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Posledním odvětvím, jež letos významněji podpořilo růst služeb, byla doprava a skladování, kde tržby meziročně posílily o 1,3 % a k růstu služeb přispěly 0,3 p. b. (za relativně slabším tempem stálo zejména letošní 3. čtvrtletí, kdy se růst tržeb v tomto odvětví poprvé od konce roku 2023 zastavil). Významný vliv zde měl váhově významný segment</w:t>
            </w:r>
            <w:r w:rsidRPr="00166820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s</w:t>
            </w:r>
            <w:r w:rsidRPr="00166820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kladování 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br/>
              <w:t xml:space="preserve">(vč. </w:t>
            </w:r>
            <w:r w:rsidRPr="00166820">
              <w:rPr>
                <w:rFonts w:cs="Arial"/>
                <w:color w:val="0D0D0D" w:themeColor="text1" w:themeTint="F2"/>
                <w:spacing w:val="-4"/>
                <w:szCs w:val="20"/>
              </w:rPr>
              <w:t>vedlejší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ch</w:t>
            </w:r>
            <w:r w:rsidRPr="00166820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činnost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í </w:t>
            </w:r>
            <w:r w:rsidRPr="00166820">
              <w:rPr>
                <w:rFonts w:cs="Arial"/>
                <w:color w:val="0D0D0D" w:themeColor="text1" w:themeTint="F2"/>
                <w:spacing w:val="-4"/>
                <w:szCs w:val="20"/>
              </w:rPr>
              <w:t>v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 </w:t>
            </w:r>
            <w:r w:rsidRPr="00166820">
              <w:rPr>
                <w:rFonts w:cs="Arial"/>
                <w:color w:val="0D0D0D" w:themeColor="text1" w:themeTint="F2"/>
                <w:spacing w:val="-4"/>
                <w:szCs w:val="20"/>
              </w:rPr>
              <w:t>dopravě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), ve kterém se tržby zvýšily o 2,1 % a ve srovnání s rokem 2019 byly vyšší zhruba o šestinu. Podobně na tom z dlouhodobějšího pohledu byly i p</w:t>
            </w:r>
            <w:r w:rsidRPr="00166820">
              <w:rPr>
                <w:rFonts w:cs="Arial"/>
                <w:color w:val="0D0D0D" w:themeColor="text1" w:themeTint="F2"/>
                <w:spacing w:val="-4"/>
                <w:szCs w:val="20"/>
              </w:rPr>
              <w:t>oštovní a kurýrní činnosti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. Jejich tržby ovšem letos navzdory pokračujícímu rozvoji internetového </w:t>
            </w:r>
            <w:r w:rsidRPr="00A042E6">
              <w:rPr>
                <w:rFonts w:cs="Arial"/>
                <w:color w:val="0D0D0D" w:themeColor="text1" w:themeTint="F2"/>
                <w:spacing w:val="-6"/>
                <w:szCs w:val="20"/>
              </w:rPr>
              <w:t>prodeje fakticky stagnovaly. Zpomalení růstu nastalo i v pozemní a potrubní dopravě (+1,</w:t>
            </w:r>
            <w:r>
              <w:rPr>
                <w:rFonts w:cs="Arial"/>
                <w:color w:val="0D0D0D" w:themeColor="text1" w:themeTint="F2"/>
                <w:spacing w:val="-6"/>
                <w:szCs w:val="20"/>
              </w:rPr>
              <w:t>7</w:t>
            </w:r>
            <w:r w:rsidRPr="00A042E6">
              <w:rPr>
                <w:rFonts w:cs="Arial"/>
                <w:color w:val="0D0D0D" w:themeColor="text1" w:themeTint="F2"/>
                <w:spacing w:val="-6"/>
                <w:szCs w:val="20"/>
              </w:rPr>
              <w:t xml:space="preserve"> %),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především díky horším výsledkům ve 3. čtvrtletí 2025. Stagnace v průmyslu se odrazila v nižší poptávce po nákladní dopravě. Ve váhově okrajovém segmentu letecké dopravy rychlé zotavování poptávky z předchozích let již nepokračovalo a tržby tuzemských přepravců se meziročně mírně snížily o 6,4 %</w:t>
            </w:r>
            <w:r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38"/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. Stále tak významně zaostávaly za rokem 2019, což platí i pro vodní dopravu.</w:t>
            </w:r>
          </w:p>
        </w:tc>
      </w:tr>
      <w:tr w:rsidR="00307B34" w14:paraId="0382172C" w14:textId="77777777" w:rsidTr="00135A1D">
        <w:trPr>
          <w:trHeight w:val="170"/>
        </w:trPr>
        <w:tc>
          <w:tcPr>
            <w:tcW w:w="1814" w:type="dxa"/>
            <w:tcMar>
              <w:left w:w="0" w:type="dxa"/>
            </w:tcMar>
          </w:tcPr>
          <w:p w14:paraId="2B52DACC" w14:textId="77777777" w:rsidR="00307B34" w:rsidRDefault="00307B34" w:rsidP="00135A1D">
            <w:pPr>
              <w:pStyle w:val="Marginlie"/>
            </w:pPr>
            <w:r>
              <w:t>Tržby v ubytování, stravování a pohostinství posílily jen mírně. Proti vyššímu růstu poptávky působilo horší letní počasí a dlouhodoběji také svižný cenový růst u těchto služeb.</w:t>
            </w:r>
          </w:p>
        </w:tc>
        <w:tc>
          <w:tcPr>
            <w:tcW w:w="179" w:type="dxa"/>
            <w:tcMar>
              <w:left w:w="0" w:type="dxa"/>
            </w:tcMar>
          </w:tcPr>
          <w:p w14:paraId="24A08440" w14:textId="77777777" w:rsidR="00307B34" w:rsidRPr="006B7463" w:rsidRDefault="00307B34" w:rsidP="00135A1D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3CFE514F" w14:textId="77777777" w:rsidR="00307B34" w:rsidRPr="001963DD" w:rsidRDefault="00307B34" w:rsidP="00135A1D">
            <w:pPr>
              <w:spacing w:after="200"/>
              <w:rPr>
                <w:bCs/>
              </w:rPr>
            </w:pPr>
            <w:r w:rsidRPr="00CD33DC">
              <w:rPr>
                <w:bCs/>
              </w:rPr>
              <w:t xml:space="preserve">V </w:t>
            </w:r>
            <w:r>
              <w:rPr>
                <w:bCs/>
              </w:rPr>
              <w:t xml:space="preserve">odvětví </w:t>
            </w:r>
            <w:r w:rsidRPr="00CD33DC">
              <w:rPr>
                <w:bCs/>
              </w:rPr>
              <w:t>ubytování, stravování a pohostinství se</w:t>
            </w:r>
            <w:r>
              <w:rPr>
                <w:bCs/>
              </w:rPr>
              <w:t xml:space="preserve"> letos tržby za tři čtvrtletí meziročně zvýšily o 1,6 % (podobně jako vloni). Navzdory relativně svižně rostoucí kupní síle tuzemských domácností i pokračujícímu rozvoji příjezdového cestovního ruchu rostly tržby v obou hlavních segmentech odvětví jen mírně. To může souviset i s rychlým růstem cen těchto služeb</w:t>
            </w:r>
            <w:r>
              <w:rPr>
                <w:rStyle w:val="Znakapoznpodarou"/>
                <w:color w:val="0D0D0D" w:themeColor="text1" w:themeTint="F2"/>
                <w:spacing w:val="-4"/>
              </w:rPr>
              <w:footnoteReference w:id="39"/>
            </w:r>
            <w:r>
              <w:rPr>
                <w:bCs/>
              </w:rPr>
              <w:t xml:space="preserve">. </w:t>
            </w:r>
            <w:r>
              <w:rPr>
                <w:rFonts w:cs="Arial"/>
                <w:color w:val="0D0D0D" w:themeColor="text1" w:themeTint="F2"/>
                <w:spacing w:val="-2"/>
              </w:rPr>
              <w:t xml:space="preserve">Naturální ukazatele v oblasti příjezdového cestovního ruchu naznačují oproti reálným tržbám jen nepatrně lepší výsledky. </w:t>
            </w:r>
            <w:r w:rsidRPr="6E970A62">
              <w:rPr>
                <w:rFonts w:eastAsia="Arial" w:cs="Arial"/>
                <w:szCs w:val="20"/>
              </w:rPr>
              <w:t>Tuzemští poskytovatelé hromadného uby</w:t>
            </w:r>
            <w:r>
              <w:rPr>
                <w:rFonts w:eastAsia="Arial" w:cs="Arial"/>
                <w:szCs w:val="20"/>
              </w:rPr>
              <w:t>tování (HUZ) registrovali za 1. až 3.</w:t>
            </w:r>
            <w:r>
              <w:rPr>
                <w:rFonts w:cs="Arial"/>
                <w:color w:val="0D0D0D" w:themeColor="text1" w:themeTint="F2"/>
                <w:spacing w:val="-4"/>
              </w:rPr>
              <w:t> </w:t>
            </w:r>
            <w:r w:rsidRPr="6E970A62">
              <w:rPr>
                <w:rFonts w:eastAsia="Arial" w:cs="Arial"/>
                <w:szCs w:val="20"/>
              </w:rPr>
              <w:t xml:space="preserve">čtvrtletí </w:t>
            </w:r>
            <w:r>
              <w:rPr>
                <w:rFonts w:eastAsia="Arial" w:cs="Arial"/>
                <w:szCs w:val="20"/>
              </w:rPr>
              <w:t>18</w:t>
            </w:r>
            <w:r w:rsidRPr="6E970A62">
              <w:rPr>
                <w:rFonts w:eastAsia="Arial" w:cs="Arial"/>
                <w:szCs w:val="20"/>
              </w:rPr>
              <w:t xml:space="preserve">,3 mil. hostů (z toho </w:t>
            </w:r>
            <w:r>
              <w:rPr>
                <w:rFonts w:eastAsia="Arial" w:cs="Arial"/>
                <w:szCs w:val="20"/>
              </w:rPr>
              <w:br/>
              <w:t>8</w:t>
            </w:r>
            <w:r w:rsidRPr="6E970A62">
              <w:rPr>
                <w:rFonts w:eastAsia="Arial" w:cs="Arial"/>
                <w:szCs w:val="20"/>
              </w:rPr>
              <w:t>,</w:t>
            </w:r>
            <w:r>
              <w:rPr>
                <w:rFonts w:eastAsia="Arial" w:cs="Arial"/>
                <w:szCs w:val="20"/>
              </w:rPr>
              <w:t>2</w:t>
            </w:r>
            <w:r w:rsidRPr="6E970A62">
              <w:rPr>
                <w:rFonts w:eastAsia="Arial" w:cs="Arial"/>
                <w:szCs w:val="20"/>
              </w:rPr>
              <w:t xml:space="preserve"> mil. ze zahraničí). Meziročně přibylo jak hostů (+</w:t>
            </w:r>
            <w:r>
              <w:rPr>
                <w:rFonts w:eastAsia="Arial" w:cs="Arial"/>
                <w:szCs w:val="20"/>
              </w:rPr>
              <w:t>2</w:t>
            </w:r>
            <w:r w:rsidRPr="6E970A62">
              <w:rPr>
                <w:rFonts w:eastAsia="Arial" w:cs="Arial"/>
                <w:szCs w:val="20"/>
              </w:rPr>
              <w:t>,</w:t>
            </w:r>
            <w:r>
              <w:rPr>
                <w:rFonts w:eastAsia="Arial" w:cs="Arial"/>
                <w:szCs w:val="20"/>
              </w:rPr>
              <w:t>8</w:t>
            </w:r>
            <w:r w:rsidRPr="6E970A62">
              <w:rPr>
                <w:rFonts w:eastAsia="Arial" w:cs="Arial"/>
                <w:szCs w:val="20"/>
              </w:rPr>
              <w:t xml:space="preserve"> %), tak jejich přenocování </w:t>
            </w:r>
            <w:r>
              <w:rPr>
                <w:rFonts w:eastAsia="Arial" w:cs="Arial"/>
                <w:szCs w:val="20"/>
              </w:rPr>
              <w:br/>
            </w:r>
            <w:r w:rsidRPr="6E970A62">
              <w:rPr>
                <w:rFonts w:eastAsia="Arial" w:cs="Arial"/>
                <w:szCs w:val="20"/>
              </w:rPr>
              <w:t>(</w:t>
            </w:r>
            <w:r>
              <w:rPr>
                <w:rFonts w:eastAsia="Arial" w:cs="Arial"/>
                <w:szCs w:val="20"/>
              </w:rPr>
              <w:t>2</w:t>
            </w:r>
            <w:r w:rsidRPr="6E970A62">
              <w:rPr>
                <w:rFonts w:eastAsia="Arial" w:cs="Arial"/>
                <w:szCs w:val="20"/>
              </w:rPr>
              <w:t>,</w:t>
            </w:r>
            <w:r>
              <w:rPr>
                <w:rFonts w:eastAsia="Arial" w:cs="Arial"/>
                <w:szCs w:val="20"/>
              </w:rPr>
              <w:t>7</w:t>
            </w:r>
            <w:r w:rsidRPr="6E970A62">
              <w:rPr>
                <w:rFonts w:eastAsia="Arial" w:cs="Arial"/>
                <w:szCs w:val="20"/>
              </w:rPr>
              <w:t xml:space="preserve"> %)</w:t>
            </w:r>
            <w:r>
              <w:rPr>
                <w:rFonts w:eastAsia="Arial" w:cs="Arial"/>
                <w:szCs w:val="20"/>
              </w:rPr>
              <w:t xml:space="preserve">. Letní sezónu opět poznamenalo horší počasí – zatímco loni šlo výhradně </w:t>
            </w:r>
            <w:r>
              <w:rPr>
                <w:rFonts w:eastAsia="Arial" w:cs="Arial"/>
                <w:szCs w:val="20"/>
              </w:rPr>
              <w:br/>
              <w:t xml:space="preserve">o zářijové povodně, letos o dlouhodobě proměnlivější počasí s vyšší četností srážek </w:t>
            </w:r>
            <w:r>
              <w:rPr>
                <w:rFonts w:eastAsia="Arial" w:cs="Arial"/>
                <w:szCs w:val="20"/>
              </w:rPr>
              <w:br/>
            </w:r>
            <w:r>
              <w:rPr>
                <w:rFonts w:eastAsia="Arial" w:cs="Arial"/>
                <w:szCs w:val="20"/>
              </w:rPr>
              <w:lastRenderedPageBreak/>
              <w:t>a relativně mírně podprůměrnými teplotami v červenci a září. To se odrazilo v nižší poptávce tuzemských hostů, zejména v kempech</w:t>
            </w:r>
            <w:r>
              <w:rPr>
                <w:rStyle w:val="Znakapoznpodarou"/>
                <w:rFonts w:eastAsia="Arial"/>
                <w:szCs w:val="20"/>
              </w:rPr>
              <w:footnoteReference w:id="40"/>
            </w:r>
            <w:r w:rsidRPr="6E970A62">
              <w:rPr>
                <w:rFonts w:eastAsia="Arial" w:cs="Arial"/>
                <w:szCs w:val="20"/>
              </w:rPr>
              <w:t>.</w:t>
            </w:r>
            <w:r>
              <w:rPr>
                <w:rFonts w:eastAsia="Arial" w:cs="Arial"/>
                <w:szCs w:val="20"/>
              </w:rPr>
              <w:t xml:space="preserve"> </w:t>
            </w:r>
          </w:p>
        </w:tc>
      </w:tr>
      <w:tr w:rsidR="00307B34" w:rsidRPr="00C32591" w14:paraId="0A497000" w14:textId="77777777" w:rsidTr="00135A1D">
        <w:trPr>
          <w:trHeight w:val="170"/>
        </w:trPr>
        <w:tc>
          <w:tcPr>
            <w:tcW w:w="1814" w:type="dxa"/>
            <w:tcMar>
              <w:left w:w="0" w:type="dxa"/>
            </w:tcMar>
          </w:tcPr>
          <w:p w14:paraId="30BFB3CC" w14:textId="77777777" w:rsidR="00307B34" w:rsidRDefault="00307B34" w:rsidP="00135A1D">
            <w:pPr>
              <w:pStyle w:val="Marginlie"/>
            </w:pPr>
          </w:p>
        </w:tc>
        <w:tc>
          <w:tcPr>
            <w:tcW w:w="179" w:type="dxa"/>
            <w:tcMar>
              <w:left w:w="0" w:type="dxa"/>
            </w:tcMar>
          </w:tcPr>
          <w:p w14:paraId="45617785" w14:textId="77777777" w:rsidR="00307B34" w:rsidRDefault="00307B34" w:rsidP="00135A1D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4732FE0F" w14:textId="77777777" w:rsidR="00307B34" w:rsidRPr="00C32591" w:rsidRDefault="00307B34" w:rsidP="00135A1D">
            <w:pPr>
              <w:spacing w:after="40"/>
              <w:rPr>
                <w:b/>
                <w:spacing w:val="-4"/>
              </w:rPr>
            </w:pPr>
            <w:r w:rsidRPr="00C32591">
              <w:rPr>
                <w:b/>
                <w:spacing w:val="-4"/>
              </w:rPr>
              <w:t xml:space="preserve">Graf č. 7 </w:t>
            </w:r>
            <w:r w:rsidRPr="00C32591">
              <w:rPr>
                <w:b/>
                <w:bCs/>
                <w:spacing w:val="-4"/>
              </w:rPr>
              <w:t xml:space="preserve">Příspěvky dílčích odvětví k meziroční změně tržeb ve </w:t>
            </w:r>
            <w:r>
              <w:rPr>
                <w:b/>
                <w:bCs/>
                <w:spacing w:val="-4"/>
              </w:rPr>
              <w:t>s</w:t>
            </w:r>
            <w:r w:rsidRPr="00C32591">
              <w:rPr>
                <w:b/>
                <w:bCs/>
                <w:spacing w:val="-4"/>
              </w:rPr>
              <w:t>lužbách*</w:t>
            </w:r>
            <w:r w:rsidRPr="00C32591">
              <w:rPr>
                <w:b/>
                <w:spacing w:val="-4"/>
              </w:rPr>
              <w:br/>
            </w:r>
            <w:r w:rsidRPr="00C32591">
              <w:rPr>
                <w:spacing w:val="-4"/>
              </w:rPr>
              <w:t>(reálně, v p. b),</w:t>
            </w:r>
            <w:r w:rsidRPr="00C32591">
              <w:rPr>
                <w:b/>
                <w:spacing w:val="-4"/>
              </w:rPr>
              <w:t xml:space="preserve"> </w:t>
            </w:r>
            <w:r w:rsidRPr="00C32591">
              <w:rPr>
                <w:b/>
                <w:bCs/>
                <w:spacing w:val="-4"/>
              </w:rPr>
              <w:t xml:space="preserve">celkové tržby ve službách* </w:t>
            </w:r>
            <w:r>
              <w:rPr>
                <w:spacing w:val="-4"/>
              </w:rPr>
              <w:t>(báze 2021</w:t>
            </w:r>
            <w:r w:rsidRPr="00C32591">
              <w:rPr>
                <w:spacing w:val="-4"/>
              </w:rPr>
              <w:t>=100, pravá osa),</w:t>
            </w:r>
            <w:r w:rsidRPr="00C32591">
              <w:rPr>
                <w:b/>
                <w:spacing w:val="-4"/>
              </w:rPr>
              <w:t xml:space="preserve"> </w:t>
            </w:r>
            <w:r w:rsidRPr="00C32591">
              <w:rPr>
                <w:b/>
                <w:bCs/>
                <w:spacing w:val="-4"/>
              </w:rPr>
              <w:t>saldo důvěry podnikatelů ve službách**</w:t>
            </w:r>
            <w:r w:rsidRPr="00C32591">
              <w:rPr>
                <w:b/>
                <w:spacing w:val="-4"/>
              </w:rPr>
              <w:t xml:space="preserve"> </w:t>
            </w:r>
            <w:r w:rsidRPr="00C32591">
              <w:rPr>
                <w:spacing w:val="-4"/>
              </w:rPr>
              <w:t>(v p. b., pravá osa)</w:t>
            </w:r>
            <w:r>
              <w:rPr>
                <w:b/>
                <w:bCs/>
                <w:spacing w:val="-4"/>
              </w:rPr>
              <w:t xml:space="preserve"> a </w:t>
            </w:r>
            <w:r w:rsidRPr="00C32591">
              <w:rPr>
                <w:b/>
                <w:bCs/>
                <w:spacing w:val="-4"/>
              </w:rPr>
              <w:t>bariéry růstu**</w:t>
            </w:r>
            <w:r w:rsidRPr="00C32591">
              <w:rPr>
                <w:b/>
                <w:spacing w:val="-4"/>
              </w:rPr>
              <w:t xml:space="preserve"> </w:t>
            </w:r>
            <w:r w:rsidRPr="00C32591">
              <w:rPr>
                <w:spacing w:val="-4"/>
              </w:rPr>
              <w:t xml:space="preserve">(v %, pravá osa) </w:t>
            </w:r>
          </w:p>
        </w:tc>
      </w:tr>
      <w:tr w:rsidR="00307B34" w:rsidRPr="004C1143" w14:paraId="4FED7B66" w14:textId="77777777" w:rsidTr="00135A1D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14" w:type="dxa"/>
          </w:tcPr>
          <w:p w14:paraId="3E5A6EB7" w14:textId="77777777" w:rsidR="00307B34" w:rsidRDefault="00307B34" w:rsidP="00135A1D">
            <w:pPr>
              <w:pStyle w:val="Marginlie"/>
            </w:pPr>
          </w:p>
        </w:tc>
        <w:tc>
          <w:tcPr>
            <w:tcW w:w="179" w:type="dxa"/>
          </w:tcPr>
          <w:p w14:paraId="2E563D98" w14:textId="77777777" w:rsidR="00307B34" w:rsidRDefault="00307B34" w:rsidP="00135A1D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30" w:type="dxa"/>
          </w:tcPr>
          <w:p w14:paraId="3D85C543" w14:textId="77777777" w:rsidR="00307B34" w:rsidRPr="004C1143" w:rsidRDefault="00307B34" w:rsidP="00135A1D">
            <w:pPr>
              <w:spacing w:before="40" w:after="40"/>
              <w:rPr>
                <w:rFonts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562A6115" wp14:editId="32DB3C3F">
                  <wp:extent cx="4652745" cy="3636780"/>
                  <wp:effectExtent l="0" t="0" r="0" b="1905"/>
                  <wp:docPr id="1141202963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307B34" w:rsidRPr="004C1143" w14:paraId="481F9073" w14:textId="77777777" w:rsidTr="00135A1D">
        <w:trPr>
          <w:trHeight w:val="170"/>
        </w:trPr>
        <w:tc>
          <w:tcPr>
            <w:tcW w:w="1814" w:type="dxa"/>
            <w:tcMar>
              <w:left w:w="0" w:type="dxa"/>
            </w:tcMar>
          </w:tcPr>
          <w:p w14:paraId="64A3CCA6" w14:textId="77777777" w:rsidR="00307B34" w:rsidRDefault="00307B34" w:rsidP="00135A1D">
            <w:pPr>
              <w:pStyle w:val="Marginlie"/>
            </w:pPr>
          </w:p>
        </w:tc>
        <w:tc>
          <w:tcPr>
            <w:tcW w:w="179" w:type="dxa"/>
            <w:tcMar>
              <w:left w:w="0" w:type="dxa"/>
            </w:tcMar>
          </w:tcPr>
          <w:p w14:paraId="7AEED8EA" w14:textId="77777777" w:rsidR="00307B34" w:rsidRDefault="00307B34" w:rsidP="00135A1D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38047654" w14:textId="77777777" w:rsidR="00307B34" w:rsidRPr="00C32591" w:rsidRDefault="00307B34" w:rsidP="00135A1D">
            <w:pPr>
              <w:spacing w:after="0" w:line="240" w:lineRule="auto"/>
              <w:rPr>
                <w:rFonts w:cs="Arial"/>
                <w:spacing w:val="-4"/>
                <w:sz w:val="14"/>
                <w:szCs w:val="14"/>
              </w:rPr>
            </w:pPr>
            <w:r w:rsidRPr="00C32591">
              <w:rPr>
                <w:rFonts w:cs="Arial"/>
                <w:spacing w:val="-4"/>
                <w:sz w:val="14"/>
                <w:szCs w:val="14"/>
              </w:rPr>
              <w:t>Poznámka: všechny údaje jsou sezónně očištěny, pouze příspěvky dílčích odvětví k růstu tržeb jsou očištěny jen o kalendářní vlivy.</w:t>
            </w:r>
          </w:p>
          <w:p w14:paraId="1E3C4EF5" w14:textId="77777777" w:rsidR="00307B34" w:rsidRPr="00C32591" w:rsidRDefault="00307B34" w:rsidP="00135A1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32591">
              <w:rPr>
                <w:rFonts w:cs="Arial"/>
                <w:sz w:val="14"/>
                <w:szCs w:val="14"/>
              </w:rPr>
              <w:t>*Bez odvětví obchodu, peněžnictví, pojišťovnictví, vědy, výzkumu a veřejných služeb.</w:t>
            </w:r>
          </w:p>
          <w:p w14:paraId="0AADC9B3" w14:textId="77777777" w:rsidR="00307B34" w:rsidRPr="004C1143" w:rsidRDefault="00307B34" w:rsidP="00135A1D">
            <w:pPr>
              <w:spacing w:after="200" w:line="240" w:lineRule="auto"/>
              <w:rPr>
                <w:rFonts w:cs="Arial"/>
                <w:sz w:val="14"/>
                <w:szCs w:val="14"/>
              </w:rPr>
            </w:pPr>
            <w:proofErr w:type="gramStart"/>
            <w:r w:rsidRPr="00052ADA">
              <w:rPr>
                <w:rFonts w:cs="Arial"/>
                <w:sz w:val="14"/>
                <w:szCs w:val="14"/>
              </w:rPr>
              <w:t>.*</w:t>
            </w:r>
            <w:proofErr w:type="gramEnd"/>
            <w:r w:rsidRPr="00052ADA">
              <w:rPr>
                <w:rFonts w:cs="Arial"/>
                <w:sz w:val="14"/>
                <w:szCs w:val="14"/>
              </w:rPr>
              <w:t>*</w:t>
            </w:r>
            <w:r w:rsidRPr="00052ADA">
              <w:rPr>
                <w:rFonts w:cs="Arial"/>
                <w:spacing w:val="-2"/>
                <w:sz w:val="14"/>
                <w:szCs w:val="14"/>
              </w:rPr>
              <w:t xml:space="preserve">Zahrnuje i finanční sektor. </w:t>
            </w:r>
            <w:r>
              <w:rPr>
                <w:rFonts w:cs="Arial"/>
                <w:spacing w:val="-2"/>
                <w:sz w:val="14"/>
                <w:szCs w:val="14"/>
              </w:rPr>
              <w:t xml:space="preserve">Bariéry růstu </w:t>
            </w:r>
            <w:r w:rsidRPr="00052ADA">
              <w:rPr>
                <w:rFonts w:cs="Arial"/>
                <w:spacing w:val="-2"/>
                <w:sz w:val="14"/>
                <w:szCs w:val="14"/>
              </w:rPr>
              <w:t>vyjadřují</w:t>
            </w:r>
            <w:r>
              <w:rPr>
                <w:rFonts w:cs="Arial"/>
                <w:spacing w:val="-2"/>
                <w:sz w:val="14"/>
                <w:szCs w:val="14"/>
              </w:rPr>
              <w:t xml:space="preserve"> stav k prvnímu měsíci daného čtvrtletí, saldo důvěry podnikatelů pak ke druhému měsíci. </w:t>
            </w:r>
            <w:r w:rsidRPr="00052ADA">
              <w:rPr>
                <w:rFonts w:cs="Arial"/>
                <w:sz w:val="14"/>
                <w:szCs w:val="14"/>
              </w:rPr>
              <w:t>Podniky mohly uvést více hlavních bariér současně.</w:t>
            </w:r>
            <w:r>
              <w:rPr>
                <w:rFonts w:cs="Arial"/>
                <w:sz w:val="14"/>
                <w:szCs w:val="14"/>
              </w:rPr>
              <w:t xml:space="preserve">                    </w:t>
            </w:r>
            <w:r w:rsidRPr="00052ADA">
              <w:rPr>
                <w:rFonts w:cs="Arial"/>
                <w:sz w:val="14"/>
                <w:szCs w:val="14"/>
              </w:rPr>
              <w:t xml:space="preserve">    Zdroj: ČSÚ, Eurostat</w:t>
            </w:r>
          </w:p>
        </w:tc>
      </w:tr>
      <w:tr w:rsidR="00307B34" w:rsidRPr="00CD33DC" w14:paraId="32648232" w14:textId="77777777" w:rsidTr="00135A1D">
        <w:trPr>
          <w:trHeight w:val="155"/>
        </w:trPr>
        <w:tc>
          <w:tcPr>
            <w:tcW w:w="1814" w:type="dxa"/>
            <w:tcMar>
              <w:left w:w="0" w:type="dxa"/>
            </w:tcMar>
          </w:tcPr>
          <w:p w14:paraId="7DF55CFF" w14:textId="77777777" w:rsidR="00307B34" w:rsidRDefault="00307B34" w:rsidP="00135A1D">
            <w:pPr>
              <w:pStyle w:val="Marginlie"/>
            </w:pPr>
            <w:r>
              <w:t xml:space="preserve">Ve většině segmentů administrativních </w:t>
            </w:r>
            <w:r>
              <w:br/>
              <w:t xml:space="preserve">a podpůrných činností pokračoval pokles poptávky vlivem proměny trhu práce </w:t>
            </w:r>
            <w:r>
              <w:br/>
              <w:t xml:space="preserve">i postupující digitalizace. </w:t>
            </w:r>
          </w:p>
          <w:p w14:paraId="48FD9EF1" w14:textId="77777777" w:rsidR="00307B34" w:rsidRDefault="00307B34" w:rsidP="00135A1D">
            <w:pPr>
              <w:pStyle w:val="Marginlie"/>
            </w:pPr>
          </w:p>
          <w:p w14:paraId="44C76A94" w14:textId="77777777" w:rsidR="00307B34" w:rsidRDefault="00307B34" w:rsidP="00135A1D">
            <w:pPr>
              <w:pStyle w:val="Marginlie"/>
            </w:pPr>
          </w:p>
          <w:p w14:paraId="3150803D" w14:textId="77777777" w:rsidR="00307B34" w:rsidRDefault="00307B34" w:rsidP="00135A1D">
            <w:pPr>
              <w:pStyle w:val="Marginlie"/>
            </w:pPr>
            <w:r>
              <w:lastRenderedPageBreak/>
              <w:t xml:space="preserve">Stabilní poptávku si udržoval pronájem </w:t>
            </w:r>
            <w:r>
              <w:br/>
              <w:t>a operativní leasing.</w:t>
            </w:r>
          </w:p>
          <w:p w14:paraId="78548125" w14:textId="77777777" w:rsidR="00307B34" w:rsidRDefault="00307B34" w:rsidP="00135A1D">
            <w:pPr>
              <w:pStyle w:val="Marginlie"/>
            </w:pPr>
          </w:p>
          <w:p w14:paraId="5CEB523D" w14:textId="77777777" w:rsidR="00307B34" w:rsidRDefault="00307B34" w:rsidP="00135A1D">
            <w:pPr>
              <w:pStyle w:val="Marginlie"/>
            </w:pPr>
          </w:p>
        </w:tc>
        <w:tc>
          <w:tcPr>
            <w:tcW w:w="179" w:type="dxa"/>
            <w:tcMar>
              <w:left w:w="0" w:type="dxa"/>
            </w:tcMar>
          </w:tcPr>
          <w:p w14:paraId="4ABEDA48" w14:textId="77777777" w:rsidR="00307B34" w:rsidRPr="00CD33DC" w:rsidRDefault="00307B34" w:rsidP="00135A1D">
            <w:pPr>
              <w:pStyle w:val="Textpoznpodarou"/>
              <w:jc w:val="both"/>
              <w:rPr>
                <w:bCs/>
                <w:spacing w:val="-4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16C8DA1F" w14:textId="77777777" w:rsidR="00307B34" w:rsidRPr="00C51F25" w:rsidRDefault="00307B34" w:rsidP="00135A1D">
            <w:pPr>
              <w:spacing w:after="200"/>
              <w:rPr>
                <w:color w:val="0D0D0D" w:themeColor="text1" w:themeTint="F2"/>
                <w:spacing w:val="-6"/>
              </w:rPr>
            </w:pPr>
            <w:r>
              <w:rPr>
                <w:bCs/>
              </w:rPr>
              <w:t xml:space="preserve">V činnostech v oblasti nemovitostí v 1. až 3. čtvrtletí vzrostly tržby meziročně jen velmi mírně (+0,9 %) </w:t>
            </w:r>
            <w:r w:rsidRPr="0001677C">
              <w:rPr>
                <w:bCs/>
                <w:spacing w:val="-4"/>
              </w:rPr>
              <w:t xml:space="preserve">a navázaly </w:t>
            </w:r>
            <w:r>
              <w:rPr>
                <w:bCs/>
                <w:spacing w:val="-4"/>
              </w:rPr>
              <w:t xml:space="preserve">tak </w:t>
            </w:r>
            <w:r w:rsidRPr="0001677C">
              <w:rPr>
                <w:bCs/>
                <w:spacing w:val="-4"/>
              </w:rPr>
              <w:t xml:space="preserve">na </w:t>
            </w:r>
            <w:r>
              <w:rPr>
                <w:bCs/>
                <w:spacing w:val="-4"/>
              </w:rPr>
              <w:t xml:space="preserve">nevýrazné výsledky </w:t>
            </w:r>
            <w:r w:rsidRPr="0001677C">
              <w:rPr>
                <w:bCs/>
                <w:spacing w:val="-4"/>
              </w:rPr>
              <w:t xml:space="preserve">z předchozího </w:t>
            </w:r>
            <w:r w:rsidRPr="0001677C">
              <w:rPr>
                <w:bCs/>
                <w:color w:val="0D0D0D" w:themeColor="text1" w:themeTint="F2"/>
                <w:spacing w:val="-4"/>
              </w:rPr>
              <w:t xml:space="preserve">roku. V odvětví </w:t>
            </w:r>
            <w:r w:rsidRPr="0001677C">
              <w:rPr>
                <w:color w:val="0D0D0D" w:themeColor="text1" w:themeTint="F2"/>
                <w:spacing w:val="-4"/>
              </w:rPr>
              <w:t>administrativních a podpůrných</w:t>
            </w:r>
            <w:r w:rsidRPr="000821C7">
              <w:rPr>
                <w:color w:val="0D0D0D" w:themeColor="text1" w:themeTint="F2"/>
                <w:spacing w:val="-6"/>
              </w:rPr>
              <w:t xml:space="preserve"> činností, poskytující</w:t>
            </w:r>
            <w:r>
              <w:rPr>
                <w:color w:val="0D0D0D" w:themeColor="text1" w:themeTint="F2"/>
                <w:spacing w:val="-6"/>
              </w:rPr>
              <w:t>m</w:t>
            </w:r>
            <w:r w:rsidRPr="000821C7">
              <w:rPr>
                <w:color w:val="0D0D0D" w:themeColor="text1" w:themeTint="F2"/>
                <w:spacing w:val="-6"/>
              </w:rPr>
              <w:t xml:space="preserve"> </w:t>
            </w:r>
            <w:r>
              <w:rPr>
                <w:color w:val="0D0D0D" w:themeColor="text1" w:themeTint="F2"/>
                <w:spacing w:val="-6"/>
              </w:rPr>
              <w:t>hlavně</w:t>
            </w:r>
            <w:r w:rsidRPr="000821C7">
              <w:rPr>
                <w:color w:val="0D0D0D" w:themeColor="text1" w:themeTint="F2"/>
                <w:spacing w:val="-6"/>
              </w:rPr>
              <w:t xml:space="preserve"> podnikům zpravidla služby s nižší </w:t>
            </w:r>
            <w:r w:rsidRPr="007948C3">
              <w:rPr>
                <w:color w:val="0D0D0D" w:themeColor="text1" w:themeTint="F2"/>
                <w:spacing w:val="-2"/>
              </w:rPr>
              <w:t>přidanou hodnotou, se letos tržby po růstu v předchozích čtyřech letech nepatrně snížily (</w:t>
            </w:r>
            <w:r w:rsidRPr="007948C3">
              <w:rPr>
                <w:rFonts w:eastAsia="Arial" w:cs="Arial"/>
                <w:spacing w:val="-2"/>
                <w:szCs w:val="20"/>
              </w:rPr>
              <w:t>–</w:t>
            </w:r>
            <w:r w:rsidRPr="007948C3">
              <w:rPr>
                <w:color w:val="0D0D0D" w:themeColor="text1" w:themeTint="F2"/>
                <w:spacing w:val="-2"/>
              </w:rPr>
              <w:t>0,3 %).</w:t>
            </w:r>
            <w:r>
              <w:rPr>
                <w:color w:val="0D0D0D" w:themeColor="text1" w:themeTint="F2"/>
                <w:spacing w:val="-6"/>
              </w:rPr>
              <w:t xml:space="preserve"> P</w:t>
            </w:r>
            <w:r>
              <w:rPr>
                <w:color w:val="0D0D0D" w:themeColor="text1" w:themeTint="F2"/>
                <w:spacing w:val="-4"/>
              </w:rPr>
              <w:t>okles poptávky po službách pracovních agentur pokračoval, jejich tržby se snižovaly zhruba dvojciferným tempem již čtvrtým rokem v řadě</w:t>
            </w:r>
            <w:r w:rsidRPr="002A2FF6">
              <w:rPr>
                <w:rStyle w:val="Znakapoznpodarou"/>
                <w:color w:val="0D0D0D" w:themeColor="text1" w:themeTint="F2"/>
                <w:spacing w:val="-2"/>
              </w:rPr>
              <w:footnoteReference w:id="41"/>
            </w:r>
            <w:r>
              <w:rPr>
                <w:color w:val="0D0D0D" w:themeColor="text1" w:themeTint="F2"/>
                <w:spacing w:val="-4"/>
              </w:rPr>
              <w:t>. Tlak na snižování nákladů spojený i s rozvojem digitalizace se odrazil v poklesu tržeb b</w:t>
            </w:r>
            <w:r w:rsidRPr="00DE1692">
              <w:rPr>
                <w:color w:val="0D0D0D" w:themeColor="text1" w:themeTint="F2"/>
                <w:spacing w:val="-4"/>
              </w:rPr>
              <w:t>ezpečnostní</w:t>
            </w:r>
            <w:r>
              <w:rPr>
                <w:color w:val="0D0D0D" w:themeColor="text1" w:themeTint="F2"/>
                <w:spacing w:val="-4"/>
              </w:rPr>
              <w:t>ch</w:t>
            </w:r>
            <w:r w:rsidRPr="00DE1692">
              <w:rPr>
                <w:color w:val="0D0D0D" w:themeColor="text1" w:themeTint="F2"/>
                <w:spacing w:val="-4"/>
              </w:rPr>
              <w:t xml:space="preserve"> </w:t>
            </w:r>
            <w:r>
              <w:rPr>
                <w:color w:val="0D0D0D" w:themeColor="text1" w:themeTint="F2"/>
                <w:spacing w:val="-4"/>
              </w:rPr>
              <w:br/>
            </w:r>
            <w:r w:rsidRPr="00DE1692">
              <w:rPr>
                <w:color w:val="0D0D0D" w:themeColor="text1" w:themeTint="F2"/>
                <w:spacing w:val="-4"/>
              </w:rPr>
              <w:t>a pátrací</w:t>
            </w:r>
            <w:r>
              <w:rPr>
                <w:color w:val="0D0D0D" w:themeColor="text1" w:themeTint="F2"/>
                <w:spacing w:val="-4"/>
              </w:rPr>
              <w:t xml:space="preserve">ch činností. Ten trvá již třetím rokem a letos se prohloubil na 7,5 % (srovnatelně </w:t>
            </w:r>
            <w:r>
              <w:rPr>
                <w:color w:val="0D0D0D" w:themeColor="text1" w:themeTint="F2"/>
                <w:spacing w:val="-4"/>
              </w:rPr>
              <w:lastRenderedPageBreak/>
              <w:t xml:space="preserve">naposledy v roce 2009). Poprvé od ústupu pandemie covidu-19 se letos zastavil růst poptávky po službách </w:t>
            </w:r>
            <w:r w:rsidRPr="00EF16FA">
              <w:rPr>
                <w:color w:val="0D0D0D" w:themeColor="text1" w:themeTint="F2"/>
                <w:spacing w:val="-6"/>
              </w:rPr>
              <w:t>cestovních agentur</w:t>
            </w:r>
            <w:r>
              <w:rPr>
                <w:color w:val="0D0D0D" w:themeColor="text1" w:themeTint="F2"/>
                <w:spacing w:val="-6"/>
              </w:rPr>
              <w:t xml:space="preserve"> a</w:t>
            </w:r>
            <w:r w:rsidRPr="00EF16FA">
              <w:rPr>
                <w:color w:val="0D0D0D" w:themeColor="text1" w:themeTint="F2"/>
                <w:spacing w:val="-6"/>
              </w:rPr>
              <w:t xml:space="preserve"> kancelář</w:t>
            </w:r>
            <w:r>
              <w:rPr>
                <w:color w:val="0D0D0D" w:themeColor="text1" w:themeTint="F2"/>
                <w:spacing w:val="-6"/>
              </w:rPr>
              <w:t>í (tržby zde ale úroveň z roku 2019 mírně překonávaly). Vyšší poptávka domácností i podniků</w:t>
            </w:r>
            <w:r>
              <w:rPr>
                <w:rStyle w:val="Znakapoznpodarou"/>
                <w:color w:val="0D0D0D" w:themeColor="text1" w:themeTint="F2"/>
                <w:spacing w:val="-6"/>
              </w:rPr>
              <w:footnoteReference w:id="42"/>
            </w:r>
            <w:r>
              <w:rPr>
                <w:color w:val="0D0D0D" w:themeColor="text1" w:themeTint="F2"/>
                <w:spacing w:val="-6"/>
              </w:rPr>
              <w:t xml:space="preserve"> se promítla do růstu tržeb za pronájem a operativní</w:t>
            </w:r>
            <w:r w:rsidRPr="00E5105F">
              <w:rPr>
                <w:color w:val="0D0D0D" w:themeColor="text1" w:themeTint="F2"/>
                <w:spacing w:val="-6"/>
              </w:rPr>
              <w:t xml:space="preserve"> leasing</w:t>
            </w:r>
            <w:r>
              <w:rPr>
                <w:color w:val="0D0D0D" w:themeColor="text1" w:themeTint="F2"/>
                <w:spacing w:val="-6"/>
              </w:rPr>
              <w:t xml:space="preserve"> (+5,1 %), který tak navázal na loňské oživení. Nepatrně vyšší tempem pak rostla poptávka i po a</w:t>
            </w:r>
            <w:r w:rsidRPr="005D63EE">
              <w:rPr>
                <w:color w:val="0D0D0D" w:themeColor="text1" w:themeTint="F2"/>
                <w:spacing w:val="-6"/>
              </w:rPr>
              <w:t>dministrativní</w:t>
            </w:r>
            <w:r>
              <w:rPr>
                <w:color w:val="0D0D0D" w:themeColor="text1" w:themeTint="F2"/>
                <w:spacing w:val="-6"/>
              </w:rPr>
              <w:t>ch</w:t>
            </w:r>
            <w:r w:rsidRPr="005D63EE">
              <w:rPr>
                <w:color w:val="0D0D0D" w:themeColor="text1" w:themeTint="F2"/>
                <w:spacing w:val="-6"/>
              </w:rPr>
              <w:t>, kancelářsk</w:t>
            </w:r>
            <w:r>
              <w:rPr>
                <w:color w:val="0D0D0D" w:themeColor="text1" w:themeTint="F2"/>
                <w:spacing w:val="-6"/>
              </w:rPr>
              <w:t>ých</w:t>
            </w:r>
            <w:r w:rsidRPr="005D63EE">
              <w:rPr>
                <w:color w:val="0D0D0D" w:themeColor="text1" w:themeTint="F2"/>
                <w:spacing w:val="-6"/>
              </w:rPr>
              <w:t xml:space="preserve"> a jiné podpůrn</w:t>
            </w:r>
            <w:r>
              <w:rPr>
                <w:color w:val="0D0D0D" w:themeColor="text1" w:themeTint="F2"/>
                <w:spacing w:val="-6"/>
              </w:rPr>
              <w:t>ých</w:t>
            </w:r>
            <w:r w:rsidRPr="005D63EE">
              <w:rPr>
                <w:color w:val="0D0D0D" w:themeColor="text1" w:themeTint="F2"/>
                <w:spacing w:val="-6"/>
              </w:rPr>
              <w:t xml:space="preserve"> činnost</w:t>
            </w:r>
            <w:r>
              <w:rPr>
                <w:color w:val="0D0D0D" w:themeColor="text1" w:themeTint="F2"/>
                <w:spacing w:val="-6"/>
              </w:rPr>
              <w:t>ech</w:t>
            </w:r>
            <w:r w:rsidRPr="005D63EE">
              <w:rPr>
                <w:color w:val="0D0D0D" w:themeColor="text1" w:themeTint="F2"/>
                <w:spacing w:val="-6"/>
              </w:rPr>
              <w:t xml:space="preserve"> pro podnikání</w:t>
            </w:r>
            <w:r>
              <w:rPr>
                <w:rStyle w:val="Znakapoznpodarou"/>
                <w:color w:val="0D0D0D" w:themeColor="text1" w:themeTint="F2"/>
                <w:spacing w:val="-6"/>
              </w:rPr>
              <w:footnoteReference w:id="43"/>
            </w:r>
            <w:r>
              <w:rPr>
                <w:color w:val="0D0D0D" w:themeColor="text1" w:themeTint="F2"/>
                <w:spacing w:val="-6"/>
              </w:rPr>
              <w:t>.</w:t>
            </w:r>
          </w:p>
        </w:tc>
      </w:tr>
      <w:tr w:rsidR="00307B34" w:rsidRPr="009027C4" w14:paraId="7DEBF6A7" w14:textId="77777777" w:rsidTr="00135A1D">
        <w:trPr>
          <w:trHeight w:val="155"/>
        </w:trPr>
        <w:tc>
          <w:tcPr>
            <w:tcW w:w="1814" w:type="dxa"/>
            <w:tcMar>
              <w:left w:w="0" w:type="dxa"/>
            </w:tcMar>
          </w:tcPr>
          <w:p w14:paraId="54E39513" w14:textId="77777777" w:rsidR="00307B34" w:rsidRDefault="00307B34" w:rsidP="00135A1D">
            <w:pPr>
              <w:pStyle w:val="Marginlie"/>
            </w:pPr>
            <w:proofErr w:type="spellStart"/>
            <w:r>
              <w:lastRenderedPageBreak/>
              <w:t>Mezikvartální</w:t>
            </w:r>
            <w:proofErr w:type="spellEnd"/>
            <w:r>
              <w:t xml:space="preserve"> růst maloobchodních tržeb ve 2. čtvrtletí zrychlil, následně se však zastavil.</w:t>
            </w:r>
          </w:p>
          <w:p w14:paraId="39DADCBC" w14:textId="77777777" w:rsidR="00307B34" w:rsidRDefault="00307B34" w:rsidP="00135A1D">
            <w:pPr>
              <w:pStyle w:val="Marginlie"/>
            </w:pPr>
          </w:p>
          <w:p w14:paraId="1C52E22E" w14:textId="77777777" w:rsidR="00307B34" w:rsidRDefault="00307B34" w:rsidP="00135A1D">
            <w:pPr>
              <w:pStyle w:val="Marginlie"/>
            </w:pPr>
          </w:p>
          <w:p w14:paraId="32BBB5EF" w14:textId="77777777" w:rsidR="00307B34" w:rsidRDefault="00307B34" w:rsidP="00135A1D">
            <w:pPr>
              <w:pStyle w:val="Marginlie"/>
            </w:pPr>
          </w:p>
          <w:p w14:paraId="663F66A4" w14:textId="77777777" w:rsidR="00307B34" w:rsidRDefault="00307B34" w:rsidP="00135A1D">
            <w:pPr>
              <w:pStyle w:val="Marginlie"/>
            </w:pPr>
          </w:p>
          <w:p w14:paraId="29519319" w14:textId="77777777" w:rsidR="00307B34" w:rsidRDefault="00307B34" w:rsidP="00135A1D">
            <w:pPr>
              <w:pStyle w:val="Marginlie"/>
            </w:pPr>
          </w:p>
          <w:p w14:paraId="3984E0AD" w14:textId="77777777" w:rsidR="00307B34" w:rsidRDefault="00307B34" w:rsidP="00135A1D">
            <w:pPr>
              <w:pStyle w:val="Marginlie"/>
            </w:pPr>
            <w:r>
              <w:t>Spotřebitelská důvěra vystoupala letos v listopadu na nejvyšší úroveň od konce roku 2019.</w:t>
            </w:r>
          </w:p>
        </w:tc>
        <w:tc>
          <w:tcPr>
            <w:tcW w:w="179" w:type="dxa"/>
            <w:tcMar>
              <w:left w:w="0" w:type="dxa"/>
            </w:tcMar>
          </w:tcPr>
          <w:p w14:paraId="39AC2856" w14:textId="77777777" w:rsidR="00307B34" w:rsidRDefault="00307B34" w:rsidP="00135A1D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1C943CC4" w14:textId="77777777" w:rsidR="00307B34" w:rsidRPr="007D2011" w:rsidRDefault="00307B34" w:rsidP="00135A1D">
            <w:pPr>
              <w:spacing w:after="200"/>
              <w:rPr>
                <w:rFonts w:cs="Arial"/>
                <w:color w:val="0D0D0D" w:themeColor="text1" w:themeTint="F2"/>
                <w:spacing w:val="-4"/>
                <w:szCs w:val="20"/>
              </w:rPr>
            </w:pPr>
            <w:r w:rsidRPr="006D5925">
              <w:rPr>
                <w:rFonts w:cs="Arial"/>
                <w:color w:val="0D0D0D" w:themeColor="text1" w:themeTint="F2"/>
                <w:spacing w:val="-4"/>
                <w:szCs w:val="20"/>
              </w:rPr>
              <w:t>Tržby v maloobchodu</w:t>
            </w:r>
            <w:r w:rsidRPr="006D5925">
              <w:rPr>
                <w:rStyle w:val="Znakapoznpodarou"/>
                <w:color w:val="0D0D0D" w:themeColor="text1" w:themeTint="F2"/>
                <w:spacing w:val="-4"/>
              </w:rPr>
              <w:footnoteReference w:id="44"/>
            </w:r>
            <w:r w:rsidRPr="006D5925">
              <w:rPr>
                <w:rFonts w:cs="Arial"/>
                <w:color w:val="0D0D0D" w:themeColor="text1" w:themeTint="F2"/>
                <w:spacing w:val="-4"/>
                <w:szCs w:val="20"/>
              </w:rPr>
              <w:t>, j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ež se mezikvartálně zvyšovaly nepřetržitě od </w:t>
            </w:r>
            <w:r w:rsidRPr="006D5925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poloviny roku 2023, letos v 1. čtvrtletí </w:t>
            </w:r>
            <w:r>
              <w:rPr>
                <w:rFonts w:cs="Arial"/>
                <w:color w:val="0D0D0D" w:themeColor="text1" w:themeTint="F2"/>
                <w:spacing w:val="-5"/>
                <w:szCs w:val="20"/>
              </w:rPr>
              <w:t>2025 dále vzrostly o 0,7</w:t>
            </w:r>
            <w:r w:rsidRPr="006D5925">
              <w:rPr>
                <w:rFonts w:cs="Arial"/>
                <w:color w:val="0D0D0D" w:themeColor="text1" w:themeTint="F2"/>
                <w:spacing w:val="-5"/>
                <w:szCs w:val="20"/>
              </w:rPr>
              <w:t xml:space="preserve"> % (obdo</w:t>
            </w:r>
            <w:r>
              <w:rPr>
                <w:rFonts w:cs="Arial"/>
                <w:color w:val="0D0D0D" w:themeColor="text1" w:themeTint="F2"/>
                <w:spacing w:val="-5"/>
                <w:szCs w:val="20"/>
              </w:rPr>
              <w:t>bně posílily i na sklonku</w:t>
            </w:r>
            <w:r w:rsidRPr="006D5925">
              <w:rPr>
                <w:rFonts w:cs="Arial"/>
                <w:color w:val="0D0D0D" w:themeColor="text1" w:themeTint="F2"/>
                <w:spacing w:val="-5"/>
                <w:szCs w:val="20"/>
              </w:rPr>
              <w:t xml:space="preserve"> loňského roku). V následném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období jejich tempo zrychlilo (na 1,4 %). Ve 3. čtvrtletí se ovšem růst zastavil (−0,1</w:t>
            </w:r>
            <w:r w:rsidRPr="006D5925">
              <w:rPr>
                <w:rFonts w:cs="Arial"/>
                <w:color w:val="0D0D0D" w:themeColor="text1" w:themeTint="F2"/>
                <w:spacing w:val="-4"/>
                <w:szCs w:val="20"/>
              </w:rPr>
              <w:t> 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%), když korekce příznivějšího vývoje z předchozího letního období byla patrná v obchodu s potravinami i s nepotravinářským zbožím. Svižně dále naopak rostla poptávka po pohonných hmotách (PHM). Důvěra spotřebitelů zůstala po většinu loňského roku </w:t>
            </w:r>
            <w:r w:rsidRPr="000A0568">
              <w:rPr>
                <w:rFonts w:cs="Arial"/>
                <w:color w:val="0D0D0D" w:themeColor="text1" w:themeTint="F2"/>
                <w:spacing w:val="-6"/>
                <w:szCs w:val="20"/>
              </w:rPr>
              <w:t>v mírně negativním pásmu. Přestože finanční hodnocení vlastní finanční situace domácnostmi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(i její výhledy na rok 2026) se postupně zlepšovaly, ochota lidí k větším nákupům (zejména investic a zboží dlouhodobé spotřeby) se příliš nezvyšovala a současně přetrvával vyšší </w:t>
            </w:r>
            <w:r w:rsidRPr="008F6065">
              <w:rPr>
                <w:rFonts w:cs="Arial"/>
                <w:color w:val="0D0D0D" w:themeColor="text1" w:themeTint="F2"/>
                <w:spacing w:val="-5"/>
                <w:szCs w:val="20"/>
              </w:rPr>
              <w:t>sklon k vytváření finančních úspor. Nicméně během 4. čtvrtletí se celková důvě</w:t>
            </w:r>
            <w:r>
              <w:rPr>
                <w:rFonts w:cs="Arial"/>
                <w:color w:val="0D0D0D" w:themeColor="text1" w:themeTint="F2"/>
                <w:spacing w:val="-5"/>
                <w:szCs w:val="20"/>
              </w:rPr>
              <w:t>ra</w:t>
            </w:r>
            <w:r w:rsidRPr="008F6065">
              <w:rPr>
                <w:rFonts w:cs="Arial"/>
                <w:color w:val="0D0D0D" w:themeColor="text1" w:themeTint="F2"/>
                <w:spacing w:val="-5"/>
                <w:szCs w:val="20"/>
              </w:rPr>
              <w:t xml:space="preserve"> domácností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v ekonomiku zvýšila</w:t>
            </w:r>
            <w:r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45"/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a obavy lidí z růstu cen i nezaměstnanosti klesly pod dlouhodobý průměr. To spolu se stabilně mírně pozitivní důvěrou v odvětví obchodu může vytvářet předpoklad pro příznivější vývoj maloobchodních tržeb na samém konci letošního roku. </w:t>
            </w:r>
          </w:p>
        </w:tc>
      </w:tr>
      <w:tr w:rsidR="00307B34" w:rsidRPr="00832E72" w14:paraId="76D7269C" w14:textId="77777777" w:rsidTr="00135A1D">
        <w:trPr>
          <w:trHeight w:val="155"/>
        </w:trPr>
        <w:tc>
          <w:tcPr>
            <w:tcW w:w="1814" w:type="dxa"/>
            <w:vMerge w:val="restart"/>
            <w:tcMar>
              <w:left w:w="0" w:type="dxa"/>
            </w:tcMar>
          </w:tcPr>
          <w:p w14:paraId="6062617F" w14:textId="77777777" w:rsidR="00307B34" w:rsidRDefault="00307B34" w:rsidP="00135A1D">
            <w:pPr>
              <w:pStyle w:val="Marginlie"/>
            </w:pPr>
          </w:p>
        </w:tc>
        <w:tc>
          <w:tcPr>
            <w:tcW w:w="179" w:type="dxa"/>
            <w:vMerge w:val="restart"/>
            <w:tcMar>
              <w:left w:w="0" w:type="dxa"/>
            </w:tcMar>
          </w:tcPr>
          <w:p w14:paraId="394336A7" w14:textId="77777777" w:rsidR="00307B34" w:rsidRDefault="00307B34" w:rsidP="00135A1D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629485A0" w14:textId="77777777" w:rsidR="00307B34" w:rsidRPr="00832E72" w:rsidRDefault="00307B34" w:rsidP="00135A1D">
            <w:pPr>
              <w:spacing w:after="0"/>
              <w:rPr>
                <w:rFonts w:cs="Arial"/>
                <w:color w:val="0D0D0D" w:themeColor="text1" w:themeTint="F2"/>
                <w:spacing w:val="-4"/>
                <w:szCs w:val="20"/>
              </w:rPr>
            </w:pPr>
            <w:r w:rsidRPr="00107EB3">
              <w:rPr>
                <w:b/>
                <w:spacing w:val="-2"/>
              </w:rPr>
              <w:t xml:space="preserve">Graf č. 8 </w:t>
            </w:r>
            <w:r w:rsidRPr="00107EB3">
              <w:rPr>
                <w:rFonts w:cs="Arial"/>
                <w:b/>
                <w:bCs/>
                <w:color w:val="0D0D0D" w:themeColor="text1" w:themeTint="F2"/>
                <w:spacing w:val="-2"/>
              </w:rPr>
              <w:t xml:space="preserve">Příspěvky dílčích odvětví k meziroční změně tržeb v maloobchodu* </w:t>
            </w:r>
            <w:r w:rsidRPr="00107EB3">
              <w:rPr>
                <w:rFonts w:cs="Arial"/>
                <w:color w:val="0D0D0D" w:themeColor="text1" w:themeTint="F2"/>
                <w:spacing w:val="-2"/>
              </w:rPr>
              <w:t>(reálně, v p. b.),</w:t>
            </w:r>
            <w:r w:rsidRPr="004405E2">
              <w:rPr>
                <w:rFonts w:cs="Arial"/>
                <w:color w:val="0D0D0D" w:themeColor="text1" w:themeTint="F2"/>
                <w:spacing w:val="-6"/>
              </w:rPr>
              <w:t xml:space="preserve"> </w:t>
            </w:r>
            <w:r w:rsidRPr="004405E2">
              <w:rPr>
                <w:rFonts w:cs="Arial"/>
                <w:b/>
                <w:bCs/>
                <w:color w:val="0D0D0D" w:themeColor="text1" w:themeTint="F2"/>
                <w:spacing w:val="-6"/>
              </w:rPr>
              <w:t xml:space="preserve">tržby v maloobchodu a v motoristickém segmentu obchodu** </w:t>
            </w:r>
            <w:r w:rsidRPr="004405E2">
              <w:rPr>
                <w:rFonts w:cs="Arial"/>
                <w:color w:val="0D0D0D" w:themeColor="text1" w:themeTint="F2"/>
                <w:spacing w:val="-6"/>
              </w:rPr>
              <w:t>(reálně, ú</w:t>
            </w:r>
            <w:r>
              <w:rPr>
                <w:rFonts w:cs="Arial"/>
                <w:color w:val="0D0D0D" w:themeColor="text1" w:themeTint="F2"/>
                <w:spacing w:val="-6"/>
              </w:rPr>
              <w:t xml:space="preserve">roveň roku </w:t>
            </w:r>
            <w:r w:rsidRPr="00107EB3">
              <w:rPr>
                <w:rFonts w:cs="Arial"/>
                <w:color w:val="0D0D0D" w:themeColor="text1" w:themeTint="F2"/>
                <w:spacing w:val="-2"/>
              </w:rPr>
              <w:t xml:space="preserve">2021=100, pravá osa), </w:t>
            </w:r>
            <w:r w:rsidRPr="00107EB3">
              <w:rPr>
                <w:rFonts w:cs="Arial"/>
                <w:b/>
                <w:bCs/>
                <w:color w:val="0D0D0D" w:themeColor="text1" w:themeTint="F2"/>
                <w:spacing w:val="-2"/>
              </w:rPr>
              <w:t xml:space="preserve">saldo důvěry spotřebitelů i obchodníků*** </w:t>
            </w:r>
            <w:r>
              <w:rPr>
                <w:rFonts w:cs="Arial"/>
                <w:color w:val="0D0D0D" w:themeColor="text1" w:themeTint="F2"/>
                <w:spacing w:val="-2"/>
              </w:rPr>
              <w:t xml:space="preserve">(v p. b., </w:t>
            </w:r>
            <w:proofErr w:type="spellStart"/>
            <w:r>
              <w:rPr>
                <w:rFonts w:cs="Arial"/>
                <w:color w:val="0D0D0D" w:themeColor="text1" w:themeTint="F2"/>
                <w:spacing w:val="-2"/>
              </w:rPr>
              <w:t>pr</w:t>
            </w:r>
            <w:proofErr w:type="spellEnd"/>
            <w:r>
              <w:rPr>
                <w:rFonts w:cs="Arial"/>
                <w:color w:val="0D0D0D" w:themeColor="text1" w:themeTint="F2"/>
                <w:spacing w:val="-2"/>
              </w:rPr>
              <w:t xml:space="preserve">. </w:t>
            </w:r>
            <w:r w:rsidRPr="00107EB3">
              <w:rPr>
                <w:rFonts w:cs="Arial"/>
                <w:color w:val="0D0D0D" w:themeColor="text1" w:themeTint="F2"/>
                <w:spacing w:val="-2"/>
              </w:rPr>
              <w:t>osa)</w:t>
            </w:r>
          </w:p>
        </w:tc>
      </w:tr>
      <w:tr w:rsidR="00307B34" w:rsidRPr="00832E72" w14:paraId="0A0B5F79" w14:textId="77777777" w:rsidTr="00135A1D">
        <w:tblPrEx>
          <w:tblCellMar>
            <w:left w:w="70" w:type="dxa"/>
            <w:right w:w="70" w:type="dxa"/>
          </w:tblCellMar>
        </w:tblPrEx>
        <w:trPr>
          <w:trHeight w:val="155"/>
        </w:trPr>
        <w:tc>
          <w:tcPr>
            <w:tcW w:w="1814" w:type="dxa"/>
            <w:vMerge/>
          </w:tcPr>
          <w:p w14:paraId="36F1268F" w14:textId="77777777" w:rsidR="00307B34" w:rsidRDefault="00307B34" w:rsidP="00135A1D">
            <w:pPr>
              <w:pStyle w:val="Marginlie"/>
            </w:pPr>
          </w:p>
        </w:tc>
        <w:tc>
          <w:tcPr>
            <w:tcW w:w="179" w:type="dxa"/>
            <w:vMerge/>
          </w:tcPr>
          <w:p w14:paraId="5C610767" w14:textId="77777777" w:rsidR="00307B34" w:rsidRDefault="00307B34" w:rsidP="00135A1D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30" w:type="dxa"/>
          </w:tcPr>
          <w:p w14:paraId="1165D0E3" w14:textId="77777777" w:rsidR="00307B34" w:rsidRPr="00832E72" w:rsidRDefault="00307B34" w:rsidP="00135A1D">
            <w:pPr>
              <w:spacing w:before="40" w:after="40"/>
              <w:rPr>
                <w:rFonts w:cs="Arial"/>
                <w:color w:val="0D0D0D" w:themeColor="text1" w:themeTint="F2"/>
                <w:spacing w:val="-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A2F9A8" wp14:editId="4A50616C">
                  <wp:extent cx="4720926" cy="3716118"/>
                  <wp:effectExtent l="0" t="0" r="3810" b="0"/>
                  <wp:docPr id="974338292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307B34" w:rsidRPr="00832E72" w14:paraId="452505C8" w14:textId="77777777" w:rsidTr="00135A1D">
        <w:trPr>
          <w:trHeight w:val="155"/>
        </w:trPr>
        <w:tc>
          <w:tcPr>
            <w:tcW w:w="1814" w:type="dxa"/>
            <w:vMerge/>
            <w:tcMar>
              <w:left w:w="0" w:type="dxa"/>
            </w:tcMar>
          </w:tcPr>
          <w:p w14:paraId="715A519D" w14:textId="77777777" w:rsidR="00307B34" w:rsidRDefault="00307B34" w:rsidP="00135A1D">
            <w:pPr>
              <w:pStyle w:val="Marginlie"/>
            </w:pPr>
          </w:p>
        </w:tc>
        <w:tc>
          <w:tcPr>
            <w:tcW w:w="179" w:type="dxa"/>
            <w:vMerge/>
            <w:tcMar>
              <w:left w:w="0" w:type="dxa"/>
            </w:tcMar>
          </w:tcPr>
          <w:p w14:paraId="30F9D7C4" w14:textId="77777777" w:rsidR="00307B34" w:rsidRDefault="00307B34" w:rsidP="00135A1D">
            <w:pPr>
              <w:pStyle w:val="Textpoznpodarou"/>
              <w:jc w:val="both"/>
              <w:rPr>
                <w:spacing w:val="-4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7BD74B0C" w14:textId="77777777" w:rsidR="00307B34" w:rsidRPr="00052ADA" w:rsidRDefault="00307B34" w:rsidP="00135A1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color w:val="0D0D0D" w:themeColor="text1" w:themeTint="F2"/>
                <w:spacing w:val="-6"/>
              </w:rPr>
              <w:t>*</w:t>
            </w:r>
            <w:r w:rsidRPr="00052ADA">
              <w:rPr>
                <w:rFonts w:cs="Arial"/>
                <w:sz w:val="14"/>
                <w:szCs w:val="14"/>
              </w:rPr>
              <w:t xml:space="preserve"> Tržby jsou očištěny o kalendářní vlivy.       ** Tržby jsou sezónně i kalendářně očištěny.</w:t>
            </w:r>
          </w:p>
          <w:p w14:paraId="0D670B31" w14:textId="77777777" w:rsidR="00307B34" w:rsidRPr="00832E72" w:rsidRDefault="00307B34" w:rsidP="00135A1D">
            <w:pPr>
              <w:spacing w:after="0"/>
              <w:rPr>
                <w:rFonts w:cs="Arial"/>
                <w:color w:val="0D0D0D" w:themeColor="text1" w:themeTint="F2"/>
                <w:spacing w:val="-4"/>
                <w:szCs w:val="20"/>
              </w:rPr>
            </w:pP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*** Salda důvěry jsou sezónně očištěna a vyjadřují</w:t>
            </w:r>
            <w:r w:rsidRPr="00052ADA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 stav ve druhém měs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íci daného čtvrtletí.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ab/>
              <w:t xml:space="preserve">      </w:t>
            </w:r>
            <w:r w:rsidRPr="00052ADA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       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                     </w:t>
            </w:r>
            <w:r w:rsidRPr="00052ADA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  Zdroj: ČSÚ</w:t>
            </w:r>
          </w:p>
        </w:tc>
      </w:tr>
      <w:tr w:rsidR="00307B34" w:rsidRPr="00933B60" w14:paraId="46F891A6" w14:textId="77777777" w:rsidTr="00135A1D">
        <w:trPr>
          <w:trHeight w:val="170"/>
        </w:trPr>
        <w:tc>
          <w:tcPr>
            <w:tcW w:w="1814" w:type="dxa"/>
            <w:tcMar>
              <w:left w:w="0" w:type="dxa"/>
            </w:tcMar>
          </w:tcPr>
          <w:p w14:paraId="385B9F3A" w14:textId="77777777" w:rsidR="00307B34" w:rsidRDefault="00307B34" w:rsidP="00135A1D">
            <w:pPr>
              <w:pStyle w:val="Marginlie"/>
              <w:rPr>
                <w:spacing w:val="-4"/>
              </w:rPr>
            </w:pPr>
            <w:r>
              <w:rPr>
                <w:spacing w:val="-4"/>
              </w:rPr>
              <w:lastRenderedPageBreak/>
              <w:t>Dvojciferný meziroční růst tržeb za prodej přes internet přetrvával. Velmi příznivé ceny PHM v</w:t>
            </w:r>
            <w:r>
              <w:t> </w:t>
            </w:r>
            <w:r>
              <w:rPr>
                <w:spacing w:val="-4"/>
              </w:rPr>
              <w:t>Česku stimulovaly české i zahraniční motoristy k vyšší poptávce.</w:t>
            </w:r>
          </w:p>
          <w:p w14:paraId="2DF8382E" w14:textId="77777777" w:rsidR="00307B34" w:rsidRDefault="00307B34" w:rsidP="00135A1D">
            <w:pPr>
              <w:pStyle w:val="Marginlie"/>
              <w:rPr>
                <w:spacing w:val="-4"/>
              </w:rPr>
            </w:pPr>
          </w:p>
          <w:p w14:paraId="26901AD3" w14:textId="77777777" w:rsidR="00307B34" w:rsidRDefault="00307B34" w:rsidP="00135A1D">
            <w:pPr>
              <w:pStyle w:val="Marginlie"/>
              <w:rPr>
                <w:spacing w:val="-4"/>
              </w:rPr>
            </w:pPr>
          </w:p>
          <w:p w14:paraId="0161C987" w14:textId="77777777" w:rsidR="00307B34" w:rsidRDefault="00307B34" w:rsidP="00135A1D">
            <w:pPr>
              <w:pStyle w:val="Marginlie"/>
              <w:rPr>
                <w:spacing w:val="-4"/>
              </w:rPr>
            </w:pPr>
          </w:p>
          <w:p w14:paraId="1F7CEE5A" w14:textId="77777777" w:rsidR="00307B34" w:rsidRDefault="00307B34" w:rsidP="00135A1D">
            <w:pPr>
              <w:pStyle w:val="Marginlie"/>
              <w:rPr>
                <w:spacing w:val="-4"/>
              </w:rPr>
            </w:pPr>
            <w:r>
              <w:rPr>
                <w:spacing w:val="-4"/>
              </w:rPr>
              <w:t xml:space="preserve">Růst tržeb za prodej potravin letos zvolnil </w:t>
            </w:r>
            <w:r>
              <w:rPr>
                <w:spacing w:val="-4"/>
              </w:rPr>
              <w:br/>
              <w:t>a v samotném 3. čtvrtletí se zastavil.</w:t>
            </w:r>
          </w:p>
          <w:p w14:paraId="16D0AFEA" w14:textId="77777777" w:rsidR="00307B34" w:rsidRPr="000839A0" w:rsidRDefault="00307B34" w:rsidP="00135A1D">
            <w:pPr>
              <w:pStyle w:val="Marginlie"/>
              <w:rPr>
                <w:spacing w:val="-4"/>
              </w:rPr>
            </w:pPr>
          </w:p>
        </w:tc>
        <w:tc>
          <w:tcPr>
            <w:tcW w:w="179" w:type="dxa"/>
            <w:tcMar>
              <w:left w:w="0" w:type="dxa"/>
            </w:tcMar>
          </w:tcPr>
          <w:p w14:paraId="5EF97258" w14:textId="77777777" w:rsidR="00307B34" w:rsidRPr="00933B60" w:rsidRDefault="00307B34" w:rsidP="00135A1D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22A4835C" w14:textId="77777777" w:rsidR="00307B34" w:rsidRDefault="00307B34" w:rsidP="00135A1D">
            <w:pPr>
              <w:spacing w:after="0"/>
              <w:rPr>
                <w:rFonts w:cs="Arial"/>
                <w:color w:val="0D0D0D" w:themeColor="text1" w:themeTint="F2"/>
                <w:spacing w:val="-4"/>
                <w:szCs w:val="20"/>
              </w:rPr>
            </w:pP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V úhrnu za 1. až 3. čtvrtletí se maloobchodní tržby zvýšily meziročně o 3,7 % (rostly mírně nižším tempem než ve stejném období vloni). Dominantní vliv měla nadále </w:t>
            </w:r>
            <w:r w:rsidRPr="0075710A">
              <w:rPr>
                <w:rFonts w:cs="Arial"/>
                <w:color w:val="0D0D0D" w:themeColor="text1" w:themeTint="F2"/>
                <w:spacing w:val="-6"/>
                <w:szCs w:val="20"/>
              </w:rPr>
              <w:t>vyšší poptávk</w:t>
            </w:r>
            <w:r>
              <w:rPr>
                <w:rFonts w:cs="Arial"/>
                <w:color w:val="0D0D0D" w:themeColor="text1" w:themeTint="F2"/>
                <w:spacing w:val="-6"/>
                <w:szCs w:val="20"/>
              </w:rPr>
              <w:t>a</w:t>
            </w:r>
            <w:r w:rsidRPr="0075710A">
              <w:rPr>
                <w:rFonts w:cs="Arial"/>
                <w:color w:val="0D0D0D" w:themeColor="text1" w:themeTint="F2"/>
                <w:spacing w:val="-6"/>
                <w:szCs w:val="20"/>
              </w:rPr>
              <w:t xml:space="preserve"> po nepotravinářsk</w:t>
            </w:r>
            <w:r>
              <w:rPr>
                <w:rFonts w:cs="Arial"/>
                <w:color w:val="0D0D0D" w:themeColor="text1" w:themeTint="F2"/>
                <w:spacing w:val="-6"/>
                <w:szCs w:val="20"/>
              </w:rPr>
              <w:t>ém zboží (příspěvek k růstu +2,3</w:t>
            </w:r>
            <w:r w:rsidRPr="0075710A">
              <w:rPr>
                <w:rFonts w:cs="Arial"/>
                <w:color w:val="0D0D0D" w:themeColor="text1" w:themeTint="F2"/>
                <w:spacing w:val="-6"/>
                <w:szCs w:val="20"/>
              </w:rPr>
              <w:t xml:space="preserve"> p. b.),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do níž zásadně promlouvaly tržby v oblasti prodeje </w:t>
            </w:r>
            <w:r w:rsidRPr="00F94B32">
              <w:rPr>
                <w:rFonts w:cs="Arial"/>
                <w:color w:val="0D0D0D" w:themeColor="text1" w:themeTint="F2"/>
                <w:spacing w:val="-4"/>
                <w:szCs w:val="20"/>
              </w:rPr>
              <w:t>prostřednictvím internetu nebo zásilkové služb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y, jež posílily o více než desetinu a stejně jako loni představovaly nejdynamičtější segment tuzemského maloobchodu</w:t>
            </w:r>
            <w:r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46"/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. V rámci specializovaných prodejen</w:t>
            </w:r>
            <w:r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47"/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se nadále svižně zvyšovaly tržby za kosmetické a toaletní výrobky (+9,5 %) i farmaceutické a zdravotnické zboží (+5,3</w:t>
            </w:r>
            <w:r w:rsidRPr="0075710A">
              <w:rPr>
                <w:rFonts w:cs="Arial"/>
                <w:color w:val="0D0D0D" w:themeColor="text1" w:themeTint="F2"/>
                <w:spacing w:val="-6"/>
                <w:szCs w:val="20"/>
              </w:rPr>
              <w:t> 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%). Sílila poptávka po pohonných hmotách, jež pramenila hlavně z jejich příznivého cenového vývoje</w:t>
            </w:r>
            <w:r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48"/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. Meziroční růst tržeb za jejich prodej dosáhl 9,7 %</w:t>
            </w:r>
            <w:r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49"/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(srovnatelný byl naposledy v roce 2008) a k růstu celého maloobchodu přispěl 1,2 p. b. Tržby v některých sortimentních skupinách obchodů ovšem nadále klesaly – ve spíše okrajovém segmentu prodejen s </w:t>
            </w:r>
            <w:r w:rsidRPr="008B72AA">
              <w:rPr>
                <w:rFonts w:cs="Arial"/>
                <w:color w:val="0D0D0D" w:themeColor="text1" w:themeTint="F2"/>
                <w:spacing w:val="-4"/>
                <w:szCs w:val="20"/>
              </w:rPr>
              <w:t>počítačovým a komunikačním zařízení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m o 2,6 %</w:t>
            </w:r>
            <w:r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50"/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, s </w:t>
            </w:r>
            <w:r w:rsidRPr="008B72AA">
              <w:rPr>
                <w:rFonts w:cs="Arial"/>
                <w:color w:val="0D0D0D" w:themeColor="text1" w:themeTint="F2"/>
                <w:spacing w:val="-4"/>
                <w:szCs w:val="20"/>
              </w:rPr>
              <w:t>výrobky převážně pro domácnost</w:t>
            </w:r>
            <w:r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51"/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o 0,3 %. Tržby za oděvy, obuv a kožené zboží vykázaly (podobně jako vloni) jen velmi slabý růst. To letos platilo také u tržeb v prodejnách s potravinami (+0,7 %), a to jak u velkých řetězců, tak i zpravidla malých specializovaných prodejen</w:t>
            </w:r>
            <w:r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52"/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(z toho ve 3. čtvrtletí 2025 v obou případech poptávka dokonce mírně klesla). </w:t>
            </w:r>
          </w:p>
          <w:p w14:paraId="1C501313" w14:textId="77777777" w:rsidR="00307B34" w:rsidRPr="00933B60" w:rsidRDefault="00307B34" w:rsidP="00135A1D">
            <w:pPr>
              <w:spacing w:after="0"/>
              <w:rPr>
                <w:rFonts w:cs="Arial"/>
                <w:color w:val="0D0D0D" w:themeColor="text1" w:themeTint="F2"/>
                <w:szCs w:val="20"/>
              </w:rPr>
            </w:pPr>
          </w:p>
        </w:tc>
      </w:tr>
      <w:tr w:rsidR="00307B34" w:rsidRPr="00933B60" w14:paraId="320A68F7" w14:textId="77777777" w:rsidTr="00135A1D">
        <w:trPr>
          <w:trHeight w:val="170"/>
        </w:trPr>
        <w:tc>
          <w:tcPr>
            <w:tcW w:w="1814" w:type="dxa"/>
            <w:tcMar>
              <w:left w:w="0" w:type="dxa"/>
            </w:tcMar>
          </w:tcPr>
          <w:p w14:paraId="48F86DAA" w14:textId="77777777" w:rsidR="00307B34" w:rsidRPr="000839A0" w:rsidRDefault="00307B34" w:rsidP="00135A1D">
            <w:pPr>
              <w:pStyle w:val="Marginlie"/>
              <w:rPr>
                <w:spacing w:val="-4"/>
              </w:rPr>
            </w:pPr>
            <w:r>
              <w:rPr>
                <w:spacing w:val="-4"/>
              </w:rPr>
              <w:t xml:space="preserve">K oživení poptávky </w:t>
            </w:r>
            <w:r>
              <w:rPr>
                <w:spacing w:val="-4"/>
              </w:rPr>
              <w:br/>
              <w:t>v motoristickém segmentu obchodu přispěly letos zejména vyšší prodeje motorových vozidel. Tržby za prodej dílů a příslušenství ovšem dále klesaly.</w:t>
            </w:r>
          </w:p>
        </w:tc>
        <w:tc>
          <w:tcPr>
            <w:tcW w:w="179" w:type="dxa"/>
            <w:tcMar>
              <w:left w:w="0" w:type="dxa"/>
            </w:tcMar>
          </w:tcPr>
          <w:p w14:paraId="7D93DCDC" w14:textId="77777777" w:rsidR="00307B34" w:rsidRPr="00933B60" w:rsidRDefault="00307B34" w:rsidP="00135A1D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30" w:type="dxa"/>
            <w:tcMar>
              <w:left w:w="0" w:type="dxa"/>
            </w:tcMar>
          </w:tcPr>
          <w:p w14:paraId="2C8CD66A" w14:textId="77777777" w:rsidR="00307B34" w:rsidRPr="00933B60" w:rsidRDefault="00307B34" w:rsidP="00135A1D">
            <w:pPr>
              <w:spacing w:after="0"/>
              <w:rPr>
                <w:rFonts w:cs="Arial"/>
                <w:color w:val="0D0D0D" w:themeColor="text1" w:themeTint="F2"/>
                <w:szCs w:val="20"/>
              </w:rPr>
            </w:pPr>
            <w:r>
              <w:rPr>
                <w:rFonts w:cs="Arial"/>
                <w:color w:val="0D0D0D" w:themeColor="text1" w:themeTint="F2"/>
                <w:szCs w:val="20"/>
              </w:rPr>
              <w:t>V</w:t>
            </w:r>
            <w:r w:rsidRPr="00933B60">
              <w:rPr>
                <w:rFonts w:cs="Arial"/>
                <w:color w:val="0D0D0D" w:themeColor="text1" w:themeTint="F2"/>
                <w:szCs w:val="20"/>
              </w:rPr>
              <w:t xml:space="preserve"> </w:t>
            </w:r>
            <w:r w:rsidRPr="007D3BEA">
              <w:rPr>
                <w:rFonts w:cs="Arial"/>
                <w:color w:val="0D0D0D" w:themeColor="text1" w:themeTint="F2"/>
                <w:szCs w:val="20"/>
              </w:rPr>
              <w:t xml:space="preserve">motoristickém segmentu obchodu se letos </w:t>
            </w:r>
            <w:r>
              <w:rPr>
                <w:rFonts w:cs="Arial"/>
                <w:color w:val="0D0D0D" w:themeColor="text1" w:themeTint="F2"/>
                <w:szCs w:val="20"/>
              </w:rPr>
              <w:t xml:space="preserve">za tři čtvrtletí tržby meziročně zvýšily </w:t>
            </w:r>
            <w:r>
              <w:rPr>
                <w:rFonts w:cs="Arial"/>
                <w:color w:val="0D0D0D" w:themeColor="text1" w:themeTint="F2"/>
                <w:szCs w:val="20"/>
              </w:rPr>
              <w:br/>
              <w:t>o 2,7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 </w:t>
            </w:r>
            <w:r>
              <w:rPr>
                <w:rFonts w:cs="Arial"/>
                <w:color w:val="0D0D0D" w:themeColor="text1" w:themeTint="F2"/>
                <w:szCs w:val="20"/>
              </w:rPr>
              <w:t>%, což po loňské stagnaci znamenalo mírné oživení. V klíčovém segmentu prodeje motorových vozidel (kromě motocyklů), jehož výsledek závisí hlavně na firemní poptávce, se letos tržby zvýšily dokonce o 3,9 %, ve srovnání se shodným obdobím roku 2019 však byly stále mírně nižší (o 2,5 %</w:t>
            </w:r>
            <w:r>
              <w:rPr>
                <w:rFonts w:cs="Arial"/>
                <w:color w:val="0D0D0D" w:themeColor="text1" w:themeTint="F2"/>
                <w:spacing w:val="-6"/>
                <w:szCs w:val="20"/>
              </w:rPr>
              <w:t xml:space="preserve">). Menší růst poptávky nastal i v dalších motoristických segmentech, kromě obchodu s </w:t>
            </w:r>
            <w:r>
              <w:rPr>
                <w:rFonts w:cs="Arial"/>
                <w:color w:val="0D0D0D" w:themeColor="text1" w:themeTint="F2"/>
                <w:szCs w:val="20"/>
              </w:rPr>
              <w:t>díly i příslušenstvím (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–</w:t>
            </w:r>
            <w:r>
              <w:rPr>
                <w:rFonts w:cs="Arial"/>
                <w:color w:val="0D0D0D" w:themeColor="text1" w:themeTint="F2"/>
                <w:szCs w:val="20"/>
              </w:rPr>
              <w:t>0,4 %), kde pokles tržeb přetrvával třetí rok v řadě.</w:t>
            </w:r>
          </w:p>
        </w:tc>
      </w:tr>
    </w:tbl>
    <w:p w14:paraId="54699802" w14:textId="77777777" w:rsidR="00307B34" w:rsidRPr="000546C1" w:rsidRDefault="00307B34" w:rsidP="00307B34">
      <w:pPr>
        <w:spacing w:after="0" w:line="240" w:lineRule="auto"/>
        <w:jc w:val="left"/>
        <w:rPr>
          <w:rFonts w:eastAsia="MS Gothic"/>
          <w:b/>
          <w:bCs/>
          <w:color w:val="86BF5E"/>
          <w:sz w:val="6"/>
          <w:szCs w:val="6"/>
        </w:rPr>
      </w:pPr>
    </w:p>
    <w:p w14:paraId="52BD87E3" w14:textId="3318BBBA" w:rsidR="00307B34" w:rsidRDefault="00307B34">
      <w:pPr>
        <w:spacing w:after="0" w:line="240" w:lineRule="auto"/>
        <w:jc w:val="left"/>
        <w:rPr>
          <w:rFonts w:eastAsia="MS Gothic"/>
          <w:b/>
          <w:bCs/>
          <w:color w:val="86BF5E"/>
          <w:sz w:val="32"/>
          <w:szCs w:val="28"/>
        </w:rPr>
      </w:pPr>
    </w:p>
    <w:bookmarkEnd w:id="1"/>
    <w:sectPr w:rsidR="00307B34" w:rsidSect="00487469">
      <w:headerReference w:type="even" r:id="rId16"/>
      <w:headerReference w:type="default" r:id="rId17"/>
      <w:footerReference w:type="even" r:id="rId18"/>
      <w:footerReference w:type="default" r:id="rId19"/>
      <w:pgSz w:w="11906" w:h="16838" w:code="9"/>
      <w:pgMar w:top="1134" w:right="1134" w:bottom="1418" w:left="1134" w:header="680" w:footer="680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0931" w14:textId="77777777" w:rsidR="00C54141" w:rsidRDefault="00C54141" w:rsidP="00E71A58">
      <w:r>
        <w:separator/>
      </w:r>
    </w:p>
  </w:endnote>
  <w:endnote w:type="continuationSeparator" w:id="0">
    <w:p w14:paraId="53C7081B" w14:textId="77777777" w:rsidR="00C54141" w:rsidRDefault="00C54141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3B3F7B37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C5418A">
      <w:rPr>
        <w:szCs w:val="16"/>
      </w:rPr>
      <w:t>1. až 3. 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15E32B36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 xml:space="preserve">1. </w:t>
    </w:r>
    <w:r w:rsidR="00C5418A">
      <w:rPr>
        <w:szCs w:val="16"/>
      </w:rPr>
      <w:t>až 3. čtvrt</w:t>
    </w:r>
    <w:r>
      <w:rPr>
        <w:szCs w:val="16"/>
      </w:rPr>
      <w:t>letí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C961" w14:textId="77777777" w:rsidR="00C54141" w:rsidRDefault="00C54141" w:rsidP="00EA4302">
      <w:pPr>
        <w:spacing w:after="0"/>
      </w:pPr>
      <w:r>
        <w:separator/>
      </w:r>
    </w:p>
  </w:footnote>
  <w:footnote w:type="continuationSeparator" w:id="0">
    <w:p w14:paraId="76A7A74E" w14:textId="77777777" w:rsidR="00C54141" w:rsidRDefault="00C54141" w:rsidP="00E71A58">
      <w:r>
        <w:continuationSeparator/>
      </w:r>
    </w:p>
  </w:footnote>
  <w:footnote w:id="1">
    <w:p w14:paraId="08B63957" w14:textId="77777777" w:rsidR="00307B34" w:rsidRPr="007163BD" w:rsidRDefault="00307B34" w:rsidP="00307B34">
      <w:pPr>
        <w:pStyle w:val="Textpoznpodarou"/>
        <w:jc w:val="both"/>
        <w:rPr>
          <w:rFonts w:cs="Arial"/>
          <w:color w:val="0D0D0D" w:themeColor="text1" w:themeTint="F2"/>
          <w:spacing w:val="-2"/>
          <w:sz w:val="16"/>
          <w:szCs w:val="16"/>
        </w:rPr>
      </w:pPr>
      <w:r w:rsidRPr="007163BD">
        <w:rPr>
          <w:rStyle w:val="Znakapoznpodarou"/>
          <w:rFonts w:cs="Arial"/>
          <w:color w:val="0D0D0D" w:themeColor="text1" w:themeTint="F2"/>
          <w:spacing w:val="-2"/>
          <w:sz w:val="16"/>
          <w:szCs w:val="16"/>
        </w:rPr>
        <w:footnoteRef/>
      </w:r>
      <w:r w:rsidRPr="007163BD">
        <w:rPr>
          <w:rFonts w:cs="Arial"/>
          <w:color w:val="0D0D0D" w:themeColor="text1" w:themeTint="F2"/>
          <w:spacing w:val="-2"/>
          <w:sz w:val="16"/>
          <w:szCs w:val="16"/>
        </w:rPr>
        <w:t xml:space="preserve"> Údaje o HPH jsou vyjádřeny ve stálých cenách a v očištění o sezónní a kalendářní vlivy.</w:t>
      </w:r>
    </w:p>
  </w:footnote>
  <w:footnote w:id="2">
    <w:p w14:paraId="51C26E8F" w14:textId="77777777" w:rsidR="00307B34" w:rsidRPr="006B6ECC" w:rsidRDefault="00307B34" w:rsidP="00307B34">
      <w:pPr>
        <w:pStyle w:val="Textpoznpodarou"/>
        <w:rPr>
          <w:sz w:val="16"/>
          <w:szCs w:val="16"/>
        </w:rPr>
      </w:pPr>
      <w:r w:rsidRPr="006B6ECC">
        <w:rPr>
          <w:rStyle w:val="Znakapoznpodarou"/>
          <w:sz w:val="16"/>
          <w:szCs w:val="16"/>
        </w:rPr>
        <w:footnoteRef/>
      </w:r>
      <w:r w:rsidRPr="006B6ECC">
        <w:rPr>
          <w:sz w:val="16"/>
          <w:szCs w:val="16"/>
        </w:rPr>
        <w:t xml:space="preserve"> V informačních a komunikačních činnostech převýšila H</w:t>
      </w:r>
      <w:r>
        <w:rPr>
          <w:sz w:val="16"/>
          <w:szCs w:val="16"/>
        </w:rPr>
        <w:t>PH předkrizovou úroveň již o 45 %</w:t>
      </w:r>
      <w:r w:rsidRPr="006B6ECC">
        <w:rPr>
          <w:sz w:val="16"/>
          <w:szCs w:val="16"/>
        </w:rPr>
        <w:t>, v peněž</w:t>
      </w:r>
      <w:r>
        <w:rPr>
          <w:sz w:val="16"/>
          <w:szCs w:val="16"/>
        </w:rPr>
        <w:t>nictví a pojišťovnictví o 19 %</w:t>
      </w:r>
      <w:r w:rsidRPr="006B6ECC">
        <w:rPr>
          <w:sz w:val="16"/>
          <w:szCs w:val="16"/>
        </w:rPr>
        <w:t xml:space="preserve"> v podnikových službách (profesní, vědecké, technické a administrativní činnosti) o </w:t>
      </w:r>
      <w:r>
        <w:rPr>
          <w:sz w:val="16"/>
          <w:szCs w:val="16"/>
        </w:rPr>
        <w:t>17 % a v uskupení</w:t>
      </w:r>
      <w:r w:rsidRPr="0066461F">
        <w:t xml:space="preserve"> </w:t>
      </w:r>
      <w:r>
        <w:rPr>
          <w:sz w:val="16"/>
          <w:szCs w:val="16"/>
        </w:rPr>
        <w:t>v</w:t>
      </w:r>
      <w:r w:rsidRPr="0066461F">
        <w:rPr>
          <w:sz w:val="16"/>
          <w:szCs w:val="16"/>
        </w:rPr>
        <w:t>eřejná správa a obrana, vzdělávání, zdravotní a sociální péče</w:t>
      </w:r>
      <w:r>
        <w:rPr>
          <w:sz w:val="16"/>
          <w:szCs w:val="16"/>
        </w:rPr>
        <w:t xml:space="preserve"> o 9 %.</w:t>
      </w:r>
      <w:r w:rsidRPr="006B6ECC">
        <w:rPr>
          <w:sz w:val="16"/>
          <w:szCs w:val="16"/>
        </w:rPr>
        <w:t xml:space="preserve"> Naopak výkon </w:t>
      </w:r>
      <w:r>
        <w:rPr>
          <w:sz w:val="16"/>
          <w:szCs w:val="16"/>
        </w:rPr>
        <w:t xml:space="preserve">v </w:t>
      </w:r>
      <w:r w:rsidRPr="006B6ECC">
        <w:rPr>
          <w:sz w:val="16"/>
          <w:szCs w:val="16"/>
        </w:rPr>
        <w:t>průmysl</w:t>
      </w:r>
      <w:r>
        <w:rPr>
          <w:sz w:val="16"/>
          <w:szCs w:val="16"/>
        </w:rPr>
        <w:t>u za 4. čtvrtletím 2019 zaostával o 4</w:t>
      </w:r>
      <w:r w:rsidRPr="006B6ECC">
        <w:rPr>
          <w:sz w:val="16"/>
          <w:szCs w:val="16"/>
        </w:rPr>
        <w:t xml:space="preserve"> %</w:t>
      </w:r>
      <w:r>
        <w:rPr>
          <w:sz w:val="16"/>
          <w:szCs w:val="16"/>
        </w:rPr>
        <w:t xml:space="preserve"> (mírněji pak v jeho zpracovatelské části)</w:t>
      </w:r>
      <w:r w:rsidRPr="006B6ECC">
        <w:rPr>
          <w:sz w:val="16"/>
          <w:szCs w:val="16"/>
        </w:rPr>
        <w:t xml:space="preserve">, </w:t>
      </w:r>
      <w:r>
        <w:rPr>
          <w:sz w:val="16"/>
          <w:szCs w:val="16"/>
        </w:rPr>
        <w:t>ve stavebnictví potom o 5</w:t>
      </w:r>
      <w:r w:rsidRPr="006B6ECC">
        <w:rPr>
          <w:sz w:val="16"/>
          <w:szCs w:val="16"/>
        </w:rPr>
        <w:t xml:space="preserve"> %.</w:t>
      </w:r>
    </w:p>
  </w:footnote>
  <w:footnote w:id="3">
    <w:p w14:paraId="2B184761" w14:textId="77777777" w:rsidR="00307B34" w:rsidRPr="004602FC" w:rsidRDefault="00307B34" w:rsidP="00307B34">
      <w:pPr>
        <w:pStyle w:val="Textpoznpodarou"/>
        <w:rPr>
          <w:sz w:val="16"/>
          <w:szCs w:val="16"/>
        </w:rPr>
      </w:pPr>
      <w:r w:rsidRPr="004602FC">
        <w:rPr>
          <w:rStyle w:val="Znakapoznpodarou"/>
          <w:sz w:val="16"/>
          <w:szCs w:val="16"/>
        </w:rPr>
        <w:footnoteRef/>
      </w:r>
      <w:r w:rsidRPr="004602FC">
        <w:rPr>
          <w:sz w:val="16"/>
          <w:szCs w:val="16"/>
        </w:rPr>
        <w:t xml:space="preserve"> Počet odpracovaných hodin v tomto odvětví se</w:t>
      </w:r>
      <w:r>
        <w:rPr>
          <w:sz w:val="16"/>
          <w:szCs w:val="16"/>
        </w:rPr>
        <w:t xml:space="preserve"> v 1. až 3. čtvrtletí</w:t>
      </w:r>
      <w:r w:rsidRPr="004602FC">
        <w:rPr>
          <w:sz w:val="16"/>
          <w:szCs w:val="16"/>
        </w:rPr>
        <w:t xml:space="preserve"> meziročn</w:t>
      </w:r>
      <w:r>
        <w:rPr>
          <w:sz w:val="16"/>
          <w:szCs w:val="16"/>
        </w:rPr>
        <w:t>ě</w:t>
      </w:r>
      <w:r w:rsidRPr="004602FC">
        <w:rPr>
          <w:sz w:val="16"/>
          <w:szCs w:val="16"/>
        </w:rPr>
        <w:t xml:space="preserve"> významně nezměnil (</w:t>
      </w:r>
      <w:r>
        <w:rPr>
          <w:color w:val="0D0D0D" w:themeColor="text1" w:themeTint="F2"/>
          <w:spacing w:val="-1"/>
          <w:sz w:val="16"/>
          <w:szCs w:val="16"/>
        </w:rPr>
        <w:t>+</w:t>
      </w:r>
      <w:r w:rsidRPr="004602FC">
        <w:rPr>
          <w:sz w:val="16"/>
          <w:szCs w:val="16"/>
        </w:rPr>
        <w:t>0,7 %).</w:t>
      </w:r>
    </w:p>
  </w:footnote>
  <w:footnote w:id="4">
    <w:p w14:paraId="5D772F80" w14:textId="77777777" w:rsidR="00307B34" w:rsidRPr="0068589B" w:rsidRDefault="00307B34" w:rsidP="00307B34">
      <w:pPr>
        <w:pStyle w:val="Textpoznpodarou"/>
        <w:rPr>
          <w:sz w:val="16"/>
          <w:szCs w:val="16"/>
        </w:rPr>
      </w:pPr>
      <w:r w:rsidRPr="0068589B">
        <w:rPr>
          <w:rStyle w:val="Znakapoznpodarou"/>
          <w:sz w:val="16"/>
          <w:szCs w:val="16"/>
        </w:rPr>
        <w:footnoteRef/>
      </w:r>
      <w:r w:rsidRPr="0068589B">
        <w:rPr>
          <w:sz w:val="16"/>
          <w:szCs w:val="16"/>
        </w:rPr>
        <w:t xml:space="preserve"> </w:t>
      </w:r>
      <w:r>
        <w:rPr>
          <w:sz w:val="16"/>
          <w:szCs w:val="16"/>
        </w:rPr>
        <w:t>Ty o</w:t>
      </w:r>
      <w:r w:rsidRPr="0068589B">
        <w:rPr>
          <w:sz w:val="16"/>
          <w:szCs w:val="16"/>
        </w:rPr>
        <w:t>bsahuj</w:t>
      </w:r>
      <w:r>
        <w:rPr>
          <w:sz w:val="16"/>
          <w:szCs w:val="16"/>
        </w:rPr>
        <w:t>í</w:t>
      </w:r>
      <w:r w:rsidRPr="0068589B">
        <w:rPr>
          <w:sz w:val="16"/>
          <w:szCs w:val="16"/>
        </w:rPr>
        <w:t xml:space="preserve"> veřejnou správu, obranu, vzdělávání, zdravotní a sociální péči.</w:t>
      </w:r>
    </w:p>
  </w:footnote>
  <w:footnote w:id="5">
    <w:p w14:paraId="4066247B" w14:textId="77777777" w:rsidR="00307B34" w:rsidRPr="000C615A" w:rsidRDefault="00307B34" w:rsidP="00307B34">
      <w:pPr>
        <w:pStyle w:val="Textpoznpodarou"/>
        <w:rPr>
          <w:sz w:val="16"/>
          <w:szCs w:val="16"/>
        </w:rPr>
      </w:pPr>
      <w:r w:rsidRPr="000C615A">
        <w:rPr>
          <w:rStyle w:val="Znakapoznpodarou"/>
          <w:sz w:val="16"/>
          <w:szCs w:val="16"/>
        </w:rPr>
        <w:footnoteRef/>
      </w:r>
      <w:r w:rsidRPr="000C615A">
        <w:rPr>
          <w:sz w:val="16"/>
          <w:szCs w:val="16"/>
        </w:rPr>
        <w:t xml:space="preserve"> </w:t>
      </w:r>
      <w:r w:rsidRPr="004A6924">
        <w:rPr>
          <w:sz w:val="16"/>
          <w:szCs w:val="16"/>
        </w:rPr>
        <w:t xml:space="preserve">Srovnatelné tempo za 1. až 3. čtvrtletí </w:t>
      </w:r>
      <w:r w:rsidRPr="004A6924">
        <w:rPr>
          <w:color w:val="000000" w:themeColor="text1"/>
          <w:sz w:val="16"/>
          <w:szCs w:val="16"/>
        </w:rPr>
        <w:t>bylo naposledy zaznamenáno v roce 2014, kdy zrychlila realizace infrastrukturálních projektů vlivem čerpání prostředků z eurofondů na sklonku programového období EU.</w:t>
      </w:r>
    </w:p>
  </w:footnote>
  <w:footnote w:id="6">
    <w:p w14:paraId="29925A80" w14:textId="77777777" w:rsidR="00307B34" w:rsidRPr="000E1FF5" w:rsidRDefault="00307B34" w:rsidP="00307B34">
      <w:pPr>
        <w:pStyle w:val="Textpoznpodarou"/>
        <w:rPr>
          <w:sz w:val="16"/>
          <w:szCs w:val="16"/>
        </w:rPr>
      </w:pPr>
      <w:r w:rsidRPr="000E1FF5">
        <w:rPr>
          <w:rStyle w:val="Znakapoznpodarou"/>
          <w:sz w:val="16"/>
          <w:szCs w:val="16"/>
        </w:rPr>
        <w:footnoteRef/>
      </w:r>
      <w:r w:rsidRPr="000E1FF5">
        <w:rPr>
          <w:sz w:val="16"/>
          <w:szCs w:val="16"/>
        </w:rPr>
        <w:t xml:space="preserve"> V samotném 3. čtvrtletí 2025 činil růst 5,5 %</w:t>
      </w:r>
      <w:r w:rsidRPr="000E1FF5">
        <w:rPr>
          <w:rFonts w:eastAsia="Arial" w:cs="Arial"/>
          <w:sz w:val="16"/>
          <w:szCs w:val="16"/>
        </w:rPr>
        <w:t xml:space="preserve">, z toho výroba drůbežího se zvedla o 11,3 % (velikost čtvrtletní produkce byla nejvyšší za posledních 10 let), výroba vepřového byla vyšší o 3,1 % (nejvíce rostly porážky prasnic), naopak výroba hovězího se snížila o 2,0 % (pokles trvá již od počátku loňského roku). Výroba na jatkách meziročně rostla osmý kvartál v řadě a aktuálně byla srovnatelná s rokem </w:t>
      </w:r>
      <w:r w:rsidRPr="000E1FF5">
        <w:rPr>
          <w:rFonts w:eastAsia="Arial" w:cs="Arial"/>
          <w:spacing w:val="-2"/>
          <w:sz w:val="16"/>
          <w:szCs w:val="16"/>
        </w:rPr>
        <w:t>2021. Jestliže v 1. letošním kvartálu (i po celý loňský rok) přispívalo k růstu výroby masa nejvíce vepřové, nyní plní tuto roli drůbeží maso.</w:t>
      </w:r>
      <w:r>
        <w:rPr>
          <w:rFonts w:eastAsia="Arial" w:cs="Arial"/>
          <w:spacing w:val="-2"/>
          <w:sz w:val="16"/>
          <w:szCs w:val="16"/>
        </w:rPr>
        <w:t xml:space="preserve"> Stále více se dařilo vyvážet živá </w:t>
      </w:r>
      <w:r w:rsidRPr="00B93C05">
        <w:rPr>
          <w:rFonts w:eastAsia="Arial" w:cs="Arial"/>
          <w:sz w:val="16"/>
          <w:szCs w:val="16"/>
        </w:rPr>
        <w:t>zvířata, zejména jateční i zástavový skot (letos za tři čtvrtletí meziročně o 5 % více). Vyváží se tak již více než čtvrtina v Česku vykrmeného skotu (nejvíce do Rakouska, kromě toho aktuálně sílila poptávka z Polska). Motivem vývozů jsou vyšší výkupní ceny a současně klesající poptávka tuzemských domácností (vlivem silného růstu spotřebitelské ceny tohoto masa).</w:t>
      </w:r>
    </w:p>
  </w:footnote>
  <w:footnote w:id="7">
    <w:p w14:paraId="6EA6B5D7" w14:textId="77777777" w:rsidR="00307B34" w:rsidRPr="001B73EB" w:rsidRDefault="00307B34" w:rsidP="00307B34">
      <w:pPr>
        <w:pStyle w:val="Textpoznpodarou"/>
        <w:rPr>
          <w:sz w:val="16"/>
          <w:szCs w:val="16"/>
        </w:rPr>
      </w:pPr>
      <w:r w:rsidRPr="001B73EB">
        <w:rPr>
          <w:rStyle w:val="Znakapoznpodarou"/>
          <w:sz w:val="16"/>
          <w:szCs w:val="16"/>
        </w:rPr>
        <w:footnoteRef/>
      </w:r>
      <w:r w:rsidRPr="001B73EB">
        <w:rPr>
          <w:sz w:val="16"/>
          <w:szCs w:val="16"/>
        </w:rPr>
        <w:t xml:space="preserve"> </w:t>
      </w:r>
      <w:r w:rsidRPr="001B73EB">
        <w:rPr>
          <w:rFonts w:cs="Arial"/>
          <w:sz w:val="16"/>
          <w:szCs w:val="16"/>
        </w:rPr>
        <w:t>Na meziročním růstu úrody obilovin se ze dvou třetin podílela pšenice (sklizeň: 5 189 tis. tun, +12,2 %), pokles nastal jen u kukuřice na zrno (</w:t>
      </w:r>
      <w:r>
        <w:rPr>
          <w:rFonts w:cs="Arial"/>
          <w:sz w:val="16"/>
          <w:szCs w:val="16"/>
        </w:rPr>
        <w:t>−</w:t>
      </w:r>
      <w:r w:rsidRPr="001B73EB">
        <w:rPr>
          <w:rFonts w:cs="Arial"/>
          <w:sz w:val="16"/>
          <w:szCs w:val="16"/>
        </w:rPr>
        <w:t>6,4 %), jehož loňská úroda však byla nadprůměrná</w:t>
      </w:r>
      <w:r>
        <w:rPr>
          <w:rFonts w:cs="Arial"/>
          <w:sz w:val="16"/>
          <w:szCs w:val="16"/>
        </w:rPr>
        <w:t>,</w:t>
      </w:r>
      <w:r w:rsidRPr="001B73EB">
        <w:rPr>
          <w:rFonts w:cs="Arial"/>
          <w:sz w:val="16"/>
          <w:szCs w:val="16"/>
        </w:rPr>
        <w:t xml:space="preserve"> a letos zde navíc došlo k úbytku osevních ploch. Nejvíce z obilovin vzrostla úroda ovsa (+41 %, na 282 tis, tun – maximum v dostupné řadě od roku 2002), a to především vlivem razantního zvýšení osevní plochy (+30 %). U všech ostatních obilovin je jejich letošní vyšší úroda téměř výhradně pouze výsledkem vyššího hektarového výnosu (celkově za obiloviny meziročně +11,7 %, proti </w:t>
      </w:r>
      <w:r>
        <w:rPr>
          <w:rFonts w:cs="Arial"/>
          <w:sz w:val="16"/>
          <w:szCs w:val="16"/>
        </w:rPr>
        <w:t>pěti</w:t>
      </w:r>
      <w:r w:rsidRPr="001B73EB">
        <w:rPr>
          <w:rFonts w:cs="Arial"/>
          <w:sz w:val="16"/>
          <w:szCs w:val="16"/>
        </w:rPr>
        <w:t xml:space="preserve">letému průměru +7,4 %), Ten byl u některých obilovin natolik příznivý (žito, ječmen, triticale), že v celkové úrodě </w:t>
      </w:r>
      <w:r>
        <w:rPr>
          <w:rFonts w:cs="Arial"/>
          <w:sz w:val="16"/>
          <w:szCs w:val="16"/>
        </w:rPr>
        <w:t>snadno</w:t>
      </w:r>
      <w:r w:rsidRPr="001B73EB">
        <w:rPr>
          <w:rFonts w:cs="Arial"/>
          <w:sz w:val="16"/>
          <w:szCs w:val="16"/>
        </w:rPr>
        <w:t xml:space="preserve"> kompenzoval negativní vliv úbytku osevní</w:t>
      </w:r>
      <w:r>
        <w:rPr>
          <w:rFonts w:cs="Arial"/>
          <w:sz w:val="16"/>
          <w:szCs w:val="16"/>
        </w:rPr>
        <w:t>ch</w:t>
      </w:r>
      <w:r w:rsidRPr="001B73EB">
        <w:rPr>
          <w:rFonts w:cs="Arial"/>
          <w:sz w:val="16"/>
          <w:szCs w:val="16"/>
        </w:rPr>
        <w:t xml:space="preserve"> ploch.</w:t>
      </w:r>
    </w:p>
  </w:footnote>
  <w:footnote w:id="8">
    <w:p w14:paraId="0C9AF50A" w14:textId="77777777" w:rsidR="00307B34" w:rsidRPr="000532DE" w:rsidRDefault="00307B34" w:rsidP="00307B34">
      <w:pPr>
        <w:pStyle w:val="Textpoznpodarou"/>
        <w:rPr>
          <w:sz w:val="16"/>
          <w:szCs w:val="16"/>
        </w:rPr>
      </w:pPr>
      <w:r w:rsidRPr="000532DE">
        <w:rPr>
          <w:rStyle w:val="Znakapoznpodarou"/>
          <w:sz w:val="16"/>
          <w:szCs w:val="16"/>
        </w:rPr>
        <w:footnoteRef/>
      </w:r>
      <w:r w:rsidRPr="000532DE">
        <w:rPr>
          <w:sz w:val="16"/>
          <w:szCs w:val="16"/>
        </w:rPr>
        <w:t xml:space="preserve"> </w:t>
      </w:r>
      <w:r w:rsidRPr="000532DE">
        <w:rPr>
          <w:rFonts w:cs="Arial"/>
          <w:sz w:val="16"/>
          <w:szCs w:val="16"/>
        </w:rPr>
        <w:t xml:space="preserve">K oživení sklizně </w:t>
      </w:r>
      <w:r>
        <w:rPr>
          <w:rFonts w:cs="Arial"/>
          <w:sz w:val="16"/>
          <w:szCs w:val="16"/>
        </w:rPr>
        <w:t xml:space="preserve">řepky </w:t>
      </w:r>
      <w:r w:rsidRPr="000532DE">
        <w:rPr>
          <w:rFonts w:cs="Arial"/>
          <w:sz w:val="16"/>
          <w:szCs w:val="16"/>
        </w:rPr>
        <w:t>přispěl výhradně meziročně o desetinu vyšší hektarový výnos (3,06 t/ha), avšak i ten za dlouhodobým průměrem (pěti</w:t>
      </w:r>
      <w:r>
        <w:rPr>
          <w:rFonts w:cs="Arial"/>
          <w:sz w:val="16"/>
          <w:szCs w:val="16"/>
        </w:rPr>
        <w:t>letým</w:t>
      </w:r>
      <w:r w:rsidRPr="000532DE">
        <w:rPr>
          <w:rFonts w:cs="Arial"/>
          <w:sz w:val="16"/>
          <w:szCs w:val="16"/>
        </w:rPr>
        <w:t xml:space="preserve"> i desetiletým) zaostal (shodně o 5 %). </w:t>
      </w:r>
    </w:p>
  </w:footnote>
  <w:footnote w:id="9">
    <w:p w14:paraId="2FB744E5" w14:textId="77777777" w:rsidR="00307B34" w:rsidRPr="00E1174E" w:rsidRDefault="00307B34" w:rsidP="00307B34">
      <w:pPr>
        <w:spacing w:after="0" w:line="240" w:lineRule="auto"/>
        <w:jc w:val="left"/>
        <w:rPr>
          <w:rFonts w:cs="Arial"/>
          <w:color w:val="0D0D0D" w:themeColor="text1" w:themeTint="F2"/>
          <w:spacing w:val="-4"/>
          <w:sz w:val="16"/>
          <w:szCs w:val="16"/>
        </w:rPr>
      </w:pPr>
      <w:r w:rsidRPr="008C2F46">
        <w:rPr>
          <w:rStyle w:val="Znakapoznpodarou"/>
          <w:spacing w:val="-4"/>
          <w:sz w:val="16"/>
          <w:szCs w:val="16"/>
        </w:rPr>
        <w:footnoteRef/>
      </w:r>
      <w:r w:rsidRPr="008C2F46">
        <w:rPr>
          <w:spacing w:val="-4"/>
          <w:sz w:val="16"/>
          <w:szCs w:val="16"/>
        </w:rPr>
        <w:t xml:space="preserve"> </w:t>
      </w:r>
      <w:r w:rsidRPr="00E1174E">
        <w:rPr>
          <w:rFonts w:cs="Arial"/>
          <w:color w:val="0D0D0D" w:themeColor="text1" w:themeTint="F2"/>
          <w:spacing w:val="-4"/>
          <w:sz w:val="16"/>
          <w:szCs w:val="16"/>
        </w:rPr>
        <w:t xml:space="preserve">Zahrnuje odvětví těžby a dobývání, zpracovatelského průmyslu a 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 xml:space="preserve">též </w:t>
      </w:r>
      <w:r w:rsidRPr="00E1174E">
        <w:rPr>
          <w:rFonts w:cs="Arial"/>
          <w:color w:val="0D0D0D" w:themeColor="text1" w:themeTint="F2"/>
          <w:spacing w:val="-4"/>
          <w:sz w:val="16"/>
          <w:szCs w:val="16"/>
        </w:rPr>
        <w:t>energetiky (zde pojímané jako odvětví výroby a rozvodu elektřiny, plynu, tepla a klimatizovaného vzduchu). Všechna meziroční tempa produkce jsou očištěna o kalendářní vlivy, mezičtvrtletní tempa i o vliv sezónnosti.</w:t>
      </w:r>
    </w:p>
  </w:footnote>
  <w:footnote w:id="10">
    <w:p w14:paraId="24DACAE0" w14:textId="77777777" w:rsidR="00307B34" w:rsidRPr="006B1EBC" w:rsidRDefault="00307B34" w:rsidP="00307B34">
      <w:pPr>
        <w:pStyle w:val="Textpoznpodarou"/>
        <w:rPr>
          <w:sz w:val="16"/>
          <w:szCs w:val="16"/>
        </w:rPr>
      </w:pPr>
      <w:r w:rsidRPr="006B1EBC">
        <w:rPr>
          <w:rStyle w:val="Znakapoznpodarou"/>
          <w:sz w:val="16"/>
          <w:szCs w:val="16"/>
        </w:rPr>
        <w:footnoteRef/>
      </w:r>
      <w:r w:rsidRPr="006B1EBC">
        <w:rPr>
          <w:sz w:val="16"/>
          <w:szCs w:val="16"/>
        </w:rPr>
        <w:t xml:space="preserve"> Zatímco na počátku letošního roku se průmyslová produkce v EU mezikvartálně zvýšila o 1,3 % (nejvíce za poslední čtyři roky), ve </w:t>
      </w:r>
      <w:r>
        <w:rPr>
          <w:sz w:val="16"/>
          <w:szCs w:val="16"/>
        </w:rPr>
        <w:br/>
      </w:r>
      <w:r w:rsidRPr="006B1EBC">
        <w:rPr>
          <w:sz w:val="16"/>
          <w:szCs w:val="16"/>
        </w:rPr>
        <w:t xml:space="preserve">2. i 3. čtvrtletí </w:t>
      </w:r>
      <w:r>
        <w:rPr>
          <w:sz w:val="16"/>
          <w:szCs w:val="16"/>
        </w:rPr>
        <w:t>byl její růst minimální</w:t>
      </w:r>
      <w:r w:rsidRPr="006B1EBC">
        <w:rPr>
          <w:sz w:val="16"/>
          <w:szCs w:val="16"/>
        </w:rPr>
        <w:t xml:space="preserve"> (+0,</w:t>
      </w:r>
      <w:r>
        <w:rPr>
          <w:sz w:val="16"/>
          <w:szCs w:val="16"/>
        </w:rPr>
        <w:t>1</w:t>
      </w:r>
      <w:r w:rsidRPr="006B1EBC">
        <w:rPr>
          <w:sz w:val="16"/>
          <w:szCs w:val="16"/>
        </w:rPr>
        <w:t xml:space="preserve"> %, resp. +0,</w:t>
      </w:r>
      <w:r>
        <w:rPr>
          <w:sz w:val="16"/>
          <w:szCs w:val="16"/>
        </w:rPr>
        <w:t>2</w:t>
      </w:r>
      <w:r w:rsidRPr="006B1EBC">
        <w:rPr>
          <w:sz w:val="16"/>
          <w:szCs w:val="16"/>
        </w:rPr>
        <w:t xml:space="preserve"> %). </w:t>
      </w:r>
    </w:p>
  </w:footnote>
  <w:footnote w:id="11">
    <w:p w14:paraId="78A5CA5D" w14:textId="77777777" w:rsidR="00307B34" w:rsidRPr="000872F3" w:rsidRDefault="00307B34" w:rsidP="00307B34">
      <w:pPr>
        <w:pStyle w:val="Textpoznpodarou"/>
        <w:rPr>
          <w:color w:val="0D0D0D" w:themeColor="text1" w:themeTint="F2"/>
          <w:spacing w:val="-1"/>
          <w:sz w:val="16"/>
          <w:szCs w:val="16"/>
        </w:rPr>
      </w:pPr>
      <w:r w:rsidRPr="0013125D">
        <w:rPr>
          <w:rStyle w:val="Znakapoznpodarou"/>
          <w:sz w:val="16"/>
          <w:szCs w:val="16"/>
        </w:rPr>
        <w:footnoteRef/>
      </w:r>
      <w:r w:rsidRPr="0013125D">
        <w:rPr>
          <w:sz w:val="16"/>
          <w:szCs w:val="16"/>
        </w:rPr>
        <w:t xml:space="preserve"> </w:t>
      </w:r>
      <w:r w:rsidRPr="007F3C3C">
        <w:rPr>
          <w:color w:val="0D0D0D" w:themeColor="text1" w:themeTint="F2"/>
          <w:spacing w:val="-2"/>
          <w:sz w:val="16"/>
          <w:szCs w:val="16"/>
        </w:rPr>
        <w:t>Za svým vrcholem z období let 2015 až 2019 letos ve 3. čtvrtletí zaostaly dvě třetiny hlavních průmyslových oborů – hlavně ty provázané</w:t>
      </w:r>
      <w:r w:rsidRPr="009B696A">
        <w:rPr>
          <w:color w:val="0D0D0D" w:themeColor="text1" w:themeTint="F2"/>
          <w:spacing w:val="-1"/>
          <w:sz w:val="16"/>
          <w:szCs w:val="16"/>
        </w:rPr>
        <w:t xml:space="preserve"> s výrobou energií (</w:t>
      </w:r>
      <w:r w:rsidRPr="009B696A">
        <w:rPr>
          <w:color w:val="0D0D0D" w:themeColor="text1" w:themeTint="F2"/>
          <w:spacing w:val="-4"/>
          <w:sz w:val="16"/>
          <w:szCs w:val="16"/>
        </w:rPr>
        <w:t>−</w:t>
      </w:r>
      <w:r w:rsidRPr="009B696A">
        <w:rPr>
          <w:color w:val="0D0D0D" w:themeColor="text1" w:themeTint="F2"/>
          <w:spacing w:val="-1"/>
          <w:sz w:val="16"/>
          <w:szCs w:val="16"/>
        </w:rPr>
        <w:t>23 %) a zaměřené na produkci dlouhodobého spotřebního zboží (</w:t>
      </w:r>
      <w:r w:rsidRPr="009B696A">
        <w:rPr>
          <w:color w:val="0D0D0D" w:themeColor="text1" w:themeTint="F2"/>
          <w:spacing w:val="-4"/>
          <w:sz w:val="16"/>
          <w:szCs w:val="16"/>
        </w:rPr>
        <w:t>−</w:t>
      </w:r>
      <w:r w:rsidRPr="009B696A">
        <w:rPr>
          <w:color w:val="0D0D0D" w:themeColor="text1" w:themeTint="F2"/>
          <w:spacing w:val="-1"/>
          <w:sz w:val="16"/>
          <w:szCs w:val="16"/>
        </w:rPr>
        <w:t>1</w:t>
      </w:r>
      <w:r>
        <w:rPr>
          <w:color w:val="0D0D0D" w:themeColor="text1" w:themeTint="F2"/>
          <w:spacing w:val="-1"/>
          <w:sz w:val="16"/>
          <w:szCs w:val="16"/>
        </w:rPr>
        <w:t>9</w:t>
      </w:r>
      <w:r w:rsidRPr="009B696A">
        <w:rPr>
          <w:color w:val="0D0D0D" w:themeColor="text1" w:themeTint="F2"/>
          <w:spacing w:val="-1"/>
          <w:sz w:val="16"/>
          <w:szCs w:val="16"/>
        </w:rPr>
        <w:t xml:space="preserve"> %). Na úrovni jednotlivých oborů šlo v prvé řadě o těžbu uhlí (</w:t>
      </w:r>
      <w:r w:rsidRPr="009B696A">
        <w:rPr>
          <w:rFonts w:cs="Arial"/>
          <w:color w:val="0D0D0D" w:themeColor="text1" w:themeTint="F2"/>
          <w:spacing w:val="-1"/>
          <w:sz w:val="16"/>
          <w:szCs w:val="16"/>
        </w:rPr>
        <w:t>o </w:t>
      </w:r>
      <w:r w:rsidRPr="009B696A">
        <w:rPr>
          <w:color w:val="0D0D0D" w:themeColor="text1" w:themeTint="F2"/>
          <w:spacing w:val="-1"/>
          <w:sz w:val="16"/>
          <w:szCs w:val="16"/>
        </w:rPr>
        <w:t>59</w:t>
      </w:r>
      <w:r w:rsidRPr="009B696A">
        <w:rPr>
          <w:rFonts w:cs="Arial"/>
          <w:color w:val="0D0D0D" w:themeColor="text1" w:themeTint="F2"/>
          <w:spacing w:val="-1"/>
          <w:sz w:val="16"/>
          <w:szCs w:val="16"/>
        </w:rPr>
        <w:t> </w:t>
      </w:r>
      <w:r w:rsidRPr="009B696A">
        <w:rPr>
          <w:color w:val="0D0D0D" w:themeColor="text1" w:themeTint="F2"/>
          <w:spacing w:val="-1"/>
          <w:sz w:val="16"/>
          <w:szCs w:val="16"/>
        </w:rPr>
        <w:t>%), výrobu kovů, hutnictví a slévárenství (−3</w:t>
      </w:r>
      <w:r>
        <w:rPr>
          <w:color w:val="0D0D0D" w:themeColor="text1" w:themeTint="F2"/>
          <w:spacing w:val="-1"/>
          <w:sz w:val="16"/>
          <w:szCs w:val="16"/>
        </w:rPr>
        <w:t>1</w:t>
      </w:r>
      <w:r w:rsidRPr="009B696A">
        <w:rPr>
          <w:color w:val="0D0D0D" w:themeColor="text1" w:themeTint="F2"/>
          <w:spacing w:val="-1"/>
          <w:sz w:val="16"/>
          <w:szCs w:val="16"/>
        </w:rPr>
        <w:t xml:space="preserve"> %), těžbu stavebních materiálů (−29 %), textilní průmysl (−26 %), obuvnický a kožedělný průmysl (−23</w:t>
      </w:r>
      <w:r w:rsidRPr="009B696A">
        <w:rPr>
          <w:rFonts w:cs="Arial"/>
          <w:color w:val="0D0D0D" w:themeColor="text1" w:themeTint="F2"/>
          <w:spacing w:val="-1"/>
          <w:sz w:val="16"/>
          <w:szCs w:val="16"/>
        </w:rPr>
        <w:t> </w:t>
      </w:r>
      <w:r w:rsidRPr="009B696A">
        <w:rPr>
          <w:color w:val="0D0D0D" w:themeColor="text1" w:themeTint="F2"/>
          <w:spacing w:val="-1"/>
          <w:sz w:val="16"/>
          <w:szCs w:val="16"/>
        </w:rPr>
        <w:t>%), tiskárenství (−22 %). Z větších oborů šlo dále o energetiku (−18</w:t>
      </w:r>
      <w:r w:rsidRPr="009B696A">
        <w:rPr>
          <w:rFonts w:cs="Arial"/>
          <w:color w:val="0D0D0D" w:themeColor="text1" w:themeTint="F2"/>
          <w:spacing w:val="-1"/>
          <w:sz w:val="16"/>
          <w:szCs w:val="16"/>
        </w:rPr>
        <w:t> </w:t>
      </w:r>
      <w:r w:rsidRPr="009B696A">
        <w:rPr>
          <w:color w:val="0D0D0D" w:themeColor="text1" w:themeTint="F2"/>
          <w:spacing w:val="-1"/>
          <w:sz w:val="16"/>
          <w:szCs w:val="16"/>
        </w:rPr>
        <w:t xml:space="preserve">%), chemický průmysl </w:t>
      </w:r>
      <w:r>
        <w:rPr>
          <w:color w:val="0D0D0D" w:themeColor="text1" w:themeTint="F2"/>
          <w:spacing w:val="-1"/>
          <w:sz w:val="16"/>
          <w:szCs w:val="16"/>
        </w:rPr>
        <w:t xml:space="preserve">a </w:t>
      </w:r>
      <w:r w:rsidRPr="009B696A">
        <w:rPr>
          <w:color w:val="0D0D0D" w:themeColor="text1" w:themeTint="F2"/>
          <w:spacing w:val="-1"/>
          <w:sz w:val="16"/>
          <w:szCs w:val="16"/>
        </w:rPr>
        <w:t>výrobu stavebních materiálů (</w:t>
      </w:r>
      <w:r>
        <w:rPr>
          <w:color w:val="0D0D0D" w:themeColor="text1" w:themeTint="F2"/>
          <w:spacing w:val="-1"/>
          <w:sz w:val="16"/>
          <w:szCs w:val="16"/>
        </w:rPr>
        <w:t>shodně</w:t>
      </w:r>
      <w:r w:rsidRPr="009B696A">
        <w:rPr>
          <w:color w:val="0D0D0D" w:themeColor="text1" w:themeTint="F2"/>
          <w:spacing w:val="-1"/>
          <w:sz w:val="16"/>
          <w:szCs w:val="16"/>
        </w:rPr>
        <w:t>−1</w:t>
      </w:r>
      <w:r>
        <w:rPr>
          <w:color w:val="0D0D0D" w:themeColor="text1" w:themeTint="F2"/>
          <w:spacing w:val="-1"/>
          <w:sz w:val="16"/>
          <w:szCs w:val="16"/>
        </w:rPr>
        <w:t>4</w:t>
      </w:r>
      <w:r w:rsidRPr="009B696A">
        <w:rPr>
          <w:rFonts w:cs="Arial"/>
          <w:color w:val="0D0D0D" w:themeColor="text1" w:themeTint="F2"/>
          <w:spacing w:val="-1"/>
          <w:sz w:val="16"/>
          <w:szCs w:val="16"/>
        </w:rPr>
        <w:t> </w:t>
      </w:r>
      <w:r w:rsidRPr="009B696A">
        <w:rPr>
          <w:color w:val="0D0D0D" w:themeColor="text1" w:themeTint="F2"/>
          <w:spacing w:val="-1"/>
          <w:sz w:val="16"/>
          <w:szCs w:val="16"/>
        </w:rPr>
        <w:t>%), strojírenství (−1</w:t>
      </w:r>
      <w:r>
        <w:rPr>
          <w:color w:val="0D0D0D" w:themeColor="text1" w:themeTint="F2"/>
          <w:spacing w:val="-1"/>
          <w:sz w:val="16"/>
          <w:szCs w:val="16"/>
        </w:rPr>
        <w:t>2</w:t>
      </w:r>
      <w:r w:rsidRPr="009B696A">
        <w:rPr>
          <w:rFonts w:cs="Arial"/>
          <w:color w:val="0D0D0D" w:themeColor="text1" w:themeTint="F2"/>
          <w:spacing w:val="-1"/>
          <w:sz w:val="16"/>
          <w:szCs w:val="16"/>
        </w:rPr>
        <w:t> </w:t>
      </w:r>
      <w:r w:rsidRPr="009B696A">
        <w:rPr>
          <w:color w:val="0D0D0D" w:themeColor="text1" w:themeTint="F2"/>
          <w:spacing w:val="-1"/>
          <w:sz w:val="16"/>
          <w:szCs w:val="16"/>
        </w:rPr>
        <w:t xml:space="preserve">%), elektronický průmysl (−11 %) a gumárenství a </w:t>
      </w:r>
      <w:proofErr w:type="spellStart"/>
      <w:r w:rsidRPr="009B696A">
        <w:rPr>
          <w:color w:val="0D0D0D" w:themeColor="text1" w:themeTint="F2"/>
          <w:spacing w:val="-1"/>
          <w:sz w:val="16"/>
          <w:szCs w:val="16"/>
        </w:rPr>
        <w:t>plastikářství</w:t>
      </w:r>
      <w:proofErr w:type="spellEnd"/>
      <w:r w:rsidRPr="009B696A">
        <w:rPr>
          <w:color w:val="0D0D0D" w:themeColor="text1" w:themeTint="F2"/>
          <w:spacing w:val="-1"/>
          <w:sz w:val="16"/>
          <w:szCs w:val="16"/>
        </w:rPr>
        <w:t xml:space="preserve"> (−</w:t>
      </w:r>
      <w:r>
        <w:rPr>
          <w:color w:val="0D0D0D" w:themeColor="text1" w:themeTint="F2"/>
          <w:spacing w:val="-1"/>
          <w:sz w:val="16"/>
          <w:szCs w:val="16"/>
        </w:rPr>
        <w:t>4</w:t>
      </w:r>
      <w:r w:rsidRPr="009B696A">
        <w:rPr>
          <w:rFonts w:cs="Arial"/>
          <w:color w:val="0D0D0D" w:themeColor="text1" w:themeTint="F2"/>
          <w:spacing w:val="-1"/>
          <w:sz w:val="16"/>
          <w:szCs w:val="16"/>
        </w:rPr>
        <w:t> </w:t>
      </w:r>
      <w:r w:rsidRPr="009B696A">
        <w:rPr>
          <w:color w:val="0D0D0D" w:themeColor="text1" w:themeTint="F2"/>
          <w:spacing w:val="-1"/>
          <w:sz w:val="16"/>
          <w:szCs w:val="16"/>
        </w:rPr>
        <w:t>%)</w:t>
      </w:r>
      <w:r>
        <w:rPr>
          <w:color w:val="0D0D0D" w:themeColor="text1" w:themeTint="F2"/>
          <w:spacing w:val="-1"/>
          <w:sz w:val="16"/>
          <w:szCs w:val="16"/>
        </w:rPr>
        <w:t>.</w:t>
      </w:r>
      <w:r w:rsidRPr="009B696A">
        <w:rPr>
          <w:color w:val="0D0D0D" w:themeColor="text1" w:themeTint="F2"/>
          <w:spacing w:val="-1"/>
          <w:sz w:val="16"/>
          <w:szCs w:val="16"/>
        </w:rPr>
        <w:t xml:space="preserve"> Naopak </w:t>
      </w:r>
      <w:r w:rsidRPr="009B696A">
        <w:rPr>
          <w:color w:val="0D0D0D" w:themeColor="text1" w:themeTint="F2"/>
          <w:spacing w:val="-4"/>
          <w:sz w:val="16"/>
          <w:szCs w:val="16"/>
        </w:rPr>
        <w:t>nad předkrizovou úrovní produkce se nacházely obory vyrábějící investiční produkty (+8 %) a produkty krátkodobé spotřeby (+4 %). Z dílčích</w:t>
      </w:r>
      <w:r w:rsidRPr="009B696A">
        <w:rPr>
          <w:color w:val="0D0D0D" w:themeColor="text1" w:themeTint="F2"/>
          <w:spacing w:val="-1"/>
          <w:sz w:val="16"/>
          <w:szCs w:val="16"/>
        </w:rPr>
        <w:t xml:space="preserve"> oborů šlo především o výrobu ostatních dopravních prostředků (+29 %), farmacii (+24</w:t>
      </w:r>
      <w:r w:rsidRPr="009B696A">
        <w:rPr>
          <w:rFonts w:cs="Arial"/>
          <w:color w:val="0D0D0D" w:themeColor="text1" w:themeTint="F2"/>
          <w:spacing w:val="-1"/>
          <w:sz w:val="16"/>
          <w:szCs w:val="16"/>
        </w:rPr>
        <w:t> </w:t>
      </w:r>
      <w:r w:rsidRPr="009B696A">
        <w:rPr>
          <w:color w:val="0D0D0D" w:themeColor="text1" w:themeTint="F2"/>
          <w:spacing w:val="-1"/>
          <w:sz w:val="16"/>
          <w:szCs w:val="16"/>
        </w:rPr>
        <w:t xml:space="preserve">%), výrobu motorových vozidel (+14 %), ostatní </w:t>
      </w:r>
      <w:r w:rsidRPr="009B696A">
        <w:rPr>
          <w:color w:val="0D0D0D" w:themeColor="text1" w:themeTint="F2"/>
          <w:spacing w:val="-4"/>
          <w:sz w:val="16"/>
          <w:szCs w:val="16"/>
        </w:rPr>
        <w:t>zpracovatelský průmysl a papírenství (shodně +1</w:t>
      </w:r>
      <w:r>
        <w:rPr>
          <w:color w:val="0D0D0D" w:themeColor="text1" w:themeTint="F2"/>
          <w:spacing w:val="-4"/>
          <w:sz w:val="16"/>
          <w:szCs w:val="16"/>
        </w:rPr>
        <w:t>3</w:t>
      </w:r>
      <w:r w:rsidRPr="009B696A">
        <w:rPr>
          <w:color w:val="0D0D0D" w:themeColor="text1" w:themeTint="F2"/>
          <w:spacing w:val="-4"/>
          <w:sz w:val="16"/>
          <w:szCs w:val="16"/>
        </w:rPr>
        <w:t xml:space="preserve"> %), elektrotechniku (+1</w:t>
      </w:r>
      <w:r>
        <w:rPr>
          <w:color w:val="0D0D0D" w:themeColor="text1" w:themeTint="F2"/>
          <w:spacing w:val="-4"/>
          <w:sz w:val="16"/>
          <w:szCs w:val="16"/>
        </w:rPr>
        <w:t>0</w:t>
      </w:r>
      <w:r w:rsidRPr="009B696A">
        <w:rPr>
          <w:color w:val="0D0D0D" w:themeColor="text1" w:themeTint="F2"/>
          <w:spacing w:val="-4"/>
          <w:sz w:val="16"/>
          <w:szCs w:val="16"/>
        </w:rPr>
        <w:t xml:space="preserve"> %) a dále např. potravinářství (+4 %) a kovodělný průmysl (+1 %).</w:t>
      </w:r>
    </w:p>
  </w:footnote>
  <w:footnote w:id="12">
    <w:p w14:paraId="0B514D92" w14:textId="77777777" w:rsidR="00307B34" w:rsidRPr="009B7819" w:rsidRDefault="00307B34" w:rsidP="00307B34">
      <w:pPr>
        <w:pStyle w:val="Textpoznpodarou"/>
        <w:rPr>
          <w:sz w:val="16"/>
          <w:szCs w:val="16"/>
        </w:rPr>
      </w:pPr>
      <w:r w:rsidRPr="009B7819">
        <w:rPr>
          <w:rStyle w:val="Znakapoznpodarou"/>
          <w:sz w:val="16"/>
          <w:szCs w:val="16"/>
        </w:rPr>
        <w:footnoteRef/>
      </w:r>
      <w:r w:rsidRPr="009B7819">
        <w:rPr>
          <w:sz w:val="16"/>
          <w:szCs w:val="16"/>
        </w:rPr>
        <w:t xml:space="preserve"> </w:t>
      </w:r>
      <w:r w:rsidRPr="00A1711B">
        <w:rPr>
          <w:spacing w:val="-2"/>
          <w:sz w:val="16"/>
          <w:szCs w:val="16"/>
        </w:rPr>
        <w:t xml:space="preserve">Výkon tuzemského průmyslu rostl mírně nižším tempem než v EU (+1,5 %) i eurozóně (+1,3 %). To odráží především fakt, že loňská recese v byla v tomto odvětví v Unii znatelně hlubší než v Česku. Mezi členskými státy EU letos nejvíce posílila průmyslová produkce v Irsku (+21,8 %, což ale mohlo souviset s daňovou optimalizací některých nadnárodních firem, neboť zaměstnanost zde meziročně stoupla „jen“ o 2,5 % a v rámci států EU významně nevybočovala). Svižně rostla produkce i </w:t>
      </w:r>
      <w:r>
        <w:rPr>
          <w:spacing w:val="-2"/>
          <w:sz w:val="16"/>
          <w:szCs w:val="16"/>
        </w:rPr>
        <w:t xml:space="preserve">v </w:t>
      </w:r>
      <w:r w:rsidRPr="00A1711B">
        <w:rPr>
          <w:spacing w:val="-2"/>
          <w:sz w:val="16"/>
          <w:szCs w:val="16"/>
        </w:rPr>
        <w:t xml:space="preserve">dalších vesměs menších státech – </w:t>
      </w:r>
      <w:r>
        <w:rPr>
          <w:spacing w:val="-2"/>
          <w:sz w:val="16"/>
          <w:szCs w:val="16"/>
        </w:rPr>
        <w:t xml:space="preserve">na </w:t>
      </w:r>
      <w:r w:rsidRPr="00A1711B">
        <w:rPr>
          <w:spacing w:val="-2"/>
          <w:sz w:val="16"/>
          <w:szCs w:val="16"/>
        </w:rPr>
        <w:t xml:space="preserve">Maltě (+5,9 %), </w:t>
      </w:r>
      <w:r>
        <w:rPr>
          <w:spacing w:val="-2"/>
          <w:sz w:val="16"/>
          <w:szCs w:val="16"/>
        </w:rPr>
        <w:t xml:space="preserve">ve </w:t>
      </w:r>
      <w:r w:rsidRPr="00A1711B">
        <w:rPr>
          <w:spacing w:val="-2"/>
          <w:sz w:val="16"/>
          <w:szCs w:val="16"/>
        </w:rPr>
        <w:t>Švédsku (4,9 %) a dále např. v oblasti Pobaltí. V rámci významnějších ekonomik se výkon průmyslu zvyšoval v Polsku (+2,5 %) či Španělsku (+1,0 %), ve Francii stagnoval. Snižoval se v </w:t>
      </w:r>
      <w:r>
        <w:rPr>
          <w:spacing w:val="-2"/>
          <w:sz w:val="16"/>
          <w:szCs w:val="16"/>
        </w:rPr>
        <w:t>10</w:t>
      </w:r>
      <w:r w:rsidRPr="00A1711B">
        <w:rPr>
          <w:spacing w:val="-2"/>
          <w:sz w:val="16"/>
          <w:szCs w:val="16"/>
        </w:rPr>
        <w:t xml:space="preserve"> zemích – nejvíce v Bulharsku (–7,2 %), Maďarsku (–3,7 %), Dánsku (–3,6 %) </w:t>
      </w:r>
      <w:r>
        <w:rPr>
          <w:spacing w:val="-2"/>
          <w:sz w:val="16"/>
          <w:szCs w:val="16"/>
        </w:rPr>
        <w:br/>
      </w:r>
      <w:r w:rsidRPr="000A0568">
        <w:rPr>
          <w:spacing w:val="-4"/>
          <w:sz w:val="16"/>
          <w:szCs w:val="16"/>
        </w:rPr>
        <w:t>a na Slovensku (–2,3 %). V Německu klesl o 1,5 % a v Itálii o 0,7 % – v obou zemích se průmysl nacházel ve výraznější recesi třetí rok v řadě.</w:t>
      </w:r>
      <w:r>
        <w:rPr>
          <w:sz w:val="16"/>
          <w:szCs w:val="16"/>
        </w:rPr>
        <w:t xml:space="preserve"> </w:t>
      </w:r>
    </w:p>
  </w:footnote>
  <w:footnote w:id="13">
    <w:p w14:paraId="49199036" w14:textId="77777777" w:rsidR="00307B34" w:rsidRPr="000806C3" w:rsidRDefault="00307B34" w:rsidP="00307B34">
      <w:pPr>
        <w:pStyle w:val="Textpoznpodarou"/>
        <w:rPr>
          <w:spacing w:val="-2"/>
          <w:sz w:val="16"/>
          <w:szCs w:val="16"/>
        </w:rPr>
      </w:pPr>
      <w:r w:rsidRPr="00820EE3">
        <w:rPr>
          <w:rStyle w:val="Znakapoznpodarou"/>
          <w:sz w:val="16"/>
          <w:szCs w:val="16"/>
        </w:rPr>
        <w:footnoteRef/>
      </w:r>
      <w:r w:rsidRPr="00820EE3">
        <w:rPr>
          <w:sz w:val="16"/>
          <w:szCs w:val="16"/>
        </w:rPr>
        <w:t xml:space="preserve"> </w:t>
      </w:r>
      <w:r w:rsidRPr="000A2E2C">
        <w:rPr>
          <w:spacing w:val="-2"/>
          <w:sz w:val="16"/>
          <w:szCs w:val="16"/>
        </w:rPr>
        <w:t xml:space="preserve">Celková čistá výroba elektřiny (tj. bez </w:t>
      </w:r>
      <w:proofErr w:type="spellStart"/>
      <w:r w:rsidRPr="000A2E2C">
        <w:rPr>
          <w:spacing w:val="-2"/>
          <w:sz w:val="16"/>
          <w:szCs w:val="16"/>
        </w:rPr>
        <w:t>mezispotřeby</w:t>
      </w:r>
      <w:proofErr w:type="spellEnd"/>
      <w:r w:rsidRPr="000A2E2C">
        <w:rPr>
          <w:spacing w:val="-2"/>
          <w:sz w:val="16"/>
          <w:szCs w:val="16"/>
        </w:rPr>
        <w:t>, vč. ztrát při výrobě) dosáhla dle předběžných údajů Ener</w:t>
      </w:r>
      <w:r>
        <w:rPr>
          <w:spacing w:val="-2"/>
          <w:sz w:val="16"/>
          <w:szCs w:val="16"/>
        </w:rPr>
        <w:t xml:space="preserve">getického regulačního úřadu v 1. až 3. čtvrtletí 2025 v Česku 52,2 </w:t>
      </w:r>
      <w:proofErr w:type="spellStart"/>
      <w:r>
        <w:rPr>
          <w:spacing w:val="-2"/>
          <w:sz w:val="16"/>
          <w:szCs w:val="16"/>
        </w:rPr>
        <w:t>TWh</w:t>
      </w:r>
      <w:proofErr w:type="spellEnd"/>
      <w:r>
        <w:rPr>
          <w:spacing w:val="-2"/>
          <w:sz w:val="16"/>
          <w:szCs w:val="16"/>
        </w:rPr>
        <w:t xml:space="preserve"> (nejvíce ve shodném období za poslední tři roky) a meziročně se zvýšila o 4,3</w:t>
      </w:r>
      <w:r w:rsidRPr="000A2E2C">
        <w:rPr>
          <w:spacing w:val="-2"/>
          <w:sz w:val="16"/>
          <w:szCs w:val="16"/>
        </w:rPr>
        <w:t xml:space="preserve"> %</w:t>
      </w:r>
      <w:r>
        <w:rPr>
          <w:spacing w:val="-2"/>
          <w:sz w:val="16"/>
          <w:szCs w:val="16"/>
        </w:rPr>
        <w:t>. Rostla zejména produkce paroplynových (+33 %) a fotovoltaických zařízení (+20 %), k celkovému růstu výroby ale nejvíce přispěly jaderné elektrárny. Vlivem nedostatku srážek naopak klesla výroba ve vodních elektrárnách (</w:t>
      </w:r>
      <w:r w:rsidRPr="000806C3">
        <w:rPr>
          <w:spacing w:val="-2"/>
          <w:sz w:val="16"/>
          <w:szCs w:val="16"/>
        </w:rPr>
        <w:t>−</w:t>
      </w:r>
      <w:r>
        <w:rPr>
          <w:spacing w:val="-2"/>
          <w:sz w:val="16"/>
          <w:szCs w:val="16"/>
        </w:rPr>
        <w:t>39 %) a méně dodaly i větrné elektrárny (</w:t>
      </w:r>
      <w:r w:rsidRPr="000806C3">
        <w:rPr>
          <w:spacing w:val="-2"/>
          <w:sz w:val="16"/>
          <w:szCs w:val="16"/>
        </w:rPr>
        <w:t>−</w:t>
      </w:r>
      <w:r>
        <w:rPr>
          <w:spacing w:val="-2"/>
          <w:sz w:val="16"/>
          <w:szCs w:val="16"/>
        </w:rPr>
        <w:t xml:space="preserve">8 %). Celková tuzemská čistá spotřeba elektřiny činila letos za tři čtvrtletí 43,2 </w:t>
      </w:r>
      <w:proofErr w:type="spellStart"/>
      <w:r>
        <w:rPr>
          <w:spacing w:val="-2"/>
          <w:sz w:val="16"/>
          <w:szCs w:val="16"/>
        </w:rPr>
        <w:t>TWh</w:t>
      </w:r>
      <w:proofErr w:type="spellEnd"/>
      <w:r>
        <w:rPr>
          <w:spacing w:val="-2"/>
          <w:sz w:val="16"/>
          <w:szCs w:val="16"/>
        </w:rPr>
        <w:t>. Její tři roky trvající meziroční pokles se zastavil (+2,0 %). K tomu z drtivé části přispěla vyšší spotřeba domácností (+7,4 %), vzrostla i poptávka od drobných podnikatelů (+1,9 %), spotřeba velkoodběratelů se naopak mírně snížila, zejména v největších podnicích. Oproti roku 2019,</w:t>
      </w:r>
      <w:r w:rsidRPr="00001A4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kdy se celková čistá spotřeba nacházela blízko dlouhodobého </w:t>
      </w:r>
      <w:r w:rsidRPr="00006E5D">
        <w:rPr>
          <w:spacing w:val="-5"/>
          <w:sz w:val="16"/>
          <w:szCs w:val="16"/>
        </w:rPr>
        <w:t>maxima, ale letos celková spotřeba elektřiny klesla o 6,1 %, hlavně vlivem velkoodběratelů (−8,6 %), naopak domácnosti odebraly více (+7,8 %).</w:t>
      </w:r>
      <w:r>
        <w:rPr>
          <w:spacing w:val="-2"/>
          <w:sz w:val="16"/>
          <w:szCs w:val="16"/>
        </w:rPr>
        <w:t xml:space="preserve"> </w:t>
      </w:r>
    </w:p>
  </w:footnote>
  <w:footnote w:id="14">
    <w:p w14:paraId="74BE4DF7" w14:textId="77777777" w:rsidR="00307B34" w:rsidRPr="00001A46" w:rsidRDefault="00307B34" w:rsidP="00307B34">
      <w:pPr>
        <w:pStyle w:val="Bezmezer"/>
        <w:jc w:val="left"/>
      </w:pPr>
      <w:r w:rsidRPr="000806C3">
        <w:rPr>
          <w:rStyle w:val="Znakapoznpodarou"/>
          <w:sz w:val="16"/>
          <w:szCs w:val="16"/>
        </w:rPr>
        <w:footnoteRef/>
      </w:r>
      <w:r w:rsidRPr="000806C3">
        <w:rPr>
          <w:rStyle w:val="Znakapoznpodarou"/>
          <w:sz w:val="16"/>
          <w:szCs w:val="16"/>
        </w:rPr>
        <w:t xml:space="preserve"> </w:t>
      </w:r>
      <w:r w:rsidRPr="00001A46">
        <w:rPr>
          <w:sz w:val="16"/>
          <w:szCs w:val="16"/>
        </w:rPr>
        <w:t xml:space="preserve">Spotřeba plynu vystoupala letos v 1. </w:t>
      </w:r>
      <w:r>
        <w:rPr>
          <w:sz w:val="16"/>
          <w:szCs w:val="16"/>
        </w:rPr>
        <w:t>až 3. čtvrtletí</w:t>
      </w:r>
      <w:r w:rsidRPr="00001A46">
        <w:rPr>
          <w:sz w:val="16"/>
          <w:szCs w:val="16"/>
        </w:rPr>
        <w:t xml:space="preserve"> na </w:t>
      </w:r>
      <w:r>
        <w:rPr>
          <w:sz w:val="16"/>
          <w:szCs w:val="16"/>
        </w:rPr>
        <w:t>4,86</w:t>
      </w:r>
      <w:r w:rsidRPr="00001A46">
        <w:rPr>
          <w:sz w:val="16"/>
          <w:szCs w:val="16"/>
        </w:rPr>
        <w:t xml:space="preserve"> m</w:t>
      </w:r>
      <w:r>
        <w:rPr>
          <w:sz w:val="16"/>
          <w:szCs w:val="16"/>
        </w:rPr>
        <w:t>ld</w:t>
      </w:r>
      <w:r w:rsidRPr="00001A46">
        <w:rPr>
          <w:sz w:val="16"/>
          <w:szCs w:val="16"/>
        </w:rPr>
        <w:t xml:space="preserve">. </w:t>
      </w:r>
      <w:r w:rsidRPr="00001A46">
        <w:rPr>
          <w:rFonts w:cs="Arial"/>
          <w:spacing w:val="3"/>
          <w:sz w:val="16"/>
          <w:szCs w:val="16"/>
          <w:shd w:val="clear" w:color="auto" w:fill="FFFFFF"/>
        </w:rPr>
        <w:t>m</w:t>
      </w:r>
      <w:r w:rsidRPr="00001A46">
        <w:rPr>
          <w:rFonts w:cs="Arial"/>
          <w:spacing w:val="3"/>
          <w:sz w:val="16"/>
          <w:szCs w:val="16"/>
          <w:shd w:val="clear" w:color="auto" w:fill="FFFFFF"/>
          <w:vertAlign w:val="superscript"/>
        </w:rPr>
        <w:t>3</w:t>
      </w:r>
      <w:r w:rsidRPr="00001A46">
        <w:rPr>
          <w:sz w:val="16"/>
          <w:szCs w:val="16"/>
        </w:rPr>
        <w:t xml:space="preserve">, meziročně </w:t>
      </w:r>
      <w:r>
        <w:rPr>
          <w:sz w:val="16"/>
          <w:szCs w:val="16"/>
        </w:rPr>
        <w:t xml:space="preserve">byla vyšší </w:t>
      </w:r>
      <w:r w:rsidRPr="00001A46">
        <w:rPr>
          <w:sz w:val="16"/>
          <w:szCs w:val="16"/>
        </w:rPr>
        <w:t>o 1</w:t>
      </w:r>
      <w:r>
        <w:rPr>
          <w:sz w:val="16"/>
          <w:szCs w:val="16"/>
        </w:rPr>
        <w:t>0</w:t>
      </w:r>
      <w:r w:rsidRPr="00001A46">
        <w:rPr>
          <w:sz w:val="16"/>
          <w:szCs w:val="16"/>
        </w:rPr>
        <w:t>,</w:t>
      </w:r>
      <w:r>
        <w:rPr>
          <w:sz w:val="16"/>
          <w:szCs w:val="16"/>
        </w:rPr>
        <w:t>5</w:t>
      </w:r>
      <w:r w:rsidRPr="00001A46">
        <w:rPr>
          <w:sz w:val="16"/>
          <w:szCs w:val="16"/>
        </w:rPr>
        <w:t xml:space="preserve"> % (po přepočtení spotřeby na dlouhodobý teplotní normál</w:t>
      </w:r>
      <w:r>
        <w:rPr>
          <w:sz w:val="16"/>
          <w:szCs w:val="16"/>
        </w:rPr>
        <w:t xml:space="preserve"> činil </w:t>
      </w:r>
      <w:r w:rsidRPr="00001A46">
        <w:rPr>
          <w:sz w:val="16"/>
          <w:szCs w:val="16"/>
        </w:rPr>
        <w:t xml:space="preserve">růst </w:t>
      </w:r>
      <w:r>
        <w:rPr>
          <w:sz w:val="16"/>
          <w:szCs w:val="16"/>
        </w:rPr>
        <w:t>ale jen</w:t>
      </w:r>
      <w:r w:rsidRPr="00001A46">
        <w:rPr>
          <w:sz w:val="16"/>
          <w:szCs w:val="16"/>
        </w:rPr>
        <w:t xml:space="preserve"> </w:t>
      </w:r>
      <w:r>
        <w:rPr>
          <w:sz w:val="16"/>
          <w:szCs w:val="16"/>
        </w:rPr>
        <w:t>2,7</w:t>
      </w:r>
      <w:r w:rsidRPr="00001A46">
        <w:rPr>
          <w:sz w:val="16"/>
          <w:szCs w:val="16"/>
        </w:rPr>
        <w:t xml:space="preserve"> %). </w:t>
      </w:r>
      <w:r>
        <w:rPr>
          <w:sz w:val="16"/>
          <w:szCs w:val="16"/>
        </w:rPr>
        <w:t>Spotřeba narostla</w:t>
      </w:r>
      <w:r w:rsidRPr="00001A46">
        <w:rPr>
          <w:sz w:val="16"/>
          <w:szCs w:val="16"/>
        </w:rPr>
        <w:t xml:space="preserve"> u </w:t>
      </w:r>
      <w:r>
        <w:rPr>
          <w:sz w:val="16"/>
          <w:szCs w:val="16"/>
        </w:rPr>
        <w:t>všech kategorií odběratelů –</w:t>
      </w:r>
      <w:r w:rsidRPr="00001A4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zejména </w:t>
      </w:r>
      <w:r w:rsidRPr="00001A46">
        <w:rPr>
          <w:sz w:val="16"/>
          <w:szCs w:val="16"/>
        </w:rPr>
        <w:t>u domácností (+1</w:t>
      </w:r>
      <w:r>
        <w:rPr>
          <w:sz w:val="16"/>
          <w:szCs w:val="16"/>
        </w:rPr>
        <w:t>4</w:t>
      </w:r>
      <w:r w:rsidRPr="00001A46">
        <w:rPr>
          <w:sz w:val="16"/>
          <w:szCs w:val="16"/>
        </w:rPr>
        <w:t>,</w:t>
      </w:r>
      <w:r>
        <w:rPr>
          <w:sz w:val="16"/>
          <w:szCs w:val="16"/>
        </w:rPr>
        <w:t>5 </w:t>
      </w:r>
      <w:r w:rsidRPr="00001A46">
        <w:rPr>
          <w:sz w:val="16"/>
          <w:szCs w:val="16"/>
        </w:rPr>
        <w:t>%)</w:t>
      </w:r>
      <w:r>
        <w:rPr>
          <w:sz w:val="16"/>
          <w:szCs w:val="16"/>
        </w:rPr>
        <w:t xml:space="preserve"> a </w:t>
      </w:r>
      <w:r w:rsidRPr="00001A46">
        <w:rPr>
          <w:sz w:val="16"/>
          <w:szCs w:val="16"/>
        </w:rPr>
        <w:t>maloodbě</w:t>
      </w:r>
      <w:r>
        <w:rPr>
          <w:sz w:val="16"/>
          <w:szCs w:val="16"/>
        </w:rPr>
        <w:t>ratelů z řad podnikatelů (+13,9 %)</w:t>
      </w:r>
      <w:r w:rsidRPr="00001A46">
        <w:rPr>
          <w:sz w:val="16"/>
          <w:szCs w:val="16"/>
        </w:rPr>
        <w:t>.</w:t>
      </w:r>
      <w:r w:rsidRPr="0067106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Oproti stejnému období roku 2019, jež bylo teplotně srovnatelné jako letošní, je ovšem aktuální celková spotřeba nižší o 17,9 % (podobný útlum byl patrný u všech hlavních kategorií odběratelů). Zčásti se na tom podílí </w:t>
      </w:r>
      <w:r>
        <w:rPr>
          <w:sz w:val="16"/>
          <w:szCs w:val="16"/>
        </w:rPr>
        <w:br/>
        <w:t>i snížený počet zákazníků (</w:t>
      </w:r>
      <w:r w:rsidRPr="00F74828">
        <w:rPr>
          <w:spacing w:val="-4"/>
          <w:sz w:val="16"/>
          <w:szCs w:val="16"/>
        </w:rPr>
        <w:t>−</w:t>
      </w:r>
      <w:r>
        <w:rPr>
          <w:sz w:val="16"/>
          <w:szCs w:val="16"/>
        </w:rPr>
        <w:t>4 %), především velkoodběratelů a středních odběratelů.</w:t>
      </w:r>
    </w:p>
  </w:footnote>
  <w:footnote w:id="15">
    <w:p w14:paraId="43C20194" w14:textId="77777777" w:rsidR="00307B34" w:rsidRDefault="00307B34" w:rsidP="00307B34">
      <w:pPr>
        <w:pStyle w:val="Textpoznpodarou"/>
      </w:pPr>
      <w:r w:rsidRPr="004E2B2A">
        <w:rPr>
          <w:rStyle w:val="Znakapoznpodarou"/>
          <w:sz w:val="16"/>
          <w:szCs w:val="16"/>
        </w:rPr>
        <w:footnoteRef/>
      </w:r>
      <w:r w:rsidRPr="004E2B2A">
        <w:rPr>
          <w:sz w:val="16"/>
          <w:szCs w:val="16"/>
        </w:rPr>
        <w:t xml:space="preserve"> </w:t>
      </w:r>
      <w:r w:rsidRPr="004D4FDB">
        <w:rPr>
          <w:color w:val="0D0D0D" w:themeColor="text1" w:themeTint="F2"/>
          <w:sz w:val="16"/>
          <w:szCs w:val="16"/>
        </w:rPr>
        <w:t xml:space="preserve">Dle údajů </w:t>
      </w:r>
      <w:r w:rsidRPr="004D4FDB">
        <w:rPr>
          <w:color w:val="0D0D0D" w:themeColor="text1" w:themeTint="F2"/>
          <w:spacing w:val="-3"/>
          <w:sz w:val="16"/>
          <w:szCs w:val="16"/>
        </w:rPr>
        <w:t>Sdružení</w:t>
      </w:r>
      <w:r w:rsidRPr="004D4FDB">
        <w:rPr>
          <w:color w:val="0D0D0D" w:themeColor="text1" w:themeTint="F2"/>
          <w:sz w:val="16"/>
          <w:szCs w:val="16"/>
        </w:rPr>
        <w:t xml:space="preserve"> automobilového průmyslu </w:t>
      </w:r>
      <w:r>
        <w:rPr>
          <w:color w:val="0D0D0D" w:themeColor="text1" w:themeTint="F2"/>
          <w:sz w:val="16"/>
          <w:szCs w:val="16"/>
        </w:rPr>
        <w:t>se v 1. až 3. čtvrtletí 2025 v tuzemsku vyrobilo 1,09 mil</w:t>
      </w:r>
      <w:r w:rsidRPr="004D4FDB">
        <w:rPr>
          <w:color w:val="0D0D0D" w:themeColor="text1" w:themeTint="F2"/>
          <w:sz w:val="16"/>
          <w:szCs w:val="16"/>
        </w:rPr>
        <w:t>. osobních auto</w:t>
      </w:r>
      <w:r>
        <w:rPr>
          <w:color w:val="0D0D0D" w:themeColor="text1" w:themeTint="F2"/>
          <w:sz w:val="16"/>
          <w:szCs w:val="16"/>
        </w:rPr>
        <w:t xml:space="preserve">mobilů, což bylo ve srovnání s rekordním výsledkem ze stejného období loňského roku o 0,7 % méně. Negativně se projevil slabší rozjezd výroby na počátku roku (kvůli horšímu odbytu v zahraničí zavedli někteří výrobci krátkodobá omezení výroby), naopak na jaře se situace postupně zlepšovala a červnová i zářijová výroba (shodně 136 tis. vozidel) již byla meziročně znatelně vyšší.  </w:t>
      </w:r>
      <w:r>
        <w:rPr>
          <w:sz w:val="16"/>
          <w:szCs w:val="16"/>
        </w:rPr>
        <w:t xml:space="preserve">Po loňském poklesu výrazně ožil segment výroby </w:t>
      </w:r>
      <w:r w:rsidRPr="004D4FDB">
        <w:rPr>
          <w:color w:val="0D0D0D" w:themeColor="text1" w:themeTint="F2"/>
          <w:spacing w:val="-3"/>
          <w:sz w:val="16"/>
          <w:szCs w:val="16"/>
        </w:rPr>
        <w:t>e</w:t>
      </w:r>
      <w:r>
        <w:rPr>
          <w:color w:val="0D0D0D" w:themeColor="text1" w:themeTint="F2"/>
          <w:spacing w:val="-3"/>
          <w:sz w:val="16"/>
          <w:szCs w:val="16"/>
        </w:rPr>
        <w:t>lektrických vozidel (vč. vozů s</w:t>
      </w:r>
      <w:r w:rsidRPr="00224C0C">
        <w:rPr>
          <w:sz w:val="16"/>
          <w:szCs w:val="16"/>
        </w:rPr>
        <w:t> </w:t>
      </w:r>
      <w:r>
        <w:rPr>
          <w:color w:val="0D0D0D" w:themeColor="text1" w:themeTint="F2"/>
          <w:spacing w:val="-3"/>
          <w:sz w:val="16"/>
          <w:szCs w:val="16"/>
        </w:rPr>
        <w:t xml:space="preserve">hybridním pohonem), který se letos na celkové produkci automobilů podílel již celou pětinou. Vedle osobních aut zaznamenala letos pokles výroby i většina producentů ostatních druhů motorových vozidel. </w:t>
      </w:r>
    </w:p>
  </w:footnote>
  <w:footnote w:id="16">
    <w:p w14:paraId="04C3668F" w14:textId="77777777" w:rsidR="00307B34" w:rsidRDefault="00307B34" w:rsidP="00307B34">
      <w:pPr>
        <w:pStyle w:val="Textpoznpodarou"/>
        <w:rPr>
          <w:rFonts w:cs="Arial"/>
          <w:color w:val="0D0D0D" w:themeColor="text1" w:themeTint="F2"/>
          <w:spacing w:val="-2"/>
          <w:sz w:val="16"/>
          <w:szCs w:val="16"/>
        </w:rPr>
      </w:pPr>
      <w:r>
        <w:rPr>
          <w:rStyle w:val="Znakapoznpodarou"/>
          <w:rFonts w:cs="Arial"/>
          <w:color w:val="0D0D0D" w:themeColor="text1" w:themeTint="F2"/>
          <w:spacing w:val="-2"/>
          <w:sz w:val="16"/>
          <w:szCs w:val="16"/>
        </w:rPr>
        <w:footnoteRef/>
      </w:r>
      <w:r>
        <w:rPr>
          <w:rFonts w:cs="Arial"/>
          <w:color w:val="0D0D0D" w:themeColor="text1" w:themeTint="F2"/>
          <w:spacing w:val="-2"/>
          <w:sz w:val="16"/>
          <w:szCs w:val="16"/>
        </w:rPr>
        <w:t xml:space="preserve"> Zjišťování zakázek probíhá ve 12 zpracovatelských odvětvích vyrábějících převážně na zakázku, s dlouhodobějším výrobním cyklem a s většími zásobami zakázek. Meziroční tempa zakázek jsou očištěna o kalendářní vlivy, </w:t>
      </w:r>
      <w:proofErr w:type="spellStart"/>
      <w:r>
        <w:rPr>
          <w:rFonts w:cs="Arial"/>
          <w:color w:val="0D0D0D" w:themeColor="text1" w:themeTint="F2"/>
          <w:spacing w:val="-2"/>
          <w:sz w:val="16"/>
          <w:szCs w:val="16"/>
        </w:rPr>
        <w:t>mezikvartální</w:t>
      </w:r>
      <w:proofErr w:type="spellEnd"/>
      <w:r>
        <w:rPr>
          <w:rFonts w:cs="Arial"/>
          <w:color w:val="0D0D0D" w:themeColor="text1" w:themeTint="F2"/>
          <w:spacing w:val="-2"/>
          <w:sz w:val="16"/>
          <w:szCs w:val="16"/>
        </w:rPr>
        <w:t xml:space="preserve"> tempa také o vliv sezónnosti.</w:t>
      </w:r>
    </w:p>
  </w:footnote>
  <w:footnote w:id="17">
    <w:p w14:paraId="57421C9E" w14:textId="77777777" w:rsidR="00307B34" w:rsidRPr="005A2F0C" w:rsidRDefault="00307B34" w:rsidP="00307B34">
      <w:pPr>
        <w:pStyle w:val="Textpoznpodarou"/>
        <w:rPr>
          <w:sz w:val="16"/>
          <w:szCs w:val="16"/>
        </w:rPr>
      </w:pPr>
      <w:r w:rsidRPr="005A2F0C">
        <w:rPr>
          <w:rStyle w:val="Znakapoznpodarou"/>
          <w:sz w:val="16"/>
          <w:szCs w:val="16"/>
        </w:rPr>
        <w:footnoteRef/>
      </w:r>
      <w:r w:rsidRPr="005A2F0C">
        <w:rPr>
          <w:sz w:val="16"/>
          <w:szCs w:val="16"/>
        </w:rPr>
        <w:t xml:space="preserve"> Podniky mohly uvést více bariér současně.</w:t>
      </w:r>
    </w:p>
  </w:footnote>
  <w:footnote w:id="18">
    <w:p w14:paraId="1E50BABC" w14:textId="77777777" w:rsidR="00307B34" w:rsidRPr="00BF158B" w:rsidRDefault="00307B34" w:rsidP="00307B34">
      <w:pPr>
        <w:pStyle w:val="Textpoznpodarou"/>
        <w:rPr>
          <w:sz w:val="16"/>
          <w:szCs w:val="16"/>
        </w:rPr>
      </w:pPr>
      <w:r w:rsidRPr="00BF158B">
        <w:rPr>
          <w:rStyle w:val="Znakapoznpodarou"/>
          <w:sz w:val="16"/>
          <w:szCs w:val="16"/>
        </w:rPr>
        <w:footnoteRef/>
      </w:r>
      <w:r w:rsidRPr="00BF158B">
        <w:rPr>
          <w:sz w:val="16"/>
          <w:szCs w:val="16"/>
        </w:rPr>
        <w:t xml:space="preserve"> </w:t>
      </w:r>
      <w:r>
        <w:rPr>
          <w:sz w:val="16"/>
          <w:szCs w:val="16"/>
        </w:rPr>
        <w:t>Letos v listopadu</w:t>
      </w:r>
      <w:r w:rsidRPr="00BF158B">
        <w:rPr>
          <w:sz w:val="16"/>
          <w:szCs w:val="16"/>
        </w:rPr>
        <w:t xml:space="preserve"> předpokládalo v půlročním horizontu zlepšení </w:t>
      </w:r>
      <w:r>
        <w:rPr>
          <w:sz w:val="16"/>
          <w:szCs w:val="16"/>
        </w:rPr>
        <w:t xml:space="preserve">vlastní </w:t>
      </w:r>
      <w:r w:rsidRPr="00BF158B">
        <w:rPr>
          <w:sz w:val="16"/>
          <w:szCs w:val="16"/>
        </w:rPr>
        <w:t xml:space="preserve">ekonomické situace </w:t>
      </w:r>
      <w:r>
        <w:rPr>
          <w:sz w:val="16"/>
          <w:szCs w:val="16"/>
        </w:rPr>
        <w:t>9</w:t>
      </w:r>
      <w:r w:rsidRPr="00BF158B">
        <w:rPr>
          <w:sz w:val="16"/>
          <w:szCs w:val="16"/>
        </w:rPr>
        <w:t xml:space="preserve"> % podniků, zhoršení 7 %</w:t>
      </w:r>
      <w:r>
        <w:rPr>
          <w:sz w:val="16"/>
          <w:szCs w:val="16"/>
        </w:rPr>
        <w:t>.</w:t>
      </w:r>
    </w:p>
  </w:footnote>
  <w:footnote w:id="19">
    <w:p w14:paraId="1A186FE7" w14:textId="77777777" w:rsidR="00307B34" w:rsidRPr="00891F0C" w:rsidRDefault="00307B34" w:rsidP="00307B34">
      <w:pPr>
        <w:pStyle w:val="Textpoznpodarou"/>
        <w:rPr>
          <w:sz w:val="16"/>
          <w:szCs w:val="16"/>
        </w:rPr>
      </w:pPr>
      <w:r w:rsidRPr="00891F0C">
        <w:rPr>
          <w:rStyle w:val="Znakapoznpodarou"/>
          <w:sz w:val="16"/>
          <w:szCs w:val="16"/>
        </w:rPr>
        <w:footnoteRef/>
      </w:r>
      <w:r w:rsidRPr="00891F0C">
        <w:rPr>
          <w:sz w:val="16"/>
          <w:szCs w:val="16"/>
        </w:rPr>
        <w:t xml:space="preserve"> Evidenční počet zaměstnanců se v 1.</w:t>
      </w:r>
      <w:r>
        <w:rPr>
          <w:sz w:val="16"/>
          <w:szCs w:val="16"/>
        </w:rPr>
        <w:t xml:space="preserve"> až 3. čtvrtletí</w:t>
      </w:r>
      <w:r w:rsidRPr="00891F0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2025 </w:t>
      </w:r>
      <w:r w:rsidRPr="00891F0C">
        <w:rPr>
          <w:sz w:val="16"/>
          <w:szCs w:val="16"/>
        </w:rPr>
        <w:t>meziročně snížil o 2</w:t>
      </w:r>
      <w:r>
        <w:rPr>
          <w:sz w:val="16"/>
          <w:szCs w:val="16"/>
        </w:rPr>
        <w:t>,0</w:t>
      </w:r>
      <w:r w:rsidRPr="00891F0C">
        <w:rPr>
          <w:sz w:val="16"/>
          <w:szCs w:val="16"/>
        </w:rPr>
        <w:t xml:space="preserve"> %</w:t>
      </w:r>
      <w:r>
        <w:rPr>
          <w:sz w:val="16"/>
          <w:szCs w:val="16"/>
        </w:rPr>
        <w:t xml:space="preserve"> (s podobnou intenzitou ve všech čtvrtletích)</w:t>
      </w:r>
      <w:r w:rsidRPr="00891F0C">
        <w:rPr>
          <w:sz w:val="16"/>
          <w:szCs w:val="16"/>
        </w:rPr>
        <w:t>. Letos v </w:t>
      </w:r>
      <w:r>
        <w:rPr>
          <w:sz w:val="16"/>
          <w:szCs w:val="16"/>
        </w:rPr>
        <w:t>listopadu</w:t>
      </w:r>
      <w:r w:rsidRPr="00891F0C">
        <w:rPr>
          <w:sz w:val="16"/>
          <w:szCs w:val="16"/>
        </w:rPr>
        <w:t xml:space="preserve"> předpokládalo v tříměsíčním výhledu snižování zaměstnanosti 1</w:t>
      </w:r>
      <w:r>
        <w:rPr>
          <w:sz w:val="16"/>
          <w:szCs w:val="16"/>
        </w:rPr>
        <w:t>6</w:t>
      </w:r>
      <w:r w:rsidRPr="00891F0C">
        <w:rPr>
          <w:sz w:val="16"/>
          <w:szCs w:val="16"/>
        </w:rPr>
        <w:t xml:space="preserve"> % průmyslových podniků (zvyšování jen 7 %). Nedostatek pracovníků přitom považoval</w:t>
      </w:r>
      <w:r>
        <w:rPr>
          <w:sz w:val="16"/>
          <w:szCs w:val="16"/>
        </w:rPr>
        <w:t>a</w:t>
      </w:r>
      <w:r w:rsidRPr="00891F0C">
        <w:rPr>
          <w:sz w:val="16"/>
          <w:szCs w:val="16"/>
        </w:rPr>
        <w:t xml:space="preserve"> za růstovou bariéru</w:t>
      </w:r>
      <w:r>
        <w:rPr>
          <w:sz w:val="16"/>
          <w:szCs w:val="16"/>
        </w:rPr>
        <w:t xml:space="preserve"> zhruba jen</w:t>
      </w:r>
      <w:r w:rsidRPr="00891F0C">
        <w:rPr>
          <w:sz w:val="16"/>
          <w:szCs w:val="16"/>
        </w:rPr>
        <w:t xml:space="preserve"> desetina podniků, nejméně od roku 2015.</w:t>
      </w:r>
      <w:r>
        <w:rPr>
          <w:sz w:val="16"/>
          <w:szCs w:val="16"/>
        </w:rPr>
        <w:t xml:space="preserve"> </w:t>
      </w:r>
    </w:p>
  </w:footnote>
  <w:footnote w:id="20">
    <w:p w14:paraId="3689ADD6" w14:textId="77777777" w:rsidR="00307B34" w:rsidRPr="00DA2303" w:rsidRDefault="00307B34" w:rsidP="00307B34">
      <w:pPr>
        <w:pStyle w:val="Textpoznpodarou"/>
        <w:rPr>
          <w:sz w:val="16"/>
          <w:szCs w:val="16"/>
        </w:rPr>
      </w:pPr>
      <w:r w:rsidRPr="00DA2303">
        <w:rPr>
          <w:rStyle w:val="Znakapoznpodarou"/>
          <w:sz w:val="16"/>
          <w:szCs w:val="16"/>
        </w:rPr>
        <w:footnoteRef/>
      </w:r>
      <w:r w:rsidRPr="00DA2303">
        <w:rPr>
          <w:sz w:val="16"/>
          <w:szCs w:val="16"/>
        </w:rPr>
        <w:t xml:space="preserve"> </w:t>
      </w:r>
      <w:r w:rsidRPr="00DA2303">
        <w:rPr>
          <w:spacing w:val="-2"/>
          <w:sz w:val="16"/>
          <w:szCs w:val="16"/>
        </w:rPr>
        <w:t>Letos v listopadu plánovalo (v tříměsíčním výhledu) zvyšovat ceny vlastní produkce jen 14 % průmyslových podniků, snižovat pak 12 %.</w:t>
      </w:r>
    </w:p>
  </w:footnote>
  <w:footnote w:id="21">
    <w:p w14:paraId="5ADEB811" w14:textId="77777777" w:rsidR="00307B34" w:rsidRPr="002D2942" w:rsidRDefault="00307B34" w:rsidP="00307B34">
      <w:pPr>
        <w:pStyle w:val="Textpoznpodarou"/>
        <w:jc w:val="both"/>
        <w:rPr>
          <w:sz w:val="16"/>
          <w:szCs w:val="16"/>
        </w:rPr>
      </w:pPr>
      <w:r w:rsidRPr="002D2942">
        <w:rPr>
          <w:rStyle w:val="Znakapoznpodarou"/>
          <w:rFonts w:cs="Arial"/>
          <w:color w:val="0D0D0D" w:themeColor="text1" w:themeTint="F2"/>
          <w:sz w:val="16"/>
          <w:szCs w:val="16"/>
        </w:rPr>
        <w:footnoteRef/>
      </w:r>
      <w:r w:rsidRPr="002D2942">
        <w:rPr>
          <w:rFonts w:cs="Arial"/>
          <w:color w:val="0D0D0D" w:themeColor="text1" w:themeTint="F2"/>
          <w:sz w:val="16"/>
          <w:szCs w:val="16"/>
        </w:rPr>
        <w:t xml:space="preserve"> Údaje o stavební produkci jsou ve stálých cenách, meziroční tempa jsou očištěna o kalendářní vlivy, mezičtvrtletní též o vliv sezónnosti.</w:t>
      </w:r>
    </w:p>
  </w:footnote>
  <w:footnote w:id="22">
    <w:p w14:paraId="2D484F66" w14:textId="77777777" w:rsidR="00307B34" w:rsidRPr="005A5AB9" w:rsidRDefault="00307B34" w:rsidP="00307B34">
      <w:pPr>
        <w:pStyle w:val="Textpoznpodarou"/>
        <w:rPr>
          <w:sz w:val="16"/>
          <w:szCs w:val="16"/>
        </w:rPr>
      </w:pPr>
      <w:r w:rsidRPr="005A5AB9">
        <w:rPr>
          <w:rStyle w:val="Znakapoznpodarou"/>
          <w:sz w:val="16"/>
          <w:szCs w:val="16"/>
        </w:rPr>
        <w:footnoteRef/>
      </w:r>
      <w:r w:rsidRPr="005A5AB9">
        <w:rPr>
          <w:sz w:val="16"/>
          <w:szCs w:val="16"/>
        </w:rPr>
        <w:t xml:space="preserve"> </w:t>
      </w:r>
      <w:r w:rsidRPr="005A5AB9">
        <w:rPr>
          <w:color w:val="0D0D0D" w:themeColor="text1" w:themeTint="F2"/>
          <w:sz w:val="16"/>
          <w:szCs w:val="16"/>
        </w:rPr>
        <w:t xml:space="preserve">Došlo k dílčímu zmírnění nákladových tlaků (vlivem příznivějšího vývoje cen některých energií a také stavebních materiálů), současně ale výrazně posiloval růst cen nemovitostí (vlivem zvýšené poptávky ze strany domácností, k níž dochází i při relativně vysokých </w:t>
      </w:r>
      <w:r>
        <w:rPr>
          <w:color w:val="0D0D0D" w:themeColor="text1" w:themeTint="F2"/>
          <w:sz w:val="16"/>
          <w:szCs w:val="16"/>
        </w:rPr>
        <w:br/>
        <w:t xml:space="preserve">a neměnných </w:t>
      </w:r>
      <w:r w:rsidRPr="005A5AB9">
        <w:rPr>
          <w:color w:val="0D0D0D" w:themeColor="text1" w:themeTint="F2"/>
          <w:sz w:val="16"/>
          <w:szCs w:val="16"/>
        </w:rPr>
        <w:t>hypotečních sazbách).</w:t>
      </w:r>
    </w:p>
  </w:footnote>
  <w:footnote w:id="23">
    <w:p w14:paraId="4A1AD31F" w14:textId="77777777" w:rsidR="00307B34" w:rsidRPr="006D2ED7" w:rsidRDefault="00307B34" w:rsidP="00307B34">
      <w:pPr>
        <w:pStyle w:val="Textpoznpodarou"/>
        <w:rPr>
          <w:sz w:val="16"/>
          <w:szCs w:val="16"/>
        </w:rPr>
      </w:pPr>
      <w:r w:rsidRPr="006D2ED7">
        <w:rPr>
          <w:rStyle w:val="Znakapoznpodarou"/>
          <w:sz w:val="16"/>
          <w:szCs w:val="16"/>
        </w:rPr>
        <w:footnoteRef/>
      </w:r>
      <w:r w:rsidRPr="006D2ED7">
        <w:rPr>
          <w:sz w:val="16"/>
          <w:szCs w:val="16"/>
        </w:rPr>
        <w:t xml:space="preserve"> V úhrnu od počátku letošního roku se hodnota nových zakázek zvýšila o 1</w:t>
      </w:r>
      <w:r>
        <w:rPr>
          <w:sz w:val="16"/>
          <w:szCs w:val="16"/>
        </w:rPr>
        <w:t>5</w:t>
      </w:r>
      <w:r w:rsidRPr="006D2ED7">
        <w:rPr>
          <w:sz w:val="16"/>
          <w:szCs w:val="16"/>
        </w:rPr>
        <w:t>,</w:t>
      </w:r>
      <w:r>
        <w:rPr>
          <w:sz w:val="16"/>
          <w:szCs w:val="16"/>
        </w:rPr>
        <w:t>2</w:t>
      </w:r>
      <w:r w:rsidRPr="006D2ED7">
        <w:rPr>
          <w:sz w:val="16"/>
          <w:szCs w:val="16"/>
        </w:rPr>
        <w:t xml:space="preserve"> %, téměř výhradně vlivem inženýrského stavitelství.</w:t>
      </w:r>
    </w:p>
  </w:footnote>
  <w:footnote w:id="24">
    <w:p w14:paraId="022228A7" w14:textId="77777777" w:rsidR="00307B34" w:rsidRPr="00497444" w:rsidRDefault="00307B34" w:rsidP="00307B34">
      <w:pPr>
        <w:pStyle w:val="Textpoznpodarou"/>
        <w:rPr>
          <w:sz w:val="16"/>
          <w:szCs w:val="16"/>
        </w:rPr>
      </w:pPr>
      <w:r w:rsidRPr="00497444">
        <w:rPr>
          <w:rStyle w:val="Znakapoznpodarou"/>
          <w:sz w:val="16"/>
          <w:szCs w:val="16"/>
        </w:rPr>
        <w:footnoteRef/>
      </w:r>
      <w:r w:rsidRPr="00497444">
        <w:rPr>
          <w:sz w:val="16"/>
          <w:szCs w:val="16"/>
        </w:rPr>
        <w:t xml:space="preserve"> Za 1. až 3. čtvrtletí 2025 se hodnota povolení meziročně snížila o rovných 9 %. K poklesu došlo u nové výstavby bytových </w:t>
      </w:r>
      <w:r>
        <w:rPr>
          <w:sz w:val="16"/>
          <w:szCs w:val="16"/>
        </w:rPr>
        <w:br/>
      </w:r>
      <w:r w:rsidRPr="00497444">
        <w:rPr>
          <w:sz w:val="16"/>
          <w:szCs w:val="16"/>
        </w:rPr>
        <w:t xml:space="preserve">i nebytových budov a vlivem vysoké loňské základny rovněž u ostatních inženýrských staveb (nezahrnujících dopravní infrastrukturu).  </w:t>
      </w:r>
    </w:p>
  </w:footnote>
  <w:footnote w:id="25">
    <w:p w14:paraId="737E40B8" w14:textId="77777777" w:rsidR="00307B34" w:rsidRPr="00B74018" w:rsidRDefault="00307B34" w:rsidP="00307B34">
      <w:pPr>
        <w:pStyle w:val="Textpoznpodarou"/>
        <w:rPr>
          <w:sz w:val="16"/>
          <w:szCs w:val="16"/>
        </w:rPr>
      </w:pPr>
      <w:r w:rsidRPr="00B74018">
        <w:rPr>
          <w:rStyle w:val="Znakapoznpodarou"/>
          <w:sz w:val="16"/>
          <w:szCs w:val="16"/>
        </w:rPr>
        <w:footnoteRef/>
      </w:r>
      <w:r w:rsidRPr="00B74018">
        <w:rPr>
          <w:sz w:val="16"/>
          <w:szCs w:val="16"/>
        </w:rPr>
        <w:t xml:space="preserve"> Evidenční počet zaměstnanců (ve stavebních podnicích nad 50 pracovníků) se letos v září meziročně zvýšil o</w:t>
      </w:r>
      <w:r>
        <w:rPr>
          <w:sz w:val="16"/>
          <w:szCs w:val="16"/>
        </w:rPr>
        <w:t xml:space="preserve"> rovné </w:t>
      </w:r>
      <w:r w:rsidRPr="00B74018">
        <w:rPr>
          <w:sz w:val="16"/>
          <w:szCs w:val="16"/>
        </w:rPr>
        <w:t>1 %</w:t>
      </w:r>
      <w:r>
        <w:rPr>
          <w:sz w:val="16"/>
          <w:szCs w:val="16"/>
        </w:rPr>
        <w:t xml:space="preserve"> (v říjnu dokonce o 1,7 %)</w:t>
      </w:r>
      <w:r w:rsidRPr="00B74018">
        <w:rPr>
          <w:sz w:val="16"/>
          <w:szCs w:val="16"/>
        </w:rPr>
        <w:t xml:space="preserve">. Jde o významný posun, neboť v úhrnu od počátku </w:t>
      </w:r>
      <w:r>
        <w:rPr>
          <w:sz w:val="16"/>
          <w:szCs w:val="16"/>
        </w:rPr>
        <w:t xml:space="preserve">roku </w:t>
      </w:r>
      <w:r w:rsidRPr="00B74018">
        <w:rPr>
          <w:sz w:val="16"/>
          <w:szCs w:val="16"/>
        </w:rPr>
        <w:t xml:space="preserve">počty zaměstnanců </w:t>
      </w:r>
      <w:r>
        <w:rPr>
          <w:sz w:val="16"/>
          <w:szCs w:val="16"/>
        </w:rPr>
        <w:t xml:space="preserve">pouze </w:t>
      </w:r>
      <w:r w:rsidRPr="00B74018">
        <w:rPr>
          <w:sz w:val="16"/>
          <w:szCs w:val="16"/>
        </w:rPr>
        <w:t>stagnovaly (a za celý loňský rok se snížily o 1,6 %).</w:t>
      </w:r>
    </w:p>
  </w:footnote>
  <w:footnote w:id="26">
    <w:p w14:paraId="4D85B993" w14:textId="77777777" w:rsidR="00307B34" w:rsidRPr="002C5568" w:rsidRDefault="00307B34" w:rsidP="00307B34">
      <w:pPr>
        <w:pStyle w:val="Textpoznpodarou"/>
        <w:rPr>
          <w:spacing w:val="-4"/>
          <w:sz w:val="16"/>
          <w:szCs w:val="16"/>
        </w:rPr>
      </w:pPr>
      <w:r w:rsidRPr="002C5568">
        <w:rPr>
          <w:rStyle w:val="Znakapoznpodarou"/>
          <w:spacing w:val="-4"/>
          <w:sz w:val="16"/>
          <w:szCs w:val="16"/>
        </w:rPr>
        <w:footnoteRef/>
      </w:r>
      <w:r w:rsidRPr="002C5568">
        <w:rPr>
          <w:spacing w:val="-4"/>
          <w:sz w:val="16"/>
          <w:szCs w:val="16"/>
        </w:rPr>
        <w:t xml:space="preserve"> Pouze necelá pětina firem žádnou z možných růstových bariér neuvedla. Tento podíl, který je o polovinu nižší než v EU či eurozóně, zůstává v Česku v posledních osmi letech v zásadě neměnný.</w:t>
      </w:r>
    </w:p>
  </w:footnote>
  <w:footnote w:id="27">
    <w:p w14:paraId="1E2D0802" w14:textId="77777777" w:rsidR="00307B34" w:rsidRPr="002C5568" w:rsidRDefault="00307B34" w:rsidP="00307B34">
      <w:pPr>
        <w:pStyle w:val="Textpoznpodarou"/>
        <w:rPr>
          <w:spacing w:val="-4"/>
          <w:sz w:val="16"/>
          <w:szCs w:val="16"/>
        </w:rPr>
      </w:pPr>
      <w:r w:rsidRPr="002C5568">
        <w:rPr>
          <w:rStyle w:val="Znakapoznpodarou"/>
          <w:spacing w:val="-4"/>
          <w:sz w:val="16"/>
          <w:szCs w:val="16"/>
        </w:rPr>
        <w:footnoteRef/>
      </w:r>
      <w:r w:rsidRPr="002C5568">
        <w:rPr>
          <w:spacing w:val="-4"/>
          <w:sz w:val="16"/>
          <w:szCs w:val="16"/>
        </w:rPr>
        <w:t xml:space="preserve"> </w:t>
      </w:r>
      <w:r w:rsidRPr="00FF74BC">
        <w:rPr>
          <w:rStyle w:val="normaltextrun"/>
          <w:rFonts w:eastAsiaTheme="majorEastAsia" w:cs="Arial"/>
          <w:spacing w:val="-2"/>
          <w:sz w:val="16"/>
          <w:szCs w:val="16"/>
        </w:rPr>
        <w:t>Stejně jako u nedostatku pracovníků sužovala nedostatečná poptávka nejvíce podniky v segmentu výstavby budov.</w:t>
      </w:r>
    </w:p>
  </w:footnote>
  <w:footnote w:id="28">
    <w:p w14:paraId="4098F2C4" w14:textId="77777777" w:rsidR="00307B34" w:rsidRPr="002C5568" w:rsidRDefault="00307B34" w:rsidP="00307B34">
      <w:pPr>
        <w:pStyle w:val="Textpoznpodarou"/>
        <w:rPr>
          <w:spacing w:val="-4"/>
          <w:sz w:val="16"/>
          <w:szCs w:val="16"/>
        </w:rPr>
      </w:pPr>
      <w:r w:rsidRPr="002C5568">
        <w:rPr>
          <w:rStyle w:val="Znakapoznpodarou"/>
          <w:spacing w:val="-4"/>
          <w:sz w:val="16"/>
          <w:szCs w:val="16"/>
        </w:rPr>
        <w:footnoteRef/>
      </w:r>
      <w:r w:rsidRPr="002C5568">
        <w:rPr>
          <w:spacing w:val="-4"/>
          <w:sz w:val="16"/>
          <w:szCs w:val="16"/>
        </w:rPr>
        <w:t xml:space="preserve"> V</w:t>
      </w:r>
      <w:r>
        <w:rPr>
          <w:spacing w:val="-4"/>
          <w:sz w:val="16"/>
          <w:szCs w:val="16"/>
        </w:rPr>
        <w:t xml:space="preserve"> listopadu </w:t>
      </w:r>
      <w:r w:rsidRPr="002C5568">
        <w:rPr>
          <w:spacing w:val="-4"/>
          <w:sz w:val="16"/>
          <w:szCs w:val="16"/>
        </w:rPr>
        <w:t xml:space="preserve">předpokládalo (v tříměsíčním výhledu) zvyšování cen vlastní produkce </w:t>
      </w:r>
      <w:r>
        <w:rPr>
          <w:spacing w:val="-4"/>
          <w:sz w:val="16"/>
          <w:szCs w:val="16"/>
        </w:rPr>
        <w:t>20</w:t>
      </w:r>
      <w:r w:rsidRPr="002C5568">
        <w:rPr>
          <w:spacing w:val="-4"/>
          <w:sz w:val="16"/>
          <w:szCs w:val="16"/>
        </w:rPr>
        <w:t xml:space="preserve"> % stavebních firem, </w:t>
      </w:r>
      <w:r>
        <w:rPr>
          <w:spacing w:val="-4"/>
          <w:sz w:val="16"/>
          <w:szCs w:val="16"/>
        </w:rPr>
        <w:t>což odpovídalo dlouhodobému průměru.</w:t>
      </w:r>
    </w:p>
  </w:footnote>
  <w:footnote w:id="29">
    <w:p w14:paraId="46A63254" w14:textId="77777777" w:rsidR="00307B34" w:rsidRPr="00E62461" w:rsidRDefault="00307B34" w:rsidP="00307B34">
      <w:pPr>
        <w:spacing w:after="0" w:line="240" w:lineRule="auto"/>
        <w:rPr>
          <w:spacing w:val="-2"/>
        </w:rPr>
      </w:pPr>
      <w:r w:rsidRPr="00E62461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 w:rsidRPr="00E62461">
        <w:rPr>
          <w:color w:val="0D0D0D" w:themeColor="text1" w:themeTint="F2"/>
          <w:spacing w:val="-2"/>
          <w:sz w:val="16"/>
          <w:szCs w:val="16"/>
        </w:rPr>
        <w:t xml:space="preserve"> Bez obchodu, peněžnictví, pojišťovnictví, vědy, výzkumu a veřejných služeb. Všechny údaje za tržby ve službách jsou ve stálých cenách, meziroční data jsou očištěna o kalendářní vlivy, mezičtvrtletní jsou očištěna o sezónní vlivy (včetně vlivu počtu pracovních dnů).</w:t>
      </w:r>
    </w:p>
  </w:footnote>
  <w:footnote w:id="30">
    <w:p w14:paraId="70E59448" w14:textId="77777777" w:rsidR="00307B34" w:rsidRPr="006E752E" w:rsidRDefault="00307B34" w:rsidP="00307B34">
      <w:pPr>
        <w:pStyle w:val="Textpoznpodarou"/>
        <w:rPr>
          <w:sz w:val="16"/>
          <w:szCs w:val="16"/>
        </w:rPr>
      </w:pPr>
      <w:r w:rsidRPr="006E752E">
        <w:rPr>
          <w:rStyle w:val="Znakapoznpodarou"/>
          <w:sz w:val="16"/>
          <w:szCs w:val="16"/>
        </w:rPr>
        <w:footnoteRef/>
      </w:r>
      <w:r w:rsidRPr="006E752E">
        <w:rPr>
          <w:sz w:val="16"/>
          <w:szCs w:val="16"/>
        </w:rPr>
        <w:t xml:space="preserve"> Oproti 2. čtvrtletí 2019 byly celkové tržby</w:t>
      </w:r>
      <w:r>
        <w:rPr>
          <w:sz w:val="16"/>
          <w:szCs w:val="16"/>
        </w:rPr>
        <w:t xml:space="preserve"> (po sezónním očištění)</w:t>
      </w:r>
      <w:r w:rsidRPr="006E752E">
        <w:rPr>
          <w:sz w:val="16"/>
          <w:szCs w:val="16"/>
        </w:rPr>
        <w:t xml:space="preserve"> </w:t>
      </w:r>
      <w:r>
        <w:rPr>
          <w:sz w:val="16"/>
          <w:szCs w:val="16"/>
        </w:rPr>
        <w:t>ve 3. čtvrtletí 2025</w:t>
      </w:r>
      <w:r w:rsidRPr="006E752E">
        <w:rPr>
          <w:sz w:val="16"/>
          <w:szCs w:val="16"/>
        </w:rPr>
        <w:t xml:space="preserve"> vyšší o </w:t>
      </w:r>
      <w:r>
        <w:rPr>
          <w:sz w:val="16"/>
          <w:szCs w:val="16"/>
        </w:rPr>
        <w:t>3</w:t>
      </w:r>
      <w:r w:rsidRPr="006E752E">
        <w:rPr>
          <w:sz w:val="16"/>
          <w:szCs w:val="16"/>
        </w:rPr>
        <w:t>,</w:t>
      </w:r>
      <w:r>
        <w:rPr>
          <w:sz w:val="16"/>
          <w:szCs w:val="16"/>
        </w:rPr>
        <w:t>0</w:t>
      </w:r>
      <w:r w:rsidRPr="006E752E">
        <w:rPr>
          <w:sz w:val="16"/>
          <w:szCs w:val="16"/>
        </w:rPr>
        <w:t xml:space="preserve"> %. Z hlavních odvětví služeb tuto úroveň překonaly zejména informační a komunikační činnosti (+1</w:t>
      </w:r>
      <w:r>
        <w:rPr>
          <w:sz w:val="16"/>
          <w:szCs w:val="16"/>
        </w:rPr>
        <w:t>4,5</w:t>
      </w:r>
      <w:r w:rsidRPr="006E752E">
        <w:rPr>
          <w:sz w:val="16"/>
          <w:szCs w:val="16"/>
        </w:rPr>
        <w:t xml:space="preserve"> %)</w:t>
      </w:r>
      <w:r>
        <w:rPr>
          <w:sz w:val="16"/>
          <w:szCs w:val="16"/>
        </w:rPr>
        <w:t xml:space="preserve"> a</w:t>
      </w:r>
      <w:r w:rsidRPr="006E752E">
        <w:rPr>
          <w:sz w:val="16"/>
          <w:szCs w:val="16"/>
        </w:rPr>
        <w:t xml:space="preserve"> profesní, vědecké a technické činnosti (+</w:t>
      </w:r>
      <w:r>
        <w:rPr>
          <w:sz w:val="16"/>
          <w:szCs w:val="16"/>
        </w:rPr>
        <w:t>5</w:t>
      </w:r>
      <w:r w:rsidRPr="006E752E">
        <w:rPr>
          <w:sz w:val="16"/>
          <w:szCs w:val="16"/>
        </w:rPr>
        <w:t>,</w:t>
      </w:r>
      <w:r>
        <w:rPr>
          <w:sz w:val="16"/>
          <w:szCs w:val="16"/>
        </w:rPr>
        <w:t xml:space="preserve">5 </w:t>
      </w:r>
      <w:r w:rsidRPr="006E752E">
        <w:rPr>
          <w:sz w:val="16"/>
          <w:szCs w:val="16"/>
        </w:rPr>
        <w:t>%)</w:t>
      </w:r>
      <w:r>
        <w:rPr>
          <w:sz w:val="16"/>
          <w:szCs w:val="16"/>
        </w:rPr>
        <w:t xml:space="preserve"> a činnosti v oblasti nemovitostí (+4,5 %).</w:t>
      </w:r>
      <w:r w:rsidRPr="006E752E">
        <w:rPr>
          <w:sz w:val="16"/>
          <w:szCs w:val="16"/>
        </w:rPr>
        <w:t xml:space="preserve"> Naopak </w:t>
      </w:r>
      <w:r>
        <w:rPr>
          <w:sz w:val="16"/>
          <w:szCs w:val="16"/>
        </w:rPr>
        <w:t xml:space="preserve">tržby </w:t>
      </w:r>
      <w:r w:rsidRPr="006E752E">
        <w:rPr>
          <w:sz w:val="16"/>
          <w:szCs w:val="16"/>
        </w:rPr>
        <w:t xml:space="preserve">stále nejvíce zaostávaly </w:t>
      </w:r>
      <w:r>
        <w:rPr>
          <w:sz w:val="16"/>
          <w:szCs w:val="16"/>
        </w:rPr>
        <w:t xml:space="preserve">v </w:t>
      </w:r>
      <w:r w:rsidRPr="006E752E">
        <w:rPr>
          <w:sz w:val="16"/>
          <w:szCs w:val="16"/>
        </w:rPr>
        <w:t>ubytování, stravování a pohostinství (</w:t>
      </w:r>
      <w:r w:rsidRPr="006E752E">
        <w:rPr>
          <w:color w:val="0D0D0D" w:themeColor="text1" w:themeTint="F2"/>
          <w:spacing w:val="-5"/>
          <w:sz w:val="16"/>
          <w:szCs w:val="16"/>
        </w:rPr>
        <w:t>−</w:t>
      </w:r>
      <w:r w:rsidRPr="006E752E">
        <w:rPr>
          <w:sz w:val="16"/>
          <w:szCs w:val="16"/>
        </w:rPr>
        <w:t>1</w:t>
      </w:r>
      <w:r>
        <w:rPr>
          <w:sz w:val="16"/>
          <w:szCs w:val="16"/>
        </w:rPr>
        <w:t>3,4</w:t>
      </w:r>
      <w:r w:rsidRPr="006E752E">
        <w:rPr>
          <w:sz w:val="16"/>
          <w:szCs w:val="16"/>
        </w:rPr>
        <w:t xml:space="preserve"> %) </w:t>
      </w:r>
      <w:r>
        <w:rPr>
          <w:sz w:val="16"/>
          <w:szCs w:val="16"/>
        </w:rPr>
        <w:br/>
      </w:r>
      <w:r w:rsidRPr="006E752E">
        <w:rPr>
          <w:sz w:val="16"/>
          <w:szCs w:val="16"/>
        </w:rPr>
        <w:t xml:space="preserve">a </w:t>
      </w:r>
      <w:r>
        <w:rPr>
          <w:sz w:val="16"/>
          <w:szCs w:val="16"/>
        </w:rPr>
        <w:t xml:space="preserve">v </w:t>
      </w:r>
      <w:r w:rsidRPr="006E752E">
        <w:rPr>
          <w:sz w:val="16"/>
          <w:szCs w:val="16"/>
        </w:rPr>
        <w:t>administrativní</w:t>
      </w:r>
      <w:r>
        <w:rPr>
          <w:sz w:val="16"/>
          <w:szCs w:val="16"/>
        </w:rPr>
        <w:t>ch a podpůrných činnostech</w:t>
      </w:r>
      <w:r w:rsidRPr="006E752E">
        <w:rPr>
          <w:sz w:val="16"/>
          <w:szCs w:val="16"/>
        </w:rPr>
        <w:t xml:space="preserve"> (</w:t>
      </w:r>
      <w:r w:rsidRPr="006E752E">
        <w:rPr>
          <w:color w:val="0D0D0D" w:themeColor="text1" w:themeTint="F2"/>
          <w:spacing w:val="-5"/>
          <w:sz w:val="16"/>
          <w:szCs w:val="16"/>
        </w:rPr>
        <w:t>−</w:t>
      </w:r>
      <w:r>
        <w:rPr>
          <w:sz w:val="16"/>
          <w:szCs w:val="16"/>
        </w:rPr>
        <w:t>7</w:t>
      </w:r>
      <w:r w:rsidRPr="006E752E">
        <w:rPr>
          <w:sz w:val="16"/>
          <w:szCs w:val="16"/>
        </w:rPr>
        <w:t>,</w:t>
      </w:r>
      <w:r>
        <w:rPr>
          <w:sz w:val="16"/>
          <w:szCs w:val="16"/>
        </w:rPr>
        <w:t>2</w:t>
      </w:r>
      <w:r w:rsidRPr="006E752E">
        <w:rPr>
          <w:sz w:val="16"/>
          <w:szCs w:val="16"/>
        </w:rPr>
        <w:t xml:space="preserve"> %).</w:t>
      </w:r>
    </w:p>
  </w:footnote>
  <w:footnote w:id="31">
    <w:p w14:paraId="32769135" w14:textId="77777777" w:rsidR="00307B34" w:rsidRDefault="00307B34" w:rsidP="00307B34">
      <w:pPr>
        <w:pStyle w:val="Textpoznpodarou"/>
      </w:pPr>
      <w:r w:rsidRPr="007A5123">
        <w:rPr>
          <w:rStyle w:val="Znakapoznpodarou"/>
          <w:sz w:val="16"/>
          <w:szCs w:val="16"/>
        </w:rPr>
        <w:footnoteRef/>
      </w:r>
      <w:r w:rsidRPr="007A5123">
        <w:rPr>
          <w:sz w:val="16"/>
          <w:szCs w:val="16"/>
        </w:rPr>
        <w:t xml:space="preserve"> Jde především </w:t>
      </w:r>
      <w:r>
        <w:rPr>
          <w:sz w:val="16"/>
          <w:szCs w:val="16"/>
        </w:rPr>
        <w:t xml:space="preserve">o </w:t>
      </w:r>
      <w:r w:rsidRPr="00B86BDD">
        <w:rPr>
          <w:sz w:val="16"/>
          <w:szCs w:val="16"/>
        </w:rPr>
        <w:t>činnosti webových portálů, zpravodajských tiskových kanceláří a agentur či zpracování dat a hosting.</w:t>
      </w:r>
    </w:p>
  </w:footnote>
  <w:footnote w:id="32">
    <w:p w14:paraId="09AD6C42" w14:textId="77777777" w:rsidR="00307B34" w:rsidRPr="00CD3166" w:rsidRDefault="00307B34" w:rsidP="00307B34">
      <w:pPr>
        <w:pStyle w:val="Textpoznpodarou"/>
        <w:rPr>
          <w:sz w:val="16"/>
          <w:szCs w:val="16"/>
        </w:rPr>
      </w:pPr>
      <w:r w:rsidRPr="00CD3166">
        <w:rPr>
          <w:rStyle w:val="Znakapoznpodarou"/>
          <w:sz w:val="16"/>
          <w:szCs w:val="16"/>
        </w:rPr>
        <w:footnoteRef/>
      </w:r>
      <w:r w:rsidRPr="00CD3166">
        <w:rPr>
          <w:sz w:val="16"/>
          <w:szCs w:val="16"/>
        </w:rPr>
        <w:t xml:space="preserve"> Ty </w:t>
      </w:r>
      <w:r w:rsidRPr="00CD3166">
        <w:rPr>
          <w:color w:val="0D0D0D" w:themeColor="text1" w:themeTint="F2"/>
          <w:spacing w:val="-6"/>
          <w:sz w:val="16"/>
          <w:szCs w:val="16"/>
        </w:rPr>
        <w:t>zahrnují</w:t>
      </w:r>
      <w:r>
        <w:rPr>
          <w:color w:val="0D0D0D" w:themeColor="text1" w:themeTint="F2"/>
          <w:spacing w:val="-6"/>
          <w:sz w:val="16"/>
          <w:szCs w:val="16"/>
        </w:rPr>
        <w:t xml:space="preserve"> zejména</w:t>
      </w:r>
      <w:r w:rsidRPr="00CD3166">
        <w:rPr>
          <w:color w:val="0D0D0D" w:themeColor="text1" w:themeTint="F2"/>
          <w:spacing w:val="-6"/>
          <w:sz w:val="16"/>
          <w:szCs w:val="16"/>
        </w:rPr>
        <w:t xml:space="preserve"> programování, poradenství v oblasti informačních technologií či správu počítačového vybavení.</w:t>
      </w:r>
    </w:p>
  </w:footnote>
  <w:footnote w:id="33">
    <w:p w14:paraId="5D1ED6D3" w14:textId="77777777" w:rsidR="00307B34" w:rsidRPr="00C67E8B" w:rsidRDefault="00307B34" w:rsidP="00307B34">
      <w:pPr>
        <w:pStyle w:val="Textpoznpodarou"/>
        <w:rPr>
          <w:sz w:val="16"/>
          <w:szCs w:val="16"/>
        </w:rPr>
      </w:pPr>
      <w:r w:rsidRPr="00C67E8B">
        <w:rPr>
          <w:rStyle w:val="Znakapoznpodarou"/>
          <w:sz w:val="16"/>
          <w:szCs w:val="16"/>
        </w:rPr>
        <w:footnoteRef/>
      </w:r>
      <w:r w:rsidRPr="00C67E8B">
        <w:rPr>
          <w:sz w:val="16"/>
          <w:szCs w:val="16"/>
        </w:rPr>
        <w:t xml:space="preserve"> </w:t>
      </w:r>
      <w:r>
        <w:rPr>
          <w:sz w:val="16"/>
          <w:szCs w:val="16"/>
        </w:rPr>
        <w:t>Tento</w:t>
      </w:r>
      <w:r w:rsidRPr="00C67E8B">
        <w:rPr>
          <w:sz w:val="16"/>
          <w:szCs w:val="16"/>
        </w:rPr>
        <w:t xml:space="preserve"> propad poptávky zde mohl souviset s dozvuky </w:t>
      </w:r>
      <w:r w:rsidRPr="00C67E8B">
        <w:rPr>
          <w:rFonts w:cs="Arial"/>
          <w:color w:val="0D0D0D" w:themeColor="text1" w:themeTint="F2"/>
          <w:spacing w:val="-6"/>
          <w:sz w:val="16"/>
          <w:szCs w:val="16"/>
        </w:rPr>
        <w:t xml:space="preserve">delší stávky v Hollywoodu </w:t>
      </w:r>
      <w:r>
        <w:rPr>
          <w:rFonts w:cs="Arial"/>
          <w:color w:val="0D0D0D" w:themeColor="text1" w:themeTint="F2"/>
          <w:spacing w:val="-6"/>
          <w:sz w:val="16"/>
          <w:szCs w:val="16"/>
        </w:rPr>
        <w:t>(</w:t>
      </w:r>
      <w:r w:rsidRPr="00C67E8B">
        <w:rPr>
          <w:rFonts w:cs="Arial"/>
          <w:color w:val="0D0D0D" w:themeColor="text1" w:themeTint="F2"/>
          <w:spacing w:val="-6"/>
          <w:sz w:val="16"/>
          <w:szCs w:val="16"/>
        </w:rPr>
        <w:t>z druhé poloviny roku 2023</w:t>
      </w:r>
      <w:r>
        <w:rPr>
          <w:rFonts w:cs="Arial"/>
          <w:color w:val="0D0D0D" w:themeColor="text1" w:themeTint="F2"/>
          <w:spacing w:val="-6"/>
          <w:sz w:val="16"/>
          <w:szCs w:val="16"/>
        </w:rPr>
        <w:t>)</w:t>
      </w:r>
      <w:r w:rsidRPr="00C67E8B">
        <w:rPr>
          <w:rFonts w:cs="Arial"/>
          <w:color w:val="0D0D0D" w:themeColor="text1" w:themeTint="F2"/>
          <w:spacing w:val="-6"/>
          <w:sz w:val="16"/>
          <w:szCs w:val="16"/>
        </w:rPr>
        <w:t>. Vývoj tržeb filmového hudebního průmyslu v tuzemsku je obecně dosti rozkolísaný, což souvisí s nepravidelnými fakturacemi.</w:t>
      </w:r>
    </w:p>
  </w:footnote>
  <w:footnote w:id="34">
    <w:p w14:paraId="032434FF" w14:textId="77777777" w:rsidR="00307B34" w:rsidRDefault="00307B34" w:rsidP="00307B34">
      <w:pPr>
        <w:pStyle w:val="Textpoznpodarou"/>
      </w:pPr>
      <w:r w:rsidRPr="00530A4E">
        <w:rPr>
          <w:rStyle w:val="Znakapoznpodarou"/>
          <w:sz w:val="16"/>
          <w:szCs w:val="16"/>
        </w:rPr>
        <w:footnoteRef/>
      </w:r>
      <w:r w:rsidRPr="00530A4E">
        <w:rPr>
          <w:sz w:val="16"/>
          <w:szCs w:val="16"/>
        </w:rPr>
        <w:t xml:space="preserve"> </w:t>
      </w:r>
      <w:r>
        <w:rPr>
          <w:sz w:val="16"/>
          <w:szCs w:val="16"/>
        </w:rPr>
        <w:t>Podobně si letos vedl i segment</w:t>
      </w:r>
      <w:r w:rsidRPr="00590597">
        <w:rPr>
          <w:sz w:val="16"/>
          <w:szCs w:val="16"/>
        </w:rPr>
        <w:t xml:space="preserve"> filmové distribuce. </w:t>
      </w:r>
      <w:r w:rsidRPr="00590597">
        <w:rPr>
          <w:rFonts w:cs="Arial"/>
          <w:color w:val="0D0D0D" w:themeColor="text1" w:themeTint="F2"/>
          <w:spacing w:val="-3"/>
          <w:sz w:val="16"/>
          <w:szCs w:val="16"/>
        </w:rPr>
        <w:t xml:space="preserve">Dle údajů </w:t>
      </w:r>
      <w:r w:rsidRPr="00590597">
        <w:rPr>
          <w:spacing w:val="-3"/>
          <w:sz w:val="16"/>
          <w:szCs w:val="16"/>
        </w:rPr>
        <w:t>Unie filmových distributo</w:t>
      </w:r>
      <w:r>
        <w:rPr>
          <w:spacing w:val="-3"/>
          <w:sz w:val="16"/>
          <w:szCs w:val="16"/>
        </w:rPr>
        <w:t xml:space="preserve">rů klesly letos v 1. až 3. čtvrtletí </w:t>
      </w:r>
      <w:r w:rsidRPr="00590597">
        <w:rPr>
          <w:spacing w:val="-3"/>
          <w:sz w:val="16"/>
          <w:szCs w:val="16"/>
        </w:rPr>
        <w:t>hrubé nominální tržby provozovate</w:t>
      </w:r>
      <w:r>
        <w:rPr>
          <w:spacing w:val="-3"/>
          <w:sz w:val="16"/>
          <w:szCs w:val="16"/>
        </w:rPr>
        <w:t>lů tuzemských kin meziročně o 1,6 % (při snížení c</w:t>
      </w:r>
      <w:r w:rsidRPr="00590597">
        <w:rPr>
          <w:spacing w:val="-3"/>
          <w:sz w:val="16"/>
          <w:szCs w:val="16"/>
        </w:rPr>
        <w:t>elkov</w:t>
      </w:r>
      <w:r>
        <w:rPr>
          <w:spacing w:val="-3"/>
          <w:sz w:val="16"/>
          <w:szCs w:val="16"/>
        </w:rPr>
        <w:t>é</w:t>
      </w:r>
      <w:r w:rsidRPr="00590597">
        <w:rPr>
          <w:spacing w:val="-3"/>
          <w:sz w:val="16"/>
          <w:szCs w:val="16"/>
        </w:rPr>
        <w:t xml:space="preserve"> návštěv</w:t>
      </w:r>
      <w:r>
        <w:rPr>
          <w:spacing w:val="-3"/>
          <w:sz w:val="16"/>
          <w:szCs w:val="16"/>
        </w:rPr>
        <w:t xml:space="preserve">nosti o 4,4 % a velmi mírném růstu </w:t>
      </w:r>
      <w:r w:rsidRPr="00590597">
        <w:rPr>
          <w:spacing w:val="-3"/>
          <w:sz w:val="16"/>
          <w:szCs w:val="16"/>
        </w:rPr>
        <w:t>počt</w:t>
      </w:r>
      <w:r>
        <w:rPr>
          <w:spacing w:val="-3"/>
          <w:sz w:val="16"/>
          <w:szCs w:val="16"/>
        </w:rPr>
        <w:t>u</w:t>
      </w:r>
      <w:r w:rsidRPr="00590597">
        <w:rPr>
          <w:spacing w:val="-3"/>
          <w:sz w:val="16"/>
          <w:szCs w:val="16"/>
        </w:rPr>
        <w:t xml:space="preserve"> odehraných představení</w:t>
      </w:r>
      <w:r>
        <w:rPr>
          <w:spacing w:val="-3"/>
          <w:sz w:val="16"/>
          <w:szCs w:val="16"/>
        </w:rPr>
        <w:t xml:space="preserve"> o 1,4 %). Oproti roku</w:t>
      </w:r>
      <w:r w:rsidRPr="00590597">
        <w:rPr>
          <w:spacing w:val="-3"/>
          <w:sz w:val="16"/>
          <w:szCs w:val="16"/>
        </w:rPr>
        <w:t xml:space="preserve"> 2019 </w:t>
      </w:r>
      <w:r>
        <w:rPr>
          <w:spacing w:val="-3"/>
          <w:sz w:val="16"/>
          <w:szCs w:val="16"/>
        </w:rPr>
        <w:t>byla ovšem návštěvnost nižší o 29,4 % a tržby o 10,2 %.</w:t>
      </w:r>
    </w:p>
  </w:footnote>
  <w:footnote w:id="35">
    <w:p w14:paraId="1F11D409" w14:textId="77777777" w:rsidR="00307B34" w:rsidRPr="001D74A1" w:rsidRDefault="00307B34" w:rsidP="00307B34">
      <w:pPr>
        <w:pStyle w:val="Textpoznpodarou"/>
        <w:rPr>
          <w:sz w:val="16"/>
          <w:szCs w:val="16"/>
        </w:rPr>
      </w:pPr>
      <w:r w:rsidRPr="001D74A1">
        <w:rPr>
          <w:rStyle w:val="Znakapoznpodarou"/>
          <w:sz w:val="16"/>
          <w:szCs w:val="16"/>
        </w:rPr>
        <w:footnoteRef/>
      </w:r>
      <w:r w:rsidRPr="001D74A1">
        <w:rPr>
          <w:sz w:val="16"/>
          <w:szCs w:val="16"/>
        </w:rPr>
        <w:t xml:space="preserve"> </w:t>
      </w:r>
      <w:r>
        <w:rPr>
          <w:sz w:val="16"/>
          <w:szCs w:val="16"/>
        </w:rPr>
        <w:t>Neočištěné t</w:t>
      </w:r>
      <w:r w:rsidRPr="001D74A1">
        <w:rPr>
          <w:sz w:val="16"/>
          <w:szCs w:val="16"/>
        </w:rPr>
        <w:t xml:space="preserve">ržby v této oblasti letos meziročně klesly o </w:t>
      </w:r>
      <w:r>
        <w:rPr>
          <w:sz w:val="16"/>
          <w:szCs w:val="16"/>
        </w:rPr>
        <w:t>7</w:t>
      </w:r>
      <w:r w:rsidRPr="001D74A1">
        <w:rPr>
          <w:sz w:val="16"/>
          <w:szCs w:val="16"/>
        </w:rPr>
        <w:t xml:space="preserve"> % (</w:t>
      </w:r>
      <w:r>
        <w:rPr>
          <w:sz w:val="16"/>
          <w:szCs w:val="16"/>
        </w:rPr>
        <w:t>dvakrát více než</w:t>
      </w:r>
      <w:r w:rsidRPr="001D74A1">
        <w:rPr>
          <w:sz w:val="16"/>
          <w:szCs w:val="16"/>
        </w:rPr>
        <w:t xml:space="preserve"> za celý rok 2024). V</w:t>
      </w:r>
      <w:r>
        <w:rPr>
          <w:sz w:val="16"/>
          <w:szCs w:val="16"/>
        </w:rPr>
        <w:t> pozadí poklesu poptávky byl</w:t>
      </w:r>
      <w:r w:rsidRPr="001D74A1">
        <w:rPr>
          <w:sz w:val="16"/>
          <w:szCs w:val="16"/>
        </w:rPr>
        <w:t xml:space="preserve"> silný cenový růst. V běžných cenách totiž tržby za reklamu </w:t>
      </w:r>
      <w:r>
        <w:rPr>
          <w:sz w:val="16"/>
          <w:szCs w:val="16"/>
        </w:rPr>
        <w:t xml:space="preserve">letos v 1. až 3. čtvrtletí 2025 </w:t>
      </w:r>
      <w:r w:rsidRPr="001D74A1">
        <w:rPr>
          <w:sz w:val="16"/>
          <w:szCs w:val="16"/>
        </w:rPr>
        <w:t xml:space="preserve">vzrostly o </w:t>
      </w:r>
      <w:r>
        <w:rPr>
          <w:sz w:val="16"/>
          <w:szCs w:val="16"/>
        </w:rPr>
        <w:t>4</w:t>
      </w:r>
      <w:r w:rsidRPr="001D74A1">
        <w:rPr>
          <w:sz w:val="16"/>
          <w:szCs w:val="16"/>
        </w:rPr>
        <w:t xml:space="preserve"> %.</w:t>
      </w:r>
      <w:r>
        <w:rPr>
          <w:sz w:val="16"/>
          <w:szCs w:val="16"/>
        </w:rPr>
        <w:t xml:space="preserve"> Naopak tržby za průzkum trhu </w:t>
      </w:r>
      <w:r>
        <w:rPr>
          <w:sz w:val="16"/>
          <w:szCs w:val="16"/>
        </w:rPr>
        <w:br/>
        <w:t>a veřejného mínění lehce vzrostly v běžných i stálých cenách.</w:t>
      </w:r>
    </w:p>
  </w:footnote>
  <w:footnote w:id="36">
    <w:p w14:paraId="0A0015FF" w14:textId="77777777" w:rsidR="00307B34" w:rsidRDefault="00307B34" w:rsidP="00307B34">
      <w:pPr>
        <w:pStyle w:val="Textpoznpodarou"/>
      </w:pPr>
      <w:r w:rsidRPr="001D74A1">
        <w:rPr>
          <w:rStyle w:val="Znakapoznpodarou"/>
          <w:sz w:val="16"/>
          <w:szCs w:val="16"/>
        </w:rPr>
        <w:footnoteRef/>
      </w:r>
      <w:r w:rsidRPr="001D74A1">
        <w:rPr>
          <w:sz w:val="16"/>
          <w:szCs w:val="16"/>
        </w:rPr>
        <w:t xml:space="preserve"> Oproti roku</w:t>
      </w:r>
      <w:r>
        <w:rPr>
          <w:sz w:val="16"/>
          <w:szCs w:val="16"/>
        </w:rPr>
        <w:t xml:space="preserve"> 2019 zde byly</w:t>
      </w:r>
      <w:r w:rsidRPr="001D74A1">
        <w:rPr>
          <w:sz w:val="16"/>
          <w:szCs w:val="16"/>
        </w:rPr>
        <w:t xml:space="preserve"> letos tržby vyšší skoro o pětinu</w:t>
      </w:r>
      <w:r>
        <w:rPr>
          <w:sz w:val="16"/>
          <w:szCs w:val="16"/>
        </w:rPr>
        <w:t>, zejména díky silné poptávce po právních činnostech.</w:t>
      </w:r>
    </w:p>
  </w:footnote>
  <w:footnote w:id="37">
    <w:p w14:paraId="40588F02" w14:textId="77777777" w:rsidR="00307B34" w:rsidRPr="00F34E27" w:rsidRDefault="00307B34" w:rsidP="00307B34">
      <w:pPr>
        <w:pStyle w:val="Textpoznpodarou"/>
        <w:rPr>
          <w:sz w:val="16"/>
          <w:szCs w:val="16"/>
        </w:rPr>
      </w:pPr>
      <w:r w:rsidRPr="00F34E27">
        <w:rPr>
          <w:rStyle w:val="Znakapoznpodarou"/>
          <w:sz w:val="16"/>
          <w:szCs w:val="16"/>
        </w:rPr>
        <w:footnoteRef/>
      </w:r>
      <w:r w:rsidRPr="00F34E27">
        <w:rPr>
          <w:sz w:val="16"/>
          <w:szCs w:val="16"/>
        </w:rPr>
        <w:t xml:space="preserve"> Toto dílčí odvětví, v němž hrají významnou roli drobní podnikatelé, zahrnuje především zprostředkovatelské činnosti, návrhářské, překladatelské a fotografické služby </w:t>
      </w:r>
      <w:r>
        <w:rPr>
          <w:sz w:val="16"/>
          <w:szCs w:val="16"/>
        </w:rPr>
        <w:t>nebo činnosti stavebního dozoru.</w:t>
      </w:r>
    </w:p>
  </w:footnote>
  <w:footnote w:id="38">
    <w:p w14:paraId="2073227C" w14:textId="77777777" w:rsidR="00307B34" w:rsidRPr="00513E40" w:rsidRDefault="00307B34" w:rsidP="00307B34">
      <w:pPr>
        <w:pStyle w:val="Textpoznpodarou"/>
        <w:rPr>
          <w:sz w:val="16"/>
          <w:szCs w:val="16"/>
        </w:rPr>
      </w:pPr>
      <w:r w:rsidRPr="00513E40">
        <w:rPr>
          <w:rStyle w:val="Znakapoznpodarou"/>
          <w:sz w:val="16"/>
          <w:szCs w:val="16"/>
        </w:rPr>
        <w:footnoteRef/>
      </w:r>
      <w:r w:rsidRPr="00513E40">
        <w:rPr>
          <w:sz w:val="16"/>
          <w:szCs w:val="16"/>
        </w:rPr>
        <w:t xml:space="preserve"> </w:t>
      </w:r>
      <w:r w:rsidRPr="00513E40">
        <w:rPr>
          <w:rFonts w:cs="Arial"/>
          <w:color w:val="0D0D0D" w:themeColor="text1" w:themeTint="F2"/>
          <w:spacing w:val="-4"/>
          <w:sz w:val="16"/>
          <w:szCs w:val="16"/>
        </w:rPr>
        <w:t>Naopak počet odbavených cestujících na letištích v Česku dále rostl (za 1. pololetí 2025 meziročně o bezmála 8 %).</w:t>
      </w:r>
    </w:p>
  </w:footnote>
  <w:footnote w:id="39">
    <w:p w14:paraId="7BFEB1F4" w14:textId="77777777" w:rsidR="00307B34" w:rsidRPr="00CE3123" w:rsidRDefault="00307B34" w:rsidP="00307B34">
      <w:pPr>
        <w:pStyle w:val="Textpoznpodarou"/>
        <w:rPr>
          <w:spacing w:val="-2"/>
          <w:sz w:val="16"/>
          <w:szCs w:val="16"/>
        </w:rPr>
      </w:pPr>
      <w:r w:rsidRPr="00EB6DBE">
        <w:rPr>
          <w:rStyle w:val="Znakapoznpodarou"/>
          <w:sz w:val="16"/>
          <w:szCs w:val="16"/>
        </w:rPr>
        <w:footnoteRef/>
      </w:r>
      <w:r w:rsidRPr="00EB6DBE">
        <w:rPr>
          <w:sz w:val="16"/>
          <w:szCs w:val="16"/>
        </w:rPr>
        <w:t xml:space="preserve"> </w:t>
      </w:r>
      <w:r w:rsidRPr="00CE3123">
        <w:rPr>
          <w:spacing w:val="-2"/>
          <w:sz w:val="16"/>
          <w:szCs w:val="16"/>
        </w:rPr>
        <w:t xml:space="preserve">V 1. čtvrtletí 2025 se zvýšily ceny ubytovacích služeb meziročně o 8,5 % a stravovacích služeb o 4,9 %. </w:t>
      </w:r>
      <w:r>
        <w:rPr>
          <w:spacing w:val="-2"/>
          <w:sz w:val="16"/>
          <w:szCs w:val="16"/>
        </w:rPr>
        <w:t>Op</w:t>
      </w:r>
      <w:r w:rsidRPr="00CE3123">
        <w:rPr>
          <w:spacing w:val="-2"/>
          <w:sz w:val="16"/>
          <w:szCs w:val="16"/>
        </w:rPr>
        <w:t xml:space="preserve">roti roku 2015 byly letos </w:t>
      </w:r>
      <w:r>
        <w:rPr>
          <w:spacing w:val="-2"/>
          <w:sz w:val="16"/>
          <w:szCs w:val="16"/>
        </w:rPr>
        <w:br/>
        <w:t xml:space="preserve">v </w:t>
      </w:r>
      <w:r w:rsidRPr="00CE3123">
        <w:rPr>
          <w:spacing w:val="-2"/>
          <w:sz w:val="16"/>
          <w:szCs w:val="16"/>
        </w:rPr>
        <w:t>březnu v úhrnu za oba segmenty vyšší o 95 %, kdežto ceny v celém spotřebitelském koši se za stejné období navýšily „jen“ o 54 %.</w:t>
      </w:r>
    </w:p>
  </w:footnote>
  <w:footnote w:id="40">
    <w:p w14:paraId="74FDE5B5" w14:textId="77777777" w:rsidR="00307B34" w:rsidRPr="00BC1E47" w:rsidRDefault="00307B34" w:rsidP="00307B34">
      <w:pPr>
        <w:spacing w:after="0" w:line="240" w:lineRule="auto"/>
        <w:rPr>
          <w:rFonts w:eastAsia="Arial" w:cs="Arial"/>
          <w:szCs w:val="20"/>
        </w:rPr>
      </w:pPr>
      <w:r w:rsidRPr="00CE3123">
        <w:rPr>
          <w:rStyle w:val="Znakapoznpodarou"/>
          <w:spacing w:val="-2"/>
          <w:sz w:val="16"/>
          <w:szCs w:val="16"/>
        </w:rPr>
        <w:footnoteRef/>
      </w:r>
      <w:r w:rsidRPr="00CE3123">
        <w:rPr>
          <w:spacing w:val="-2"/>
          <w:sz w:val="16"/>
          <w:szCs w:val="16"/>
        </w:rPr>
        <w:t xml:space="preserve"> Celkově ale hostů ve všech HUZ v Česku ve 3. čtvrtletí meziročně mírně přibylo (+1,4 %), neboť proměnlivé počasí tolik nevadilo městskému cestovnímu ruchu, o čemž nepřímo svědčí i solidní růst počtu příjezdů do hotelů nejvyšší kategorie (5*: +5,2 %, 4*: +3,4 %).  I </w:t>
      </w:r>
      <w:r w:rsidRPr="00CE3123">
        <w:rPr>
          <w:rFonts w:eastAsia="Arial" w:cs="Arial"/>
          <w:spacing w:val="-2"/>
          <w:sz w:val="16"/>
          <w:szCs w:val="16"/>
        </w:rPr>
        <w:t xml:space="preserve">letos ve </w:t>
      </w:r>
      <w:r>
        <w:rPr>
          <w:rFonts w:eastAsia="Arial" w:cs="Arial"/>
          <w:spacing w:val="-2"/>
          <w:sz w:val="16"/>
          <w:szCs w:val="16"/>
        </w:rPr>
        <w:br/>
      </w:r>
      <w:r w:rsidRPr="00CE3123">
        <w:rPr>
          <w:rFonts w:eastAsia="Arial" w:cs="Arial"/>
          <w:spacing w:val="-2"/>
          <w:sz w:val="16"/>
          <w:szCs w:val="16"/>
        </w:rPr>
        <w:t>3. čtvrtletí táhli růst poptávky v cestovním ruchu v Česku výhradně zahraniční hosté. Počet ubytovaných rezidentů toti</w:t>
      </w:r>
      <w:r>
        <w:rPr>
          <w:rFonts w:eastAsia="Arial" w:cs="Arial"/>
          <w:spacing w:val="-2"/>
          <w:sz w:val="16"/>
          <w:szCs w:val="16"/>
        </w:rPr>
        <w:t>ž</w:t>
      </w:r>
      <w:r w:rsidRPr="00CE3123">
        <w:rPr>
          <w:rFonts w:eastAsia="Arial" w:cs="Arial"/>
          <w:spacing w:val="-2"/>
          <w:sz w:val="16"/>
          <w:szCs w:val="16"/>
        </w:rPr>
        <w:t xml:space="preserve"> stagnoval (přesto byl skoro o desetinu vyšší než ve stejném období roku</w:t>
      </w:r>
      <w:r w:rsidRPr="00CE3123">
        <w:rPr>
          <w:rFonts w:eastAsia="Arial" w:cs="Arial"/>
          <w:spacing w:val="-2"/>
          <w:szCs w:val="20"/>
        </w:rPr>
        <w:t xml:space="preserve"> </w:t>
      </w:r>
      <w:r w:rsidRPr="00CE3123">
        <w:rPr>
          <w:rFonts w:eastAsia="Arial" w:cs="Arial"/>
          <w:spacing w:val="-2"/>
          <w:sz w:val="16"/>
          <w:szCs w:val="16"/>
        </w:rPr>
        <w:t>2019). Zahraničních hostů naopak přijelo meziročně o 3,3 % více (podobně rostl</w:t>
      </w:r>
      <w:r>
        <w:rPr>
          <w:rFonts w:eastAsia="Arial" w:cs="Arial"/>
          <w:spacing w:val="-2"/>
          <w:sz w:val="16"/>
          <w:szCs w:val="16"/>
        </w:rPr>
        <w:t>a</w:t>
      </w:r>
      <w:r w:rsidRPr="00CE3123">
        <w:rPr>
          <w:rFonts w:eastAsia="Arial" w:cs="Arial"/>
          <w:spacing w:val="-2"/>
          <w:sz w:val="16"/>
          <w:szCs w:val="16"/>
        </w:rPr>
        <w:t xml:space="preserve"> i jejich přenocování), což však znamenalo nejslabší tempo v letní sezóně po roce 2020. Ve srovnání s předkrizovým rokem 2019 byl tak počet nerezidentů (</w:t>
      </w:r>
      <w:r>
        <w:rPr>
          <w:rFonts w:eastAsia="Arial" w:cs="Arial"/>
          <w:spacing w:val="-2"/>
          <w:sz w:val="16"/>
          <w:szCs w:val="16"/>
        </w:rPr>
        <w:t>−</w:t>
      </w:r>
      <w:r w:rsidRPr="00CE3123">
        <w:rPr>
          <w:rFonts w:eastAsia="Arial" w:cs="Arial"/>
          <w:spacing w:val="-2"/>
          <w:sz w:val="16"/>
          <w:szCs w:val="16"/>
        </w:rPr>
        <w:t>1,5 %) i jejich přenocování (</w:t>
      </w:r>
      <w:r>
        <w:rPr>
          <w:rFonts w:eastAsia="Arial" w:cs="Arial"/>
          <w:spacing w:val="-2"/>
          <w:sz w:val="16"/>
          <w:szCs w:val="16"/>
        </w:rPr>
        <w:t>−</w:t>
      </w:r>
      <w:r w:rsidRPr="00CE3123">
        <w:rPr>
          <w:rFonts w:eastAsia="Arial" w:cs="Arial"/>
          <w:spacing w:val="-2"/>
          <w:sz w:val="16"/>
          <w:szCs w:val="16"/>
        </w:rPr>
        <w:t xml:space="preserve">3,4 %) stále mírně nižší. Z pohledu aktuálně nejvýznamnějších zdrojových zemí vzrostl ve </w:t>
      </w:r>
      <w:r>
        <w:rPr>
          <w:rFonts w:eastAsia="Arial" w:cs="Arial"/>
          <w:spacing w:val="-2"/>
          <w:sz w:val="16"/>
          <w:szCs w:val="16"/>
        </w:rPr>
        <w:br/>
      </w:r>
      <w:r w:rsidRPr="00CE3123">
        <w:rPr>
          <w:rFonts w:eastAsia="Arial" w:cs="Arial"/>
          <w:spacing w:val="-2"/>
          <w:sz w:val="16"/>
          <w:szCs w:val="16"/>
        </w:rPr>
        <w:t>3. čtvrtletí 2025 meziročně nejvíce počet hostů z Polska (+16,4 %) a Slovenska (+8,1 %)</w:t>
      </w:r>
      <w:r>
        <w:rPr>
          <w:rFonts w:eastAsia="Arial" w:cs="Arial"/>
          <w:spacing w:val="-2"/>
          <w:sz w:val="16"/>
          <w:szCs w:val="16"/>
        </w:rPr>
        <w:t xml:space="preserve"> a dále</w:t>
      </w:r>
      <w:r w:rsidRPr="00CE3123">
        <w:rPr>
          <w:rFonts w:eastAsia="Arial" w:cs="Arial"/>
          <w:spacing w:val="-2"/>
          <w:sz w:val="16"/>
          <w:szCs w:val="16"/>
        </w:rPr>
        <w:t xml:space="preserve"> např. </w:t>
      </w:r>
      <w:r>
        <w:rPr>
          <w:rFonts w:eastAsia="Arial" w:cs="Arial"/>
          <w:spacing w:val="-2"/>
          <w:sz w:val="16"/>
          <w:szCs w:val="16"/>
        </w:rPr>
        <w:t xml:space="preserve">z </w:t>
      </w:r>
      <w:r w:rsidRPr="00CE3123">
        <w:rPr>
          <w:rFonts w:eastAsia="Arial" w:cs="Arial"/>
          <w:spacing w:val="-2"/>
          <w:sz w:val="16"/>
          <w:szCs w:val="16"/>
        </w:rPr>
        <w:t xml:space="preserve">Velké Británie (+4,6 %). Naopak </w:t>
      </w:r>
      <w:r>
        <w:rPr>
          <w:rFonts w:eastAsia="Arial" w:cs="Arial"/>
          <w:spacing w:val="-2"/>
          <w:sz w:val="16"/>
          <w:szCs w:val="16"/>
        </w:rPr>
        <w:br/>
      </w:r>
      <w:r w:rsidRPr="00CE3123">
        <w:rPr>
          <w:rFonts w:eastAsia="Arial" w:cs="Arial"/>
          <w:spacing w:val="-2"/>
          <w:sz w:val="16"/>
          <w:szCs w:val="16"/>
        </w:rPr>
        <w:t>u klíčové německé klientely (tvořící kolem pětiny všech v Česku ubytovaných zahraničních hostů) pokračovala stagnace (+0,3 %</w:t>
      </w:r>
      <w:r>
        <w:rPr>
          <w:rFonts w:eastAsia="Arial" w:cs="Arial"/>
          <w:spacing w:val="-2"/>
          <w:sz w:val="16"/>
          <w:szCs w:val="16"/>
        </w:rPr>
        <w:t>,</w:t>
      </w:r>
      <w:r w:rsidRPr="00CE3123">
        <w:rPr>
          <w:rFonts w:eastAsia="Arial" w:cs="Arial"/>
          <w:spacing w:val="-2"/>
          <w:sz w:val="16"/>
          <w:szCs w:val="16"/>
        </w:rPr>
        <w:t xml:space="preserve"> mírný růst zaznamenali alespoň u počtu přenocování: +2,0 %). Mírně klesl počet </w:t>
      </w:r>
      <w:r>
        <w:rPr>
          <w:rFonts w:eastAsia="Arial" w:cs="Arial"/>
          <w:spacing w:val="-2"/>
          <w:sz w:val="16"/>
          <w:szCs w:val="16"/>
        </w:rPr>
        <w:t>hostů</w:t>
      </w:r>
      <w:r w:rsidRPr="00CE3123">
        <w:rPr>
          <w:rFonts w:eastAsia="Arial" w:cs="Arial"/>
          <w:spacing w:val="-2"/>
          <w:sz w:val="16"/>
          <w:szCs w:val="16"/>
        </w:rPr>
        <w:t xml:space="preserve"> z USA a Španělska (shodně o 3 %), citelněji pak z Itálie </w:t>
      </w:r>
      <w:r>
        <w:rPr>
          <w:rFonts w:eastAsia="Arial" w:cs="Arial"/>
          <w:spacing w:val="-2"/>
          <w:sz w:val="16"/>
          <w:szCs w:val="16"/>
        </w:rPr>
        <w:br/>
      </w:r>
      <w:r w:rsidRPr="00CE3123">
        <w:rPr>
          <w:rFonts w:eastAsia="Arial" w:cs="Arial"/>
          <w:spacing w:val="-2"/>
          <w:sz w:val="16"/>
          <w:szCs w:val="16"/>
        </w:rPr>
        <w:t>(</w:t>
      </w:r>
      <w:r>
        <w:rPr>
          <w:rFonts w:eastAsia="Arial" w:cs="Arial"/>
          <w:spacing w:val="-2"/>
          <w:sz w:val="16"/>
          <w:szCs w:val="16"/>
        </w:rPr>
        <w:t>−</w:t>
      </w:r>
      <w:r w:rsidRPr="00CE3123">
        <w:rPr>
          <w:rFonts w:eastAsia="Arial" w:cs="Arial"/>
          <w:spacing w:val="-2"/>
          <w:sz w:val="16"/>
          <w:szCs w:val="16"/>
        </w:rPr>
        <w:t>10 %) či Nizozemska (</w:t>
      </w:r>
      <w:r>
        <w:rPr>
          <w:rFonts w:eastAsia="Arial" w:cs="Arial"/>
          <w:spacing w:val="-2"/>
          <w:sz w:val="16"/>
          <w:szCs w:val="16"/>
        </w:rPr>
        <w:t>−</w:t>
      </w:r>
      <w:r w:rsidRPr="00CE3123">
        <w:rPr>
          <w:rFonts w:eastAsia="Arial" w:cs="Arial"/>
          <w:spacing w:val="-2"/>
          <w:sz w:val="16"/>
          <w:szCs w:val="16"/>
        </w:rPr>
        <w:t xml:space="preserve">17 %). Z méně významných zemí vzrostla návštěvnost ze států Blízkého východu (Turecko +32 %, SAE +34 %, Izraele +17 %, Saúdské Arábie +17 %), Latinské Ameriky (Argentina +24 %) a Dálného </w:t>
      </w:r>
      <w:r>
        <w:rPr>
          <w:rFonts w:eastAsia="Arial" w:cs="Arial"/>
          <w:spacing w:val="-2"/>
          <w:sz w:val="16"/>
          <w:szCs w:val="16"/>
        </w:rPr>
        <w:t>v</w:t>
      </w:r>
      <w:r w:rsidRPr="00CE3123">
        <w:rPr>
          <w:rFonts w:eastAsia="Arial" w:cs="Arial"/>
          <w:spacing w:val="-2"/>
          <w:sz w:val="16"/>
          <w:szCs w:val="16"/>
        </w:rPr>
        <w:t xml:space="preserve">ýchodu (Japonska +22 %, Číny 11 % a J. Korey </w:t>
      </w:r>
      <w:r>
        <w:rPr>
          <w:rFonts w:eastAsia="Arial" w:cs="Arial"/>
          <w:spacing w:val="-2"/>
          <w:sz w:val="16"/>
          <w:szCs w:val="16"/>
        </w:rPr>
        <w:br/>
      </w:r>
      <w:r w:rsidRPr="00CE3123">
        <w:rPr>
          <w:rFonts w:eastAsia="Arial" w:cs="Arial"/>
          <w:spacing w:val="-2"/>
          <w:sz w:val="16"/>
          <w:szCs w:val="16"/>
        </w:rPr>
        <w:t>+8 %). Proti roku 2019 zaostávala návštěvnost 30 států (z 5</w:t>
      </w:r>
      <w:r>
        <w:rPr>
          <w:rFonts w:eastAsia="Arial" w:cs="Arial"/>
          <w:spacing w:val="-2"/>
          <w:sz w:val="16"/>
          <w:szCs w:val="16"/>
        </w:rPr>
        <w:t>5</w:t>
      </w:r>
      <w:r w:rsidRPr="00CE3123">
        <w:rPr>
          <w:rFonts w:eastAsia="Arial" w:cs="Arial"/>
          <w:spacing w:val="-2"/>
          <w:sz w:val="16"/>
          <w:szCs w:val="16"/>
        </w:rPr>
        <w:t xml:space="preserve"> sledovaných) </w:t>
      </w:r>
      <w:r>
        <w:rPr>
          <w:rFonts w:eastAsia="Arial" w:cs="Arial"/>
          <w:spacing w:val="-2"/>
          <w:sz w:val="16"/>
          <w:szCs w:val="16"/>
        </w:rPr>
        <w:t>–</w:t>
      </w:r>
      <w:r w:rsidRPr="00CE3123">
        <w:rPr>
          <w:rFonts w:eastAsia="Arial" w:cs="Arial"/>
          <w:spacing w:val="-2"/>
          <w:sz w:val="16"/>
          <w:szCs w:val="16"/>
        </w:rPr>
        <w:t xml:space="preserve"> nejvíce z Ruska (</w:t>
      </w:r>
      <w:r>
        <w:rPr>
          <w:rFonts w:eastAsia="Arial" w:cs="Arial"/>
          <w:spacing w:val="-2"/>
          <w:sz w:val="16"/>
          <w:szCs w:val="16"/>
        </w:rPr>
        <w:t>−</w:t>
      </w:r>
      <w:r w:rsidRPr="00CE3123">
        <w:rPr>
          <w:rFonts w:eastAsia="Arial" w:cs="Arial"/>
          <w:spacing w:val="-2"/>
          <w:sz w:val="16"/>
          <w:szCs w:val="16"/>
        </w:rPr>
        <w:t>92 %), Číny (</w:t>
      </w:r>
      <w:r>
        <w:rPr>
          <w:rFonts w:eastAsia="Arial" w:cs="Arial"/>
          <w:spacing w:val="-2"/>
          <w:sz w:val="16"/>
          <w:szCs w:val="16"/>
        </w:rPr>
        <w:t>−</w:t>
      </w:r>
      <w:r w:rsidRPr="00CE3123">
        <w:rPr>
          <w:rFonts w:eastAsia="Arial" w:cs="Arial"/>
          <w:spacing w:val="-2"/>
          <w:sz w:val="16"/>
          <w:szCs w:val="16"/>
        </w:rPr>
        <w:t>66 %), Japonska (</w:t>
      </w:r>
      <w:r>
        <w:rPr>
          <w:rFonts w:eastAsia="Arial" w:cs="Arial"/>
          <w:spacing w:val="-2"/>
          <w:sz w:val="16"/>
          <w:szCs w:val="16"/>
        </w:rPr>
        <w:t>−</w:t>
      </w:r>
      <w:r w:rsidRPr="00CE3123">
        <w:rPr>
          <w:rFonts w:eastAsia="Arial" w:cs="Arial"/>
          <w:spacing w:val="-2"/>
          <w:sz w:val="16"/>
          <w:szCs w:val="16"/>
        </w:rPr>
        <w:t>39 %)</w:t>
      </w:r>
      <w:r>
        <w:rPr>
          <w:rFonts w:eastAsia="Arial" w:cs="Arial"/>
          <w:spacing w:val="-2"/>
          <w:sz w:val="16"/>
          <w:szCs w:val="16"/>
        </w:rPr>
        <w:t>. Dále např. z</w:t>
      </w:r>
      <w:r w:rsidRPr="00CE3123">
        <w:rPr>
          <w:rFonts w:eastAsia="Arial" w:cs="Arial"/>
          <w:spacing w:val="-2"/>
          <w:sz w:val="16"/>
          <w:szCs w:val="16"/>
        </w:rPr>
        <w:t xml:space="preserve"> J. Korey (</w:t>
      </w:r>
      <w:r>
        <w:rPr>
          <w:rFonts w:eastAsia="Arial" w:cs="Arial"/>
          <w:spacing w:val="-2"/>
          <w:sz w:val="16"/>
          <w:szCs w:val="16"/>
        </w:rPr>
        <w:t>−</w:t>
      </w:r>
      <w:r w:rsidRPr="00CE3123">
        <w:rPr>
          <w:rFonts w:eastAsia="Arial" w:cs="Arial"/>
          <w:spacing w:val="-2"/>
          <w:sz w:val="16"/>
          <w:szCs w:val="16"/>
        </w:rPr>
        <w:t xml:space="preserve">21 %), USA a </w:t>
      </w:r>
      <w:r w:rsidRPr="00CE3123">
        <w:rPr>
          <w:rFonts w:eastAsia="Arial" w:cs="Arial"/>
          <w:spacing w:val="-4"/>
          <w:sz w:val="16"/>
          <w:szCs w:val="16"/>
        </w:rPr>
        <w:t xml:space="preserve">Kanady (shodně </w:t>
      </w:r>
      <w:r>
        <w:rPr>
          <w:rFonts w:eastAsia="Arial" w:cs="Arial"/>
          <w:spacing w:val="-4"/>
          <w:sz w:val="16"/>
          <w:szCs w:val="16"/>
        </w:rPr>
        <w:t>−</w:t>
      </w:r>
      <w:r w:rsidRPr="00CE3123">
        <w:rPr>
          <w:rFonts w:eastAsia="Arial" w:cs="Arial"/>
          <w:spacing w:val="-4"/>
          <w:sz w:val="16"/>
          <w:szCs w:val="16"/>
        </w:rPr>
        <w:t xml:space="preserve">10 %), ale i z řady zemí Evropy, např. </w:t>
      </w:r>
      <w:r>
        <w:rPr>
          <w:rFonts w:eastAsia="Arial" w:cs="Arial"/>
          <w:spacing w:val="-4"/>
          <w:sz w:val="16"/>
          <w:szCs w:val="16"/>
        </w:rPr>
        <w:t xml:space="preserve">Finska (−30 %), </w:t>
      </w:r>
      <w:r w:rsidRPr="00CE3123">
        <w:rPr>
          <w:rFonts w:eastAsia="Arial" w:cs="Arial"/>
          <w:spacing w:val="-4"/>
          <w:sz w:val="16"/>
          <w:szCs w:val="16"/>
        </w:rPr>
        <w:t>Francie (</w:t>
      </w:r>
      <w:r>
        <w:rPr>
          <w:rFonts w:eastAsia="Arial" w:cs="Arial"/>
          <w:spacing w:val="-4"/>
          <w:sz w:val="16"/>
          <w:szCs w:val="16"/>
        </w:rPr>
        <w:t>−</w:t>
      </w:r>
      <w:r w:rsidRPr="00CE3123">
        <w:rPr>
          <w:rFonts w:eastAsia="Arial" w:cs="Arial"/>
          <w:spacing w:val="-4"/>
          <w:sz w:val="16"/>
          <w:szCs w:val="16"/>
        </w:rPr>
        <w:t>11 %), Nizozemska (</w:t>
      </w:r>
      <w:r>
        <w:rPr>
          <w:rFonts w:eastAsia="Arial" w:cs="Arial"/>
          <w:spacing w:val="-4"/>
          <w:sz w:val="16"/>
          <w:szCs w:val="16"/>
        </w:rPr>
        <w:t>−</w:t>
      </w:r>
      <w:r w:rsidRPr="00CE3123">
        <w:rPr>
          <w:rFonts w:eastAsia="Arial" w:cs="Arial"/>
          <w:spacing w:val="-4"/>
          <w:sz w:val="16"/>
          <w:szCs w:val="16"/>
        </w:rPr>
        <w:t>9 %), Itálie (</w:t>
      </w:r>
      <w:r>
        <w:rPr>
          <w:rFonts w:eastAsia="Arial" w:cs="Arial"/>
          <w:spacing w:val="-4"/>
          <w:sz w:val="16"/>
          <w:szCs w:val="16"/>
        </w:rPr>
        <w:t>−</w:t>
      </w:r>
      <w:r w:rsidRPr="00CE3123">
        <w:rPr>
          <w:rFonts w:eastAsia="Arial" w:cs="Arial"/>
          <w:spacing w:val="-4"/>
          <w:sz w:val="16"/>
          <w:szCs w:val="16"/>
        </w:rPr>
        <w:t>8 %), Španělska (</w:t>
      </w:r>
      <w:r>
        <w:rPr>
          <w:rFonts w:eastAsia="Arial" w:cs="Arial"/>
          <w:spacing w:val="-4"/>
          <w:sz w:val="16"/>
          <w:szCs w:val="16"/>
        </w:rPr>
        <w:t>−</w:t>
      </w:r>
      <w:r w:rsidRPr="00CE3123">
        <w:rPr>
          <w:rFonts w:eastAsia="Arial" w:cs="Arial"/>
          <w:spacing w:val="-4"/>
          <w:sz w:val="16"/>
          <w:szCs w:val="16"/>
        </w:rPr>
        <w:t>7 %) a Maďarska (</w:t>
      </w:r>
      <w:r>
        <w:rPr>
          <w:rFonts w:eastAsia="Arial" w:cs="Arial"/>
          <w:spacing w:val="-4"/>
          <w:sz w:val="16"/>
          <w:szCs w:val="16"/>
        </w:rPr>
        <w:t>−</w:t>
      </w:r>
      <w:r w:rsidRPr="00CE3123">
        <w:rPr>
          <w:rFonts w:eastAsia="Arial" w:cs="Arial"/>
          <w:spacing w:val="-4"/>
          <w:sz w:val="16"/>
          <w:szCs w:val="16"/>
        </w:rPr>
        <w:t>2 %).</w:t>
      </w:r>
    </w:p>
  </w:footnote>
  <w:footnote w:id="41">
    <w:p w14:paraId="4B624B90" w14:textId="77777777" w:rsidR="00307B34" w:rsidRPr="00052DD9" w:rsidRDefault="00307B34" w:rsidP="00307B34">
      <w:pPr>
        <w:pStyle w:val="Textpoznpodarou"/>
        <w:rPr>
          <w:sz w:val="16"/>
          <w:szCs w:val="16"/>
        </w:rPr>
      </w:pPr>
      <w:r w:rsidRPr="00052DD9">
        <w:rPr>
          <w:rStyle w:val="Znakapoznpodarou"/>
          <w:sz w:val="16"/>
          <w:szCs w:val="16"/>
        </w:rPr>
        <w:footnoteRef/>
      </w:r>
      <w:r w:rsidRPr="00052DD9">
        <w:rPr>
          <w:sz w:val="16"/>
          <w:szCs w:val="16"/>
        </w:rPr>
        <w:t xml:space="preserve"> K poklesu tržeb </w:t>
      </w:r>
      <w:r>
        <w:rPr>
          <w:sz w:val="16"/>
          <w:szCs w:val="16"/>
        </w:rPr>
        <w:t xml:space="preserve">zde </w:t>
      </w:r>
      <w:r w:rsidRPr="00052DD9">
        <w:rPr>
          <w:sz w:val="16"/>
          <w:szCs w:val="16"/>
        </w:rPr>
        <w:t xml:space="preserve">došlo i při vysokém růstu počtu pracujících cizinců v ČR. Na něm se v posledních </w:t>
      </w:r>
      <w:r>
        <w:rPr>
          <w:sz w:val="16"/>
          <w:szCs w:val="16"/>
        </w:rPr>
        <w:t>třech</w:t>
      </w:r>
      <w:r w:rsidRPr="00052DD9">
        <w:rPr>
          <w:sz w:val="16"/>
          <w:szCs w:val="16"/>
        </w:rPr>
        <w:t xml:space="preserve"> letech významně podíleli uprchlíci z Ukrajiny. Vzhledem ke statutu dočasné ochrany, který byl těmto osobám přiznán, je </w:t>
      </w:r>
      <w:r>
        <w:rPr>
          <w:sz w:val="16"/>
          <w:szCs w:val="16"/>
        </w:rPr>
        <w:t>je</w:t>
      </w:r>
      <w:r w:rsidRPr="00052DD9">
        <w:rPr>
          <w:sz w:val="16"/>
          <w:szCs w:val="16"/>
        </w:rPr>
        <w:t xml:space="preserve">jich zaměstnávání v tuzemsku administrativně jednodušší (oproti ostatním skupinám migrantů z tzv. třetích zemí) a </w:t>
      </w:r>
      <w:r>
        <w:rPr>
          <w:sz w:val="16"/>
          <w:szCs w:val="16"/>
        </w:rPr>
        <w:t>ti tak mohou</w:t>
      </w:r>
      <w:r w:rsidRPr="00052DD9">
        <w:rPr>
          <w:sz w:val="16"/>
          <w:szCs w:val="16"/>
        </w:rPr>
        <w:t xml:space="preserve"> snáze nalézt práci „napřímo“ (bez zprostředkovatele). Kromě výše uvedeného se na pokle</w:t>
      </w:r>
      <w:r>
        <w:rPr>
          <w:sz w:val="16"/>
          <w:szCs w:val="16"/>
        </w:rPr>
        <w:t xml:space="preserve">su tržeb </w:t>
      </w:r>
      <w:r w:rsidRPr="00052DD9">
        <w:rPr>
          <w:sz w:val="16"/>
          <w:szCs w:val="16"/>
        </w:rPr>
        <w:t xml:space="preserve">může podílet i snížená poptávka pracovních </w:t>
      </w:r>
      <w:r>
        <w:rPr>
          <w:sz w:val="16"/>
          <w:szCs w:val="16"/>
        </w:rPr>
        <w:t xml:space="preserve">agentur </w:t>
      </w:r>
      <w:r w:rsidRPr="00052DD9">
        <w:rPr>
          <w:sz w:val="16"/>
          <w:szCs w:val="16"/>
        </w:rPr>
        <w:t>ze strany klí</w:t>
      </w:r>
      <w:r>
        <w:rPr>
          <w:sz w:val="16"/>
          <w:szCs w:val="16"/>
        </w:rPr>
        <w:t xml:space="preserve">čových výrobních oborů </w:t>
      </w:r>
      <w:r w:rsidRPr="00052DD9">
        <w:rPr>
          <w:sz w:val="16"/>
          <w:szCs w:val="16"/>
        </w:rPr>
        <w:t>průmysl</w:t>
      </w:r>
      <w:r>
        <w:rPr>
          <w:sz w:val="16"/>
          <w:szCs w:val="16"/>
        </w:rPr>
        <w:t>u.</w:t>
      </w:r>
    </w:p>
  </w:footnote>
  <w:footnote w:id="42">
    <w:p w14:paraId="14F9A211" w14:textId="77777777" w:rsidR="00307B34" w:rsidRPr="002B695B" w:rsidRDefault="00307B34" w:rsidP="00307B34">
      <w:pPr>
        <w:pStyle w:val="Textpoznpodarou"/>
        <w:rPr>
          <w:sz w:val="16"/>
          <w:szCs w:val="16"/>
        </w:rPr>
      </w:pPr>
      <w:r w:rsidRPr="002B695B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Meziročně se nejvíce</w:t>
      </w:r>
      <w:r w:rsidRPr="002B695B">
        <w:rPr>
          <w:sz w:val="16"/>
          <w:szCs w:val="16"/>
        </w:rPr>
        <w:t xml:space="preserve"> zvyšovaly tržby </w:t>
      </w:r>
      <w:r>
        <w:rPr>
          <w:sz w:val="16"/>
          <w:szCs w:val="16"/>
        </w:rPr>
        <w:t xml:space="preserve">(bez očištění) </w:t>
      </w:r>
      <w:r w:rsidRPr="002B695B">
        <w:rPr>
          <w:sz w:val="16"/>
          <w:szCs w:val="16"/>
        </w:rPr>
        <w:t xml:space="preserve">za </w:t>
      </w:r>
      <w:r>
        <w:rPr>
          <w:sz w:val="16"/>
          <w:szCs w:val="16"/>
        </w:rPr>
        <w:t>p</w:t>
      </w:r>
      <w:r w:rsidRPr="002B695B">
        <w:rPr>
          <w:sz w:val="16"/>
          <w:szCs w:val="16"/>
        </w:rPr>
        <w:t>ronájem a leasing ostatních strojů, zařízení a nákladních automobilů (+</w:t>
      </w:r>
      <w:r>
        <w:rPr>
          <w:sz w:val="16"/>
          <w:szCs w:val="16"/>
        </w:rPr>
        <w:t>8</w:t>
      </w:r>
      <w:r w:rsidRPr="002B695B">
        <w:rPr>
          <w:sz w:val="16"/>
          <w:szCs w:val="16"/>
        </w:rPr>
        <w:t xml:space="preserve"> %)</w:t>
      </w:r>
      <w:r>
        <w:rPr>
          <w:sz w:val="16"/>
          <w:szCs w:val="16"/>
        </w:rPr>
        <w:t xml:space="preserve">, nejméně za </w:t>
      </w:r>
      <w:r w:rsidRPr="002B695B">
        <w:rPr>
          <w:sz w:val="16"/>
          <w:szCs w:val="16"/>
        </w:rPr>
        <w:t>pronájem a leasing automobilů</w:t>
      </w:r>
      <w:r>
        <w:rPr>
          <w:sz w:val="16"/>
          <w:szCs w:val="16"/>
        </w:rPr>
        <w:t>,</w:t>
      </w:r>
      <w:r w:rsidRPr="002B695B">
        <w:rPr>
          <w:sz w:val="16"/>
          <w:szCs w:val="16"/>
        </w:rPr>
        <w:t xml:space="preserve"> </w:t>
      </w:r>
      <w:r>
        <w:rPr>
          <w:sz w:val="16"/>
          <w:szCs w:val="16"/>
        </w:rPr>
        <w:t>kde poptávka</w:t>
      </w:r>
      <w:r w:rsidRPr="002B695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stejně jako </w:t>
      </w:r>
      <w:r w:rsidRPr="002B695B">
        <w:rPr>
          <w:sz w:val="16"/>
          <w:szCs w:val="16"/>
        </w:rPr>
        <w:t>v</w:t>
      </w:r>
      <w:r>
        <w:rPr>
          <w:sz w:val="16"/>
          <w:szCs w:val="16"/>
        </w:rPr>
        <w:t> </w:t>
      </w:r>
      <w:r w:rsidRPr="002B695B">
        <w:rPr>
          <w:sz w:val="16"/>
          <w:szCs w:val="16"/>
        </w:rPr>
        <w:t>před</w:t>
      </w:r>
      <w:r>
        <w:rPr>
          <w:sz w:val="16"/>
          <w:szCs w:val="16"/>
        </w:rPr>
        <w:t>chozích dvou letech spíše stagnovala.</w:t>
      </w:r>
    </w:p>
  </w:footnote>
  <w:footnote w:id="43">
    <w:p w14:paraId="47CB15FB" w14:textId="77777777" w:rsidR="00307B34" w:rsidRPr="005D63EE" w:rsidRDefault="00307B34" w:rsidP="00307B34">
      <w:pPr>
        <w:pStyle w:val="Textpoznpodarou"/>
        <w:rPr>
          <w:sz w:val="16"/>
          <w:szCs w:val="16"/>
        </w:rPr>
      </w:pPr>
      <w:r w:rsidRPr="005D63EE">
        <w:rPr>
          <w:rStyle w:val="Znakapoznpodarou"/>
          <w:sz w:val="16"/>
          <w:szCs w:val="16"/>
        </w:rPr>
        <w:footnoteRef/>
      </w:r>
      <w:r w:rsidRPr="005D63EE">
        <w:rPr>
          <w:sz w:val="16"/>
          <w:szCs w:val="16"/>
        </w:rPr>
        <w:t xml:space="preserve"> Ty zahrnují např. </w:t>
      </w:r>
      <w:r>
        <w:rPr>
          <w:sz w:val="16"/>
          <w:szCs w:val="16"/>
        </w:rPr>
        <w:t>p</w:t>
      </w:r>
      <w:r w:rsidRPr="005D63EE">
        <w:rPr>
          <w:sz w:val="16"/>
          <w:szCs w:val="16"/>
        </w:rPr>
        <w:t xml:space="preserve">ořádání konferencí a výstav, inkasní činnosti, ověřování solventnosti zákazníka, ale také např. činnosti call-center. </w:t>
      </w:r>
    </w:p>
  </w:footnote>
  <w:footnote w:id="44">
    <w:p w14:paraId="551713AD" w14:textId="77777777" w:rsidR="00307B34" w:rsidRPr="00EB7D87" w:rsidRDefault="00307B34" w:rsidP="00307B34">
      <w:pPr>
        <w:spacing w:after="0" w:line="240" w:lineRule="auto"/>
        <w:rPr>
          <w:spacing w:val="-2"/>
        </w:rPr>
      </w:pPr>
      <w:r w:rsidRPr="00EB7D87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>
        <w:rPr>
          <w:color w:val="0D0D0D" w:themeColor="text1" w:themeTint="F2"/>
          <w:spacing w:val="-2"/>
          <w:sz w:val="16"/>
          <w:szCs w:val="16"/>
        </w:rPr>
        <w:t xml:space="preserve"> Všechna meziroční</w:t>
      </w:r>
      <w:r w:rsidRPr="00EB7D87">
        <w:rPr>
          <w:color w:val="0D0D0D" w:themeColor="text1" w:themeTint="F2"/>
          <w:spacing w:val="-2"/>
          <w:sz w:val="16"/>
          <w:szCs w:val="16"/>
        </w:rPr>
        <w:t xml:space="preserve"> tempa tržeb za maloobchod jsou uvedena ve stálých cenách a očištěna o kalendářní vlivy, mezičtvrtletní tempa jsou očištěna o sezónní vlivy (včetně vlivu počtu pracovních dnů). Maloobchod zahrnuje </w:t>
      </w:r>
      <w:r>
        <w:rPr>
          <w:color w:val="0D0D0D" w:themeColor="text1" w:themeTint="F2"/>
          <w:spacing w:val="-2"/>
          <w:sz w:val="16"/>
          <w:szCs w:val="16"/>
        </w:rPr>
        <w:t xml:space="preserve">pouze </w:t>
      </w:r>
      <w:r w:rsidRPr="00EB7D87">
        <w:rPr>
          <w:color w:val="0D0D0D" w:themeColor="text1" w:themeTint="F2"/>
          <w:spacing w:val="-2"/>
          <w:sz w:val="16"/>
          <w:szCs w:val="16"/>
        </w:rPr>
        <w:t>odvětví CZ-NACE 47.</w:t>
      </w:r>
    </w:p>
  </w:footnote>
  <w:footnote w:id="45">
    <w:p w14:paraId="715AB75A" w14:textId="77777777" w:rsidR="00307B34" w:rsidRPr="00F53211" w:rsidRDefault="00307B34" w:rsidP="00307B34">
      <w:pPr>
        <w:pStyle w:val="Textpoznpodarou"/>
        <w:rPr>
          <w:sz w:val="16"/>
          <w:szCs w:val="16"/>
        </w:rPr>
      </w:pPr>
      <w:r w:rsidRPr="00F53211">
        <w:rPr>
          <w:rStyle w:val="Znakapoznpodarou"/>
          <w:sz w:val="16"/>
          <w:szCs w:val="16"/>
        </w:rPr>
        <w:footnoteRef/>
      </w:r>
      <w:r w:rsidRPr="00F53211">
        <w:rPr>
          <w:sz w:val="16"/>
          <w:szCs w:val="16"/>
        </w:rPr>
        <w:t xml:space="preserve"> Letos v listopadu tak </w:t>
      </w:r>
      <w:r w:rsidRPr="00F53211">
        <w:rPr>
          <w:rFonts w:eastAsia="Times New Roman" w:cs="Arial"/>
          <w:sz w:val="16"/>
          <w:szCs w:val="16"/>
        </w:rPr>
        <w:t>poprvé od konce roku 2019 vystoupila ze záporného pásma a ve vztahu k dlouhodobému průměru (období</w:t>
      </w:r>
      <w:r>
        <w:rPr>
          <w:rFonts w:eastAsia="Times New Roman" w:cs="Arial"/>
          <w:sz w:val="16"/>
          <w:szCs w:val="16"/>
        </w:rPr>
        <w:t xml:space="preserve"> let</w:t>
      </w:r>
      <w:r w:rsidRPr="00F53211">
        <w:rPr>
          <w:rFonts w:eastAsia="Times New Roman" w:cs="Arial"/>
          <w:sz w:val="16"/>
          <w:szCs w:val="16"/>
        </w:rPr>
        <w:t xml:space="preserve"> 2003</w:t>
      </w:r>
      <w:r>
        <w:rPr>
          <w:rFonts w:eastAsia="Times New Roman" w:cs="Arial"/>
          <w:sz w:val="16"/>
          <w:szCs w:val="16"/>
        </w:rPr>
        <w:t>–</w:t>
      </w:r>
      <w:r w:rsidRPr="00F53211">
        <w:rPr>
          <w:rFonts w:eastAsia="Times New Roman" w:cs="Arial"/>
          <w:sz w:val="16"/>
          <w:szCs w:val="16"/>
        </w:rPr>
        <w:t>2024) byla vyšší skoro o 12 %.</w:t>
      </w:r>
    </w:p>
  </w:footnote>
  <w:footnote w:id="46">
    <w:p w14:paraId="4038D9ED" w14:textId="77777777" w:rsidR="00307B34" w:rsidRPr="00EC0BFC" w:rsidRDefault="00307B34" w:rsidP="00307B34">
      <w:pPr>
        <w:pStyle w:val="Textpoznpodarou"/>
        <w:rPr>
          <w:sz w:val="16"/>
          <w:szCs w:val="16"/>
        </w:rPr>
      </w:pPr>
      <w:r w:rsidRPr="00EC0BFC">
        <w:rPr>
          <w:rStyle w:val="Znakapoznpodarou"/>
          <w:sz w:val="16"/>
          <w:szCs w:val="16"/>
        </w:rPr>
        <w:footnoteRef/>
      </w:r>
      <w:r w:rsidRPr="00EC0BFC">
        <w:rPr>
          <w:sz w:val="16"/>
          <w:szCs w:val="16"/>
        </w:rPr>
        <w:t xml:space="preserve"> </w:t>
      </w:r>
      <w:r w:rsidRPr="00EC0BFC">
        <w:rPr>
          <w:rFonts w:cs="Arial"/>
          <w:color w:val="0D0D0D" w:themeColor="text1" w:themeTint="F2"/>
          <w:spacing w:val="-4"/>
          <w:sz w:val="16"/>
          <w:szCs w:val="16"/>
        </w:rPr>
        <w:t xml:space="preserve">K rozvoji tohoto prodeje přispívá postupující digitalizace, modernizace v oblasti logistiky, ale také stále sofistikovanější 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 xml:space="preserve">cílený </w:t>
      </w:r>
      <w:r w:rsidRPr="00EC0BFC">
        <w:rPr>
          <w:rFonts w:cs="Arial"/>
          <w:color w:val="0D0D0D" w:themeColor="text1" w:themeTint="F2"/>
          <w:spacing w:val="-4"/>
          <w:sz w:val="16"/>
          <w:szCs w:val="16"/>
        </w:rPr>
        <w:t>marketing.</w:t>
      </w:r>
    </w:p>
  </w:footnote>
  <w:footnote w:id="47">
    <w:p w14:paraId="600D3808" w14:textId="77777777" w:rsidR="00307B34" w:rsidRPr="006D59C3" w:rsidRDefault="00307B34" w:rsidP="00307B34">
      <w:pPr>
        <w:pStyle w:val="Textpoznpodarou"/>
        <w:rPr>
          <w:sz w:val="16"/>
          <w:szCs w:val="16"/>
        </w:rPr>
      </w:pPr>
      <w:r w:rsidRPr="006D59C3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Vedle toho pokračoval letos pátým</w:t>
      </w:r>
      <w:r w:rsidRPr="006D59C3">
        <w:rPr>
          <w:sz w:val="16"/>
          <w:szCs w:val="16"/>
        </w:rPr>
        <w:t xml:space="preserve"> rokem v řadě růst tržeb v okrajovém segmentu </w:t>
      </w:r>
      <w:r w:rsidRPr="006D59C3">
        <w:rPr>
          <w:rFonts w:cs="Arial"/>
          <w:color w:val="0D0D0D" w:themeColor="text1" w:themeTint="F2"/>
          <w:spacing w:val="-4"/>
          <w:sz w:val="16"/>
          <w:szCs w:val="16"/>
        </w:rPr>
        <w:t>nespecializovaných prodejen s převahou nepotravinářského zboží (v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 xml:space="preserve"> 1. až 3. čtvrtletí</w:t>
      </w:r>
      <w:r w:rsidRPr="006D59C3">
        <w:rPr>
          <w:rFonts w:cs="Arial"/>
          <w:color w:val="0D0D0D" w:themeColor="text1" w:themeTint="F2"/>
          <w:spacing w:val="-4"/>
          <w:sz w:val="16"/>
          <w:szCs w:val="16"/>
        </w:rPr>
        <w:t>: +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>7,3</w:t>
      </w:r>
      <w:r w:rsidRPr="006D59C3">
        <w:rPr>
          <w:rFonts w:cs="Arial"/>
          <w:color w:val="0D0D0D" w:themeColor="text1" w:themeTint="F2"/>
          <w:spacing w:val="-4"/>
          <w:sz w:val="16"/>
          <w:szCs w:val="16"/>
        </w:rPr>
        <w:t xml:space="preserve"> %). Ten se zaměřuje na nabídku různorodého 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 xml:space="preserve">spíše drobnějšího </w:t>
      </w:r>
      <w:r w:rsidRPr="006D59C3">
        <w:rPr>
          <w:rFonts w:cs="Arial"/>
          <w:color w:val="0D0D0D" w:themeColor="text1" w:themeTint="F2"/>
          <w:spacing w:val="-4"/>
          <w:sz w:val="16"/>
          <w:szCs w:val="16"/>
        </w:rPr>
        <w:t xml:space="preserve">zboží </w:t>
      </w:r>
      <w:r>
        <w:rPr>
          <w:rFonts w:cs="Arial"/>
          <w:color w:val="0D0D0D" w:themeColor="text1" w:themeTint="F2"/>
          <w:spacing w:val="-4"/>
          <w:sz w:val="16"/>
          <w:szCs w:val="16"/>
        </w:rPr>
        <w:t>za diskontní ceny</w:t>
      </w:r>
      <w:r w:rsidRPr="006D59C3">
        <w:rPr>
          <w:rFonts w:cs="Arial"/>
          <w:color w:val="0D0D0D" w:themeColor="text1" w:themeTint="F2"/>
          <w:spacing w:val="-4"/>
          <w:sz w:val="16"/>
          <w:szCs w:val="16"/>
        </w:rPr>
        <w:t>.</w:t>
      </w:r>
    </w:p>
  </w:footnote>
  <w:footnote w:id="48">
    <w:p w14:paraId="762B6A10" w14:textId="77777777" w:rsidR="00307B34" w:rsidRPr="00B6627F" w:rsidRDefault="00307B34" w:rsidP="00307B34">
      <w:pPr>
        <w:pStyle w:val="Textpoznpodarou"/>
        <w:rPr>
          <w:rFonts w:cs="Arial"/>
          <w:color w:val="0D0D0D" w:themeColor="text1" w:themeTint="F2"/>
          <w:sz w:val="16"/>
          <w:szCs w:val="16"/>
        </w:rPr>
      </w:pPr>
      <w:r w:rsidRPr="00CD4275">
        <w:rPr>
          <w:rStyle w:val="Znakapoznpodarou"/>
          <w:sz w:val="16"/>
          <w:szCs w:val="16"/>
        </w:rPr>
        <w:footnoteRef/>
      </w:r>
      <w:r w:rsidRPr="00CD4275">
        <w:rPr>
          <w:sz w:val="16"/>
          <w:szCs w:val="16"/>
        </w:rPr>
        <w:t xml:space="preserve"> </w:t>
      </w:r>
      <w:r>
        <w:rPr>
          <w:rFonts w:cs="Arial"/>
          <w:color w:val="0D0D0D" w:themeColor="text1" w:themeTint="F2"/>
          <w:sz w:val="16"/>
          <w:szCs w:val="16"/>
        </w:rPr>
        <w:t>Spotřebitelská cena</w:t>
      </w:r>
      <w:r w:rsidRPr="00B6627F">
        <w:rPr>
          <w:rFonts w:cs="Arial"/>
          <w:color w:val="0D0D0D" w:themeColor="text1" w:themeTint="F2"/>
          <w:sz w:val="16"/>
          <w:szCs w:val="16"/>
        </w:rPr>
        <w:t xml:space="preserve"> nafty dosahovala letos v květnu</w:t>
      </w:r>
      <w:r w:rsidRPr="00B6627F">
        <w:rPr>
          <w:iCs/>
          <w:color w:val="0D0D0D" w:themeColor="text1" w:themeTint="F2"/>
          <w:sz w:val="16"/>
          <w:szCs w:val="16"/>
        </w:rPr>
        <w:t xml:space="preserve"> v průměru 32,70 korun/l a benzín Natural 95 se na čerpacích stanicích prodával přibližně za 33,90 korun/l. V případě nafty to byla nejnižší hodnota</w:t>
      </w:r>
      <w:r>
        <w:rPr>
          <w:iCs/>
          <w:color w:val="0D0D0D" w:themeColor="text1" w:themeTint="F2"/>
          <w:sz w:val="16"/>
          <w:szCs w:val="16"/>
        </w:rPr>
        <w:t xml:space="preserve"> od června roku 2023 a u</w:t>
      </w:r>
      <w:r w:rsidRPr="00B6627F">
        <w:rPr>
          <w:iCs/>
          <w:color w:val="0D0D0D" w:themeColor="text1" w:themeTint="F2"/>
          <w:sz w:val="16"/>
          <w:szCs w:val="16"/>
        </w:rPr>
        <w:t xml:space="preserve"> benzinu Natural 95 dokonce od září roku 2021.</w:t>
      </w:r>
      <w:r>
        <w:rPr>
          <w:rFonts w:cs="Arial"/>
          <w:color w:val="0D0D0D" w:themeColor="text1" w:themeTint="F2"/>
          <w:sz w:val="16"/>
          <w:szCs w:val="16"/>
        </w:rPr>
        <w:t xml:space="preserve"> Příznivý vývoj cen pokračoval bez výraznějších výkyvů i ve 3. čtvrtletí. Na tento vývoj kromě tuzemských domácností i</w:t>
      </w:r>
      <w:r w:rsidRPr="00CD4275">
        <w:rPr>
          <w:rFonts w:cs="Arial"/>
          <w:color w:val="0D0D0D" w:themeColor="text1" w:themeTint="F2"/>
          <w:sz w:val="16"/>
          <w:szCs w:val="16"/>
        </w:rPr>
        <w:t> </w:t>
      </w:r>
      <w:r>
        <w:rPr>
          <w:rFonts w:cs="Arial"/>
          <w:color w:val="0D0D0D" w:themeColor="text1" w:themeTint="F2"/>
          <w:sz w:val="16"/>
          <w:szCs w:val="16"/>
        </w:rPr>
        <w:t>firem reagovali i zahraniční dopravci, již přes Česko realizují tranzitní dopravu.</w:t>
      </w:r>
    </w:p>
  </w:footnote>
  <w:footnote w:id="49">
    <w:p w14:paraId="7A90DBE0" w14:textId="77777777" w:rsidR="00307B34" w:rsidRPr="005972FB" w:rsidRDefault="00307B34" w:rsidP="00307B34">
      <w:pPr>
        <w:pStyle w:val="Textpoznpodarou"/>
        <w:rPr>
          <w:sz w:val="16"/>
          <w:szCs w:val="16"/>
        </w:rPr>
      </w:pPr>
      <w:r w:rsidRPr="005972FB">
        <w:rPr>
          <w:rStyle w:val="Znakapoznpodarou"/>
          <w:sz w:val="16"/>
          <w:szCs w:val="16"/>
        </w:rPr>
        <w:footnoteRef/>
      </w:r>
      <w:r w:rsidRPr="005972FB">
        <w:rPr>
          <w:sz w:val="16"/>
          <w:szCs w:val="16"/>
        </w:rPr>
        <w:t xml:space="preserve"> Tržby v běžných cenách</w:t>
      </w:r>
      <w:r>
        <w:rPr>
          <w:sz w:val="16"/>
          <w:szCs w:val="16"/>
        </w:rPr>
        <w:t xml:space="preserve"> se ovšem v 1. až 3. čtvrtletí 2025 zvýšily pouze o rovná 2</w:t>
      </w:r>
      <w:r w:rsidRPr="005972FB">
        <w:rPr>
          <w:sz w:val="16"/>
          <w:szCs w:val="16"/>
        </w:rPr>
        <w:t xml:space="preserve"> %.</w:t>
      </w:r>
    </w:p>
  </w:footnote>
  <w:footnote w:id="50">
    <w:p w14:paraId="22500827" w14:textId="77777777" w:rsidR="00307B34" w:rsidRPr="003A3340" w:rsidRDefault="00307B34" w:rsidP="00307B34">
      <w:pPr>
        <w:pStyle w:val="Textpoznpodarou"/>
        <w:rPr>
          <w:sz w:val="16"/>
          <w:szCs w:val="16"/>
        </w:rPr>
      </w:pPr>
      <w:r w:rsidRPr="003A3340">
        <w:rPr>
          <w:rStyle w:val="Znakapoznpodarou"/>
          <w:sz w:val="16"/>
          <w:szCs w:val="16"/>
        </w:rPr>
        <w:footnoteRef/>
      </w:r>
      <w:r w:rsidRPr="003A3340">
        <w:rPr>
          <w:sz w:val="16"/>
          <w:szCs w:val="16"/>
        </w:rPr>
        <w:t xml:space="preserve"> Podobným tempem zde tržby klesají čtvrtým rokem v řadě. Lze předpokládat, že stále významnější část poptávky po počítačových </w:t>
      </w:r>
      <w:r>
        <w:rPr>
          <w:sz w:val="16"/>
          <w:szCs w:val="16"/>
        </w:rPr>
        <w:br/>
      </w:r>
      <w:r w:rsidRPr="003A3340">
        <w:rPr>
          <w:sz w:val="16"/>
          <w:szCs w:val="16"/>
        </w:rPr>
        <w:t>a komunikačních zařízení</w:t>
      </w:r>
      <w:r>
        <w:rPr>
          <w:sz w:val="16"/>
          <w:szCs w:val="16"/>
        </w:rPr>
        <w:t>ch</w:t>
      </w:r>
      <w:r w:rsidRPr="003A3340">
        <w:rPr>
          <w:sz w:val="16"/>
          <w:szCs w:val="16"/>
        </w:rPr>
        <w:t xml:space="preserve"> je realizována zpravidla ve větší</w:t>
      </w:r>
      <w:r>
        <w:rPr>
          <w:sz w:val="16"/>
          <w:szCs w:val="16"/>
        </w:rPr>
        <w:t>ch</w:t>
      </w:r>
      <w:r w:rsidRPr="003A3340">
        <w:rPr>
          <w:sz w:val="16"/>
          <w:szCs w:val="16"/>
        </w:rPr>
        <w:t xml:space="preserve"> provozovnách náležících (dle své převažující činnosti) do segmentu internetového prodeje. </w:t>
      </w:r>
    </w:p>
  </w:footnote>
  <w:footnote w:id="51">
    <w:p w14:paraId="735589AB" w14:textId="77777777" w:rsidR="00307B34" w:rsidRPr="008B72AA" w:rsidRDefault="00307B34" w:rsidP="00307B34">
      <w:pPr>
        <w:pStyle w:val="Textpoznpodarou"/>
        <w:rPr>
          <w:sz w:val="16"/>
          <w:szCs w:val="16"/>
        </w:rPr>
      </w:pPr>
      <w:r w:rsidRPr="008B72AA">
        <w:rPr>
          <w:rStyle w:val="Znakapoznpodarou"/>
          <w:sz w:val="16"/>
          <w:szCs w:val="16"/>
        </w:rPr>
        <w:footnoteRef/>
      </w:r>
      <w:r w:rsidRPr="008B72AA">
        <w:rPr>
          <w:sz w:val="16"/>
          <w:szCs w:val="16"/>
        </w:rPr>
        <w:t xml:space="preserve"> V nichž jsou obsaženy zejména </w:t>
      </w:r>
      <w:r w:rsidRPr="008B72AA">
        <w:rPr>
          <w:rStyle w:val="normaltextrun"/>
          <w:rFonts w:eastAsia="MS Gothic" w:cs="Arial"/>
          <w:spacing w:val="-3"/>
          <w:sz w:val="16"/>
          <w:szCs w:val="16"/>
        </w:rPr>
        <w:t>železářské zboží, stavebniny, barvy, sklo, potřeby pro kutily</w:t>
      </w:r>
      <w:r>
        <w:rPr>
          <w:rStyle w:val="normaltextrun"/>
          <w:rFonts w:eastAsia="MS Gothic" w:cs="Arial"/>
          <w:spacing w:val="-3"/>
          <w:sz w:val="16"/>
          <w:szCs w:val="16"/>
        </w:rPr>
        <w:t xml:space="preserve">, elektrospotřebiče, elektronika, </w:t>
      </w:r>
      <w:r w:rsidRPr="008B72AA">
        <w:rPr>
          <w:rStyle w:val="normaltextrun"/>
          <w:rFonts w:eastAsia="MS Gothic" w:cs="Arial"/>
          <w:spacing w:val="-3"/>
          <w:sz w:val="16"/>
          <w:szCs w:val="16"/>
        </w:rPr>
        <w:t>nábytek,</w:t>
      </w:r>
      <w:r>
        <w:rPr>
          <w:rFonts w:cs="Arial"/>
          <w:color w:val="0D0D0D" w:themeColor="text1" w:themeTint="F2"/>
          <w:spacing w:val="-3"/>
          <w:sz w:val="16"/>
          <w:szCs w:val="16"/>
        </w:rPr>
        <w:t xml:space="preserve"> </w:t>
      </w:r>
      <w:r w:rsidRPr="008B72AA">
        <w:rPr>
          <w:rStyle w:val="normaltextrun"/>
          <w:rFonts w:eastAsia="MS Gothic" w:cs="Arial"/>
          <w:spacing w:val="-3"/>
          <w:sz w:val="16"/>
          <w:szCs w:val="16"/>
        </w:rPr>
        <w:t xml:space="preserve">svítidla, </w:t>
      </w:r>
      <w:r w:rsidRPr="008B72AA">
        <w:rPr>
          <w:rFonts w:cs="Arial"/>
          <w:color w:val="0D0D0D" w:themeColor="text1" w:themeTint="F2"/>
          <w:sz w:val="16"/>
          <w:szCs w:val="16"/>
        </w:rPr>
        <w:t>koberce či bytový textil.</w:t>
      </w:r>
    </w:p>
  </w:footnote>
  <w:footnote w:id="52">
    <w:p w14:paraId="338F6C98" w14:textId="77777777" w:rsidR="00307B34" w:rsidRDefault="00307B34" w:rsidP="00307B34">
      <w:pPr>
        <w:pStyle w:val="Textpoznpodarou"/>
      </w:pPr>
      <w:r w:rsidRPr="008320B4">
        <w:rPr>
          <w:rStyle w:val="Znakapoznpodarou"/>
          <w:sz w:val="16"/>
          <w:szCs w:val="16"/>
        </w:rPr>
        <w:footnoteRef/>
      </w:r>
      <w:r w:rsidRPr="008320B4">
        <w:rPr>
          <w:sz w:val="16"/>
          <w:szCs w:val="16"/>
        </w:rPr>
        <w:t xml:space="preserve"> Ty zahrnují např. masné výrobky</w:t>
      </w:r>
      <w:r w:rsidRPr="006D59C3">
        <w:rPr>
          <w:sz w:val="16"/>
          <w:szCs w:val="16"/>
        </w:rPr>
        <w:t>, pečivo, cukrářské</w:t>
      </w:r>
      <w:r w:rsidRPr="00571DFF">
        <w:rPr>
          <w:sz w:val="16"/>
          <w:szCs w:val="16"/>
        </w:rPr>
        <w:t xml:space="preserve"> výrobky či nápoje. N</w:t>
      </w:r>
      <w:r>
        <w:rPr>
          <w:sz w:val="16"/>
          <w:szCs w:val="16"/>
        </w:rPr>
        <w:t>ejvětší váhu zde však</w:t>
      </w:r>
      <w:r w:rsidRPr="00571DFF">
        <w:rPr>
          <w:sz w:val="16"/>
          <w:szCs w:val="16"/>
        </w:rPr>
        <w:t xml:space="preserve"> mají prodejny s tabákovými výrobky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3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2"/>
  </w:num>
  <w:num w:numId="27" w16cid:durableId="223610688">
    <w:abstractNumId w:val="43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5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4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3"/>
  </w:num>
  <w:num w:numId="48" w16cid:durableId="1639922006">
    <w:abstractNumId w:val="43"/>
    <w:lvlOverride w:ilvl="0">
      <w:startOverride w:val="1"/>
    </w:lvlOverride>
  </w:num>
  <w:num w:numId="49" w16cid:durableId="1509101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2195D"/>
    <w:rsid w:val="000234D6"/>
    <w:rsid w:val="00023D29"/>
    <w:rsid w:val="00026389"/>
    <w:rsid w:val="00031AE0"/>
    <w:rsid w:val="000322EF"/>
    <w:rsid w:val="00033FCD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8263E"/>
    <w:rsid w:val="000829B1"/>
    <w:rsid w:val="00082C19"/>
    <w:rsid w:val="00085395"/>
    <w:rsid w:val="00087634"/>
    <w:rsid w:val="00087F2B"/>
    <w:rsid w:val="000912CC"/>
    <w:rsid w:val="00092201"/>
    <w:rsid w:val="00095135"/>
    <w:rsid w:val="000974D1"/>
    <w:rsid w:val="0009799E"/>
    <w:rsid w:val="000A1183"/>
    <w:rsid w:val="000A256D"/>
    <w:rsid w:val="000A3A2C"/>
    <w:rsid w:val="000A5265"/>
    <w:rsid w:val="000A57D4"/>
    <w:rsid w:val="000B7C8D"/>
    <w:rsid w:val="000C004E"/>
    <w:rsid w:val="000C2CF1"/>
    <w:rsid w:val="000C3408"/>
    <w:rsid w:val="000C6AFD"/>
    <w:rsid w:val="000D1B52"/>
    <w:rsid w:val="000D5637"/>
    <w:rsid w:val="000E15EA"/>
    <w:rsid w:val="000E6FBD"/>
    <w:rsid w:val="000F49A9"/>
    <w:rsid w:val="00100F5C"/>
    <w:rsid w:val="00101CDA"/>
    <w:rsid w:val="00102C41"/>
    <w:rsid w:val="00104C4C"/>
    <w:rsid w:val="00107F50"/>
    <w:rsid w:val="00117623"/>
    <w:rsid w:val="0012096D"/>
    <w:rsid w:val="0012192F"/>
    <w:rsid w:val="001224E5"/>
    <w:rsid w:val="00124940"/>
    <w:rsid w:val="00125D69"/>
    <w:rsid w:val="001405FA"/>
    <w:rsid w:val="00142254"/>
    <w:rsid w:val="001425C3"/>
    <w:rsid w:val="001476BD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A0487"/>
    <w:rsid w:val="001A4CA3"/>
    <w:rsid w:val="001A552F"/>
    <w:rsid w:val="001A5B6F"/>
    <w:rsid w:val="001A6170"/>
    <w:rsid w:val="001A7280"/>
    <w:rsid w:val="001B2CA9"/>
    <w:rsid w:val="001B3110"/>
    <w:rsid w:val="001B4729"/>
    <w:rsid w:val="001B6310"/>
    <w:rsid w:val="001B6C09"/>
    <w:rsid w:val="001B73E6"/>
    <w:rsid w:val="001C05CD"/>
    <w:rsid w:val="001C3924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3DA4"/>
    <w:rsid w:val="002118B9"/>
    <w:rsid w:val="00213E46"/>
    <w:rsid w:val="00214CF7"/>
    <w:rsid w:val="00216286"/>
    <w:rsid w:val="00216A01"/>
    <w:rsid w:val="002175EA"/>
    <w:rsid w:val="00217C5B"/>
    <w:rsid w:val="0022139E"/>
    <w:rsid w:val="00222729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41B06"/>
    <w:rsid w:val="00242119"/>
    <w:rsid w:val="002421C4"/>
    <w:rsid w:val="00242C10"/>
    <w:rsid w:val="002436BA"/>
    <w:rsid w:val="00244A15"/>
    <w:rsid w:val="0024661A"/>
    <w:rsid w:val="00247319"/>
    <w:rsid w:val="0024799E"/>
    <w:rsid w:val="00247EE7"/>
    <w:rsid w:val="00252D48"/>
    <w:rsid w:val="00253C0F"/>
    <w:rsid w:val="002558C1"/>
    <w:rsid w:val="00255B30"/>
    <w:rsid w:val="00261A17"/>
    <w:rsid w:val="0027099B"/>
    <w:rsid w:val="00271465"/>
    <w:rsid w:val="00275385"/>
    <w:rsid w:val="0028207A"/>
    <w:rsid w:val="00282918"/>
    <w:rsid w:val="00285412"/>
    <w:rsid w:val="00291407"/>
    <w:rsid w:val="00291640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C5568"/>
    <w:rsid w:val="002D0E59"/>
    <w:rsid w:val="002E02A1"/>
    <w:rsid w:val="002E42AC"/>
    <w:rsid w:val="002E4E4C"/>
    <w:rsid w:val="002F3E4F"/>
    <w:rsid w:val="00302ADD"/>
    <w:rsid w:val="00304771"/>
    <w:rsid w:val="0030495D"/>
    <w:rsid w:val="003052D4"/>
    <w:rsid w:val="00306C5B"/>
    <w:rsid w:val="00307B34"/>
    <w:rsid w:val="003103E0"/>
    <w:rsid w:val="00314F9F"/>
    <w:rsid w:val="003209D6"/>
    <w:rsid w:val="00321205"/>
    <w:rsid w:val="00321924"/>
    <w:rsid w:val="0032656E"/>
    <w:rsid w:val="00327D4E"/>
    <w:rsid w:val="00332190"/>
    <w:rsid w:val="003421E1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71826"/>
    <w:rsid w:val="00373504"/>
    <w:rsid w:val="0038123E"/>
    <w:rsid w:val="003818DC"/>
    <w:rsid w:val="00382C5B"/>
    <w:rsid w:val="00384327"/>
    <w:rsid w:val="00385D98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7AFA"/>
    <w:rsid w:val="003C3490"/>
    <w:rsid w:val="003C6550"/>
    <w:rsid w:val="003C7E62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EB7"/>
    <w:rsid w:val="00432A58"/>
    <w:rsid w:val="00434617"/>
    <w:rsid w:val="00440900"/>
    <w:rsid w:val="00441BF6"/>
    <w:rsid w:val="00443556"/>
    <w:rsid w:val="004441A0"/>
    <w:rsid w:val="004455BA"/>
    <w:rsid w:val="00446D77"/>
    <w:rsid w:val="0045078A"/>
    <w:rsid w:val="0045086D"/>
    <w:rsid w:val="00451504"/>
    <w:rsid w:val="004557A9"/>
    <w:rsid w:val="00456339"/>
    <w:rsid w:val="004607BF"/>
    <w:rsid w:val="00460FB3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87469"/>
    <w:rsid w:val="004915CB"/>
    <w:rsid w:val="004924D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6B"/>
    <w:rsid w:val="004F06F5"/>
    <w:rsid w:val="004F16B2"/>
    <w:rsid w:val="004F2C1B"/>
    <w:rsid w:val="004F33A0"/>
    <w:rsid w:val="005040A8"/>
    <w:rsid w:val="00504EE1"/>
    <w:rsid w:val="0050689D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86D"/>
    <w:rsid w:val="00564AF1"/>
    <w:rsid w:val="0057364B"/>
    <w:rsid w:val="00574773"/>
    <w:rsid w:val="0058308D"/>
    <w:rsid w:val="00583FFD"/>
    <w:rsid w:val="00591099"/>
    <w:rsid w:val="005911BE"/>
    <w:rsid w:val="00593152"/>
    <w:rsid w:val="00596010"/>
    <w:rsid w:val="005A10F2"/>
    <w:rsid w:val="005A21E0"/>
    <w:rsid w:val="005A28FF"/>
    <w:rsid w:val="005A3DF8"/>
    <w:rsid w:val="005A5113"/>
    <w:rsid w:val="005A5549"/>
    <w:rsid w:val="005A7038"/>
    <w:rsid w:val="005B121D"/>
    <w:rsid w:val="005B3361"/>
    <w:rsid w:val="005C06ED"/>
    <w:rsid w:val="005C2609"/>
    <w:rsid w:val="005C6CF0"/>
    <w:rsid w:val="005D0D46"/>
    <w:rsid w:val="005D5802"/>
    <w:rsid w:val="005D7119"/>
    <w:rsid w:val="005D7890"/>
    <w:rsid w:val="005E705E"/>
    <w:rsid w:val="005E7C78"/>
    <w:rsid w:val="005F18C5"/>
    <w:rsid w:val="005F3EB1"/>
    <w:rsid w:val="005F46D8"/>
    <w:rsid w:val="005F5469"/>
    <w:rsid w:val="00603FF5"/>
    <w:rsid w:val="00604307"/>
    <w:rsid w:val="0060487F"/>
    <w:rsid w:val="00604EAD"/>
    <w:rsid w:val="006104FB"/>
    <w:rsid w:val="00612A2F"/>
    <w:rsid w:val="006165E5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E37"/>
    <w:rsid w:val="0068174E"/>
    <w:rsid w:val="00681DCE"/>
    <w:rsid w:val="0068260E"/>
    <w:rsid w:val="0068697A"/>
    <w:rsid w:val="00693FEC"/>
    <w:rsid w:val="00695BEF"/>
    <w:rsid w:val="006977F6"/>
    <w:rsid w:val="00697A13"/>
    <w:rsid w:val="006A109C"/>
    <w:rsid w:val="006A2056"/>
    <w:rsid w:val="006B0F92"/>
    <w:rsid w:val="006B173A"/>
    <w:rsid w:val="006B344A"/>
    <w:rsid w:val="006B759B"/>
    <w:rsid w:val="006B78D8"/>
    <w:rsid w:val="006C113F"/>
    <w:rsid w:val="006C123E"/>
    <w:rsid w:val="006C1752"/>
    <w:rsid w:val="006C4460"/>
    <w:rsid w:val="006C4ED6"/>
    <w:rsid w:val="006C56D4"/>
    <w:rsid w:val="006C6924"/>
    <w:rsid w:val="006C7CA6"/>
    <w:rsid w:val="006D3E8A"/>
    <w:rsid w:val="006D61F6"/>
    <w:rsid w:val="006E279A"/>
    <w:rsid w:val="006E313B"/>
    <w:rsid w:val="006E4254"/>
    <w:rsid w:val="006E7227"/>
    <w:rsid w:val="006F438E"/>
    <w:rsid w:val="006F5416"/>
    <w:rsid w:val="006F7076"/>
    <w:rsid w:val="00705242"/>
    <w:rsid w:val="00706AD4"/>
    <w:rsid w:val="00707150"/>
    <w:rsid w:val="00710078"/>
    <w:rsid w:val="007140BE"/>
    <w:rsid w:val="007143B4"/>
    <w:rsid w:val="007211F5"/>
    <w:rsid w:val="00723946"/>
    <w:rsid w:val="007240E2"/>
    <w:rsid w:val="00725BB5"/>
    <w:rsid w:val="00730517"/>
    <w:rsid w:val="00730AE8"/>
    <w:rsid w:val="00730F1B"/>
    <w:rsid w:val="00733628"/>
    <w:rsid w:val="007342AC"/>
    <w:rsid w:val="00741493"/>
    <w:rsid w:val="00743C34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5C12"/>
    <w:rsid w:val="007661E9"/>
    <w:rsid w:val="00773220"/>
    <w:rsid w:val="00776169"/>
    <w:rsid w:val="00776527"/>
    <w:rsid w:val="00776EAB"/>
    <w:rsid w:val="00780EF1"/>
    <w:rsid w:val="00782AD8"/>
    <w:rsid w:val="00790711"/>
    <w:rsid w:val="00790764"/>
    <w:rsid w:val="0079124F"/>
    <w:rsid w:val="0079453C"/>
    <w:rsid w:val="00794677"/>
    <w:rsid w:val="00795928"/>
    <w:rsid w:val="00797445"/>
    <w:rsid w:val="007A3861"/>
    <w:rsid w:val="007A4577"/>
    <w:rsid w:val="007A516D"/>
    <w:rsid w:val="007B6689"/>
    <w:rsid w:val="007C6BBD"/>
    <w:rsid w:val="007D293C"/>
    <w:rsid w:val="007D40DF"/>
    <w:rsid w:val="007E29B4"/>
    <w:rsid w:val="007E435A"/>
    <w:rsid w:val="007E7E61"/>
    <w:rsid w:val="007E7FCE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143E"/>
    <w:rsid w:val="00831CDE"/>
    <w:rsid w:val="00834304"/>
    <w:rsid w:val="00834FAA"/>
    <w:rsid w:val="0083516C"/>
    <w:rsid w:val="00836086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4F24"/>
    <w:rsid w:val="00855408"/>
    <w:rsid w:val="00855712"/>
    <w:rsid w:val="00856D65"/>
    <w:rsid w:val="00861B41"/>
    <w:rsid w:val="00861BE3"/>
    <w:rsid w:val="00863434"/>
    <w:rsid w:val="00865E4C"/>
    <w:rsid w:val="008701E4"/>
    <w:rsid w:val="00871069"/>
    <w:rsid w:val="00875A32"/>
    <w:rsid w:val="00876086"/>
    <w:rsid w:val="008825B0"/>
    <w:rsid w:val="00884AD6"/>
    <w:rsid w:val="008873D4"/>
    <w:rsid w:val="0089126C"/>
    <w:rsid w:val="0089296D"/>
    <w:rsid w:val="00893E85"/>
    <w:rsid w:val="00894031"/>
    <w:rsid w:val="00895508"/>
    <w:rsid w:val="008A6CB4"/>
    <w:rsid w:val="008B542E"/>
    <w:rsid w:val="008B5CF6"/>
    <w:rsid w:val="008B76AB"/>
    <w:rsid w:val="008B7C02"/>
    <w:rsid w:val="008B7D2B"/>
    <w:rsid w:val="008C0049"/>
    <w:rsid w:val="008C0E88"/>
    <w:rsid w:val="008C1968"/>
    <w:rsid w:val="008C53CB"/>
    <w:rsid w:val="008C6FD4"/>
    <w:rsid w:val="008D1BA1"/>
    <w:rsid w:val="008D1E6A"/>
    <w:rsid w:val="008D2A16"/>
    <w:rsid w:val="008D6B35"/>
    <w:rsid w:val="008E163D"/>
    <w:rsid w:val="008E2C57"/>
    <w:rsid w:val="008E31FF"/>
    <w:rsid w:val="008E6F06"/>
    <w:rsid w:val="008E7FC9"/>
    <w:rsid w:val="008F029B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7AE2"/>
    <w:rsid w:val="00943853"/>
    <w:rsid w:val="0094427A"/>
    <w:rsid w:val="00945245"/>
    <w:rsid w:val="009452D0"/>
    <w:rsid w:val="00956572"/>
    <w:rsid w:val="00957309"/>
    <w:rsid w:val="0095759C"/>
    <w:rsid w:val="00961532"/>
    <w:rsid w:val="0096774F"/>
    <w:rsid w:val="00967E76"/>
    <w:rsid w:val="009721DB"/>
    <w:rsid w:val="0097239B"/>
    <w:rsid w:val="00974923"/>
    <w:rsid w:val="009808F7"/>
    <w:rsid w:val="00980D3D"/>
    <w:rsid w:val="00981FFA"/>
    <w:rsid w:val="009855E1"/>
    <w:rsid w:val="0098791F"/>
    <w:rsid w:val="00987A30"/>
    <w:rsid w:val="00992CF3"/>
    <w:rsid w:val="00994868"/>
    <w:rsid w:val="0099574A"/>
    <w:rsid w:val="009968D6"/>
    <w:rsid w:val="009A1CAB"/>
    <w:rsid w:val="009A60D1"/>
    <w:rsid w:val="009B6FD3"/>
    <w:rsid w:val="009C1750"/>
    <w:rsid w:val="009C2E29"/>
    <w:rsid w:val="009C554B"/>
    <w:rsid w:val="009C719E"/>
    <w:rsid w:val="009C7A10"/>
    <w:rsid w:val="009D1120"/>
    <w:rsid w:val="009D3ACD"/>
    <w:rsid w:val="009E5273"/>
    <w:rsid w:val="009E5DDB"/>
    <w:rsid w:val="009E7F05"/>
    <w:rsid w:val="009F46B7"/>
    <w:rsid w:val="009F4CA7"/>
    <w:rsid w:val="009F791A"/>
    <w:rsid w:val="00A04CEF"/>
    <w:rsid w:val="00A10D66"/>
    <w:rsid w:val="00A14114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3549"/>
    <w:rsid w:val="00A33A89"/>
    <w:rsid w:val="00A40EAC"/>
    <w:rsid w:val="00A40EDD"/>
    <w:rsid w:val="00A418BC"/>
    <w:rsid w:val="00A4206C"/>
    <w:rsid w:val="00A46DE0"/>
    <w:rsid w:val="00A472EB"/>
    <w:rsid w:val="00A47FCA"/>
    <w:rsid w:val="00A50D73"/>
    <w:rsid w:val="00A52CAD"/>
    <w:rsid w:val="00A53FC7"/>
    <w:rsid w:val="00A62CE1"/>
    <w:rsid w:val="00A668A3"/>
    <w:rsid w:val="00A6741E"/>
    <w:rsid w:val="00A754EA"/>
    <w:rsid w:val="00A75E40"/>
    <w:rsid w:val="00A770F4"/>
    <w:rsid w:val="00A77D1D"/>
    <w:rsid w:val="00A84A6A"/>
    <w:rsid w:val="00A857C0"/>
    <w:rsid w:val="00A90FED"/>
    <w:rsid w:val="00AA2996"/>
    <w:rsid w:val="00AA2A70"/>
    <w:rsid w:val="00AA2DA1"/>
    <w:rsid w:val="00AA4B30"/>
    <w:rsid w:val="00AA52BF"/>
    <w:rsid w:val="00AA559A"/>
    <w:rsid w:val="00AB2AF1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BBB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062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EC6"/>
    <w:rsid w:val="00B84CF6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78"/>
    <w:rsid w:val="00BF3B1D"/>
    <w:rsid w:val="00BF71A0"/>
    <w:rsid w:val="00BF723F"/>
    <w:rsid w:val="00C21F94"/>
    <w:rsid w:val="00C27913"/>
    <w:rsid w:val="00C27E4F"/>
    <w:rsid w:val="00C325AE"/>
    <w:rsid w:val="00C32964"/>
    <w:rsid w:val="00C33B68"/>
    <w:rsid w:val="00C36A79"/>
    <w:rsid w:val="00C401D2"/>
    <w:rsid w:val="00C405D4"/>
    <w:rsid w:val="00C4431F"/>
    <w:rsid w:val="00C4513B"/>
    <w:rsid w:val="00C5390B"/>
    <w:rsid w:val="00C53E5D"/>
    <w:rsid w:val="00C54141"/>
    <w:rsid w:val="00C5418A"/>
    <w:rsid w:val="00C54697"/>
    <w:rsid w:val="00C65535"/>
    <w:rsid w:val="00C66B0D"/>
    <w:rsid w:val="00C71E85"/>
    <w:rsid w:val="00C72884"/>
    <w:rsid w:val="00C73885"/>
    <w:rsid w:val="00C747B1"/>
    <w:rsid w:val="00C82191"/>
    <w:rsid w:val="00C83134"/>
    <w:rsid w:val="00C85545"/>
    <w:rsid w:val="00C9003C"/>
    <w:rsid w:val="00C90CF4"/>
    <w:rsid w:val="00C92EB6"/>
    <w:rsid w:val="00C93389"/>
    <w:rsid w:val="00C96040"/>
    <w:rsid w:val="00CA0914"/>
    <w:rsid w:val="00CA6AB4"/>
    <w:rsid w:val="00CA7BE7"/>
    <w:rsid w:val="00CB4930"/>
    <w:rsid w:val="00CC0E87"/>
    <w:rsid w:val="00CC2E7D"/>
    <w:rsid w:val="00CD10A5"/>
    <w:rsid w:val="00CD2076"/>
    <w:rsid w:val="00CD29B5"/>
    <w:rsid w:val="00CD6331"/>
    <w:rsid w:val="00CD7AFB"/>
    <w:rsid w:val="00CE670B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1D83"/>
    <w:rsid w:val="00D235B7"/>
    <w:rsid w:val="00D23C02"/>
    <w:rsid w:val="00D25F28"/>
    <w:rsid w:val="00D26071"/>
    <w:rsid w:val="00D27973"/>
    <w:rsid w:val="00D35E1A"/>
    <w:rsid w:val="00D37C1E"/>
    <w:rsid w:val="00D40B2B"/>
    <w:rsid w:val="00D40F7C"/>
    <w:rsid w:val="00D417B7"/>
    <w:rsid w:val="00D42211"/>
    <w:rsid w:val="00D42756"/>
    <w:rsid w:val="00D50F46"/>
    <w:rsid w:val="00D567C6"/>
    <w:rsid w:val="00D57677"/>
    <w:rsid w:val="00D61DF8"/>
    <w:rsid w:val="00D66223"/>
    <w:rsid w:val="00D674D7"/>
    <w:rsid w:val="00D71625"/>
    <w:rsid w:val="00D751DA"/>
    <w:rsid w:val="00D8084C"/>
    <w:rsid w:val="00D915EA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5B3B"/>
    <w:rsid w:val="00DD129F"/>
    <w:rsid w:val="00DD4EFE"/>
    <w:rsid w:val="00DE02BD"/>
    <w:rsid w:val="00DE5DBA"/>
    <w:rsid w:val="00DF3C61"/>
    <w:rsid w:val="00DF42FF"/>
    <w:rsid w:val="00DF5908"/>
    <w:rsid w:val="00E01C0E"/>
    <w:rsid w:val="00E03F9A"/>
    <w:rsid w:val="00E0465E"/>
    <w:rsid w:val="00E04694"/>
    <w:rsid w:val="00E063CE"/>
    <w:rsid w:val="00E12B1E"/>
    <w:rsid w:val="00E17262"/>
    <w:rsid w:val="00E253A2"/>
    <w:rsid w:val="00E314B9"/>
    <w:rsid w:val="00E329EF"/>
    <w:rsid w:val="00E3309D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6519D"/>
    <w:rsid w:val="00E67696"/>
    <w:rsid w:val="00E71654"/>
    <w:rsid w:val="00E71A58"/>
    <w:rsid w:val="00E72A7A"/>
    <w:rsid w:val="00E75C94"/>
    <w:rsid w:val="00E849A6"/>
    <w:rsid w:val="00E91024"/>
    <w:rsid w:val="00E920F4"/>
    <w:rsid w:val="00E93820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39C7"/>
    <w:rsid w:val="00EB3D8F"/>
    <w:rsid w:val="00EB4511"/>
    <w:rsid w:val="00EC03D7"/>
    <w:rsid w:val="00ED62C6"/>
    <w:rsid w:val="00ED64C1"/>
    <w:rsid w:val="00EE0E68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10F11"/>
    <w:rsid w:val="00F15AAA"/>
    <w:rsid w:val="00F15BEF"/>
    <w:rsid w:val="00F17E83"/>
    <w:rsid w:val="00F24407"/>
    <w:rsid w:val="00F24931"/>
    <w:rsid w:val="00F24FAA"/>
    <w:rsid w:val="00F252A0"/>
    <w:rsid w:val="00F3364D"/>
    <w:rsid w:val="00F437CC"/>
    <w:rsid w:val="00F43E29"/>
    <w:rsid w:val="00F44537"/>
    <w:rsid w:val="00F44B6A"/>
    <w:rsid w:val="00F47067"/>
    <w:rsid w:val="00F50FC3"/>
    <w:rsid w:val="00F5188A"/>
    <w:rsid w:val="00F52106"/>
    <w:rsid w:val="00F525EB"/>
    <w:rsid w:val="00F63DDE"/>
    <w:rsid w:val="00F63FB7"/>
    <w:rsid w:val="00F6421B"/>
    <w:rsid w:val="00F649D2"/>
    <w:rsid w:val="00F6602B"/>
    <w:rsid w:val="00F66643"/>
    <w:rsid w:val="00F66FD9"/>
    <w:rsid w:val="00F67C4E"/>
    <w:rsid w:val="00F70D20"/>
    <w:rsid w:val="00F73A0C"/>
    <w:rsid w:val="00F756DB"/>
    <w:rsid w:val="00F84E7D"/>
    <w:rsid w:val="00F85066"/>
    <w:rsid w:val="00F87A4D"/>
    <w:rsid w:val="00F90035"/>
    <w:rsid w:val="00F9785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3265"/>
    <w:rsid w:val="00FD5F92"/>
    <w:rsid w:val="00FD66F9"/>
    <w:rsid w:val="00FD78F8"/>
    <w:rsid w:val="00FE2F78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5\1-3.kvar&#225;l%202025\Odv&#283;tv&#237;\ODV&#282;TV&#205;_grafy_3q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5\1-3.kvar&#225;l%202025\Odv&#283;tv&#237;\ODV&#282;TV&#205;_grafy_3q20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5\1-3.kvar&#225;l%202025\Odv&#283;tv&#237;\ODV&#282;TV&#205;_grafy_3q202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5\1-3.kvar&#225;l%202025\Odv&#283;tv&#237;\ODV&#282;TV&#205;_grafy_3q202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5\1-3.kvar&#225;l%202025\Odv&#283;tv&#237;\ODV&#282;TV&#205;_grafy_3q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610992424025054E-2"/>
          <c:y val="1.5804777005479873E-2"/>
          <c:w val="0.84144249386957193"/>
          <c:h val="0.6913571248107180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'GRAF příspěvky IPP'!$A$27</c:f>
              <c:strCache>
                <c:ptCount val="1"/>
                <c:pt idx="0">
                  <c:v>Výroba dopravních prostředků (29, 30)</c:v>
                </c:pt>
              </c:strCache>
            </c:strRef>
          </c:tx>
          <c:spPr>
            <a:solidFill>
              <a:srgbClr val="E8AFB2"/>
            </a:solidFill>
          </c:spPr>
          <c:invertIfNegative val="0"/>
          <c:cat>
            <c:multiLvlStrRef>
              <c:f>'GRAF příspěvky IPP'!$Z$25:$BH$26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IPP'!$Z$27:$BH$27</c:f>
              <c:numCache>
                <c:formatCode>0.0</c:formatCode>
                <c:ptCount val="35"/>
                <c:pt idx="0">
                  <c:v>1.7408920839398754</c:v>
                </c:pt>
                <c:pt idx="1">
                  <c:v>2.1378802528812932</c:v>
                </c:pt>
                <c:pt idx="2">
                  <c:v>1.5935135243788106</c:v>
                </c:pt>
                <c:pt idx="3">
                  <c:v>1.6791873092801739</c:v>
                </c:pt>
                <c:pt idx="4">
                  <c:v>0.75268647024158142</c:v>
                </c:pt>
                <c:pt idx="5">
                  <c:v>0.54211789515047693</c:v>
                </c:pt>
                <c:pt idx="6">
                  <c:v>0.24127576647979335</c:v>
                </c:pt>
                <c:pt idx="7">
                  <c:v>0.97863378627142206</c:v>
                </c:pt>
                <c:pt idx="8">
                  <c:v>-0.2260516552234422</c:v>
                </c:pt>
                <c:pt idx="9">
                  <c:v>0.44759183220264459</c:v>
                </c:pt>
                <c:pt idx="10">
                  <c:v>0.76878503294695455</c:v>
                </c:pt>
                <c:pt idx="11">
                  <c:v>-1.0091759236462883</c:v>
                </c:pt>
                <c:pt idx="12">
                  <c:v>-1.5334709251303915</c:v>
                </c:pt>
                <c:pt idx="13">
                  <c:v>-9.3844961095672232</c:v>
                </c:pt>
                <c:pt idx="14">
                  <c:v>-0.1831246423410012</c:v>
                </c:pt>
                <c:pt idx="15">
                  <c:v>2.0633116605855042</c:v>
                </c:pt>
                <c:pt idx="16">
                  <c:v>1.8999833813438602</c:v>
                </c:pt>
                <c:pt idx="17">
                  <c:v>10.956885672241391</c:v>
                </c:pt>
                <c:pt idx="18">
                  <c:v>-3.7793303242744818</c:v>
                </c:pt>
                <c:pt idx="19">
                  <c:v>-3.2448499752335636</c:v>
                </c:pt>
                <c:pt idx="20">
                  <c:v>-1.9042891137114628</c:v>
                </c:pt>
                <c:pt idx="21">
                  <c:v>9.7813720049658492E-2</c:v>
                </c:pt>
                <c:pt idx="22">
                  <c:v>5.6038620550055187</c:v>
                </c:pt>
                <c:pt idx="23">
                  <c:v>4.0020980162550508</c:v>
                </c:pt>
                <c:pt idx="24">
                  <c:v>5.2693108924334178</c:v>
                </c:pt>
                <c:pt idx="25">
                  <c:v>5.0821847025771341</c:v>
                </c:pt>
                <c:pt idx="26">
                  <c:v>1.346405010123459</c:v>
                </c:pt>
                <c:pt idx="27">
                  <c:v>3.1924667770714268</c:v>
                </c:pt>
                <c:pt idx="28">
                  <c:v>0.45890192622436266</c:v>
                </c:pt>
                <c:pt idx="29">
                  <c:v>-1.0889556410901706</c:v>
                </c:pt>
                <c:pt idx="30">
                  <c:v>0.65475645374985425</c:v>
                </c:pt>
                <c:pt idx="31">
                  <c:v>-1.4436257730836042</c:v>
                </c:pt>
                <c:pt idx="32">
                  <c:v>-0.59077661678435933</c:v>
                </c:pt>
                <c:pt idx="33">
                  <c:v>0.42817080810910413</c:v>
                </c:pt>
                <c:pt idx="34">
                  <c:v>-0.12453031510805106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A7-4C0A-BF86-510F0EE6C334}"/>
            </c:ext>
          </c:extLst>
        </c:ser>
        <c:ser>
          <c:idx val="1"/>
          <c:order val="1"/>
          <c:tx>
            <c:strRef>
              <c:f>'GRAF příspěvky IPP'!$A$28</c:f>
              <c:strCache>
                <c:ptCount val="1"/>
                <c:pt idx="0">
                  <c:v>Gumárenství, elektrotechnický pr. (22, 27)</c:v>
                </c:pt>
              </c:strCache>
            </c:strRef>
          </c:tx>
          <c:spPr>
            <a:solidFill>
              <a:srgbClr val="BD1B21"/>
            </a:solidFill>
          </c:spPr>
          <c:invertIfNegative val="0"/>
          <c:cat>
            <c:multiLvlStrRef>
              <c:f>'GRAF příspěvky IPP'!$Z$25:$BH$26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IPP'!$Z$28:$BH$28</c:f>
              <c:numCache>
                <c:formatCode>0.0</c:formatCode>
                <c:ptCount val="35"/>
                <c:pt idx="0">
                  <c:v>0.79334952879496901</c:v>
                </c:pt>
                <c:pt idx="1">
                  <c:v>1.468356537050969</c:v>
                </c:pt>
                <c:pt idx="2">
                  <c:v>0.87390949425966125</c:v>
                </c:pt>
                <c:pt idx="3">
                  <c:v>1.644368824210785</c:v>
                </c:pt>
                <c:pt idx="4">
                  <c:v>1.0040337375607471</c:v>
                </c:pt>
                <c:pt idx="5">
                  <c:v>0.3253925650201499</c:v>
                </c:pt>
                <c:pt idx="6">
                  <c:v>0.43133954445298106</c:v>
                </c:pt>
                <c:pt idx="7">
                  <c:v>-5.9899261699036116E-2</c:v>
                </c:pt>
                <c:pt idx="8">
                  <c:v>0.52608733581744893</c:v>
                </c:pt>
                <c:pt idx="9">
                  <c:v>0.44070570288166666</c:v>
                </c:pt>
                <c:pt idx="10">
                  <c:v>0.16703875787161085</c:v>
                </c:pt>
                <c:pt idx="11">
                  <c:v>0.41508771908448316</c:v>
                </c:pt>
                <c:pt idx="12">
                  <c:v>-0.55255281731107375</c:v>
                </c:pt>
                <c:pt idx="13">
                  <c:v>-4.0630399723550301</c:v>
                </c:pt>
                <c:pt idx="14">
                  <c:v>-0.43874587338548932</c:v>
                </c:pt>
                <c:pt idx="15">
                  <c:v>0.53060699318837878</c:v>
                </c:pt>
                <c:pt idx="16">
                  <c:v>0.71102918930795656</c:v>
                </c:pt>
                <c:pt idx="17">
                  <c:v>5.4798641375495816</c:v>
                </c:pt>
                <c:pt idx="18">
                  <c:v>0.62234858839616103</c:v>
                </c:pt>
                <c:pt idx="19">
                  <c:v>-0.42455857062319929</c:v>
                </c:pt>
                <c:pt idx="20">
                  <c:v>8.398539077484074E-2</c:v>
                </c:pt>
                <c:pt idx="21">
                  <c:v>0.13998575479387046</c:v>
                </c:pt>
                <c:pt idx="22">
                  <c:v>0.54127313734866644</c:v>
                </c:pt>
                <c:pt idx="23">
                  <c:v>0.61712610782205912</c:v>
                </c:pt>
                <c:pt idx="24">
                  <c:v>0.24509521401208795</c:v>
                </c:pt>
                <c:pt idx="25">
                  <c:v>0.13599508551093109</c:v>
                </c:pt>
                <c:pt idx="26">
                  <c:v>-0.41794828215661511</c:v>
                </c:pt>
                <c:pt idx="27">
                  <c:v>1.7815532875521567E-2</c:v>
                </c:pt>
                <c:pt idx="28">
                  <c:v>3.7917832442826538E-2</c:v>
                </c:pt>
                <c:pt idx="29">
                  <c:v>-0.18921661943999621</c:v>
                </c:pt>
                <c:pt idx="30">
                  <c:v>0.14542964389317459</c:v>
                </c:pt>
                <c:pt idx="31">
                  <c:v>-0.5423491855874959</c:v>
                </c:pt>
                <c:pt idx="32">
                  <c:v>5.0778187453425022E-2</c:v>
                </c:pt>
                <c:pt idx="33">
                  <c:v>0.47000963152919562</c:v>
                </c:pt>
                <c:pt idx="34">
                  <c:v>0.25671839649134459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A7-4C0A-BF86-510F0EE6C334}"/>
            </c:ext>
          </c:extLst>
        </c:ser>
        <c:ser>
          <c:idx val="2"/>
          <c:order val="2"/>
          <c:tx>
            <c:strRef>
              <c:f>'GRAF příspěvky IPP'!$A$29</c:f>
              <c:strCache>
                <c:ptCount val="1"/>
                <c:pt idx="0">
                  <c:v>Strojírenství (28)</c:v>
                </c:pt>
              </c:strCache>
            </c:strRef>
          </c:tx>
          <c:spPr>
            <a:solidFill>
              <a:srgbClr val="BFE3F7"/>
            </a:solidFill>
          </c:spPr>
          <c:invertIfNegative val="0"/>
          <c:cat>
            <c:multiLvlStrRef>
              <c:f>'GRAF příspěvky IPP'!$Z$25:$BH$26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IPP'!$Z$29:$BH$29</c:f>
              <c:numCache>
                <c:formatCode>0.0</c:formatCode>
                <c:ptCount val="35"/>
                <c:pt idx="0">
                  <c:v>0.3345178851347928</c:v>
                </c:pt>
                <c:pt idx="1">
                  <c:v>1.1003694908923236</c:v>
                </c:pt>
                <c:pt idx="2">
                  <c:v>0.85805445400541835</c:v>
                </c:pt>
                <c:pt idx="3">
                  <c:v>0.80055944660911171</c:v>
                </c:pt>
                <c:pt idx="4">
                  <c:v>0.48868169907415326</c:v>
                </c:pt>
                <c:pt idx="5">
                  <c:v>0.13868742792561028</c:v>
                </c:pt>
                <c:pt idx="6">
                  <c:v>0.18638853797251198</c:v>
                </c:pt>
                <c:pt idx="7">
                  <c:v>-0.20071677551985512</c:v>
                </c:pt>
                <c:pt idx="8">
                  <c:v>0.20262845642032346</c:v>
                </c:pt>
                <c:pt idx="9">
                  <c:v>-9.1482438382696971E-3</c:v>
                </c:pt>
                <c:pt idx="10">
                  <c:v>-0.3267936607108648</c:v>
                </c:pt>
                <c:pt idx="11">
                  <c:v>-0.14957125605699437</c:v>
                </c:pt>
                <c:pt idx="12">
                  <c:v>-0.7072452096320988</c:v>
                </c:pt>
                <c:pt idx="13">
                  <c:v>-2.1308377913469609</c:v>
                </c:pt>
                <c:pt idx="14">
                  <c:v>-0.8017096029334061</c:v>
                </c:pt>
                <c:pt idx="15">
                  <c:v>-0.54797142039304825</c:v>
                </c:pt>
                <c:pt idx="16">
                  <c:v>6.9596455652604625E-2</c:v>
                </c:pt>
                <c:pt idx="17">
                  <c:v>2.0541230692237482</c:v>
                </c:pt>
                <c:pt idx="18">
                  <c:v>0.5498421365278886</c:v>
                </c:pt>
                <c:pt idx="19">
                  <c:v>0.2784434204373179</c:v>
                </c:pt>
                <c:pt idx="20">
                  <c:v>0.35496216955877041</c:v>
                </c:pt>
                <c:pt idx="21">
                  <c:v>9.1596725444270374E-2</c:v>
                </c:pt>
                <c:pt idx="22">
                  <c:v>0.48984312221392406</c:v>
                </c:pt>
                <c:pt idx="23">
                  <c:v>0.65820398925315116</c:v>
                </c:pt>
                <c:pt idx="24">
                  <c:v>0.47035619897794839</c:v>
                </c:pt>
                <c:pt idx="25">
                  <c:v>0.40004742349268085</c:v>
                </c:pt>
                <c:pt idx="26">
                  <c:v>-0.57606941778759979</c:v>
                </c:pt>
                <c:pt idx="27">
                  <c:v>-0.7557777318532426</c:v>
                </c:pt>
                <c:pt idx="28">
                  <c:v>-0.96244448697109031</c:v>
                </c:pt>
                <c:pt idx="29">
                  <c:v>-0.80171549031351064</c:v>
                </c:pt>
                <c:pt idx="30">
                  <c:v>-0.39986474018204377</c:v>
                </c:pt>
                <c:pt idx="31">
                  <c:v>-0.5259504240093047</c:v>
                </c:pt>
                <c:pt idx="32">
                  <c:v>7.0015718085259998E-2</c:v>
                </c:pt>
                <c:pt idx="33">
                  <c:v>-0.26160324661471751</c:v>
                </c:pt>
                <c:pt idx="34">
                  <c:v>7.1614229044447281E-2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A7-4C0A-BF86-510F0EE6C334}"/>
            </c:ext>
          </c:extLst>
        </c:ser>
        <c:ser>
          <c:idx val="3"/>
          <c:order val="3"/>
          <c:tx>
            <c:strRef>
              <c:f>'GRAF příspěvky IPP'!$A$30</c:f>
              <c:strCache>
                <c:ptCount val="1"/>
                <c:pt idx="0">
                  <c:v>Kovodělný průmysl (25)</c:v>
                </c:pt>
              </c:strCache>
            </c:strRef>
          </c:tx>
          <c:spPr>
            <a:solidFill>
              <a:srgbClr val="48AEE7"/>
            </a:solidFill>
          </c:spPr>
          <c:invertIfNegative val="0"/>
          <c:cat>
            <c:multiLvlStrRef>
              <c:f>'GRAF příspěvky IPP'!$Z$25:$BH$26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IPP'!$Z$30:$BH$30</c:f>
              <c:numCache>
                <c:formatCode>0.0</c:formatCode>
                <c:ptCount val="35"/>
                <c:pt idx="0">
                  <c:v>0.38676361423749528</c:v>
                </c:pt>
                <c:pt idx="1">
                  <c:v>0.95166355765299349</c:v>
                </c:pt>
                <c:pt idx="2">
                  <c:v>0.86091550298549102</c:v>
                </c:pt>
                <c:pt idx="3">
                  <c:v>0.96020285266505589</c:v>
                </c:pt>
                <c:pt idx="4">
                  <c:v>0.67147421279246411</c:v>
                </c:pt>
                <c:pt idx="5">
                  <c:v>0.46338675111775501</c:v>
                </c:pt>
                <c:pt idx="6">
                  <c:v>0.40465307945227347</c:v>
                </c:pt>
                <c:pt idx="7">
                  <c:v>0.13991647838864771</c:v>
                </c:pt>
                <c:pt idx="8">
                  <c:v>0.23284119938910905</c:v>
                </c:pt>
                <c:pt idx="9">
                  <c:v>-2.3018109664658163E-3</c:v>
                </c:pt>
                <c:pt idx="10">
                  <c:v>-0.27902616348258918</c:v>
                </c:pt>
                <c:pt idx="11">
                  <c:v>-0.28921256974210446</c:v>
                </c:pt>
                <c:pt idx="12">
                  <c:v>-0.59705730498174525</c:v>
                </c:pt>
                <c:pt idx="13">
                  <c:v>-2.0768472147616719</c:v>
                </c:pt>
                <c:pt idx="14">
                  <c:v>-0.62165835195312102</c:v>
                </c:pt>
                <c:pt idx="15">
                  <c:v>4.661253810289321E-2</c:v>
                </c:pt>
                <c:pt idx="16">
                  <c:v>0.432194485688706</c:v>
                </c:pt>
                <c:pt idx="17">
                  <c:v>2.9913886003194685</c:v>
                </c:pt>
                <c:pt idx="18">
                  <c:v>0.80019765409199994</c:v>
                </c:pt>
                <c:pt idx="19">
                  <c:v>1.80775807362865E-2</c:v>
                </c:pt>
                <c:pt idx="20">
                  <c:v>0.22767496225869119</c:v>
                </c:pt>
                <c:pt idx="21">
                  <c:v>-0.40389358418324811</c:v>
                </c:pt>
                <c:pt idx="22">
                  <c:v>-0.31517633125160666</c:v>
                </c:pt>
                <c:pt idx="23">
                  <c:v>-0.21631856342269085</c:v>
                </c:pt>
                <c:pt idx="24">
                  <c:v>-0.35243629073024252</c:v>
                </c:pt>
                <c:pt idx="25">
                  <c:v>-0.10024241556163326</c:v>
                </c:pt>
                <c:pt idx="26">
                  <c:v>-0.21111691529523424</c:v>
                </c:pt>
                <c:pt idx="27">
                  <c:v>-0.2754643804604115</c:v>
                </c:pt>
                <c:pt idx="28">
                  <c:v>-0.19426114371979142</c:v>
                </c:pt>
                <c:pt idx="29">
                  <c:v>-3.915867448541796E-2</c:v>
                </c:pt>
                <c:pt idx="30">
                  <c:v>0.33707077226801274</c:v>
                </c:pt>
                <c:pt idx="31">
                  <c:v>0.21348496905674333</c:v>
                </c:pt>
                <c:pt idx="32">
                  <c:v>7.4121056278819084E-2</c:v>
                </c:pt>
                <c:pt idx="33">
                  <c:v>0.18313683907088746</c:v>
                </c:pt>
                <c:pt idx="34">
                  <c:v>0.44860416250081664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FA7-4C0A-BF86-510F0EE6C334}"/>
            </c:ext>
          </c:extLst>
        </c:ser>
        <c:ser>
          <c:idx val="4"/>
          <c:order val="4"/>
          <c:tx>
            <c:strRef>
              <c:f>'GRAF příspěvky IPP'!$A$31</c:f>
              <c:strCache>
                <c:ptCount val="1"/>
                <c:pt idx="0">
                  <c:v>Výroba PC, elektronic. a optic. přístr. (26)</c:v>
                </c:pt>
              </c:strCache>
            </c:strRef>
          </c:tx>
          <c:spPr>
            <a:solidFill>
              <a:srgbClr val="FDDEB3"/>
            </a:solidFill>
          </c:spPr>
          <c:invertIfNegative val="0"/>
          <c:cat>
            <c:multiLvlStrRef>
              <c:f>'GRAF příspěvky IPP'!$Z$25:$BH$26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IPP'!$Z$31:$BH$31</c:f>
              <c:numCache>
                <c:formatCode>0.0</c:formatCode>
                <c:ptCount val="35"/>
                <c:pt idx="0">
                  <c:v>0.1517960019133566</c:v>
                </c:pt>
                <c:pt idx="1">
                  <c:v>0.35040742405813147</c:v>
                </c:pt>
                <c:pt idx="2">
                  <c:v>0.22701547985990286</c:v>
                </c:pt>
                <c:pt idx="3">
                  <c:v>0.23483306705633769</c:v>
                </c:pt>
                <c:pt idx="4">
                  <c:v>0.38575845909308681</c:v>
                </c:pt>
                <c:pt idx="5">
                  <c:v>0.1585479563430445</c:v>
                </c:pt>
                <c:pt idx="6">
                  <c:v>0.63604123808561219</c:v>
                </c:pt>
                <c:pt idx="7">
                  <c:v>0.3169722012936107</c:v>
                </c:pt>
                <c:pt idx="8">
                  <c:v>-0.10335857004416719</c:v>
                </c:pt>
                <c:pt idx="9">
                  <c:v>-3.5698176267711781E-2</c:v>
                </c:pt>
                <c:pt idx="10">
                  <c:v>-0.60934912550064046</c:v>
                </c:pt>
                <c:pt idx="11">
                  <c:v>-0.3641176829939205</c:v>
                </c:pt>
                <c:pt idx="12">
                  <c:v>-0.1013700779981392</c:v>
                </c:pt>
                <c:pt idx="13">
                  <c:v>-0.31920945262277456</c:v>
                </c:pt>
                <c:pt idx="14">
                  <c:v>3.1049160053994794E-2</c:v>
                </c:pt>
                <c:pt idx="15">
                  <c:v>2.2349038466741165E-2</c:v>
                </c:pt>
                <c:pt idx="16">
                  <c:v>0.12976416922954601</c:v>
                </c:pt>
                <c:pt idx="17">
                  <c:v>0.21098084354483942</c:v>
                </c:pt>
                <c:pt idx="18">
                  <c:v>0.19468072057427777</c:v>
                </c:pt>
                <c:pt idx="19">
                  <c:v>-0.23892121538223571</c:v>
                </c:pt>
                <c:pt idx="20">
                  <c:v>2.1460464302136228E-2</c:v>
                </c:pt>
                <c:pt idx="21">
                  <c:v>-1.8624576563431632E-2</c:v>
                </c:pt>
                <c:pt idx="22">
                  <c:v>5.9804232146748362E-2</c:v>
                </c:pt>
                <c:pt idx="23">
                  <c:v>0.43639246948732102</c:v>
                </c:pt>
                <c:pt idx="24">
                  <c:v>0.14366828024783984</c:v>
                </c:pt>
                <c:pt idx="25">
                  <c:v>8.9710480915296625E-2</c:v>
                </c:pt>
                <c:pt idx="26">
                  <c:v>-6.8062636309180094E-2</c:v>
                </c:pt>
                <c:pt idx="27">
                  <c:v>-6.552004108384156E-2</c:v>
                </c:pt>
                <c:pt idx="28">
                  <c:v>-6.9479580706901375E-3</c:v>
                </c:pt>
                <c:pt idx="29">
                  <c:v>0.21974203529508804</c:v>
                </c:pt>
                <c:pt idx="30">
                  <c:v>0.28781337942872148</c:v>
                </c:pt>
                <c:pt idx="31">
                  <c:v>9.5505342927086026E-2</c:v>
                </c:pt>
                <c:pt idx="32">
                  <c:v>-6.9590991539114855E-2</c:v>
                </c:pt>
                <c:pt idx="33">
                  <c:v>-0.17548061304799398</c:v>
                </c:pt>
                <c:pt idx="34">
                  <c:v>-0.26270630024007718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A7-4C0A-BF86-510F0EE6C334}"/>
            </c:ext>
          </c:extLst>
        </c:ser>
        <c:ser>
          <c:idx val="5"/>
          <c:order val="5"/>
          <c:tx>
            <c:strRef>
              <c:f>'GRAF příspěvky IPP'!$A$32</c:f>
              <c:strCache>
                <c:ptCount val="1"/>
                <c:pt idx="0">
                  <c:v>Chemický a farmaceutický pr. (20, 21)</c:v>
                </c:pt>
              </c:strCache>
            </c:strRef>
          </c:tx>
          <c:spPr>
            <a:solidFill>
              <a:srgbClr val="F8A124"/>
            </a:solidFill>
            <a:ln>
              <a:noFill/>
            </a:ln>
          </c:spPr>
          <c:invertIfNegative val="0"/>
          <c:cat>
            <c:multiLvlStrRef>
              <c:f>'GRAF příspěvky IPP'!$Z$25:$BH$26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IPP'!$Z$32:$BH$32</c:f>
              <c:numCache>
                <c:formatCode>0.0</c:formatCode>
                <c:ptCount val="35"/>
                <c:pt idx="0">
                  <c:v>0.51439307947726998</c:v>
                </c:pt>
                <c:pt idx="1">
                  <c:v>0.83289717197907565</c:v>
                </c:pt>
                <c:pt idx="2">
                  <c:v>0.65310318202327911</c:v>
                </c:pt>
                <c:pt idx="3">
                  <c:v>0.50440121167449548</c:v>
                </c:pt>
                <c:pt idx="4">
                  <c:v>0.40911320927322647</c:v>
                </c:pt>
                <c:pt idx="5">
                  <c:v>7.7633111380155301E-2</c:v>
                </c:pt>
                <c:pt idx="6">
                  <c:v>-5.3190732776962651E-2</c:v>
                </c:pt>
                <c:pt idx="7">
                  <c:v>-7.1103221110709838E-2</c:v>
                </c:pt>
                <c:pt idx="8">
                  <c:v>9.3101613350728932E-2</c:v>
                </c:pt>
                <c:pt idx="9">
                  <c:v>6.1474211824515262E-2</c:v>
                </c:pt>
                <c:pt idx="10">
                  <c:v>0.2229684142187896</c:v>
                </c:pt>
                <c:pt idx="11">
                  <c:v>3.2130190492489386E-2</c:v>
                </c:pt>
                <c:pt idx="12">
                  <c:v>-3.6216479616950112E-2</c:v>
                </c:pt>
                <c:pt idx="13">
                  <c:v>-0.57135666895590331</c:v>
                </c:pt>
                <c:pt idx="14">
                  <c:v>-0.22076865898667289</c:v>
                </c:pt>
                <c:pt idx="15">
                  <c:v>0.42176753383241716</c:v>
                </c:pt>
                <c:pt idx="16">
                  <c:v>0.28425919224960433</c:v>
                </c:pt>
                <c:pt idx="17">
                  <c:v>0.8233854732228757</c:v>
                </c:pt>
                <c:pt idx="18">
                  <c:v>0.31984674623632348</c:v>
                </c:pt>
                <c:pt idx="19">
                  <c:v>8.7753339596658347E-2</c:v>
                </c:pt>
                <c:pt idx="20">
                  <c:v>0.24876582580332599</c:v>
                </c:pt>
                <c:pt idx="21">
                  <c:v>0.15905139573001281</c:v>
                </c:pt>
                <c:pt idx="22">
                  <c:v>-9.9201848705967155E-2</c:v>
                </c:pt>
                <c:pt idx="23">
                  <c:v>-0.29088178330370773</c:v>
                </c:pt>
                <c:pt idx="24">
                  <c:v>-0.60044257675767243</c:v>
                </c:pt>
                <c:pt idx="25">
                  <c:v>-0.17729852044888716</c:v>
                </c:pt>
                <c:pt idx="26">
                  <c:v>-7.3613521304392263E-2</c:v>
                </c:pt>
                <c:pt idx="27">
                  <c:v>-0.12570771015216722</c:v>
                </c:pt>
                <c:pt idx="28">
                  <c:v>0.26863749699512396</c:v>
                </c:pt>
                <c:pt idx="29">
                  <c:v>0.14443006776808182</c:v>
                </c:pt>
                <c:pt idx="30">
                  <c:v>-7.3543754073131962E-2</c:v>
                </c:pt>
                <c:pt idx="31">
                  <c:v>-7.026802084046746E-2</c:v>
                </c:pt>
                <c:pt idx="32">
                  <c:v>-0.16084179060834147</c:v>
                </c:pt>
                <c:pt idx="33">
                  <c:v>-0.2135531194910045</c:v>
                </c:pt>
                <c:pt idx="34">
                  <c:v>0.12662842745328542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FA7-4C0A-BF86-510F0EE6C334}"/>
            </c:ext>
          </c:extLst>
        </c:ser>
        <c:ser>
          <c:idx val="6"/>
          <c:order val="6"/>
          <c:tx>
            <c:strRef>
              <c:f>'GRAF příspěvky IPP'!$A$33</c:f>
              <c:strCache>
                <c:ptCount val="1"/>
                <c:pt idx="0">
                  <c:v>Zbývající zpracovatelský průmysl*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multiLvlStrRef>
              <c:f>'GRAF příspěvky IPP'!$Z$25:$BH$26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IPP'!$Z$33:$BH$33</c:f>
              <c:numCache>
                <c:formatCode>0.0</c:formatCode>
                <c:ptCount val="35"/>
                <c:pt idx="0">
                  <c:v>-0.13802711444318691</c:v>
                </c:pt>
                <c:pt idx="1">
                  <c:v>1.4520150527939983</c:v>
                </c:pt>
                <c:pt idx="2">
                  <c:v>0.65687676657011995</c:v>
                </c:pt>
                <c:pt idx="3">
                  <c:v>0.76186639439852744</c:v>
                </c:pt>
                <c:pt idx="4">
                  <c:v>1.1768838940724016</c:v>
                </c:pt>
                <c:pt idx="5">
                  <c:v>0.73260991135089881</c:v>
                </c:pt>
                <c:pt idx="6">
                  <c:v>1.1309843102453647</c:v>
                </c:pt>
                <c:pt idx="7">
                  <c:v>0.15993804771029091</c:v>
                </c:pt>
                <c:pt idx="8">
                  <c:v>-0.32185268974320136</c:v>
                </c:pt>
                <c:pt idx="9">
                  <c:v>-0.30512916964802844</c:v>
                </c:pt>
                <c:pt idx="10">
                  <c:v>-0.97407463154620033</c:v>
                </c:pt>
                <c:pt idx="11">
                  <c:v>-3.9701171551173531E-2</c:v>
                </c:pt>
                <c:pt idx="12">
                  <c:v>0.31377104389497573</c:v>
                </c:pt>
                <c:pt idx="13">
                  <c:v>-1.6010940767108721</c:v>
                </c:pt>
                <c:pt idx="14">
                  <c:v>-5.0886354263985356E-3</c:v>
                </c:pt>
                <c:pt idx="15">
                  <c:v>-0.12175513984550231</c:v>
                </c:pt>
                <c:pt idx="16">
                  <c:v>-3.3194388987235202E-3</c:v>
                </c:pt>
                <c:pt idx="17">
                  <c:v>3.2122819000446938</c:v>
                </c:pt>
                <c:pt idx="18">
                  <c:v>1.5256221101561696</c:v>
                </c:pt>
                <c:pt idx="19">
                  <c:v>1.1669511327196656</c:v>
                </c:pt>
                <c:pt idx="20">
                  <c:v>1.6909845082896129</c:v>
                </c:pt>
                <c:pt idx="21">
                  <c:v>0.27433324264031822</c:v>
                </c:pt>
                <c:pt idx="22">
                  <c:v>-1.6667448413170485</c:v>
                </c:pt>
                <c:pt idx="23">
                  <c:v>-1.5217743556277703</c:v>
                </c:pt>
                <c:pt idx="24">
                  <c:v>-3.3311950220381883</c:v>
                </c:pt>
                <c:pt idx="25">
                  <c:v>-3.5803069722014755</c:v>
                </c:pt>
                <c:pt idx="26">
                  <c:v>-1.8019688096615614</c:v>
                </c:pt>
                <c:pt idx="27">
                  <c:v>-1.6123063429804887</c:v>
                </c:pt>
                <c:pt idx="28">
                  <c:v>0.13686685610434965</c:v>
                </c:pt>
                <c:pt idx="29">
                  <c:v>0.27557975712574423</c:v>
                </c:pt>
                <c:pt idx="30">
                  <c:v>-0.20373055967792181</c:v>
                </c:pt>
                <c:pt idx="31">
                  <c:v>0.2587182722628027</c:v>
                </c:pt>
                <c:pt idx="32">
                  <c:v>0.34985482481484481</c:v>
                </c:pt>
                <c:pt idx="33">
                  <c:v>0.48474538869109945</c:v>
                </c:pt>
                <c:pt idx="34">
                  <c:v>0.13467699381830439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FA7-4C0A-BF86-510F0EE6C334}"/>
            </c:ext>
          </c:extLst>
        </c:ser>
        <c:ser>
          <c:idx val="7"/>
          <c:order val="7"/>
          <c:tx>
            <c:strRef>
              <c:f>'GRAF příspěvky IPP'!$A$34</c:f>
              <c:strCache>
                <c:ptCount val="1"/>
                <c:pt idx="0">
                  <c:v>Těžba a energetika (B, D)</c:v>
                </c:pt>
              </c:strCache>
            </c:strRef>
          </c:tx>
          <c:spPr>
            <a:solidFill>
              <a:srgbClr val="808080"/>
            </a:solidFill>
          </c:spPr>
          <c:invertIfNegative val="0"/>
          <c:cat>
            <c:multiLvlStrRef>
              <c:f>'GRAF příspěvky IPP'!$Z$25:$BH$26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IPP'!$Z$34:$BH$34</c:f>
              <c:numCache>
                <c:formatCode>0.0</c:formatCode>
                <c:ptCount val="35"/>
                <c:pt idx="0">
                  <c:v>0.68579685044543348</c:v>
                </c:pt>
                <c:pt idx="1">
                  <c:v>-0.21786071250878586</c:v>
                </c:pt>
                <c:pt idx="2">
                  <c:v>0.74762012671732325</c:v>
                </c:pt>
                <c:pt idx="3">
                  <c:v>0.67922569430551583</c:v>
                </c:pt>
                <c:pt idx="4">
                  <c:v>-0.54241645010765449</c:v>
                </c:pt>
                <c:pt idx="5">
                  <c:v>-1.8631527880888649E-3</c:v>
                </c:pt>
                <c:pt idx="6">
                  <c:v>0.78670127678843149</c:v>
                </c:pt>
                <c:pt idx="7">
                  <c:v>0.32960713526562863</c:v>
                </c:pt>
                <c:pt idx="8">
                  <c:v>6.8904910133199077E-2</c:v>
                </c:pt>
                <c:pt idx="9">
                  <c:v>0.12170682001164354</c:v>
                </c:pt>
                <c:pt idx="10">
                  <c:v>-0.5109816723970585</c:v>
                </c:pt>
                <c:pt idx="11">
                  <c:v>-0.36784640528649537</c:v>
                </c:pt>
                <c:pt idx="12">
                  <c:v>-1.0379724863245821</c:v>
                </c:pt>
                <c:pt idx="13">
                  <c:v>-1.638329285379571</c:v>
                </c:pt>
                <c:pt idx="14">
                  <c:v>-0.82494325172790062</c:v>
                </c:pt>
                <c:pt idx="15">
                  <c:v>-0.74239007583737793</c:v>
                </c:pt>
                <c:pt idx="16">
                  <c:v>0.59173269002645223</c:v>
                </c:pt>
                <c:pt idx="17">
                  <c:v>0.52613604305340433</c:v>
                </c:pt>
                <c:pt idx="18">
                  <c:v>0.31396692979166213</c:v>
                </c:pt>
                <c:pt idx="19">
                  <c:v>0.81666743674907372</c:v>
                </c:pt>
                <c:pt idx="20">
                  <c:v>-0.20912225137590931</c:v>
                </c:pt>
                <c:pt idx="21">
                  <c:v>0.24265070388854676</c:v>
                </c:pt>
                <c:pt idx="22">
                  <c:v>0.41439544045976251</c:v>
                </c:pt>
                <c:pt idx="23">
                  <c:v>-1.2876795350634183</c:v>
                </c:pt>
                <c:pt idx="24">
                  <c:v>-1.304708514745196</c:v>
                </c:pt>
                <c:pt idx="25">
                  <c:v>-1.5785385552840507</c:v>
                </c:pt>
                <c:pt idx="26">
                  <c:v>-1.6275388652088831</c:v>
                </c:pt>
                <c:pt idx="27">
                  <c:v>-1.107935682016802</c:v>
                </c:pt>
                <c:pt idx="28">
                  <c:v>-0.77590262890509387</c:v>
                </c:pt>
                <c:pt idx="29">
                  <c:v>-8.1029435859817117E-2</c:v>
                </c:pt>
                <c:pt idx="30">
                  <c:v>3.9626118933274723E-3</c:v>
                </c:pt>
                <c:pt idx="31">
                  <c:v>-0.18707062882575562</c:v>
                </c:pt>
                <c:pt idx="32">
                  <c:v>0.96836298819947042</c:v>
                </c:pt>
                <c:pt idx="33">
                  <c:v>0.41202709915343527</c:v>
                </c:pt>
                <c:pt idx="34">
                  <c:v>-0.21926756386006302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FA7-4C0A-BF86-510F0EE6C3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112768128"/>
        <c:axId val="112769664"/>
      </c:barChart>
      <c:lineChart>
        <c:grouping val="standard"/>
        <c:varyColors val="0"/>
        <c:ser>
          <c:idx val="8"/>
          <c:order val="8"/>
          <c:tx>
            <c:strRef>
              <c:f>'GRAF příspěvky IPP'!$A$35</c:f>
              <c:strCache>
                <c:ptCount val="1"/>
                <c:pt idx="0">
                  <c:v>Průmysl celkem (NACE B až D)</c:v>
                </c:pt>
              </c:strCache>
            </c:strRef>
          </c:tx>
          <c:spPr>
            <a:ln w="19050">
              <a:noFill/>
            </a:ln>
          </c:spPr>
          <c:marker>
            <c:symbol val="circle"/>
            <c:size val="4"/>
            <c:spPr>
              <a:solidFill>
                <a:srgbClr val="FFFF00"/>
              </a:solidFill>
              <a:ln>
                <a:solidFill>
                  <a:schemeClr val="tx1">
                    <a:lumMod val="95000"/>
                    <a:lumOff val="5000"/>
                  </a:schemeClr>
                </a:solidFill>
              </a:ln>
            </c:spPr>
          </c:marker>
          <c:cat>
            <c:multiLvlStrRef>
              <c:f>'GRAF příspěvky IPP'!$Z$25:$BH$26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IPP'!$Z$35:$BH$35</c:f>
              <c:numCache>
                <c:formatCode>0.0</c:formatCode>
                <c:ptCount val="35"/>
                <c:pt idx="0">
                  <c:v>4.4694819294999997</c:v>
                </c:pt>
                <c:pt idx="1">
                  <c:v>8.0757287747999982</c:v>
                </c:pt>
                <c:pt idx="2">
                  <c:v>6.4710085308000087</c:v>
                </c:pt>
                <c:pt idx="3">
                  <c:v>7.2646448002000028</c:v>
                </c:pt>
                <c:pt idx="4">
                  <c:v>4.3462152320000023</c:v>
                </c:pt>
                <c:pt idx="5">
                  <c:v>2.4365124654999999</c:v>
                </c:pt>
                <c:pt idx="6">
                  <c:v>3.7641930207000152</c:v>
                </c:pt>
                <c:pt idx="7">
                  <c:v>1.5933483905999972</c:v>
                </c:pt>
                <c:pt idx="8">
                  <c:v>0.4723006000999681</c:v>
                </c:pt>
                <c:pt idx="9">
                  <c:v>0.71920116619999552</c:v>
                </c:pt>
                <c:pt idx="10">
                  <c:v>-1.5414330486000432</c:v>
                </c:pt>
                <c:pt idx="11">
                  <c:v>-1.7724070997000025</c:v>
                </c:pt>
                <c:pt idx="12">
                  <c:v>-4.2521142571000103</c:v>
                </c:pt>
                <c:pt idx="13">
                  <c:v>-21.785210571700009</c:v>
                </c:pt>
                <c:pt idx="14">
                  <c:v>-3.0649898566999898</c:v>
                </c:pt>
                <c:pt idx="15">
                  <c:v>1.6725311280999948</c:v>
                </c:pt>
                <c:pt idx="16">
                  <c:v>4.115450200800006</c:v>
                </c:pt>
                <c:pt idx="17">
                  <c:v>26.254551273400004</c:v>
                </c:pt>
                <c:pt idx="18">
                  <c:v>0.54726725829999734</c:v>
                </c:pt>
                <c:pt idx="19">
                  <c:v>-1.5377244774000041</c:v>
                </c:pt>
                <c:pt idx="20">
                  <c:v>0.51390065830000253</c:v>
                </c:pt>
                <c:pt idx="21">
                  <c:v>0.58349062259999585</c:v>
                </c:pt>
                <c:pt idx="22">
                  <c:v>5.0280369877999931</c:v>
                </c:pt>
                <c:pt idx="23">
                  <c:v>2.3960516152999958</c:v>
                </c:pt>
                <c:pt idx="24">
                  <c:v>0.5398389619000028</c:v>
                </c:pt>
                <c:pt idx="25">
                  <c:v>0.27186855659999765</c:v>
                </c:pt>
                <c:pt idx="26">
                  <c:v>-3.4302689802999993</c:v>
                </c:pt>
                <c:pt idx="27">
                  <c:v>-0.73538405089999515</c:v>
                </c:pt>
                <c:pt idx="28">
                  <c:v>-1.0372321059000029</c:v>
                </c:pt>
                <c:pt idx="29">
                  <c:v>-1.5603240009999979</c:v>
                </c:pt>
                <c:pt idx="30">
                  <c:v>0.751893807299993</c:v>
                </c:pt>
                <c:pt idx="31">
                  <c:v>-2.2015554480999953</c:v>
                </c:pt>
                <c:pt idx="32">
                  <c:v>0.69192337590000363</c:v>
                </c:pt>
                <c:pt idx="33">
                  <c:v>1.3274527874000057</c:v>
                </c:pt>
                <c:pt idx="34">
                  <c:v>0.43173803010000711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FA7-4C0A-BF86-510F0EE6C3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768128"/>
        <c:axId val="112769664"/>
      </c:lineChart>
      <c:lineChart>
        <c:grouping val="standard"/>
        <c:varyColors val="0"/>
        <c:ser>
          <c:idx val="9"/>
          <c:order val="9"/>
          <c:tx>
            <c:strRef>
              <c:f>'GRAF příspěvky IPP'!$A$36</c:f>
              <c:strCache>
                <c:ptCount val="1"/>
              </c:strCache>
            </c:strRef>
          </c:tx>
          <c:spPr>
            <a:ln w="15875">
              <a:noFill/>
              <a:prstDash val="sysDot"/>
            </a:ln>
          </c:spPr>
          <c:marker>
            <c:symbol val="none"/>
          </c:marker>
          <c:cat>
            <c:multiLvlStrRef>
              <c:f>'GRAF příspěvky IPP'!$Z$25:$BH$26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IPP'!$Z$36:$BH$36</c:f>
              <c:numCache>
                <c:formatCode>General</c:formatCode>
                <c:ptCount val="3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EFA7-4C0A-BF86-510F0EE6C334}"/>
            </c:ext>
          </c:extLst>
        </c:ser>
        <c:ser>
          <c:idx val="10"/>
          <c:order val="10"/>
          <c:tx>
            <c:strRef>
              <c:f>'GRAF příspěvky IPP'!$A$37</c:f>
              <c:strCache>
                <c:ptCount val="1"/>
                <c:pt idx="0">
                  <c:v>Produkce, prům. v ČR celkem (2021=100)</c:v>
                </c:pt>
              </c:strCache>
            </c:strRef>
          </c:tx>
          <c:spPr>
            <a:ln w="15875"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none"/>
          </c:marker>
          <c:cat>
            <c:multiLvlStrRef>
              <c:f>'GRAF příspěvky IPP'!$Z$25:$BH$26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IPP'!$Z$37:$BH$37</c:f>
              <c:numCache>
                <c:formatCode>#\ ##0.#</c:formatCode>
                <c:ptCount val="35"/>
                <c:pt idx="0">
                  <c:v>95.6</c:v>
                </c:pt>
                <c:pt idx="1">
                  <c:v>98.6</c:v>
                </c:pt>
                <c:pt idx="2">
                  <c:v>98.2</c:v>
                </c:pt>
                <c:pt idx="3">
                  <c:v>100.1</c:v>
                </c:pt>
                <c:pt idx="4">
                  <c:v>100.1</c:v>
                </c:pt>
                <c:pt idx="5">
                  <c:v>101.1</c:v>
                </c:pt>
                <c:pt idx="6">
                  <c:v>102</c:v>
                </c:pt>
                <c:pt idx="7">
                  <c:v>101.3</c:v>
                </c:pt>
                <c:pt idx="8">
                  <c:v>100.6</c:v>
                </c:pt>
                <c:pt idx="9">
                  <c:v>102.2</c:v>
                </c:pt>
                <c:pt idx="10">
                  <c:v>100.1</c:v>
                </c:pt>
                <c:pt idx="11">
                  <c:v>99.4</c:v>
                </c:pt>
                <c:pt idx="12">
                  <c:v>96.7</c:v>
                </c:pt>
                <c:pt idx="13">
                  <c:v>80.2</c:v>
                </c:pt>
                <c:pt idx="14">
                  <c:v>97</c:v>
                </c:pt>
                <c:pt idx="15">
                  <c:v>101.1</c:v>
                </c:pt>
                <c:pt idx="16">
                  <c:v>99.6</c:v>
                </c:pt>
                <c:pt idx="17">
                  <c:v>100.6</c:v>
                </c:pt>
                <c:pt idx="18">
                  <c:v>98.5</c:v>
                </c:pt>
                <c:pt idx="19">
                  <c:v>99.3</c:v>
                </c:pt>
                <c:pt idx="20">
                  <c:v>100.7</c:v>
                </c:pt>
                <c:pt idx="21">
                  <c:v>101.3</c:v>
                </c:pt>
                <c:pt idx="22">
                  <c:v>102.8</c:v>
                </c:pt>
                <c:pt idx="23">
                  <c:v>101.9</c:v>
                </c:pt>
                <c:pt idx="24">
                  <c:v>101.3</c:v>
                </c:pt>
                <c:pt idx="25">
                  <c:v>101.4</c:v>
                </c:pt>
                <c:pt idx="26">
                  <c:v>99.3</c:v>
                </c:pt>
                <c:pt idx="27">
                  <c:v>101.5</c:v>
                </c:pt>
                <c:pt idx="28">
                  <c:v>100.2</c:v>
                </c:pt>
                <c:pt idx="29">
                  <c:v>99.8</c:v>
                </c:pt>
                <c:pt idx="30">
                  <c:v>99.9</c:v>
                </c:pt>
                <c:pt idx="31">
                  <c:v>99.2</c:v>
                </c:pt>
                <c:pt idx="32">
                  <c:v>100.8</c:v>
                </c:pt>
                <c:pt idx="33">
                  <c:v>101.1</c:v>
                </c:pt>
                <c:pt idx="34">
                  <c:v>100.3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EFA7-4C0A-BF86-510F0EE6C334}"/>
            </c:ext>
          </c:extLst>
        </c:ser>
        <c:ser>
          <c:idx val="11"/>
          <c:order val="11"/>
          <c:tx>
            <c:strRef>
              <c:f>'GRAF příspěvky IPP'!$A$38</c:f>
              <c:strCache>
                <c:ptCount val="1"/>
                <c:pt idx="0">
                  <c:v>Produkce, prům. v EU27 celkem (2021=100)</c:v>
                </c:pt>
              </c:strCache>
            </c:strRef>
          </c:tx>
          <c:spPr>
            <a:ln w="15875">
              <a:solidFill>
                <a:schemeClr val="tx1">
                  <a:lumMod val="50000"/>
                  <a:lumOff val="50000"/>
                </a:schemeClr>
              </a:solidFill>
              <a:prstDash val="sysDash"/>
            </a:ln>
          </c:spPr>
          <c:marker>
            <c:symbol val="none"/>
          </c:marker>
          <c:cat>
            <c:multiLvlStrRef>
              <c:f>'GRAF příspěvky IPP'!$Z$25:$BH$26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IPP'!$Z$38:$BH$38</c:f>
              <c:numCache>
                <c:formatCode>#\ ##0.##########</c:formatCode>
                <c:ptCount val="35"/>
                <c:pt idx="0">
                  <c:v>96.1</c:v>
                </c:pt>
                <c:pt idx="1">
                  <c:v>97.3</c:v>
                </c:pt>
                <c:pt idx="2">
                  <c:v>98.7</c:v>
                </c:pt>
                <c:pt idx="3">
                  <c:v>100.6</c:v>
                </c:pt>
                <c:pt idx="4">
                  <c:v>99.2</c:v>
                </c:pt>
                <c:pt idx="5">
                  <c:v>99.7</c:v>
                </c:pt>
                <c:pt idx="6">
                  <c:v>99.4</c:v>
                </c:pt>
                <c:pt idx="7">
                  <c:v>99.1</c:v>
                </c:pt>
                <c:pt idx="8">
                  <c:v>99.4</c:v>
                </c:pt>
                <c:pt idx="9">
                  <c:v>99.3</c:v>
                </c:pt>
                <c:pt idx="10">
                  <c:v>98.7</c:v>
                </c:pt>
                <c:pt idx="11" formatCode="#\ ##0.0">
                  <c:v>98</c:v>
                </c:pt>
                <c:pt idx="12" formatCode="#\ ##0.0">
                  <c:v>95</c:v>
                </c:pt>
                <c:pt idx="13">
                  <c:v>80.3</c:v>
                </c:pt>
                <c:pt idx="14">
                  <c:v>93.5</c:v>
                </c:pt>
                <c:pt idx="15" formatCode="#\ ##0.0">
                  <c:v>98</c:v>
                </c:pt>
                <c:pt idx="16">
                  <c:v>99.4</c:v>
                </c:pt>
                <c:pt idx="17">
                  <c:v>100</c:v>
                </c:pt>
                <c:pt idx="18">
                  <c:v>99.8</c:v>
                </c:pt>
                <c:pt idx="19">
                  <c:v>100.8</c:v>
                </c:pt>
                <c:pt idx="20">
                  <c:v>101.7</c:v>
                </c:pt>
                <c:pt idx="21">
                  <c:v>102.4</c:v>
                </c:pt>
                <c:pt idx="22">
                  <c:v>103</c:v>
                </c:pt>
                <c:pt idx="23">
                  <c:v>102.8</c:v>
                </c:pt>
                <c:pt idx="24">
                  <c:v>102.8</c:v>
                </c:pt>
                <c:pt idx="25">
                  <c:v>102</c:v>
                </c:pt>
                <c:pt idx="26">
                  <c:v>99.8</c:v>
                </c:pt>
                <c:pt idx="27">
                  <c:v>99.8</c:v>
                </c:pt>
                <c:pt idx="28">
                  <c:v>98.7</c:v>
                </c:pt>
                <c:pt idx="29">
                  <c:v>98.7</c:v>
                </c:pt>
                <c:pt idx="30">
                  <c:v>98.5</c:v>
                </c:pt>
                <c:pt idx="31">
                  <c:v>98.5</c:v>
                </c:pt>
                <c:pt idx="32">
                  <c:v>99.8</c:v>
                </c:pt>
                <c:pt idx="33">
                  <c:v>99.9</c:v>
                </c:pt>
                <c:pt idx="34" formatCode="General">
                  <c:v>100.1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EFA7-4C0A-BF86-510F0EE6C334}"/>
            </c:ext>
          </c:extLst>
        </c:ser>
        <c:ser>
          <c:idx val="12"/>
          <c:order val="12"/>
          <c:tx>
            <c:strRef>
              <c:f>'GRAF příspěvky IPP'!$A$39</c:f>
              <c:strCache>
                <c:ptCount val="1"/>
                <c:pt idx="0">
                  <c:v>Produkce, prům. v Německu (2021=100)</c:v>
                </c:pt>
              </c:strCache>
            </c:strRef>
          </c:tx>
          <c:spPr>
            <a:ln w="15875">
              <a:solidFill>
                <a:srgbClr val="996633"/>
              </a:solidFill>
              <a:prstDash val="dash"/>
            </a:ln>
          </c:spPr>
          <c:marker>
            <c:symbol val="none"/>
          </c:marker>
          <c:cat>
            <c:multiLvlStrRef>
              <c:f>'GRAF příspěvky IPP'!$Z$25:$BH$26</c:f>
              <c:multiLvlStrCache>
                <c:ptCount val="3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'GRAF příspěvky IPP'!$Z$39:$BH$39</c:f>
              <c:numCache>
                <c:formatCode>#\ ##0.0</c:formatCode>
                <c:ptCount val="35"/>
                <c:pt idx="0">
                  <c:v>105</c:v>
                </c:pt>
                <c:pt idx="1">
                  <c:v>107</c:v>
                </c:pt>
                <c:pt idx="2" formatCode="#\ ##0.##########">
                  <c:v>108.8</c:v>
                </c:pt>
                <c:pt idx="3" formatCode="#\ ##0.##########">
                  <c:v>109.6</c:v>
                </c:pt>
                <c:pt idx="4">
                  <c:v>109</c:v>
                </c:pt>
                <c:pt idx="5" formatCode="#\ ##0.##########">
                  <c:v>109.8</c:v>
                </c:pt>
                <c:pt idx="6" formatCode="#\ ##0.##########">
                  <c:v>108.8</c:v>
                </c:pt>
                <c:pt idx="7" formatCode="#\ ##0.##########">
                  <c:v>107.2</c:v>
                </c:pt>
                <c:pt idx="8">
                  <c:v>107</c:v>
                </c:pt>
                <c:pt idx="9" formatCode="#\ ##0.##########">
                  <c:v>105.8</c:v>
                </c:pt>
                <c:pt idx="10" formatCode="#\ ##0.##########">
                  <c:v>104.6</c:v>
                </c:pt>
                <c:pt idx="11" formatCode="#\ ##0.##########">
                  <c:v>102.9</c:v>
                </c:pt>
                <c:pt idx="12" formatCode="#\ ##0.##########">
                  <c:v>101.3</c:v>
                </c:pt>
                <c:pt idx="13" formatCode="#\ ##0.##########">
                  <c:v>82.9</c:v>
                </c:pt>
                <c:pt idx="14" formatCode="#\ ##0.##########">
                  <c:v>94.8</c:v>
                </c:pt>
                <c:pt idx="15" formatCode="#\ ##0.##########">
                  <c:v>100.9</c:v>
                </c:pt>
                <c:pt idx="16" formatCode="#\ ##0.##########">
                  <c:v>100.7</c:v>
                </c:pt>
                <c:pt idx="17" formatCode="#\ ##0.##########">
                  <c:v>99.9</c:v>
                </c:pt>
                <c:pt idx="18">
                  <c:v>97</c:v>
                </c:pt>
                <c:pt idx="19">
                  <c:v>100</c:v>
                </c:pt>
                <c:pt idx="20" formatCode="#\ ##0.##########">
                  <c:v>99.2</c:v>
                </c:pt>
                <c:pt idx="21" formatCode="#\ ##0.##########">
                  <c:v>98.8</c:v>
                </c:pt>
                <c:pt idx="22" formatCode="#\ ##0.##########">
                  <c:v>99.4</c:v>
                </c:pt>
                <c:pt idx="23">
                  <c:v>99</c:v>
                </c:pt>
                <c:pt idx="24" formatCode="#\ ##0.##########">
                  <c:v>99.9</c:v>
                </c:pt>
                <c:pt idx="25" formatCode="#\ ##0.##########">
                  <c:v>98.4</c:v>
                </c:pt>
                <c:pt idx="26">
                  <c:v>96</c:v>
                </c:pt>
                <c:pt idx="27" formatCode="#\ ##0.##########">
                  <c:v>94.6</c:v>
                </c:pt>
                <c:pt idx="28" formatCode="#\ ##0.##########">
                  <c:v>94.4</c:v>
                </c:pt>
                <c:pt idx="29" formatCode="#\ ##0.##########">
                  <c:v>93.2</c:v>
                </c:pt>
                <c:pt idx="30">
                  <c:v>92</c:v>
                </c:pt>
                <c:pt idx="31" formatCode="#\ ##0.##########">
                  <c:v>91.4</c:v>
                </c:pt>
                <c:pt idx="32" formatCode="#\ ##0.##########">
                  <c:v>92.2</c:v>
                </c:pt>
                <c:pt idx="33" formatCode="#\ ##0.##########">
                  <c:v>91.9</c:v>
                </c:pt>
                <c:pt idx="34" formatCode="General">
                  <c:v>91.1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EFA7-4C0A-BF86-510F0EE6C3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3731104"/>
        <c:axId val="1513729024"/>
      </c:lineChart>
      <c:catAx>
        <c:axId val="11276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112769664"/>
        <c:crosses val="autoZero"/>
        <c:auto val="1"/>
        <c:lblAlgn val="ctr"/>
        <c:lblOffset val="0"/>
        <c:noMultiLvlLbl val="0"/>
      </c:catAx>
      <c:valAx>
        <c:axId val="112769664"/>
        <c:scaling>
          <c:orientation val="minMax"/>
          <c:max val="28"/>
          <c:min val="-24"/>
        </c:scaling>
        <c:delete val="0"/>
        <c:axPos val="l"/>
        <c:majorGridlines>
          <c:spPr>
            <a:ln>
              <a:solidFill>
                <a:srgbClr val="BEBEBE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cs-CZ" sz="700" b="0" i="1" u="none" strike="noStrike" baseline="0">
                    <a:effectLst/>
                  </a:rPr>
                  <a:t>Prům. produkce (příspěvky  k meziroč. změně)</a:t>
                </a:r>
                <a:endParaRPr lang="cs-CZ" sz="700" b="0" i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0.116519800431869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112768128"/>
        <c:crosses val="autoZero"/>
        <c:crossBetween val="between"/>
        <c:majorUnit val="4"/>
      </c:valAx>
      <c:valAx>
        <c:axId val="1513729024"/>
        <c:scaling>
          <c:orientation val="minMax"/>
          <c:max val="115"/>
          <c:min val="5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cs-CZ" sz="700" b="0" i="1">
                    <a:latin typeface="Arial" panose="020B0604020202020204" pitchFamily="34" charset="0"/>
                    <a:cs typeface="Arial" panose="020B0604020202020204" pitchFamily="34" charset="0"/>
                  </a:rPr>
                  <a:t>Produkce</a:t>
                </a:r>
                <a:r>
                  <a:rPr lang="cs-CZ" sz="700" b="0" i="1" baseline="0"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  <a:r>
                  <a:rPr lang="cs-CZ" sz="700" b="0" i="1">
                    <a:latin typeface="Arial" panose="020B0604020202020204" pitchFamily="34" charset="0"/>
                    <a:cs typeface="Arial" panose="020B0604020202020204" pitchFamily="34" charset="0"/>
                  </a:rPr>
                  <a:t>v průmyslu (báze 2021=100)</a:t>
                </a:r>
              </a:p>
            </c:rich>
          </c:tx>
          <c:layout>
            <c:manualLayout>
              <c:xMode val="edge"/>
              <c:yMode val="edge"/>
              <c:x val="0.97040158454025283"/>
              <c:y val="0.1664992231222941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1513731104"/>
        <c:crosses val="max"/>
        <c:crossBetween val="between"/>
        <c:majorUnit val="5"/>
      </c:valAx>
      <c:catAx>
        <c:axId val="15137311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13729024"/>
        <c:crosses val="autoZero"/>
        <c:auto val="1"/>
        <c:lblAlgn val="ctr"/>
        <c:lblOffset val="100"/>
        <c:noMultiLvlLbl val="0"/>
      </c:catAx>
      <c:spPr>
        <a:noFill/>
        <a:ln w="6350">
          <a:solidFill>
            <a:prstClr val="black">
              <a:lumMod val="95000"/>
              <a:lumOff val="5000"/>
            </a:prstClr>
          </a:solidFill>
        </a:ln>
      </c:spPr>
    </c:plotArea>
    <c:legend>
      <c:legendPos val="r"/>
      <c:layout>
        <c:manualLayout>
          <c:xMode val="edge"/>
          <c:yMode val="edge"/>
          <c:x val="7.9971508545710578E-3"/>
          <c:y val="0.78956518157248545"/>
          <c:w val="0.97852638170448147"/>
          <c:h val="0.20355147830569023"/>
        </c:manualLayout>
      </c:layout>
      <c:overlay val="0"/>
      <c:spPr>
        <a:ln w="6350">
          <a:solidFill>
            <a:prstClr val="black">
              <a:lumMod val="95000"/>
              <a:lumOff val="5000"/>
            </a:prstClr>
          </a:solidFill>
        </a:ln>
      </c:spPr>
      <c:txPr>
        <a:bodyPr/>
        <a:lstStyle/>
        <a:p>
          <a:pPr>
            <a:defRPr sz="720">
              <a:latin typeface="Arial" pitchFamily="34" charset="0"/>
              <a:cs typeface="Arial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688042665536843E-2"/>
          <c:y val="1.5647041011259352E-2"/>
          <c:w val="0.84974974879787502"/>
          <c:h val="0.7506360221430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'výkonnost odvětví 2'!$A$36</c:f>
              <c:strCache>
                <c:ptCount val="1"/>
                <c:pt idx="0">
                  <c:v>Průmyslové zakázky celkem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</c:spPr>
          <c:invertIfNegative val="0"/>
          <c:cat>
            <c:multiLvlStrRef>
              <c:f>'výkonnost odvětví 2'!$AD$34:$BI$35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2'!$AD$36:$BI$36</c:f>
              <c:numCache>
                <c:formatCode>##0.0</c:formatCode>
                <c:ptCount val="32"/>
                <c:pt idx="0">
                  <c:v>3.2993551214999997</c:v>
                </c:pt>
                <c:pt idx="1">
                  <c:v>2.9773571834000023</c:v>
                </c:pt>
                <c:pt idx="2">
                  <c:v>3.5300064828000046</c:v>
                </c:pt>
                <c:pt idx="3">
                  <c:v>2.4324207204000032</c:v>
                </c:pt>
                <c:pt idx="4">
                  <c:v>3.2234606388999936</c:v>
                </c:pt>
                <c:pt idx="5">
                  <c:v>2.1291359181000047</c:v>
                </c:pt>
                <c:pt idx="6">
                  <c:v>-1.1496242270000039</c:v>
                </c:pt>
                <c:pt idx="7">
                  <c:v>-2.8233445845000062</c:v>
                </c:pt>
                <c:pt idx="8">
                  <c:v>-4.1421474552000035</c:v>
                </c:pt>
                <c:pt idx="9">
                  <c:v>-27.261303375300002</c:v>
                </c:pt>
                <c:pt idx="10">
                  <c:v>-0.61408028729999842</c:v>
                </c:pt>
                <c:pt idx="11">
                  <c:v>6.5219093458999993</c:v>
                </c:pt>
                <c:pt idx="12">
                  <c:v>10.604221832500002</c:v>
                </c:pt>
                <c:pt idx="13">
                  <c:v>46.722181896899997</c:v>
                </c:pt>
                <c:pt idx="14">
                  <c:v>7.4523549383000045</c:v>
                </c:pt>
                <c:pt idx="15">
                  <c:v>4.0113188134999973</c:v>
                </c:pt>
                <c:pt idx="16">
                  <c:v>6.3534253849000066</c:v>
                </c:pt>
                <c:pt idx="17">
                  <c:v>10.095401733900005</c:v>
                </c:pt>
                <c:pt idx="18">
                  <c:v>15.273213573099994</c:v>
                </c:pt>
                <c:pt idx="19">
                  <c:v>12.588840418900006</c:v>
                </c:pt>
                <c:pt idx="20">
                  <c:v>3.1207162441999969</c:v>
                </c:pt>
                <c:pt idx="21">
                  <c:v>-2.2356806700999954</c:v>
                </c:pt>
                <c:pt idx="22">
                  <c:v>-3.8269700698999998</c:v>
                </c:pt>
                <c:pt idx="23">
                  <c:v>-0.94618603920000055</c:v>
                </c:pt>
                <c:pt idx="24">
                  <c:v>4.5035677091999986</c:v>
                </c:pt>
                <c:pt idx="25">
                  <c:v>4.4744449269000057</c:v>
                </c:pt>
                <c:pt idx="26">
                  <c:v>4.3540986347999961</c:v>
                </c:pt>
                <c:pt idx="27">
                  <c:v>1.2154048434999964</c:v>
                </c:pt>
                <c:pt idx="28">
                  <c:v>-0.56085140519999754</c:v>
                </c:pt>
                <c:pt idx="29" formatCode="#\ ##0.0">
                  <c:v>2.6813055046000045</c:v>
                </c:pt>
                <c:pt idx="30" formatCode="#\ ##0.0">
                  <c:v>1.8869305040000057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76-4F51-92A9-A8925FC45D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12768128"/>
        <c:axId val="112769664"/>
      </c:barChart>
      <c:lineChart>
        <c:grouping val="standard"/>
        <c:varyColors val="0"/>
        <c:ser>
          <c:idx val="1"/>
          <c:order val="1"/>
          <c:tx>
            <c:strRef>
              <c:f>'výkonnost odvětví 2'!$A$37</c:f>
              <c:strCache>
                <c:ptCount val="1"/>
                <c:pt idx="0">
                  <c:v>z toho: zakázky z tuzemska</c:v>
                </c:pt>
              </c:strCache>
            </c:strRef>
          </c:tx>
          <c:spPr>
            <a:ln w="15875">
              <a:noFill/>
              <a:prstDash val="sysDot"/>
            </a:ln>
          </c:spPr>
          <c:marker>
            <c:symbol val="diamond"/>
            <c:size val="5"/>
            <c:spPr>
              <a:solidFill>
                <a:srgbClr val="984807"/>
              </a:solidFill>
              <a:ln>
                <a:noFill/>
              </a:ln>
            </c:spPr>
          </c:marker>
          <c:cat>
            <c:multiLvlStrRef>
              <c:f>'výkonnost odvětví 2'!$AD$34:$BI$35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2'!$AD$37:$BI$37</c:f>
              <c:numCache>
                <c:formatCode>##0.0</c:formatCode>
                <c:ptCount val="32"/>
                <c:pt idx="0">
                  <c:v>2.1530605192999985</c:v>
                </c:pt>
                <c:pt idx="1">
                  <c:v>2.440306231799994</c:v>
                </c:pt>
                <c:pt idx="2">
                  <c:v>4.7510172912000002</c:v>
                </c:pt>
                <c:pt idx="3">
                  <c:v>3.3084884759999937</c:v>
                </c:pt>
                <c:pt idx="4">
                  <c:v>7.6964313707999992</c:v>
                </c:pt>
                <c:pt idx="5">
                  <c:v>5.9656126075999936</c:v>
                </c:pt>
                <c:pt idx="6">
                  <c:v>0.2850715043000065</c:v>
                </c:pt>
                <c:pt idx="7">
                  <c:v>-0.84674153630000148</c:v>
                </c:pt>
                <c:pt idx="8">
                  <c:v>0.84542569580000304</c:v>
                </c:pt>
                <c:pt idx="9">
                  <c:v>-25.680778364399998</c:v>
                </c:pt>
                <c:pt idx="10">
                  <c:v>-3.379983194199994</c:v>
                </c:pt>
                <c:pt idx="11">
                  <c:v>5.566224000099993</c:v>
                </c:pt>
                <c:pt idx="12">
                  <c:v>2.1982099360999996</c:v>
                </c:pt>
                <c:pt idx="13">
                  <c:v>42.207087169400012</c:v>
                </c:pt>
                <c:pt idx="14">
                  <c:v>9.2769949725999936</c:v>
                </c:pt>
                <c:pt idx="15">
                  <c:v>5.7605738106999951</c:v>
                </c:pt>
                <c:pt idx="16">
                  <c:v>8.7144746098999946</c:v>
                </c:pt>
                <c:pt idx="17">
                  <c:v>15.451244821200007</c:v>
                </c:pt>
                <c:pt idx="18">
                  <c:v>26.226602082599996</c:v>
                </c:pt>
                <c:pt idx="19">
                  <c:v>19.302829594299993</c:v>
                </c:pt>
                <c:pt idx="20">
                  <c:v>11.963044261999997</c:v>
                </c:pt>
                <c:pt idx="21">
                  <c:v>2.3959820145000066</c:v>
                </c:pt>
                <c:pt idx="22">
                  <c:v>-6.7605295646000059</c:v>
                </c:pt>
                <c:pt idx="23">
                  <c:v>-0.67894812849999653</c:v>
                </c:pt>
                <c:pt idx="24">
                  <c:v>3.5089086862000016</c:v>
                </c:pt>
                <c:pt idx="25">
                  <c:v>3.0662271314999998</c:v>
                </c:pt>
                <c:pt idx="26">
                  <c:v>7.8368662561999969</c:v>
                </c:pt>
                <c:pt idx="27">
                  <c:v>2.4205507703999984</c:v>
                </c:pt>
                <c:pt idx="28">
                  <c:v>-0.15167300800000305</c:v>
                </c:pt>
                <c:pt idx="29" formatCode="#\ ##0.0">
                  <c:v>1.4789178596000028</c:v>
                </c:pt>
                <c:pt idx="30" formatCode="#\ ##0.0">
                  <c:v>4.0334668283999946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C76-4F51-92A9-A8925FC45D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768128"/>
        <c:axId val="112769664"/>
      </c:lineChart>
      <c:lineChart>
        <c:grouping val="standard"/>
        <c:varyColors val="0"/>
        <c:ser>
          <c:idx val="2"/>
          <c:order val="2"/>
          <c:tx>
            <c:strRef>
              <c:f>'výkonnost odvětví 2'!$A$38</c:f>
              <c:strCache>
                <c:ptCount val="1"/>
                <c:pt idx="0">
                  <c:v>Využití výrob. kapacit v průmyslu celkem</c:v>
                </c:pt>
              </c:strCache>
            </c:strRef>
          </c:tx>
          <c:spPr>
            <a:ln w="15875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multiLvlStrRef>
              <c:f>'výkonnost odvětví 2'!$AD$34:$BI$35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2'!$AD$38:$BI$38</c:f>
              <c:numCache>
                <c:formatCode>##0.0</c:formatCode>
                <c:ptCount val="32"/>
                <c:pt idx="0">
                  <c:v>85.33</c:v>
                </c:pt>
                <c:pt idx="1">
                  <c:v>84.89</c:v>
                </c:pt>
                <c:pt idx="2">
                  <c:v>85.13</c:v>
                </c:pt>
                <c:pt idx="3">
                  <c:v>84.76</c:v>
                </c:pt>
                <c:pt idx="4">
                  <c:v>84.93</c:v>
                </c:pt>
                <c:pt idx="5">
                  <c:v>85.19</c:v>
                </c:pt>
                <c:pt idx="6">
                  <c:v>83.6</c:v>
                </c:pt>
                <c:pt idx="7">
                  <c:v>83.7</c:v>
                </c:pt>
                <c:pt idx="8">
                  <c:v>84.2</c:v>
                </c:pt>
                <c:pt idx="9">
                  <c:v>70.400000000000006</c:v>
                </c:pt>
                <c:pt idx="10">
                  <c:v>76.3</c:v>
                </c:pt>
                <c:pt idx="11">
                  <c:v>82.7</c:v>
                </c:pt>
                <c:pt idx="12">
                  <c:v>85.8</c:v>
                </c:pt>
                <c:pt idx="13">
                  <c:v>84.4</c:v>
                </c:pt>
                <c:pt idx="14">
                  <c:v>86.41</c:v>
                </c:pt>
                <c:pt idx="15">
                  <c:v>77.599999999999994</c:v>
                </c:pt>
                <c:pt idx="16">
                  <c:v>83.6</c:v>
                </c:pt>
                <c:pt idx="17">
                  <c:v>82.17</c:v>
                </c:pt>
                <c:pt idx="18">
                  <c:v>83.5</c:v>
                </c:pt>
                <c:pt idx="19">
                  <c:v>81.099999999999994</c:v>
                </c:pt>
                <c:pt idx="20">
                  <c:v>81.400000000000006</c:v>
                </c:pt>
                <c:pt idx="21">
                  <c:v>83.7</c:v>
                </c:pt>
                <c:pt idx="22">
                  <c:v>83.5</c:v>
                </c:pt>
                <c:pt idx="23">
                  <c:v>83.6</c:v>
                </c:pt>
                <c:pt idx="24">
                  <c:v>83.1</c:v>
                </c:pt>
                <c:pt idx="25">
                  <c:v>83</c:v>
                </c:pt>
                <c:pt idx="26">
                  <c:v>80.599999999999994</c:v>
                </c:pt>
                <c:pt idx="27">
                  <c:v>82.47</c:v>
                </c:pt>
                <c:pt idx="28">
                  <c:v>82.7</c:v>
                </c:pt>
                <c:pt idx="29">
                  <c:v>83.36</c:v>
                </c:pt>
                <c:pt idx="30">
                  <c:v>84.2</c:v>
                </c:pt>
                <c:pt idx="31">
                  <c:v>84.334999999999994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C76-4F51-92A9-A8925FC45D39}"/>
            </c:ext>
          </c:extLst>
        </c:ser>
        <c:ser>
          <c:idx val="3"/>
          <c:order val="3"/>
          <c:tx>
            <c:strRef>
              <c:f>'výkonnost odvětví 2'!$A$39</c:f>
              <c:strCache>
                <c:ptCount val="1"/>
                <c:pt idx="0">
                  <c:v>Využití výrob. kapacit v automobil. prům.</c:v>
                </c:pt>
              </c:strCache>
            </c:strRef>
          </c:tx>
          <c:spPr>
            <a:ln w="15875">
              <a:solidFill>
                <a:schemeClr val="accent6">
                  <a:lumMod val="75000"/>
                </a:schemeClr>
              </a:solidFill>
              <a:prstDash val="sysDash"/>
            </a:ln>
          </c:spPr>
          <c:marker>
            <c:symbol val="none"/>
          </c:marker>
          <c:cat>
            <c:multiLvlStrRef>
              <c:f>'výkonnost odvětví 2'!$AD$34:$BI$35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2'!$AD$39:$BI$39</c:f>
              <c:numCache>
                <c:formatCode>##0.0</c:formatCode>
                <c:ptCount val="32"/>
                <c:pt idx="0">
                  <c:v>91.4</c:v>
                </c:pt>
                <c:pt idx="1">
                  <c:v>91.3</c:v>
                </c:pt>
                <c:pt idx="2">
                  <c:v>92.9</c:v>
                </c:pt>
                <c:pt idx="3">
                  <c:v>92.5</c:v>
                </c:pt>
                <c:pt idx="4">
                  <c:v>92.9</c:v>
                </c:pt>
                <c:pt idx="5">
                  <c:v>92.7</c:v>
                </c:pt>
                <c:pt idx="6">
                  <c:v>92.8</c:v>
                </c:pt>
                <c:pt idx="7">
                  <c:v>93</c:v>
                </c:pt>
                <c:pt idx="8">
                  <c:v>90.6</c:v>
                </c:pt>
                <c:pt idx="9">
                  <c:v>45</c:v>
                </c:pt>
                <c:pt idx="10">
                  <c:v>79.099999999999994</c:v>
                </c:pt>
                <c:pt idx="11">
                  <c:v>96.9</c:v>
                </c:pt>
                <c:pt idx="12">
                  <c:v>94.9</c:v>
                </c:pt>
                <c:pt idx="13">
                  <c:v>89.6</c:v>
                </c:pt>
                <c:pt idx="14">
                  <c:v>95.3</c:v>
                </c:pt>
                <c:pt idx="15">
                  <c:v>55.8</c:v>
                </c:pt>
                <c:pt idx="16">
                  <c:v>84.5</c:v>
                </c:pt>
                <c:pt idx="17">
                  <c:v>76.7</c:v>
                </c:pt>
                <c:pt idx="18">
                  <c:v>79</c:v>
                </c:pt>
                <c:pt idx="19">
                  <c:v>74.099999999999994</c:v>
                </c:pt>
                <c:pt idx="20">
                  <c:v>79.400000000000006</c:v>
                </c:pt>
                <c:pt idx="21">
                  <c:v>92.7</c:v>
                </c:pt>
                <c:pt idx="22">
                  <c:v>92.2</c:v>
                </c:pt>
                <c:pt idx="23">
                  <c:v>92.2</c:v>
                </c:pt>
                <c:pt idx="24">
                  <c:v>92.7</c:v>
                </c:pt>
                <c:pt idx="25">
                  <c:v>93.5</c:v>
                </c:pt>
                <c:pt idx="26">
                  <c:v>89.9</c:v>
                </c:pt>
                <c:pt idx="27">
                  <c:v>92.9</c:v>
                </c:pt>
                <c:pt idx="28">
                  <c:v>93.100000000000009</c:v>
                </c:pt>
                <c:pt idx="29">
                  <c:v>91.5</c:v>
                </c:pt>
                <c:pt idx="30">
                  <c:v>99.9</c:v>
                </c:pt>
                <c:pt idx="31">
                  <c:v>99.4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C76-4F51-92A9-A8925FC45D39}"/>
            </c:ext>
          </c:extLst>
        </c:ser>
        <c:ser>
          <c:idx val="4"/>
          <c:order val="4"/>
          <c:tx>
            <c:strRef>
              <c:f>'výkonnost odvětví 2'!$A$40</c:f>
              <c:strCache>
                <c:ptCount val="1"/>
                <c:pt idx="0">
                  <c:v>Bariéra růstu: nedostatečná poptávka</c:v>
                </c:pt>
              </c:strCache>
            </c:strRef>
          </c:tx>
          <c:spPr>
            <a:ln w="15875">
              <a:solidFill>
                <a:srgbClr val="00B050"/>
              </a:solidFill>
              <a:prstDash val="solid"/>
            </a:ln>
          </c:spPr>
          <c:marker>
            <c:symbol val="none"/>
          </c:marker>
          <c:cat>
            <c:multiLvlStrRef>
              <c:f>'výkonnost odvětví 2'!$AD$34:$BI$35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2'!$AD$40:$BI$40</c:f>
              <c:numCache>
                <c:formatCode>#\ ##0.0</c:formatCode>
                <c:ptCount val="32"/>
                <c:pt idx="0">
                  <c:v>35.4</c:v>
                </c:pt>
                <c:pt idx="1">
                  <c:v>36.299999999999997</c:v>
                </c:pt>
                <c:pt idx="2">
                  <c:v>32.4</c:v>
                </c:pt>
                <c:pt idx="3">
                  <c:v>32.9</c:v>
                </c:pt>
                <c:pt idx="4">
                  <c:v>33.799999999999997</c:v>
                </c:pt>
                <c:pt idx="5">
                  <c:v>36.200000000000003</c:v>
                </c:pt>
                <c:pt idx="6">
                  <c:v>41</c:v>
                </c:pt>
                <c:pt idx="7">
                  <c:v>47.1</c:v>
                </c:pt>
                <c:pt idx="8">
                  <c:v>49.8</c:v>
                </c:pt>
                <c:pt idx="9">
                  <c:v>58.8</c:v>
                </c:pt>
                <c:pt idx="10">
                  <c:v>63</c:v>
                </c:pt>
                <c:pt idx="11">
                  <c:v>44.4</c:v>
                </c:pt>
                <c:pt idx="12">
                  <c:v>46.9</c:v>
                </c:pt>
                <c:pt idx="13">
                  <c:v>38.700000000000003</c:v>
                </c:pt>
                <c:pt idx="14">
                  <c:v>25.4</c:v>
                </c:pt>
                <c:pt idx="15">
                  <c:v>27.9</c:v>
                </c:pt>
                <c:pt idx="16">
                  <c:v>29.9</c:v>
                </c:pt>
                <c:pt idx="17">
                  <c:v>21.3</c:v>
                </c:pt>
                <c:pt idx="18">
                  <c:v>18.7</c:v>
                </c:pt>
                <c:pt idx="19">
                  <c:v>29.4</c:v>
                </c:pt>
                <c:pt idx="20">
                  <c:v>42.5</c:v>
                </c:pt>
                <c:pt idx="21">
                  <c:v>42</c:v>
                </c:pt>
                <c:pt idx="22">
                  <c:v>44.3</c:v>
                </c:pt>
                <c:pt idx="23">
                  <c:v>46.2</c:v>
                </c:pt>
                <c:pt idx="24">
                  <c:v>47.5</c:v>
                </c:pt>
                <c:pt idx="25">
                  <c:v>49.8</c:v>
                </c:pt>
                <c:pt idx="26">
                  <c:v>52</c:v>
                </c:pt>
                <c:pt idx="27">
                  <c:v>49</c:v>
                </c:pt>
                <c:pt idx="28">
                  <c:v>63.5</c:v>
                </c:pt>
                <c:pt idx="29">
                  <c:v>51.7</c:v>
                </c:pt>
                <c:pt idx="30">
                  <c:v>52.7</c:v>
                </c:pt>
                <c:pt idx="31">
                  <c:v>54.2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C76-4F51-92A9-A8925FC45D39}"/>
            </c:ext>
          </c:extLst>
        </c:ser>
        <c:ser>
          <c:idx val="5"/>
          <c:order val="5"/>
          <c:tx>
            <c:strRef>
              <c:f>'výkonnost odvětví 2'!$A$41</c:f>
              <c:strCache>
                <c:ptCount val="1"/>
                <c:pt idx="0">
                  <c:v>Bariéra růstu: nedostatek pracovníků</c:v>
                </c:pt>
              </c:strCache>
            </c:strRef>
          </c:tx>
          <c:spPr>
            <a:ln w="15875">
              <a:solidFill>
                <a:srgbClr val="6FE772"/>
              </a:solidFill>
              <a:prstDash val="solid"/>
            </a:ln>
          </c:spPr>
          <c:marker>
            <c:symbol val="none"/>
          </c:marker>
          <c:cat>
            <c:multiLvlStrRef>
              <c:f>'výkonnost odvětví 2'!$AD$34:$BI$35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2'!$AD$41:$BI$41</c:f>
              <c:numCache>
                <c:formatCode>#\ ##0.0</c:formatCode>
                <c:ptCount val="32"/>
                <c:pt idx="0">
                  <c:v>43.5</c:v>
                </c:pt>
                <c:pt idx="1">
                  <c:v>42.3</c:v>
                </c:pt>
                <c:pt idx="2">
                  <c:v>43.2</c:v>
                </c:pt>
                <c:pt idx="3">
                  <c:v>46.3</c:v>
                </c:pt>
                <c:pt idx="4">
                  <c:v>39</c:v>
                </c:pt>
                <c:pt idx="5">
                  <c:v>35.1</c:v>
                </c:pt>
                <c:pt idx="6">
                  <c:v>40.200000000000003</c:v>
                </c:pt>
                <c:pt idx="7">
                  <c:v>39.200000000000003</c:v>
                </c:pt>
                <c:pt idx="8">
                  <c:v>27.7</c:v>
                </c:pt>
                <c:pt idx="9">
                  <c:v>13.5</c:v>
                </c:pt>
                <c:pt idx="10">
                  <c:v>16.7</c:v>
                </c:pt>
                <c:pt idx="11">
                  <c:v>17.600000000000001</c:v>
                </c:pt>
                <c:pt idx="12">
                  <c:v>22</c:v>
                </c:pt>
                <c:pt idx="13">
                  <c:v>18.399999999999999</c:v>
                </c:pt>
                <c:pt idx="14">
                  <c:v>27.6</c:v>
                </c:pt>
                <c:pt idx="15">
                  <c:v>22.6</c:v>
                </c:pt>
                <c:pt idx="16">
                  <c:v>24.9</c:v>
                </c:pt>
                <c:pt idx="17">
                  <c:v>18.600000000000001</c:v>
                </c:pt>
                <c:pt idx="18">
                  <c:v>26.1</c:v>
                </c:pt>
                <c:pt idx="19">
                  <c:v>24.9</c:v>
                </c:pt>
                <c:pt idx="20">
                  <c:v>16.600000000000001</c:v>
                </c:pt>
                <c:pt idx="21">
                  <c:v>20.6</c:v>
                </c:pt>
                <c:pt idx="22">
                  <c:v>18.899999999999999</c:v>
                </c:pt>
                <c:pt idx="23">
                  <c:v>22.5</c:v>
                </c:pt>
                <c:pt idx="24">
                  <c:v>14.6</c:v>
                </c:pt>
                <c:pt idx="25">
                  <c:v>11.8</c:v>
                </c:pt>
                <c:pt idx="26">
                  <c:v>12.8</c:v>
                </c:pt>
                <c:pt idx="27">
                  <c:v>17.8</c:v>
                </c:pt>
                <c:pt idx="28">
                  <c:v>13.2</c:v>
                </c:pt>
                <c:pt idx="29">
                  <c:v>10.6</c:v>
                </c:pt>
                <c:pt idx="30">
                  <c:v>9.6</c:v>
                </c:pt>
                <c:pt idx="31">
                  <c:v>11.8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C76-4F51-92A9-A8925FC45D39}"/>
            </c:ext>
          </c:extLst>
        </c:ser>
        <c:ser>
          <c:idx val="6"/>
          <c:order val="6"/>
          <c:tx>
            <c:strRef>
              <c:f>'výkonnost odvětví 2'!$A$42</c:f>
              <c:strCache>
                <c:ptCount val="1"/>
                <c:pt idx="0">
                  <c:v>Bariéra růstu: nedost. materiálu a zařízení</c:v>
                </c:pt>
              </c:strCache>
            </c:strRef>
          </c:tx>
          <c:spPr>
            <a:ln w="15875">
              <a:solidFill>
                <a:schemeClr val="accent3">
                  <a:lumMod val="75000"/>
                </a:schemeClr>
              </a:solidFill>
              <a:prstDash val="dash"/>
            </a:ln>
          </c:spPr>
          <c:marker>
            <c:symbol val="none"/>
          </c:marker>
          <c:cat>
            <c:multiLvlStrRef>
              <c:f>'výkonnost odvětví 2'!$AD$34:$BI$35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2'!$AD$42:$BI$42</c:f>
              <c:numCache>
                <c:formatCode>#\ ##0.0</c:formatCode>
                <c:ptCount val="32"/>
                <c:pt idx="0">
                  <c:v>11.9</c:v>
                </c:pt>
                <c:pt idx="1">
                  <c:v>11.7</c:v>
                </c:pt>
                <c:pt idx="2">
                  <c:v>13.9</c:v>
                </c:pt>
                <c:pt idx="3">
                  <c:v>23.5</c:v>
                </c:pt>
                <c:pt idx="4">
                  <c:v>26.4</c:v>
                </c:pt>
                <c:pt idx="5">
                  <c:v>24.7</c:v>
                </c:pt>
                <c:pt idx="6">
                  <c:v>22</c:v>
                </c:pt>
                <c:pt idx="7">
                  <c:v>10.5</c:v>
                </c:pt>
                <c:pt idx="8">
                  <c:v>17.899999999999999</c:v>
                </c:pt>
                <c:pt idx="9">
                  <c:v>10.199999999999999</c:v>
                </c:pt>
                <c:pt idx="10">
                  <c:v>6.7</c:v>
                </c:pt>
                <c:pt idx="11">
                  <c:v>10.9</c:v>
                </c:pt>
                <c:pt idx="12">
                  <c:v>23.1</c:v>
                </c:pt>
                <c:pt idx="13">
                  <c:v>32.1</c:v>
                </c:pt>
                <c:pt idx="14">
                  <c:v>45.9</c:v>
                </c:pt>
                <c:pt idx="15">
                  <c:v>41.2</c:v>
                </c:pt>
                <c:pt idx="16">
                  <c:v>39.299999999999997</c:v>
                </c:pt>
                <c:pt idx="17">
                  <c:v>47.8</c:v>
                </c:pt>
                <c:pt idx="18">
                  <c:v>53.4</c:v>
                </c:pt>
                <c:pt idx="19">
                  <c:v>46.4</c:v>
                </c:pt>
                <c:pt idx="20">
                  <c:v>37.4</c:v>
                </c:pt>
                <c:pt idx="21">
                  <c:v>32.5</c:v>
                </c:pt>
                <c:pt idx="22">
                  <c:v>20.6</c:v>
                </c:pt>
                <c:pt idx="23">
                  <c:v>17.100000000000001</c:v>
                </c:pt>
                <c:pt idx="24">
                  <c:v>32.700000000000003</c:v>
                </c:pt>
                <c:pt idx="25">
                  <c:v>28.1</c:v>
                </c:pt>
                <c:pt idx="26">
                  <c:v>13</c:v>
                </c:pt>
                <c:pt idx="27">
                  <c:v>24.7</c:v>
                </c:pt>
                <c:pt idx="28">
                  <c:v>11.9</c:v>
                </c:pt>
                <c:pt idx="29">
                  <c:v>25</c:v>
                </c:pt>
                <c:pt idx="30">
                  <c:v>11</c:v>
                </c:pt>
                <c:pt idx="31">
                  <c:v>11.2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C76-4F51-92A9-A8925FC45D39}"/>
            </c:ext>
          </c:extLst>
        </c:ser>
        <c:ser>
          <c:idx val="7"/>
          <c:order val="7"/>
          <c:tx>
            <c:strRef>
              <c:f>'výkonnost odvětví 2'!$A$43</c:f>
              <c:strCache>
                <c:ptCount val="1"/>
                <c:pt idx="0">
                  <c:v>Saldo souhrn. indik. důvěry v průmyslu</c:v>
                </c:pt>
              </c:strCache>
            </c:strRef>
          </c:tx>
          <c:spPr>
            <a:ln w="15875">
              <a:solidFill>
                <a:schemeClr val="bg1">
                  <a:lumMod val="65000"/>
                </a:schemeClr>
              </a:solidFill>
              <a:prstDash val="sysDot"/>
            </a:ln>
          </c:spPr>
          <c:marker>
            <c:symbol val="circle"/>
            <c:size val="5"/>
            <c:spPr>
              <a:solidFill>
                <a:srgbClr val="FFFF00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cat>
            <c:multiLvlStrRef>
              <c:f>'výkonnost odvětví 2'!$AD$34:$BI$35</c:f>
              <c:multiLvlStrCache>
                <c:ptCount val="3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</c:lvl>
              </c:multiLvlStrCache>
            </c:multiLvlStrRef>
          </c:cat>
          <c:val>
            <c:numRef>
              <c:f>'výkonnost odvětví 2'!$AD$43:$BI$43</c:f>
              <c:numCache>
                <c:formatCode>#\ ##0.0</c:formatCode>
                <c:ptCount val="32"/>
                <c:pt idx="0">
                  <c:v>3.7</c:v>
                </c:pt>
                <c:pt idx="1">
                  <c:v>2</c:v>
                </c:pt>
                <c:pt idx="2">
                  <c:v>2.2999999999999998</c:v>
                </c:pt>
                <c:pt idx="3">
                  <c:v>2.2999999999999998</c:v>
                </c:pt>
                <c:pt idx="4">
                  <c:v>0.3</c:v>
                </c:pt>
                <c:pt idx="5">
                  <c:v>-2</c:v>
                </c:pt>
                <c:pt idx="6">
                  <c:v>-3</c:v>
                </c:pt>
                <c:pt idx="7">
                  <c:v>-6.7</c:v>
                </c:pt>
                <c:pt idx="8">
                  <c:v>-5</c:v>
                </c:pt>
                <c:pt idx="9">
                  <c:v>-25</c:v>
                </c:pt>
                <c:pt idx="10">
                  <c:v>-6.3</c:v>
                </c:pt>
                <c:pt idx="11">
                  <c:v>-10</c:v>
                </c:pt>
                <c:pt idx="12">
                  <c:v>-1.3</c:v>
                </c:pt>
                <c:pt idx="13">
                  <c:v>5.3</c:v>
                </c:pt>
                <c:pt idx="14">
                  <c:v>-1.3</c:v>
                </c:pt>
                <c:pt idx="15">
                  <c:v>-5.3</c:v>
                </c:pt>
                <c:pt idx="16">
                  <c:v>-0.3</c:v>
                </c:pt>
                <c:pt idx="17">
                  <c:v>8.3000000000000007</c:v>
                </c:pt>
                <c:pt idx="18">
                  <c:v>-1.7</c:v>
                </c:pt>
                <c:pt idx="19">
                  <c:v>-8.3000000000000007</c:v>
                </c:pt>
                <c:pt idx="20">
                  <c:v>-10.1</c:v>
                </c:pt>
                <c:pt idx="21">
                  <c:v>-7</c:v>
                </c:pt>
                <c:pt idx="22">
                  <c:v>-7</c:v>
                </c:pt>
                <c:pt idx="23">
                  <c:v>-6</c:v>
                </c:pt>
                <c:pt idx="24">
                  <c:v>-14</c:v>
                </c:pt>
                <c:pt idx="25">
                  <c:v>-8.6999999999999993</c:v>
                </c:pt>
                <c:pt idx="26">
                  <c:v>-7.7</c:v>
                </c:pt>
                <c:pt idx="27">
                  <c:v>-8.3000000000000007</c:v>
                </c:pt>
                <c:pt idx="28">
                  <c:v>-6</c:v>
                </c:pt>
                <c:pt idx="29">
                  <c:v>-5.3</c:v>
                </c:pt>
                <c:pt idx="30">
                  <c:v>-6</c:v>
                </c:pt>
                <c:pt idx="31">
                  <c:v>-6.3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C76-4F51-92A9-A8925FC45D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9819375"/>
        <c:axId val="1239826863"/>
      </c:lineChart>
      <c:catAx>
        <c:axId val="112768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112769664"/>
        <c:crosses val="autoZero"/>
        <c:auto val="1"/>
        <c:lblAlgn val="ctr"/>
        <c:lblOffset val="0"/>
        <c:noMultiLvlLbl val="0"/>
      </c:catAx>
      <c:valAx>
        <c:axId val="112769664"/>
        <c:scaling>
          <c:orientation val="minMax"/>
          <c:max val="100"/>
          <c:min val="-30"/>
        </c:scaling>
        <c:delete val="0"/>
        <c:axPos val="l"/>
        <c:majorGridlines>
          <c:spPr>
            <a:ln>
              <a:solidFill>
                <a:srgbClr val="BEBEBE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Zakázky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112768128"/>
        <c:crosses val="autoZero"/>
        <c:crossBetween val="between"/>
        <c:majorUnit val="10"/>
      </c:valAx>
      <c:valAx>
        <c:axId val="1239826863"/>
        <c:scaling>
          <c:orientation val="minMax"/>
          <c:max val="100"/>
          <c:min val="-30"/>
        </c:scaling>
        <c:delete val="0"/>
        <c:axPos val="r"/>
        <c:title>
          <c:tx>
            <c:rich>
              <a:bodyPr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700" b="0" i="1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sz="700" b="0" i="1"/>
                  <a:t>Využití výrob.</a:t>
                </a:r>
                <a:r>
                  <a:rPr lang="cs-CZ" sz="700" b="0" i="1" baseline="0"/>
                  <a:t> </a:t>
                </a:r>
                <a:r>
                  <a:rPr lang="cs-CZ" sz="700" b="0" i="1"/>
                  <a:t>kapacit, bariéry růstu, </a:t>
                </a:r>
                <a:r>
                  <a:rPr lang="cs-CZ" sz="700" b="0" i="1" baseline="0">
                    <a:effectLst/>
                  </a:rPr>
                  <a:t>saldo důvěry</a:t>
                </a:r>
                <a:endParaRPr lang="cs-CZ" sz="700" i="1">
                  <a:effectLst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1239819375"/>
        <c:crosses val="max"/>
        <c:crossBetween val="between"/>
        <c:majorUnit val="10"/>
      </c:valAx>
      <c:catAx>
        <c:axId val="123981937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39826863"/>
        <c:crosses val="autoZero"/>
        <c:auto val="1"/>
        <c:lblAlgn val="ctr"/>
        <c:lblOffset val="100"/>
        <c:noMultiLvlLbl val="0"/>
      </c:catAx>
      <c:spPr>
        <a:noFill/>
        <a:ln w="6350">
          <a:solidFill>
            <a:prstClr val="black">
              <a:lumMod val="95000"/>
              <a:lumOff val="5000"/>
            </a:prstClr>
          </a:solidFill>
        </a:ln>
      </c:spPr>
    </c:plotArea>
    <c:legend>
      <c:legendPos val="r"/>
      <c:layout>
        <c:manualLayout>
          <c:xMode val="edge"/>
          <c:yMode val="edge"/>
          <c:x val="0"/>
          <c:y val="0.85237242835695315"/>
          <c:w val="0.9918210452108337"/>
          <c:h val="0.14064337133398228"/>
        </c:manualLayout>
      </c:layout>
      <c:overlay val="0"/>
      <c:spPr>
        <a:ln w="6350">
          <a:solidFill>
            <a:prstClr val="black">
              <a:lumMod val="95000"/>
              <a:lumOff val="5000"/>
            </a:prstClr>
          </a:solidFill>
        </a:ln>
      </c:spPr>
      <c:txPr>
        <a:bodyPr/>
        <a:lstStyle/>
        <a:p>
          <a:pPr>
            <a:defRPr sz="78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695346289980312E-2"/>
          <c:y val="1.5663550999370279E-2"/>
          <c:w val="0.85237839893753009"/>
          <c:h val="0.75413191483370345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'výkonnost odvětví 3'!$Y$10</c:f>
              <c:strCache>
                <c:ptCount val="1"/>
                <c:pt idx="0">
                  <c:v>Pozemní stavitelství (příspěvek v p. b.)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</c:spPr>
          <c:invertIfNegative val="0"/>
          <c:cat>
            <c:multiLvlStrRef>
              <c:f>'výkonnost odvětví 3'!$V$39:$W$74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3'!$Y$39:$Y$74</c:f>
              <c:numCache>
                <c:formatCode>0.0</c:formatCode>
                <c:ptCount val="36"/>
                <c:pt idx="0">
                  <c:v>1.818439140996319</c:v>
                </c:pt>
                <c:pt idx="1">
                  <c:v>9.5161866462127662</c:v>
                </c:pt>
                <c:pt idx="2">
                  <c:v>3.2650480956647083</c:v>
                </c:pt>
                <c:pt idx="3">
                  <c:v>2.30805126241866</c:v>
                </c:pt>
                <c:pt idx="4">
                  <c:v>13.039459362857237</c:v>
                </c:pt>
                <c:pt idx="5">
                  <c:v>5.6850806062932753</c:v>
                </c:pt>
                <c:pt idx="6">
                  <c:v>7.036028465591686</c:v>
                </c:pt>
                <c:pt idx="7">
                  <c:v>2.3869078764089537</c:v>
                </c:pt>
                <c:pt idx="8">
                  <c:v>2.4727635166988868</c:v>
                </c:pt>
                <c:pt idx="9">
                  <c:v>2.9341574628565144</c:v>
                </c:pt>
                <c:pt idx="10">
                  <c:v>-0.67535503037810629</c:v>
                </c:pt>
                <c:pt idx="11">
                  <c:v>1.7116954805541678</c:v>
                </c:pt>
                <c:pt idx="12">
                  <c:v>-0.69584807703082285</c:v>
                </c:pt>
                <c:pt idx="13">
                  <c:v>-7.7523651483361782</c:v>
                </c:pt>
                <c:pt idx="14">
                  <c:v>-7.0746219815718145</c:v>
                </c:pt>
                <c:pt idx="15">
                  <c:v>-7.7412314636348389</c:v>
                </c:pt>
                <c:pt idx="16">
                  <c:v>-5.0640265521270766</c:v>
                </c:pt>
                <c:pt idx="17">
                  <c:v>2.4703762641046336</c:v>
                </c:pt>
                <c:pt idx="18">
                  <c:v>2.7030559295091789</c:v>
                </c:pt>
                <c:pt idx="19">
                  <c:v>5.3910589918743801</c:v>
                </c:pt>
                <c:pt idx="20">
                  <c:v>7.2648768810042936</c:v>
                </c:pt>
                <c:pt idx="21">
                  <c:v>3.5227274362433709</c:v>
                </c:pt>
                <c:pt idx="22">
                  <c:v>-0.76096988766691187</c:v>
                </c:pt>
                <c:pt idx="23">
                  <c:v>-1.4472284696379754</c:v>
                </c:pt>
                <c:pt idx="24">
                  <c:v>2.08466418755566</c:v>
                </c:pt>
                <c:pt idx="25">
                  <c:v>-1.8063654195962293</c:v>
                </c:pt>
                <c:pt idx="26">
                  <c:v>-0.45083061273939035</c:v>
                </c:pt>
                <c:pt idx="27">
                  <c:v>-2.3444842797769128</c:v>
                </c:pt>
                <c:pt idx="28">
                  <c:v>-5.1727160028399473</c:v>
                </c:pt>
                <c:pt idx="29">
                  <c:v>-3.1426776591327505</c:v>
                </c:pt>
                <c:pt idx="30">
                  <c:v>-1.8694342150218684</c:v>
                </c:pt>
                <c:pt idx="31">
                  <c:v>1.6860171229239231</c:v>
                </c:pt>
                <c:pt idx="32">
                  <c:v>5.1673664837288849</c:v>
                </c:pt>
                <c:pt idx="33">
                  <c:v>6.0944547091355021</c:v>
                </c:pt>
                <c:pt idx="34">
                  <c:v>6.8583225773179972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F8-434D-A117-DCEBB70ABB65}"/>
            </c:ext>
          </c:extLst>
        </c:ser>
        <c:ser>
          <c:idx val="2"/>
          <c:order val="2"/>
          <c:tx>
            <c:strRef>
              <c:f>'výkonnost odvětví 3'!$Z$10</c:f>
              <c:strCache>
                <c:ptCount val="1"/>
                <c:pt idx="0">
                  <c:v>Inženýrské stavitelství (příspěvek v p. b.)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</c:spPr>
          <c:invertIfNegative val="0"/>
          <c:cat>
            <c:multiLvlStrRef>
              <c:f>'výkonnost odvětví 3'!$V$39:$W$74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3'!$Z$39:$Z$74</c:f>
              <c:numCache>
                <c:formatCode>0.0</c:formatCode>
                <c:ptCount val="36"/>
                <c:pt idx="0">
                  <c:v>-4.1473356084740605</c:v>
                </c:pt>
                <c:pt idx="1">
                  <c:v>-1.1362269417632547</c:v>
                </c:pt>
                <c:pt idx="2">
                  <c:v>-1.6997694917449739</c:v>
                </c:pt>
                <c:pt idx="3">
                  <c:v>0.18912136047288933</c:v>
                </c:pt>
                <c:pt idx="4">
                  <c:v>2.313855161184069</c:v>
                </c:pt>
                <c:pt idx="5">
                  <c:v>1.4433818342413158</c:v>
                </c:pt>
                <c:pt idx="6">
                  <c:v>5.805340800033207</c:v>
                </c:pt>
                <c:pt idx="7">
                  <c:v>2.0257219814852485</c:v>
                </c:pt>
                <c:pt idx="8">
                  <c:v>2.8832113797347176</c:v>
                </c:pt>
                <c:pt idx="9">
                  <c:v>2.2916559515195796</c:v>
                </c:pt>
                <c:pt idx="10">
                  <c:v>0.1275103650053056</c:v>
                </c:pt>
                <c:pt idx="11">
                  <c:v>0.80716183036284428</c:v>
                </c:pt>
                <c:pt idx="12">
                  <c:v>2.6239699221333534</c:v>
                </c:pt>
                <c:pt idx="13">
                  <c:v>0.26317252359280197</c:v>
                </c:pt>
                <c:pt idx="14">
                  <c:v>-3.3347591135837273</c:v>
                </c:pt>
                <c:pt idx="15">
                  <c:v>-0.42839192125115316</c:v>
                </c:pt>
                <c:pt idx="16">
                  <c:v>-0.39029877117358713</c:v>
                </c:pt>
                <c:pt idx="17">
                  <c:v>1.8707241418107363</c:v>
                </c:pt>
                <c:pt idx="18">
                  <c:v>0.51439353539977339</c:v>
                </c:pt>
                <c:pt idx="19">
                  <c:v>-1.0519336107147541</c:v>
                </c:pt>
                <c:pt idx="20">
                  <c:v>5.3619259914880573</c:v>
                </c:pt>
                <c:pt idx="21">
                  <c:v>1.3487717466270472</c:v>
                </c:pt>
                <c:pt idx="22">
                  <c:v>0.66834571359155748</c:v>
                </c:pt>
                <c:pt idx="23">
                  <c:v>1.410110834483516</c:v>
                </c:pt>
                <c:pt idx="24">
                  <c:v>-3.8351848076166419</c:v>
                </c:pt>
                <c:pt idx="25">
                  <c:v>-2.3818531897952866</c:v>
                </c:pt>
                <c:pt idx="26">
                  <c:v>-0.14424057864885037</c:v>
                </c:pt>
                <c:pt idx="27">
                  <c:v>-0.55881616835974435</c:v>
                </c:pt>
                <c:pt idx="28">
                  <c:v>1.1365973304480625</c:v>
                </c:pt>
                <c:pt idx="29">
                  <c:v>-1.4534062863827921</c:v>
                </c:pt>
                <c:pt idx="30">
                  <c:v>0.34236284704183267</c:v>
                </c:pt>
                <c:pt idx="31">
                  <c:v>1.5083338721826864</c:v>
                </c:pt>
                <c:pt idx="32">
                  <c:v>2.021438730525416</c:v>
                </c:pt>
                <c:pt idx="33">
                  <c:v>4.8171121067195557</c:v>
                </c:pt>
                <c:pt idx="34">
                  <c:v>5.4997140151583901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F8-434D-A117-DCEBB70ABB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overlap val="100"/>
        <c:axId val="112768128"/>
        <c:axId val="112769664"/>
      </c:barChart>
      <c:lineChart>
        <c:grouping val="standard"/>
        <c:varyColors val="0"/>
        <c:ser>
          <c:idx val="0"/>
          <c:order val="0"/>
          <c:tx>
            <c:strRef>
              <c:f>'výkonnost odvětví 3'!$X$10</c:f>
              <c:strCache>
                <c:ptCount val="1"/>
                <c:pt idx="0">
                  <c:v>Celková stavební produkce</c:v>
                </c:pt>
              </c:strCache>
            </c:strRef>
          </c:tx>
          <c:spPr>
            <a:ln>
              <a:noFill/>
            </a:ln>
          </c:spPr>
          <c:marker>
            <c:symbol val="dash"/>
            <c:size val="5"/>
            <c:spPr>
              <a:solidFill>
                <a:schemeClr val="bg1"/>
              </a:solidFill>
              <a:ln>
                <a:solidFill>
                  <a:schemeClr val="tx1">
                    <a:lumMod val="95000"/>
                    <a:lumOff val="5000"/>
                  </a:schemeClr>
                </a:solidFill>
              </a:ln>
            </c:spPr>
          </c:marker>
          <c:cat>
            <c:multiLvlStrRef>
              <c:f>'výkonnost odvětví 3'!$V$39:$W$74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3'!$X$39:$X$74</c:f>
              <c:numCache>
                <c:formatCode>0.0</c:formatCode>
                <c:ptCount val="36"/>
                <c:pt idx="0">
                  <c:v>-2.3288964674777333</c:v>
                </c:pt>
                <c:pt idx="1">
                  <c:v>8.3799597044495187</c:v>
                </c:pt>
                <c:pt idx="2">
                  <c:v>1.5652786039197082</c:v>
                </c:pt>
                <c:pt idx="3">
                  <c:v>2.4971726228915543</c:v>
                </c:pt>
                <c:pt idx="4">
                  <c:v>15.353314524041323</c:v>
                </c:pt>
                <c:pt idx="5">
                  <c:v>7.1284624405346051</c:v>
                </c:pt>
                <c:pt idx="6">
                  <c:v>12.84136926562492</c:v>
                </c:pt>
                <c:pt idx="7">
                  <c:v>4.4126298578942169</c:v>
                </c:pt>
                <c:pt idx="8">
                  <c:v>5.355974896433608</c:v>
                </c:pt>
                <c:pt idx="9">
                  <c:v>5.2258134143760628</c:v>
                </c:pt>
                <c:pt idx="10">
                  <c:v>-0.54784466537280707</c:v>
                </c:pt>
                <c:pt idx="11">
                  <c:v>2.5188573109169852</c:v>
                </c:pt>
                <c:pt idx="12">
                  <c:v>1.9281218451025097</c:v>
                </c:pt>
                <c:pt idx="13">
                  <c:v>-7.4891926247433389</c:v>
                </c:pt>
                <c:pt idx="14">
                  <c:v>-10.409381095155538</c:v>
                </c:pt>
                <c:pt idx="15">
                  <c:v>-8.1696233848859805</c:v>
                </c:pt>
                <c:pt idx="16">
                  <c:v>-5.4445859868230713</c:v>
                </c:pt>
                <c:pt idx="17">
                  <c:v>4.3518487885226875</c:v>
                </c:pt>
                <c:pt idx="18">
                  <c:v>3.2280820980159888</c:v>
                </c:pt>
                <c:pt idx="19">
                  <c:v>4.3498735603157712</c:v>
                </c:pt>
                <c:pt idx="20">
                  <c:v>12.626802872492362</c:v>
                </c:pt>
                <c:pt idx="21">
                  <c:v>4.8714991828704228</c:v>
                </c:pt>
                <c:pt idx="22">
                  <c:v>-9.2624174075353949E-2</c:v>
                </c:pt>
                <c:pt idx="23">
                  <c:v>-3.7117635154459094E-2</c:v>
                </c:pt>
                <c:pt idx="24">
                  <c:v>-1.750520620060982</c:v>
                </c:pt>
                <c:pt idx="25">
                  <c:v>-4.1882186093915266</c:v>
                </c:pt>
                <c:pt idx="26">
                  <c:v>-0.59507119138824294</c:v>
                </c:pt>
                <c:pt idx="27">
                  <c:v>-2.903300448136676</c:v>
                </c:pt>
                <c:pt idx="28">
                  <c:v>-4.0361186723918792</c:v>
                </c:pt>
                <c:pt idx="29">
                  <c:v>-4.5960839455155451</c:v>
                </c:pt>
                <c:pt idx="30">
                  <c:v>-1.5270713679800281</c:v>
                </c:pt>
                <c:pt idx="31">
                  <c:v>3.1943509951066034</c:v>
                </c:pt>
                <c:pt idx="32">
                  <c:v>7.1888052142542875</c:v>
                </c:pt>
                <c:pt idx="33">
                  <c:v>10.911566815855082</c:v>
                </c:pt>
                <c:pt idx="34">
                  <c:v>12.358036592476381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5F8-434D-A117-DCEBB70ABB65}"/>
            </c:ext>
          </c:extLst>
        </c:ser>
        <c:ser>
          <c:idx val="3"/>
          <c:order val="3"/>
          <c:tx>
            <c:strRef>
              <c:f>'výkonnost odvětví 3'!$AA$10</c:f>
              <c:strCache>
                <c:ptCount val="1"/>
                <c:pt idx="0">
                  <c:v>Nové stavební zakázky v tuzemsku</c:v>
                </c:pt>
              </c:strCache>
            </c:strRef>
          </c:tx>
          <c:spPr>
            <a:ln w="9525">
              <a:solidFill>
                <a:srgbClr val="984807"/>
              </a:solidFill>
              <a:prstDash val="sysDot"/>
            </a:ln>
          </c:spPr>
          <c:marker>
            <c:symbol val="diamond"/>
            <c:size val="4"/>
            <c:spPr>
              <a:solidFill>
                <a:srgbClr val="996633"/>
              </a:solidFill>
              <a:ln>
                <a:solidFill>
                  <a:srgbClr val="984807"/>
                </a:solidFill>
              </a:ln>
            </c:spPr>
          </c:marker>
          <c:cat>
            <c:multiLvlStrRef>
              <c:f>'výkonnost odvětví 3'!$V$39:$W$74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3'!$AA$39:$AA$74</c:f>
              <c:numCache>
                <c:formatCode>0.0</c:formatCode>
                <c:ptCount val="36"/>
                <c:pt idx="0">
                  <c:v>16.177217458847437</c:v>
                </c:pt>
                <c:pt idx="1">
                  <c:v>9.5350878984013008</c:v>
                </c:pt>
                <c:pt idx="2">
                  <c:v>-1.2817324431350698</c:v>
                </c:pt>
                <c:pt idx="3">
                  <c:v>15.620806693503823</c:v>
                </c:pt>
                <c:pt idx="4">
                  <c:v>30.10697387368856</c:v>
                </c:pt>
                <c:pt idx="5">
                  <c:v>32.836878110611963</c:v>
                </c:pt>
                <c:pt idx="6">
                  <c:v>5.2768249907951201</c:v>
                </c:pt>
                <c:pt idx="7">
                  <c:v>1.8944565811032277</c:v>
                </c:pt>
                <c:pt idx="8">
                  <c:v>14.157245632065781</c:v>
                </c:pt>
                <c:pt idx="9">
                  <c:v>-9.3849543241233135</c:v>
                </c:pt>
                <c:pt idx="10">
                  <c:v>17.407871000993993</c:v>
                </c:pt>
                <c:pt idx="11">
                  <c:v>5.8323004254463768</c:v>
                </c:pt>
                <c:pt idx="12">
                  <c:v>-12.441635069859245</c:v>
                </c:pt>
                <c:pt idx="13">
                  <c:v>7.497345722028669</c:v>
                </c:pt>
                <c:pt idx="14">
                  <c:v>2.0599736606932879</c:v>
                </c:pt>
                <c:pt idx="15">
                  <c:v>7.5507850088630164</c:v>
                </c:pt>
                <c:pt idx="16">
                  <c:v>28.856340981154403</c:v>
                </c:pt>
                <c:pt idx="17">
                  <c:v>22.047871359987184</c:v>
                </c:pt>
                <c:pt idx="18">
                  <c:v>10.015015612184257</c:v>
                </c:pt>
                <c:pt idx="19">
                  <c:v>1.0053213537781147</c:v>
                </c:pt>
                <c:pt idx="20">
                  <c:v>13.067478460417874</c:v>
                </c:pt>
                <c:pt idx="21">
                  <c:v>17.619163607261129</c:v>
                </c:pt>
                <c:pt idx="22">
                  <c:v>12.421954480552543</c:v>
                </c:pt>
                <c:pt idx="23">
                  <c:v>13.031852753748723</c:v>
                </c:pt>
                <c:pt idx="24">
                  <c:v>-10.144501025957553</c:v>
                </c:pt>
                <c:pt idx="25">
                  <c:v>-18.697561390531931</c:v>
                </c:pt>
                <c:pt idx="26">
                  <c:v>27.514816854662854</c:v>
                </c:pt>
                <c:pt idx="27">
                  <c:v>9.3063425617587683</c:v>
                </c:pt>
                <c:pt idx="28">
                  <c:v>30.48574840110382</c:v>
                </c:pt>
                <c:pt idx="29">
                  <c:v>24.810378988741093</c:v>
                </c:pt>
                <c:pt idx="30">
                  <c:v>-2.1445567903011948</c:v>
                </c:pt>
                <c:pt idx="31">
                  <c:v>17.246427278094785</c:v>
                </c:pt>
                <c:pt idx="32">
                  <c:v>14.276535255230854</c:v>
                </c:pt>
                <c:pt idx="33">
                  <c:v>22.201437525005645</c:v>
                </c:pt>
                <c:pt idx="34">
                  <c:v>8.9034425382599238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5F8-434D-A117-DCEBB70ABB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768128"/>
        <c:axId val="112769664"/>
      </c:lineChart>
      <c:lineChart>
        <c:grouping val="standard"/>
        <c:varyColors val="0"/>
        <c:ser>
          <c:idx val="4"/>
          <c:order val="4"/>
          <c:tx>
            <c:strRef>
              <c:f>'výkonnost odvětví 3'!$AB$10</c:f>
              <c:strCache>
                <c:ptCount val="1"/>
                <c:pt idx="0">
                  <c:v>Bariéra růstu: nedostatečná poptávka</c:v>
                </c:pt>
              </c:strCache>
            </c:strRef>
          </c:tx>
          <c:spPr>
            <a:ln w="15875">
              <a:solidFill>
                <a:srgbClr val="00B050"/>
              </a:solidFill>
              <a:prstDash val="solid"/>
            </a:ln>
          </c:spPr>
          <c:marker>
            <c:symbol val="none"/>
          </c:marker>
          <c:cat>
            <c:multiLvlStrRef>
              <c:f>'výkonnost odvětví 3'!$V$39:$W$74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3'!$AB$39:$AB$74</c:f>
              <c:numCache>
                <c:formatCode>#\ ##0.0</c:formatCode>
                <c:ptCount val="36"/>
                <c:pt idx="0">
                  <c:v>55.7</c:v>
                </c:pt>
                <c:pt idx="1">
                  <c:v>54.8</c:v>
                </c:pt>
                <c:pt idx="2">
                  <c:v>49.1</c:v>
                </c:pt>
                <c:pt idx="3">
                  <c:v>47.1</c:v>
                </c:pt>
                <c:pt idx="4">
                  <c:v>40.1</c:v>
                </c:pt>
                <c:pt idx="5">
                  <c:v>39.4</c:v>
                </c:pt>
                <c:pt idx="6">
                  <c:v>33</c:v>
                </c:pt>
                <c:pt idx="7">
                  <c:v>23.3</c:v>
                </c:pt>
                <c:pt idx="8">
                  <c:v>26.5</c:v>
                </c:pt>
                <c:pt idx="9">
                  <c:v>26.7</c:v>
                </c:pt>
                <c:pt idx="10">
                  <c:v>18.899999999999999</c:v>
                </c:pt>
                <c:pt idx="11">
                  <c:v>19.600000000000001</c:v>
                </c:pt>
                <c:pt idx="12">
                  <c:v>31.6</c:v>
                </c:pt>
                <c:pt idx="13">
                  <c:v>31.3</c:v>
                </c:pt>
                <c:pt idx="14">
                  <c:v>38.6</c:v>
                </c:pt>
                <c:pt idx="15" formatCode="General">
                  <c:v>39.200000000000003</c:v>
                </c:pt>
                <c:pt idx="16">
                  <c:v>30.8</c:v>
                </c:pt>
                <c:pt idx="17">
                  <c:v>35.9</c:v>
                </c:pt>
                <c:pt idx="18">
                  <c:v>23.2</c:v>
                </c:pt>
                <c:pt idx="19">
                  <c:v>19.5</c:v>
                </c:pt>
                <c:pt idx="20">
                  <c:v>21.3</c:v>
                </c:pt>
                <c:pt idx="21">
                  <c:v>21.1</c:v>
                </c:pt>
                <c:pt idx="22">
                  <c:v>19.3</c:v>
                </c:pt>
                <c:pt idx="23">
                  <c:v>20.6</c:v>
                </c:pt>
                <c:pt idx="24">
                  <c:v>31.9</c:v>
                </c:pt>
                <c:pt idx="25">
                  <c:v>32.299999999999997</c:v>
                </c:pt>
                <c:pt idx="26">
                  <c:v>36.299999999999997</c:v>
                </c:pt>
                <c:pt idx="27">
                  <c:v>29.2</c:v>
                </c:pt>
                <c:pt idx="28" formatCode="0.0">
                  <c:v>20.5</c:v>
                </c:pt>
                <c:pt idx="29" formatCode="0.0">
                  <c:v>22.3</c:v>
                </c:pt>
                <c:pt idx="30" formatCode="0.0">
                  <c:v>24</c:v>
                </c:pt>
                <c:pt idx="31" formatCode="0.0">
                  <c:v>25.3</c:v>
                </c:pt>
                <c:pt idx="32" formatCode="0.0">
                  <c:v>24.1</c:v>
                </c:pt>
                <c:pt idx="33" formatCode="General">
                  <c:v>34.9</c:v>
                </c:pt>
                <c:pt idx="34" formatCode="0.0">
                  <c:v>32.4</c:v>
                </c:pt>
                <c:pt idx="35" formatCode="0.0">
                  <c:v>32.9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5F8-434D-A117-DCEBB70ABB65}"/>
            </c:ext>
          </c:extLst>
        </c:ser>
        <c:ser>
          <c:idx val="5"/>
          <c:order val="5"/>
          <c:tx>
            <c:strRef>
              <c:f>'výkonnost odvětví 3'!$AC$10</c:f>
              <c:strCache>
                <c:ptCount val="1"/>
                <c:pt idx="0">
                  <c:v>Bariéra růstu: nedostatek pracovníků</c:v>
                </c:pt>
              </c:strCache>
            </c:strRef>
          </c:tx>
          <c:spPr>
            <a:ln w="15875">
              <a:solidFill>
                <a:schemeClr val="accent3">
                  <a:lumMod val="75000"/>
                </a:schemeClr>
              </a:solidFill>
              <a:prstDash val="dash"/>
            </a:ln>
          </c:spPr>
          <c:marker>
            <c:symbol val="none"/>
          </c:marker>
          <c:cat>
            <c:multiLvlStrRef>
              <c:f>'výkonnost odvětví 3'!$V$39:$W$74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3'!$AC$39:$AC$74</c:f>
              <c:numCache>
                <c:formatCode>#\ ##0.0</c:formatCode>
                <c:ptCount val="36"/>
                <c:pt idx="0">
                  <c:v>13.7</c:v>
                </c:pt>
                <c:pt idx="1">
                  <c:v>14.9</c:v>
                </c:pt>
                <c:pt idx="2">
                  <c:v>21.8</c:v>
                </c:pt>
                <c:pt idx="3">
                  <c:v>21.3</c:v>
                </c:pt>
                <c:pt idx="4">
                  <c:v>26.7</c:v>
                </c:pt>
                <c:pt idx="5">
                  <c:v>30.2</c:v>
                </c:pt>
                <c:pt idx="6">
                  <c:v>28.6</c:v>
                </c:pt>
                <c:pt idx="7">
                  <c:v>38.6</c:v>
                </c:pt>
                <c:pt idx="8">
                  <c:v>36</c:v>
                </c:pt>
                <c:pt idx="9">
                  <c:v>43.4</c:v>
                </c:pt>
                <c:pt idx="10">
                  <c:v>50.7</c:v>
                </c:pt>
                <c:pt idx="11">
                  <c:v>46.7</c:v>
                </c:pt>
                <c:pt idx="12">
                  <c:v>51.2</c:v>
                </c:pt>
                <c:pt idx="13">
                  <c:v>46</c:v>
                </c:pt>
                <c:pt idx="14">
                  <c:v>36.1</c:v>
                </c:pt>
                <c:pt idx="15" formatCode="0.0">
                  <c:v>32.299999999999997</c:v>
                </c:pt>
                <c:pt idx="16">
                  <c:v>47.3</c:v>
                </c:pt>
                <c:pt idx="17">
                  <c:v>31.7</c:v>
                </c:pt>
                <c:pt idx="18">
                  <c:v>41.7</c:v>
                </c:pt>
                <c:pt idx="19">
                  <c:v>42.8</c:v>
                </c:pt>
                <c:pt idx="20">
                  <c:v>56.4</c:v>
                </c:pt>
                <c:pt idx="21">
                  <c:v>44.3</c:v>
                </c:pt>
                <c:pt idx="22">
                  <c:v>39.799999999999997</c:v>
                </c:pt>
                <c:pt idx="23">
                  <c:v>47.7</c:v>
                </c:pt>
                <c:pt idx="24">
                  <c:v>39</c:v>
                </c:pt>
                <c:pt idx="25">
                  <c:v>35.5</c:v>
                </c:pt>
                <c:pt idx="26">
                  <c:v>30.6</c:v>
                </c:pt>
                <c:pt idx="27">
                  <c:v>31.2</c:v>
                </c:pt>
                <c:pt idx="28" formatCode="0.0">
                  <c:v>53.4</c:v>
                </c:pt>
                <c:pt idx="29" formatCode="0.0">
                  <c:v>46.7</c:v>
                </c:pt>
                <c:pt idx="30" formatCode="0.0">
                  <c:v>42.6</c:v>
                </c:pt>
                <c:pt idx="31" formatCode="0.0">
                  <c:v>42.1</c:v>
                </c:pt>
                <c:pt idx="32" formatCode="0.0">
                  <c:v>54.4</c:v>
                </c:pt>
                <c:pt idx="33" formatCode="General">
                  <c:v>49.3</c:v>
                </c:pt>
                <c:pt idx="34" formatCode="0.0">
                  <c:v>46.5</c:v>
                </c:pt>
                <c:pt idx="35" formatCode="0.0">
                  <c:v>43.4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5F8-434D-A117-DCEBB70ABB65}"/>
            </c:ext>
          </c:extLst>
        </c:ser>
        <c:ser>
          <c:idx val="6"/>
          <c:order val="6"/>
          <c:tx>
            <c:strRef>
              <c:f>'výkonnost odvětví 3'!$AD$10</c:f>
              <c:strCache>
                <c:ptCount val="1"/>
                <c:pt idx="0">
                  <c:v>Bariéra růstu: nedost. materiálu a vybavení</c:v>
                </c:pt>
              </c:strCache>
            </c:strRef>
          </c:tx>
          <c:spPr>
            <a:ln w="15875">
              <a:solidFill>
                <a:srgbClr val="37DD3B"/>
              </a:solidFill>
              <a:prstDash val="sysDash"/>
            </a:ln>
          </c:spPr>
          <c:marker>
            <c:symbol val="none"/>
          </c:marker>
          <c:cat>
            <c:multiLvlStrRef>
              <c:f>'výkonnost odvětví 3'!$V$39:$W$74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3'!$AD$39:$AD$74</c:f>
              <c:numCache>
                <c:formatCode>#\ ##0.0</c:formatCode>
                <c:ptCount val="36"/>
                <c:pt idx="0">
                  <c:v>0.3</c:v>
                </c:pt>
                <c:pt idx="1">
                  <c:v>0.3</c:v>
                </c:pt>
                <c:pt idx="2">
                  <c:v>3.3</c:v>
                </c:pt>
                <c:pt idx="3">
                  <c:v>4.2</c:v>
                </c:pt>
                <c:pt idx="4">
                  <c:v>5.5</c:v>
                </c:pt>
                <c:pt idx="5">
                  <c:v>1.2</c:v>
                </c:pt>
                <c:pt idx="6">
                  <c:v>6.8</c:v>
                </c:pt>
                <c:pt idx="7">
                  <c:v>3.5</c:v>
                </c:pt>
                <c:pt idx="8">
                  <c:v>4.3</c:v>
                </c:pt>
                <c:pt idx="9">
                  <c:v>5.7</c:v>
                </c:pt>
                <c:pt idx="10">
                  <c:v>5.3</c:v>
                </c:pt>
                <c:pt idx="11">
                  <c:v>4</c:v>
                </c:pt>
                <c:pt idx="12">
                  <c:v>1.9</c:v>
                </c:pt>
                <c:pt idx="13">
                  <c:v>3.4</c:v>
                </c:pt>
                <c:pt idx="14">
                  <c:v>1.3</c:v>
                </c:pt>
                <c:pt idx="15">
                  <c:v>0.8</c:v>
                </c:pt>
                <c:pt idx="16">
                  <c:v>1.3</c:v>
                </c:pt>
                <c:pt idx="17">
                  <c:v>4.3</c:v>
                </c:pt>
                <c:pt idx="18">
                  <c:v>16.3</c:v>
                </c:pt>
                <c:pt idx="19">
                  <c:v>22.8</c:v>
                </c:pt>
                <c:pt idx="20">
                  <c:v>24.7</c:v>
                </c:pt>
                <c:pt idx="21">
                  <c:v>41.3</c:v>
                </c:pt>
                <c:pt idx="22">
                  <c:v>38.6</c:v>
                </c:pt>
                <c:pt idx="23">
                  <c:v>23.4</c:v>
                </c:pt>
                <c:pt idx="24">
                  <c:v>19.5</c:v>
                </c:pt>
                <c:pt idx="25">
                  <c:v>17</c:v>
                </c:pt>
                <c:pt idx="26">
                  <c:v>13</c:v>
                </c:pt>
                <c:pt idx="27">
                  <c:v>13.9</c:v>
                </c:pt>
                <c:pt idx="28" formatCode="0.0">
                  <c:v>22.5</c:v>
                </c:pt>
                <c:pt idx="29" formatCode="0.0">
                  <c:v>22.2</c:v>
                </c:pt>
                <c:pt idx="30" formatCode="0.0">
                  <c:v>22.2</c:v>
                </c:pt>
                <c:pt idx="31" formatCode="0.0">
                  <c:v>18</c:v>
                </c:pt>
                <c:pt idx="32" formatCode="0.0">
                  <c:v>15.5</c:v>
                </c:pt>
                <c:pt idx="33" formatCode="General">
                  <c:v>5.3</c:v>
                </c:pt>
                <c:pt idx="34" formatCode="0.0">
                  <c:v>5.8</c:v>
                </c:pt>
                <c:pt idx="35" formatCode="0.0">
                  <c:v>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5F8-434D-A117-DCEBB70ABB65}"/>
            </c:ext>
          </c:extLst>
        </c:ser>
        <c:ser>
          <c:idx val="7"/>
          <c:order val="7"/>
          <c:tx>
            <c:strRef>
              <c:f>'výkonnost odvětví 3'!$AE$10</c:f>
              <c:strCache>
                <c:ptCount val="1"/>
                <c:pt idx="0">
                  <c:v>Saldo indikátoru důvěry ve stavebnictví</c:v>
                </c:pt>
              </c:strCache>
            </c:strRef>
          </c:tx>
          <c:spPr>
            <a:ln w="15875">
              <a:solidFill>
                <a:schemeClr val="bg1">
                  <a:lumMod val="65000"/>
                </a:schemeClr>
              </a:solidFill>
              <a:prstDash val="sysDot"/>
            </a:ln>
          </c:spPr>
          <c:marker>
            <c:symbol val="circle"/>
            <c:size val="5"/>
            <c:spPr>
              <a:solidFill>
                <a:srgbClr val="FFFF00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cat>
            <c:multiLvlStrRef>
              <c:f>'výkonnost odvětví 3'!$V$39:$W$74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3'!$AE$39:$AE$74</c:f>
              <c:numCache>
                <c:formatCode>0.0</c:formatCode>
                <c:ptCount val="36"/>
                <c:pt idx="0">
                  <c:v>-22.5</c:v>
                </c:pt>
                <c:pt idx="1">
                  <c:v>-24.5</c:v>
                </c:pt>
                <c:pt idx="2">
                  <c:v>-18.5</c:v>
                </c:pt>
                <c:pt idx="3">
                  <c:v>-15</c:v>
                </c:pt>
                <c:pt idx="4">
                  <c:v>-9</c:v>
                </c:pt>
                <c:pt idx="5">
                  <c:v>-6</c:v>
                </c:pt>
                <c:pt idx="6">
                  <c:v>-2</c:v>
                </c:pt>
                <c:pt idx="7">
                  <c:v>1</c:v>
                </c:pt>
                <c:pt idx="8">
                  <c:v>3.5</c:v>
                </c:pt>
                <c:pt idx="9">
                  <c:v>4</c:v>
                </c:pt>
                <c:pt idx="10">
                  <c:v>-1</c:v>
                </c:pt>
                <c:pt idx="11">
                  <c:v>1</c:v>
                </c:pt>
                <c:pt idx="12">
                  <c:v>-3</c:v>
                </c:pt>
                <c:pt idx="13">
                  <c:v>-15</c:v>
                </c:pt>
                <c:pt idx="14">
                  <c:v>-13</c:v>
                </c:pt>
                <c:pt idx="15">
                  <c:v>-11.5</c:v>
                </c:pt>
                <c:pt idx="16">
                  <c:v>-6</c:v>
                </c:pt>
                <c:pt idx="17">
                  <c:v>-5.5</c:v>
                </c:pt>
                <c:pt idx="18">
                  <c:v>-4.5</c:v>
                </c:pt>
                <c:pt idx="19">
                  <c:v>-6.5</c:v>
                </c:pt>
                <c:pt idx="20">
                  <c:v>6.5</c:v>
                </c:pt>
                <c:pt idx="21">
                  <c:v>-2</c:v>
                </c:pt>
                <c:pt idx="22">
                  <c:v>-9</c:v>
                </c:pt>
                <c:pt idx="23">
                  <c:v>-4.5</c:v>
                </c:pt>
                <c:pt idx="24">
                  <c:v>-11.5</c:v>
                </c:pt>
                <c:pt idx="25">
                  <c:v>-15.5</c:v>
                </c:pt>
                <c:pt idx="26">
                  <c:v>-16.5</c:v>
                </c:pt>
                <c:pt idx="27">
                  <c:v>-11</c:v>
                </c:pt>
                <c:pt idx="28">
                  <c:v>-7</c:v>
                </c:pt>
                <c:pt idx="29">
                  <c:v>-14</c:v>
                </c:pt>
                <c:pt idx="30">
                  <c:v>-12</c:v>
                </c:pt>
                <c:pt idx="31">
                  <c:v>-5</c:v>
                </c:pt>
                <c:pt idx="32">
                  <c:v>-4</c:v>
                </c:pt>
                <c:pt idx="33">
                  <c:v>-4</c:v>
                </c:pt>
                <c:pt idx="34">
                  <c:v>2.5</c:v>
                </c:pt>
                <c:pt idx="35">
                  <c:v>-4.5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55F8-434D-A117-DCEBB70ABB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8074639"/>
        <c:axId val="1118080463"/>
      </c:lineChart>
      <c:catAx>
        <c:axId val="112768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112769664"/>
        <c:crosses val="autoZero"/>
        <c:auto val="1"/>
        <c:lblAlgn val="ctr"/>
        <c:lblOffset val="0"/>
        <c:noMultiLvlLbl val="0"/>
      </c:catAx>
      <c:valAx>
        <c:axId val="112769664"/>
        <c:scaling>
          <c:orientation val="minMax"/>
          <c:max val="70"/>
          <c:min val="-20"/>
        </c:scaling>
        <c:delete val="0"/>
        <c:axPos val="l"/>
        <c:majorGridlines>
          <c:spPr>
            <a:ln>
              <a:solidFill>
                <a:srgbClr val="BEBEBE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cs-CZ" sz="700" b="0" i="1">
                    <a:latin typeface="Arial" panose="020B0604020202020204" pitchFamily="34" charset="0"/>
                    <a:cs typeface="Arial" panose="020B0604020202020204" pitchFamily="34" charset="0"/>
                  </a:rPr>
                  <a:t>Zakázky, příspěvky k změně stavební produkce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112768128"/>
        <c:crosses val="autoZero"/>
        <c:crossBetween val="between"/>
        <c:majorUnit val="10"/>
      </c:valAx>
      <c:valAx>
        <c:axId val="1118080463"/>
        <c:scaling>
          <c:orientation val="minMax"/>
          <c:max val="80"/>
          <c:min val="-10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cs-CZ" sz="700" b="0" i="1">
                    <a:latin typeface="Arial" panose="020B0604020202020204" pitchFamily="34" charset="0"/>
                    <a:cs typeface="Arial" panose="020B0604020202020204" pitchFamily="34" charset="0"/>
                  </a:rPr>
                  <a:t>Saldo důvěry, bariéry růstu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1118074639"/>
        <c:crosses val="max"/>
        <c:crossBetween val="between"/>
        <c:majorUnit val="20"/>
      </c:valAx>
      <c:catAx>
        <c:axId val="111807463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18080463"/>
        <c:crosses val="autoZero"/>
        <c:auto val="1"/>
        <c:lblAlgn val="ctr"/>
        <c:lblOffset val="100"/>
        <c:noMultiLvlLbl val="0"/>
      </c:catAx>
      <c:spPr>
        <a:noFill/>
        <a:ln w="6350">
          <a:solidFill>
            <a:prstClr val="black">
              <a:lumMod val="95000"/>
              <a:lumOff val="5000"/>
            </a:prstClr>
          </a:solidFill>
        </a:ln>
      </c:spPr>
    </c:plotArea>
    <c:legend>
      <c:legendPos val="r"/>
      <c:layout>
        <c:manualLayout>
          <c:xMode val="edge"/>
          <c:yMode val="edge"/>
          <c:x val="7.6126793553942364E-3"/>
          <c:y val="0.85936703322638608"/>
          <c:w val="0.9801437714811797"/>
          <c:h val="0.13362821778942557"/>
        </c:manualLayout>
      </c:layout>
      <c:overlay val="0"/>
      <c:spPr>
        <a:ln w="6350">
          <a:solidFill>
            <a:prstClr val="black">
              <a:lumMod val="95000"/>
              <a:lumOff val="5000"/>
            </a:prstClr>
          </a:solidFill>
        </a:ln>
      </c:spPr>
      <c:txPr>
        <a:bodyPr/>
        <a:lstStyle/>
        <a:p>
          <a:pPr>
            <a:defRPr sz="750">
              <a:latin typeface="Arial" pitchFamily="34" charset="0"/>
              <a:cs typeface="Arial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385677352723435E-2"/>
          <c:y val="1.5803328678987455E-2"/>
          <c:w val="0.83979584077702996"/>
          <c:h val="0.69902590308489432"/>
        </c:manualLayout>
      </c:layout>
      <c:barChart>
        <c:barDir val="col"/>
        <c:grouping val="stacked"/>
        <c:varyColors val="0"/>
        <c:ser>
          <c:idx val="0"/>
          <c:order val="1"/>
          <c:tx>
            <c:strRef>
              <c:f>'Služby-příspěvky k růstu-4'!$D$33</c:f>
              <c:strCache>
                <c:ptCount val="1"/>
                <c:pt idx="0">
                  <c:v>Doprava a skladování (p. b.)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</c:spPr>
          <c:invertIfNegative val="0"/>
          <c:cat>
            <c:multiLvlStrRef>
              <c:f>'Služby-příspěvky k růstu-4'!$A$54:$B$89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růstu-4'!$D$54:$D$89</c:f>
              <c:numCache>
                <c:formatCode>0.0</c:formatCode>
                <c:ptCount val="36"/>
                <c:pt idx="0">
                  <c:v>1.5263972119400016</c:v>
                </c:pt>
                <c:pt idx="1">
                  <c:v>1.1521454566619995</c:v>
                </c:pt>
                <c:pt idx="2">
                  <c:v>1.0720497862294982</c:v>
                </c:pt>
                <c:pt idx="3">
                  <c:v>0.58918413629500188</c:v>
                </c:pt>
                <c:pt idx="4">
                  <c:v>1.7082299710979987</c:v>
                </c:pt>
                <c:pt idx="5">
                  <c:v>1.8083069263660012</c:v>
                </c:pt>
                <c:pt idx="6">
                  <c:v>1.4974720441600007</c:v>
                </c:pt>
                <c:pt idx="7">
                  <c:v>0.47561421751099942</c:v>
                </c:pt>
                <c:pt idx="8">
                  <c:v>8.7578802067999673E-2</c:v>
                </c:pt>
                <c:pt idx="9">
                  <c:v>-0.12479570965699863</c:v>
                </c:pt>
                <c:pt idx="10">
                  <c:v>-0.33009412391300075</c:v>
                </c:pt>
                <c:pt idx="11">
                  <c:v>-6.4047576908001405E-2</c:v>
                </c:pt>
                <c:pt idx="12">
                  <c:v>-1.5377184525560006</c:v>
                </c:pt>
                <c:pt idx="13">
                  <c:v>-6.3637634696130005</c:v>
                </c:pt>
                <c:pt idx="14">
                  <c:v>-3.934521076104728</c:v>
                </c:pt>
                <c:pt idx="15">
                  <c:v>-1.3585310721215986</c:v>
                </c:pt>
                <c:pt idx="16">
                  <c:v>0.3485705495405001</c:v>
                </c:pt>
                <c:pt idx="17">
                  <c:v>6.4654016349024008</c:v>
                </c:pt>
                <c:pt idx="18">
                  <c:v>3.6945235606700009</c:v>
                </c:pt>
                <c:pt idx="19">
                  <c:v>3.3121137866018078</c:v>
                </c:pt>
                <c:pt idx="20">
                  <c:v>3.941437873437065</c:v>
                </c:pt>
                <c:pt idx="21">
                  <c:v>4.0146538354025321</c:v>
                </c:pt>
                <c:pt idx="22">
                  <c:v>3.2327008007835936</c:v>
                </c:pt>
                <c:pt idx="23">
                  <c:v>0.6986528346455998</c:v>
                </c:pt>
                <c:pt idx="24">
                  <c:v>-1.2205103635839987</c:v>
                </c:pt>
                <c:pt idx="25">
                  <c:v>-3.0846310875990697</c:v>
                </c:pt>
                <c:pt idx="26">
                  <c:v>-3.4620811413295405</c:v>
                </c:pt>
                <c:pt idx="27">
                  <c:v>-2.6102747168486595</c:v>
                </c:pt>
                <c:pt idx="28">
                  <c:v>0.23136625295890914</c:v>
                </c:pt>
                <c:pt idx="29">
                  <c:v>1.1297570185805759</c:v>
                </c:pt>
                <c:pt idx="30">
                  <c:v>1.5852865187527032</c:v>
                </c:pt>
                <c:pt idx="31">
                  <c:v>1.3972952454802492</c:v>
                </c:pt>
                <c:pt idx="32">
                  <c:v>0.6661817143952623</c:v>
                </c:pt>
                <c:pt idx="33">
                  <c:v>0.53419753849083862</c:v>
                </c:pt>
                <c:pt idx="34" formatCode="##0.0">
                  <c:v>-0.25868732280307255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9F-4FED-BE1B-46C7AC81FAF8}"/>
            </c:ext>
          </c:extLst>
        </c:ser>
        <c:ser>
          <c:idx val="1"/>
          <c:order val="2"/>
          <c:tx>
            <c:strRef>
              <c:f>'Služby-příspěvky k růstu-4'!$E$33</c:f>
              <c:strCache>
                <c:ptCount val="1"/>
                <c:pt idx="0">
                  <c:v>Ubytování, stravování a pohostinství (p. b.)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</c:spPr>
          <c:invertIfNegative val="0"/>
          <c:cat>
            <c:multiLvlStrRef>
              <c:f>'Služby-příspěvky k růstu-4'!$A$54:$B$89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růstu-4'!$E$54:$E$89</c:f>
              <c:numCache>
                <c:formatCode>0.0</c:formatCode>
                <c:ptCount val="36"/>
                <c:pt idx="0">
                  <c:v>0.91096663563750013</c:v>
                </c:pt>
                <c:pt idx="1">
                  <c:v>1.2304877458891996</c:v>
                </c:pt>
                <c:pt idx="2">
                  <c:v>0.55493142006040053</c:v>
                </c:pt>
                <c:pt idx="3">
                  <c:v>0.45642475154119982</c:v>
                </c:pt>
                <c:pt idx="4">
                  <c:v>0.20160703635719993</c:v>
                </c:pt>
                <c:pt idx="5">
                  <c:v>5.4186477104800478E-2</c:v>
                </c:pt>
                <c:pt idx="6">
                  <c:v>6.304785530440038E-2</c:v>
                </c:pt>
                <c:pt idx="7">
                  <c:v>-3.5769700815199798E-2</c:v>
                </c:pt>
                <c:pt idx="8">
                  <c:v>-0.36389872223099973</c:v>
                </c:pt>
                <c:pt idx="9">
                  <c:v>-0.67075056773680031</c:v>
                </c:pt>
                <c:pt idx="10">
                  <c:v>0.56238486272900035</c:v>
                </c:pt>
                <c:pt idx="11">
                  <c:v>0.81049357889639961</c:v>
                </c:pt>
                <c:pt idx="12">
                  <c:v>-1.0128920367128378</c:v>
                </c:pt>
                <c:pt idx="13">
                  <c:v>-4.7570396620580002</c:v>
                </c:pt>
                <c:pt idx="14">
                  <c:v>-1.8801498047572016</c:v>
                </c:pt>
                <c:pt idx="15">
                  <c:v>-4.4950874362854814</c:v>
                </c:pt>
                <c:pt idx="16">
                  <c:v>-3.6427251882312501</c:v>
                </c:pt>
                <c:pt idx="17">
                  <c:v>1.4037378448911324</c:v>
                </c:pt>
                <c:pt idx="18">
                  <c:v>0.65956457504429966</c:v>
                </c:pt>
                <c:pt idx="19">
                  <c:v>2.8954177718329572</c:v>
                </c:pt>
                <c:pt idx="20">
                  <c:v>2.8323902906459999</c:v>
                </c:pt>
                <c:pt idx="21">
                  <c:v>2.435136189891193</c:v>
                </c:pt>
                <c:pt idx="22">
                  <c:v>-0.4578613660474572</c:v>
                </c:pt>
                <c:pt idx="23">
                  <c:v>0.56715158973689961</c:v>
                </c:pt>
                <c:pt idx="24">
                  <c:v>0.47226803810000034</c:v>
                </c:pt>
                <c:pt idx="25">
                  <c:v>-2.9181983171386136E-2</c:v>
                </c:pt>
                <c:pt idx="26">
                  <c:v>0.13057911183302909</c:v>
                </c:pt>
                <c:pt idx="27">
                  <c:v>7.6430683538271954E-2</c:v>
                </c:pt>
                <c:pt idx="28">
                  <c:v>0.20156376207540999</c:v>
                </c:pt>
                <c:pt idx="29">
                  <c:v>0.17225875056711848</c:v>
                </c:pt>
                <c:pt idx="30" formatCode="0.00">
                  <c:v>-0.15262614105368355</c:v>
                </c:pt>
                <c:pt idx="31">
                  <c:v>-2.0668311154938869E-3</c:v>
                </c:pt>
                <c:pt idx="32">
                  <c:v>-7.5031381527710161E-2</c:v>
                </c:pt>
                <c:pt idx="33">
                  <c:v>0.2055030621485589</c:v>
                </c:pt>
                <c:pt idx="34" formatCode="##0.0">
                  <c:v>0.15989323625132368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9F-4FED-BE1B-46C7AC81FAF8}"/>
            </c:ext>
          </c:extLst>
        </c:ser>
        <c:ser>
          <c:idx val="2"/>
          <c:order val="3"/>
          <c:tx>
            <c:strRef>
              <c:f>'Služby-příspěvky k růstu-4'!$F$33</c:f>
              <c:strCache>
                <c:ptCount val="1"/>
                <c:pt idx="0">
                  <c:v>Informační a komunikační činnosti (p. b.)</c:v>
                </c:pt>
              </c:strCache>
            </c:strRef>
          </c:tx>
          <c:spPr>
            <a:solidFill>
              <a:srgbClr val="E6E100"/>
            </a:solidFill>
            <a:ln>
              <a:noFill/>
            </a:ln>
          </c:spPr>
          <c:invertIfNegative val="0"/>
          <c:cat>
            <c:multiLvlStrRef>
              <c:f>'Služby-příspěvky k růstu-4'!$A$54:$B$89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růstu-4'!$F$54:$F$89</c:f>
              <c:numCache>
                <c:formatCode>0.0</c:formatCode>
                <c:ptCount val="36"/>
                <c:pt idx="0">
                  <c:v>0.79975113924000141</c:v>
                </c:pt>
                <c:pt idx="1">
                  <c:v>0.86680100254300019</c:v>
                </c:pt>
                <c:pt idx="2">
                  <c:v>0.7085217628999998</c:v>
                </c:pt>
                <c:pt idx="3">
                  <c:v>0.58371605800999971</c:v>
                </c:pt>
                <c:pt idx="4">
                  <c:v>1.4561011044459988</c:v>
                </c:pt>
                <c:pt idx="5">
                  <c:v>0.80755492679599916</c:v>
                </c:pt>
                <c:pt idx="6">
                  <c:v>1.4696943404520006</c:v>
                </c:pt>
                <c:pt idx="7">
                  <c:v>1.0851966136360012</c:v>
                </c:pt>
                <c:pt idx="8">
                  <c:v>0.5897957895590008</c:v>
                </c:pt>
                <c:pt idx="9">
                  <c:v>1.4271581528860011</c:v>
                </c:pt>
                <c:pt idx="10">
                  <c:v>1.6628200479000008</c:v>
                </c:pt>
                <c:pt idx="11">
                  <c:v>0.8045399962857992</c:v>
                </c:pt>
                <c:pt idx="12">
                  <c:v>0.70533263821849879</c:v>
                </c:pt>
                <c:pt idx="13">
                  <c:v>-0.13049924960159906</c:v>
                </c:pt>
                <c:pt idx="14">
                  <c:v>-0.44751399710599854</c:v>
                </c:pt>
                <c:pt idx="15">
                  <c:v>-0.76987000599350008</c:v>
                </c:pt>
                <c:pt idx="16">
                  <c:v>0.73358769341499996</c:v>
                </c:pt>
                <c:pt idx="17">
                  <c:v>1.7119328870655743</c:v>
                </c:pt>
                <c:pt idx="18">
                  <c:v>1.7410146380858</c:v>
                </c:pt>
                <c:pt idx="19">
                  <c:v>2.1117441102410957</c:v>
                </c:pt>
                <c:pt idx="20">
                  <c:v>1.7465138285348005</c:v>
                </c:pt>
                <c:pt idx="21">
                  <c:v>0.98444175225600128</c:v>
                </c:pt>
                <c:pt idx="22">
                  <c:v>0.77334822417096716</c:v>
                </c:pt>
                <c:pt idx="23">
                  <c:v>0.38113921743529455</c:v>
                </c:pt>
                <c:pt idx="24">
                  <c:v>0.58132404699840079</c:v>
                </c:pt>
                <c:pt idx="25">
                  <c:v>-5.2521499900483508E-3</c:v>
                </c:pt>
                <c:pt idx="26">
                  <c:v>-0.79116739152140025</c:v>
                </c:pt>
                <c:pt idx="27">
                  <c:v>-0.79112125742080253</c:v>
                </c:pt>
                <c:pt idx="28">
                  <c:v>0.10721773848414559</c:v>
                </c:pt>
                <c:pt idx="29">
                  <c:v>0.47802774306016416</c:v>
                </c:pt>
                <c:pt idx="30">
                  <c:v>0.83818270799786943</c:v>
                </c:pt>
                <c:pt idx="31">
                  <c:v>0.51256005892858814</c:v>
                </c:pt>
                <c:pt idx="32">
                  <c:v>1.0857122876110599</c:v>
                </c:pt>
                <c:pt idx="33">
                  <c:v>0.85005223291211862</c:v>
                </c:pt>
                <c:pt idx="34" formatCode="##0.0">
                  <c:v>0.1514982763667867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9F-4FED-BE1B-46C7AC81FAF8}"/>
            </c:ext>
          </c:extLst>
        </c:ser>
        <c:ser>
          <c:idx val="4"/>
          <c:order val="4"/>
          <c:tx>
            <c:strRef>
              <c:f>'Služby-příspěvky k růstu-4'!$G$33</c:f>
              <c:strCache>
                <c:ptCount val="1"/>
                <c:pt idx="0">
                  <c:v>Činnosti v oblasti nemovitostí (p. b.)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  <a:prstDash val="sysDash"/>
            </a:ln>
          </c:spPr>
          <c:invertIfNegative val="0"/>
          <c:cat>
            <c:multiLvlStrRef>
              <c:f>'Služby-příspěvky k růstu-4'!$A$54:$B$89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růstu-4'!$G$54:$G$89</c:f>
              <c:numCache>
                <c:formatCode>0.0</c:formatCode>
                <c:ptCount val="36"/>
                <c:pt idx="0">
                  <c:v>0.21404222779400017</c:v>
                </c:pt>
                <c:pt idx="1">
                  <c:v>0.44428056703740071</c:v>
                </c:pt>
                <c:pt idx="2">
                  <c:v>-2.3313403729999609E-2</c:v>
                </c:pt>
                <c:pt idx="3">
                  <c:v>0.1397148328565998</c:v>
                </c:pt>
                <c:pt idx="4">
                  <c:v>2.4371524468799519E-2</c:v>
                </c:pt>
                <c:pt idx="5">
                  <c:v>-0.24750495341219952</c:v>
                </c:pt>
                <c:pt idx="6">
                  <c:v>-0.12632001451980002</c:v>
                </c:pt>
                <c:pt idx="7">
                  <c:v>-0.22280827277219931</c:v>
                </c:pt>
                <c:pt idx="8">
                  <c:v>-0.59230499212500043</c:v>
                </c:pt>
                <c:pt idx="9">
                  <c:v>-0.14963028671039991</c:v>
                </c:pt>
                <c:pt idx="10">
                  <c:v>0.15919844821020035</c:v>
                </c:pt>
                <c:pt idx="11">
                  <c:v>0.41214543758999994</c:v>
                </c:pt>
                <c:pt idx="12">
                  <c:v>0.4376088325236</c:v>
                </c:pt>
                <c:pt idx="13">
                  <c:v>-0.3129705582585004</c:v>
                </c:pt>
                <c:pt idx="14">
                  <c:v>-0.26042458979333294</c:v>
                </c:pt>
                <c:pt idx="15">
                  <c:v>-0.23202769506919951</c:v>
                </c:pt>
                <c:pt idx="16">
                  <c:v>-0.20493642480289984</c:v>
                </c:pt>
                <c:pt idx="17">
                  <c:v>0.49389763410824949</c:v>
                </c:pt>
                <c:pt idx="18">
                  <c:v>-1.3480794651999375E-2</c:v>
                </c:pt>
                <c:pt idx="19">
                  <c:v>0.25760149947839961</c:v>
                </c:pt>
                <c:pt idx="20">
                  <c:v>0.96345448971199943</c:v>
                </c:pt>
                <c:pt idx="21">
                  <c:v>0.47159042328799955</c:v>
                </c:pt>
                <c:pt idx="22">
                  <c:v>0.2185622188815784</c:v>
                </c:pt>
                <c:pt idx="23">
                  <c:v>0.33309446355833333</c:v>
                </c:pt>
                <c:pt idx="24">
                  <c:v>0.16012954609680044</c:v>
                </c:pt>
                <c:pt idx="25">
                  <c:v>-0.18624032886239958</c:v>
                </c:pt>
                <c:pt idx="26">
                  <c:v>-0.27795457738857821</c:v>
                </c:pt>
                <c:pt idx="27">
                  <c:v>-0.2089599685726716</c:v>
                </c:pt>
                <c:pt idx="28">
                  <c:v>-0.20651327563660776</c:v>
                </c:pt>
                <c:pt idx="29">
                  <c:v>0.27793895598753937</c:v>
                </c:pt>
                <c:pt idx="30">
                  <c:v>-0.11784164354918217</c:v>
                </c:pt>
                <c:pt idx="31">
                  <c:v>-4.2577128381585134E-3</c:v>
                </c:pt>
                <c:pt idx="32">
                  <c:v>0.1818355616434188</c:v>
                </c:pt>
                <c:pt idx="33">
                  <c:v>8.696184408716532E-3</c:v>
                </c:pt>
                <c:pt idx="34" formatCode="##0.00">
                  <c:v>9.4366681134455607E-2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09F-4FED-BE1B-46C7AC81FAF8}"/>
            </c:ext>
          </c:extLst>
        </c:ser>
        <c:ser>
          <c:idx val="5"/>
          <c:order val="5"/>
          <c:tx>
            <c:strRef>
              <c:f>'Služby-příspěvky k růstu-4'!$H$33</c:f>
              <c:strCache>
                <c:ptCount val="1"/>
                <c:pt idx="0">
                  <c:v>Profesní, vědecké a technické činnosti (p. b.)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</c:spPr>
          <c:invertIfNegative val="0"/>
          <c:cat>
            <c:multiLvlStrRef>
              <c:f>'Služby-příspěvky k růstu-4'!$A$54:$B$89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růstu-4'!$H$54:$H$89</c:f>
              <c:numCache>
                <c:formatCode>0.0</c:formatCode>
                <c:ptCount val="36"/>
                <c:pt idx="0">
                  <c:v>0.98301471473999991</c:v>
                </c:pt>
                <c:pt idx="1">
                  <c:v>0.60289217538800066</c:v>
                </c:pt>
                <c:pt idx="2">
                  <c:v>0.29296090665239971</c:v>
                </c:pt>
                <c:pt idx="3">
                  <c:v>0.39545347720550122</c:v>
                </c:pt>
                <c:pt idx="4">
                  <c:v>1.0377388749657004</c:v>
                </c:pt>
                <c:pt idx="5">
                  <c:v>0.52795912771610132</c:v>
                </c:pt>
                <c:pt idx="6">
                  <c:v>0.33128275319889955</c:v>
                </c:pt>
                <c:pt idx="7">
                  <c:v>-0.32335157261830122</c:v>
                </c:pt>
                <c:pt idx="8">
                  <c:v>-0.22442800317910014</c:v>
                </c:pt>
                <c:pt idx="9">
                  <c:v>0.92864418130900139</c:v>
                </c:pt>
                <c:pt idx="10">
                  <c:v>-1.1905556335669008</c:v>
                </c:pt>
                <c:pt idx="11">
                  <c:v>0.12967121395800008</c:v>
                </c:pt>
                <c:pt idx="12">
                  <c:v>-1.2594010229457007</c:v>
                </c:pt>
                <c:pt idx="13">
                  <c:v>-3.4364785420139987</c:v>
                </c:pt>
                <c:pt idx="14">
                  <c:v>-1.730371529016393</c:v>
                </c:pt>
                <c:pt idx="15">
                  <c:v>-1.6762623702279009</c:v>
                </c:pt>
                <c:pt idx="16">
                  <c:v>-1.8460033079172407</c:v>
                </c:pt>
                <c:pt idx="17">
                  <c:v>2.6347487878244005</c:v>
                </c:pt>
                <c:pt idx="18">
                  <c:v>1.7641259138861987</c:v>
                </c:pt>
                <c:pt idx="19">
                  <c:v>2.2229354426597943</c:v>
                </c:pt>
                <c:pt idx="20">
                  <c:v>2.2737358553676001</c:v>
                </c:pt>
                <c:pt idx="21">
                  <c:v>1.3856227896222229</c:v>
                </c:pt>
                <c:pt idx="22">
                  <c:v>0.99391885813043546</c:v>
                </c:pt>
                <c:pt idx="23">
                  <c:v>0.1421335534285707</c:v>
                </c:pt>
                <c:pt idx="24">
                  <c:v>0.81953126781209973</c:v>
                </c:pt>
                <c:pt idx="25">
                  <c:v>0.82106868193752403</c:v>
                </c:pt>
                <c:pt idx="26">
                  <c:v>0.12923231255105044</c:v>
                </c:pt>
                <c:pt idx="27">
                  <c:v>0.83751215536408319</c:v>
                </c:pt>
                <c:pt idx="28">
                  <c:v>0.47506983729129498</c:v>
                </c:pt>
                <c:pt idx="29">
                  <c:v>0.68160503891420543</c:v>
                </c:pt>
                <c:pt idx="30">
                  <c:v>0.2657026600157707</c:v>
                </c:pt>
                <c:pt idx="31">
                  <c:v>5.2509565434282257E-2</c:v>
                </c:pt>
                <c:pt idx="32">
                  <c:v>1.0187352245648782</c:v>
                </c:pt>
                <c:pt idx="33">
                  <c:v>0.64776463658830552</c:v>
                </c:pt>
                <c:pt idx="34" formatCode="##0.0">
                  <c:v>0.14925378338401288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9F-4FED-BE1B-46C7AC81FAF8}"/>
            </c:ext>
          </c:extLst>
        </c:ser>
        <c:ser>
          <c:idx val="6"/>
          <c:order val="6"/>
          <c:tx>
            <c:strRef>
              <c:f>'Služby-příspěvky k růstu-4'!$I$33</c:f>
              <c:strCache>
                <c:ptCount val="1"/>
                <c:pt idx="0">
                  <c:v>Administr. a podpůrné čin. (příspěvek v p. b.)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</c:spPr>
          <c:invertIfNegative val="0"/>
          <c:cat>
            <c:multiLvlStrRef>
              <c:f>'Služby-příspěvky k růstu-4'!$A$54:$B$89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růstu-4'!$I$54:$I$89</c:f>
              <c:numCache>
                <c:formatCode>0.0</c:formatCode>
                <c:ptCount val="36"/>
                <c:pt idx="0">
                  <c:v>1.2711366665920003</c:v>
                </c:pt>
                <c:pt idx="1">
                  <c:v>1.1146800750025008</c:v>
                </c:pt>
                <c:pt idx="2">
                  <c:v>0.67890344957800031</c:v>
                </c:pt>
                <c:pt idx="3">
                  <c:v>0.27956598839150021</c:v>
                </c:pt>
                <c:pt idx="4">
                  <c:v>0.54934461190249961</c:v>
                </c:pt>
                <c:pt idx="5">
                  <c:v>0.38115955639220078</c:v>
                </c:pt>
                <c:pt idx="6">
                  <c:v>0.39493334022210069</c:v>
                </c:pt>
                <c:pt idx="7">
                  <c:v>-3.4631397924000239E-2</c:v>
                </c:pt>
                <c:pt idx="8">
                  <c:v>-1.2005370156462005</c:v>
                </c:pt>
                <c:pt idx="9">
                  <c:v>0.45407540916639949</c:v>
                </c:pt>
                <c:pt idx="10">
                  <c:v>-0.39889254166379967</c:v>
                </c:pt>
                <c:pt idx="11">
                  <c:v>1.3109329456980003</c:v>
                </c:pt>
                <c:pt idx="12">
                  <c:v>-1.1343690284759997</c:v>
                </c:pt>
                <c:pt idx="13">
                  <c:v>-5.28274232805955</c:v>
                </c:pt>
                <c:pt idx="14">
                  <c:v>-4.9394629012368423</c:v>
                </c:pt>
                <c:pt idx="15">
                  <c:v>-2.9777822451920004</c:v>
                </c:pt>
                <c:pt idx="16">
                  <c:v>-1.4090224874890003</c:v>
                </c:pt>
                <c:pt idx="17">
                  <c:v>2.2489366135893936</c:v>
                </c:pt>
                <c:pt idx="18">
                  <c:v>2.1176111028400002</c:v>
                </c:pt>
                <c:pt idx="19">
                  <c:v>1.4315715582961834</c:v>
                </c:pt>
                <c:pt idx="20">
                  <c:v>1.7141956457703218</c:v>
                </c:pt>
                <c:pt idx="21">
                  <c:v>3.1132718885355142</c:v>
                </c:pt>
                <c:pt idx="22">
                  <c:v>2.2147560104235504</c:v>
                </c:pt>
                <c:pt idx="23">
                  <c:v>0.75873802832519943</c:v>
                </c:pt>
                <c:pt idx="24">
                  <c:v>0.44446992933960033</c:v>
                </c:pt>
                <c:pt idx="25">
                  <c:v>0.17274794169589636</c:v>
                </c:pt>
                <c:pt idx="26">
                  <c:v>-0.14160160109817077</c:v>
                </c:pt>
                <c:pt idx="27">
                  <c:v>-4.4406367348499426E-2</c:v>
                </c:pt>
                <c:pt idx="28">
                  <c:v>0.38639916772040217</c:v>
                </c:pt>
                <c:pt idx="29">
                  <c:v>0.14229025552145014</c:v>
                </c:pt>
                <c:pt idx="30">
                  <c:v>0.42489637821976656</c:v>
                </c:pt>
                <c:pt idx="31">
                  <c:v>0.17528601156412052</c:v>
                </c:pt>
                <c:pt idx="32">
                  <c:v>0.18087313563116425</c:v>
                </c:pt>
                <c:pt idx="33">
                  <c:v>-2.3334741662060565E-2</c:v>
                </c:pt>
                <c:pt idx="34" formatCode="##0.0">
                  <c:v>-0.2545327762724946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09F-4FED-BE1B-46C7AC81FA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100"/>
        <c:axId val="156100864"/>
        <c:axId val="156573696"/>
      </c:barChart>
      <c:lineChart>
        <c:grouping val="standard"/>
        <c:varyColors val="0"/>
        <c:ser>
          <c:idx val="3"/>
          <c:order val="0"/>
          <c:tx>
            <c:strRef>
              <c:f>'Služby-příspěvky k růstu-4'!$C$33</c:f>
              <c:strCache>
                <c:ptCount val="1"/>
                <c:pt idx="0">
                  <c:v>Služby celkem (meziroční růst v %)</c:v>
                </c:pt>
              </c:strCache>
            </c:strRef>
          </c:tx>
          <c:spPr>
            <a:ln>
              <a:noFill/>
            </a:ln>
          </c:spPr>
          <c:marker>
            <c:symbol val="dash"/>
            <c:size val="7"/>
            <c:spPr>
              <a:solidFill>
                <a:schemeClr val="tx1">
                  <a:lumMod val="95000"/>
                  <a:lumOff val="5000"/>
                </a:schemeClr>
              </a:solidFill>
              <a:ln>
                <a:noFill/>
              </a:ln>
            </c:spPr>
          </c:marker>
          <c:cat>
            <c:multiLvlStrRef>
              <c:f>'Služby-příspěvky k růstu-4'!$A$54:$B$89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růstu-4'!$C$54:$C$89</c:f>
              <c:numCache>
                <c:formatCode>0.0</c:formatCode>
                <c:ptCount val="36"/>
                <c:pt idx="0">
                  <c:v>5.6487960982999965</c:v>
                </c:pt>
                <c:pt idx="1">
                  <c:v>5.6026545363999958</c:v>
                </c:pt>
                <c:pt idx="2">
                  <c:v>3.3153176139999943</c:v>
                </c:pt>
                <c:pt idx="3">
                  <c:v>2.439509263000005</c:v>
                </c:pt>
                <c:pt idx="4">
                  <c:v>4.8946535392999948</c:v>
                </c:pt>
                <c:pt idx="5">
                  <c:v>3.1352798691000032</c:v>
                </c:pt>
                <c:pt idx="6">
                  <c:v>3.5086986100999979</c:v>
                </c:pt>
                <c:pt idx="7">
                  <c:v>0.94159026420000203</c:v>
                </c:pt>
                <c:pt idx="8" formatCode="##0.0">
                  <c:v>-2.0671054031000011</c:v>
                </c:pt>
                <c:pt idx="9" formatCode="##0.0">
                  <c:v>2.0209180144999976</c:v>
                </c:pt>
                <c:pt idx="10" formatCode="##0.0">
                  <c:v>0.44120109739999691</c:v>
                </c:pt>
                <c:pt idx="11" formatCode="##0.0">
                  <c:v>3.686095991000002</c:v>
                </c:pt>
                <c:pt idx="12" formatCode="##0.0">
                  <c:v>-3.6978715759999972</c:v>
                </c:pt>
                <c:pt idx="13" formatCode="##0.0">
                  <c:v>-20.484078348699995</c:v>
                </c:pt>
                <c:pt idx="14" formatCode="##0.0">
                  <c:v>-13.812204700500004</c:v>
                </c:pt>
                <c:pt idx="15" formatCode="##0.0">
                  <c:v>-12.694419719300001</c:v>
                </c:pt>
                <c:pt idx="16" formatCode="##0.0">
                  <c:v>-6.4681516530999943</c:v>
                </c:pt>
                <c:pt idx="17" formatCode="##0.0">
                  <c:v>14.455386876399999</c:v>
                </c:pt>
                <c:pt idx="18" formatCode="##0.0">
                  <c:v>9.8516455885999932</c:v>
                </c:pt>
                <c:pt idx="19" formatCode="##0.0">
                  <c:v>12.459524820300004</c:v>
                </c:pt>
                <c:pt idx="20" formatCode="##0.0">
                  <c:v>13.600240544900004</c:v>
                </c:pt>
                <c:pt idx="21" formatCode="##0.0">
                  <c:v>12.5726418709</c:v>
                </c:pt>
                <c:pt idx="22" formatCode="##0.0">
                  <c:v>6.8795466822000009</c:v>
                </c:pt>
                <c:pt idx="23" formatCode="##0.0">
                  <c:v>3.1354455107999968</c:v>
                </c:pt>
                <c:pt idx="24" formatCode="##0.0">
                  <c:v>1.609979051600007</c:v>
                </c:pt>
                <c:pt idx="25" formatCode="##0.0">
                  <c:v>-1.642528214500004</c:v>
                </c:pt>
                <c:pt idx="26" formatCode="##0.0">
                  <c:v>-3.8506598790999931</c:v>
                </c:pt>
                <c:pt idx="27" formatCode="##0.0">
                  <c:v>-2.1921871123000045</c:v>
                </c:pt>
                <c:pt idx="28" formatCode="##0.0">
                  <c:v>1.1844010462999961</c:v>
                </c:pt>
                <c:pt idx="29" formatCode="##0.0">
                  <c:v>2.8847593259000064</c:v>
                </c:pt>
                <c:pt idx="30" formatCode="##0.0">
                  <c:v>2.855550878599999</c:v>
                </c:pt>
                <c:pt idx="31" formatCode="##0.0">
                  <c:v>2.1314203951999957</c:v>
                </c:pt>
                <c:pt idx="32" formatCode="##0.0">
                  <c:v>3.0589443596000101</c:v>
                </c:pt>
                <c:pt idx="33" formatCode="##0.0">
                  <c:v>2.2222265475</c:v>
                </c:pt>
                <c:pt idx="34" formatCode="##0.0">
                  <c:v>4.1788050527396238E-2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09F-4FED-BE1B-46C7AC81FA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100864"/>
        <c:axId val="156573696"/>
      </c:lineChart>
      <c:lineChart>
        <c:grouping val="standard"/>
        <c:varyColors val="0"/>
        <c:ser>
          <c:idx val="7"/>
          <c:order val="7"/>
          <c:tx>
            <c:strRef>
              <c:f>'Služby-příspěvky k růstu-4'!$J$33</c:f>
              <c:strCache>
                <c:ptCount val="1"/>
                <c:pt idx="0">
                  <c:v>Saldo indikátoru důvěry ve službách</c:v>
                </c:pt>
              </c:strCache>
            </c:strRef>
          </c:tx>
          <c:spPr>
            <a:ln w="3175">
              <a:noFill/>
              <a:prstDash val="sysDot"/>
            </a:ln>
          </c:spPr>
          <c:marker>
            <c:symbol val="diamond"/>
            <c:size val="5"/>
            <c:spPr>
              <a:solidFill>
                <a:srgbClr val="FFFF00"/>
              </a:solidFill>
              <a:ln w="6350">
                <a:solidFill>
                  <a:schemeClr val="tx1">
                    <a:lumMod val="85000"/>
                    <a:lumOff val="15000"/>
                  </a:schemeClr>
                </a:solidFill>
              </a:ln>
            </c:spPr>
          </c:marker>
          <c:cat>
            <c:multiLvlStrRef>
              <c:f>'Služby-příspěvky k růstu-4'!$A$54:$B$89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růstu-4'!$J$54:$J$89</c:f>
              <c:numCache>
                <c:formatCode>#\ ##0.0</c:formatCode>
                <c:ptCount val="36"/>
                <c:pt idx="0">
                  <c:v>35.299999999999997</c:v>
                </c:pt>
                <c:pt idx="1">
                  <c:v>37.700000000000003</c:v>
                </c:pt>
                <c:pt idx="2">
                  <c:v>37.299999999999997</c:v>
                </c:pt>
                <c:pt idx="3">
                  <c:v>35.700000000000003</c:v>
                </c:pt>
                <c:pt idx="4">
                  <c:v>38.299999999999997</c:v>
                </c:pt>
                <c:pt idx="5">
                  <c:v>37</c:v>
                </c:pt>
                <c:pt idx="6">
                  <c:v>38.299999999999997</c:v>
                </c:pt>
                <c:pt idx="7">
                  <c:v>40.700000000000003</c:v>
                </c:pt>
                <c:pt idx="8">
                  <c:v>39.299999999999997</c:v>
                </c:pt>
                <c:pt idx="9">
                  <c:v>33.700000000000003</c:v>
                </c:pt>
                <c:pt idx="10">
                  <c:v>35</c:v>
                </c:pt>
                <c:pt idx="11">
                  <c:v>32.700000000000003</c:v>
                </c:pt>
                <c:pt idx="12">
                  <c:v>29</c:v>
                </c:pt>
                <c:pt idx="13">
                  <c:v>-13.3</c:v>
                </c:pt>
                <c:pt idx="14">
                  <c:v>1</c:v>
                </c:pt>
                <c:pt idx="15">
                  <c:v>-5</c:v>
                </c:pt>
                <c:pt idx="16">
                  <c:v>8</c:v>
                </c:pt>
                <c:pt idx="17">
                  <c:v>22.3</c:v>
                </c:pt>
                <c:pt idx="18">
                  <c:v>24.3</c:v>
                </c:pt>
                <c:pt idx="19">
                  <c:v>27</c:v>
                </c:pt>
                <c:pt idx="20">
                  <c:v>31</c:v>
                </c:pt>
                <c:pt idx="21">
                  <c:v>40</c:v>
                </c:pt>
                <c:pt idx="22">
                  <c:v>27.7</c:v>
                </c:pt>
                <c:pt idx="23">
                  <c:v>21.3</c:v>
                </c:pt>
                <c:pt idx="24">
                  <c:v>24</c:v>
                </c:pt>
                <c:pt idx="25" formatCode="0.0">
                  <c:v>28</c:v>
                </c:pt>
                <c:pt idx="26" formatCode="0.0">
                  <c:v>25.7</c:v>
                </c:pt>
                <c:pt idx="27" formatCode="0.0">
                  <c:v>22.7</c:v>
                </c:pt>
                <c:pt idx="28" formatCode="0.0">
                  <c:v>21.3</c:v>
                </c:pt>
                <c:pt idx="29" formatCode="0.0">
                  <c:v>30.1</c:v>
                </c:pt>
                <c:pt idx="30" formatCode="0.0">
                  <c:v>21.7</c:v>
                </c:pt>
                <c:pt idx="31" formatCode="0.0">
                  <c:v>33.700000000000003</c:v>
                </c:pt>
                <c:pt idx="32" formatCode="0.0">
                  <c:v>31.3</c:v>
                </c:pt>
                <c:pt idx="33" formatCode="0.0">
                  <c:v>39.700000000000003</c:v>
                </c:pt>
                <c:pt idx="34" formatCode="0.0">
                  <c:v>41</c:v>
                </c:pt>
                <c:pt idx="35" formatCode="0.0">
                  <c:v>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09F-4FED-BE1B-46C7AC81FAF8}"/>
            </c:ext>
          </c:extLst>
        </c:ser>
        <c:ser>
          <c:idx val="8"/>
          <c:order val="8"/>
          <c:tx>
            <c:strRef>
              <c:f>'Služby-příspěvky k růstu-4'!$K$33</c:f>
              <c:strCache>
                <c:ptCount val="1"/>
                <c:pt idx="0">
                  <c:v>Bariéra růstu: nedostatečná poptávka</c:v>
                </c:pt>
              </c:strCache>
            </c:strRef>
          </c:tx>
          <c:spPr>
            <a:ln w="15875">
              <a:solidFill>
                <a:srgbClr val="CA945E"/>
              </a:solidFill>
              <a:prstDash val="solid"/>
            </a:ln>
          </c:spPr>
          <c:marker>
            <c:symbol val="none"/>
          </c:marker>
          <c:cat>
            <c:multiLvlStrRef>
              <c:f>'Služby-příspěvky k růstu-4'!$A$54:$B$89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růstu-4'!$K$54:$K$89</c:f>
              <c:numCache>
                <c:formatCode>#\ ##0.0</c:formatCode>
                <c:ptCount val="36"/>
                <c:pt idx="0">
                  <c:v>25.8</c:v>
                </c:pt>
                <c:pt idx="1">
                  <c:v>20.5</c:v>
                </c:pt>
                <c:pt idx="2">
                  <c:v>18.399999999999999</c:v>
                </c:pt>
                <c:pt idx="3">
                  <c:v>21.6</c:v>
                </c:pt>
                <c:pt idx="4">
                  <c:v>16.899999999999999</c:v>
                </c:pt>
                <c:pt idx="5">
                  <c:v>19.399999999999999</c:v>
                </c:pt>
                <c:pt idx="6">
                  <c:v>17.899999999999999</c:v>
                </c:pt>
                <c:pt idx="7">
                  <c:v>20.7</c:v>
                </c:pt>
                <c:pt idx="8">
                  <c:v>20.6</c:v>
                </c:pt>
                <c:pt idx="9">
                  <c:v>16.899999999999999</c:v>
                </c:pt>
                <c:pt idx="10">
                  <c:v>20.5</c:v>
                </c:pt>
                <c:pt idx="11">
                  <c:v>14.4</c:v>
                </c:pt>
                <c:pt idx="12">
                  <c:v>21.3</c:v>
                </c:pt>
                <c:pt idx="13">
                  <c:v>30.2</c:v>
                </c:pt>
                <c:pt idx="14">
                  <c:v>30.4</c:v>
                </c:pt>
                <c:pt idx="15">
                  <c:v>39.200000000000003</c:v>
                </c:pt>
                <c:pt idx="16">
                  <c:v>34.799999999999997</c:v>
                </c:pt>
                <c:pt idx="17">
                  <c:v>36.799999999999997</c:v>
                </c:pt>
                <c:pt idx="18">
                  <c:v>28.9</c:v>
                </c:pt>
                <c:pt idx="19">
                  <c:v>26.3</c:v>
                </c:pt>
                <c:pt idx="20">
                  <c:v>31.6</c:v>
                </c:pt>
                <c:pt idx="21">
                  <c:v>15</c:v>
                </c:pt>
                <c:pt idx="22">
                  <c:v>30.2</c:v>
                </c:pt>
                <c:pt idx="23">
                  <c:v>17.600000000000001</c:v>
                </c:pt>
                <c:pt idx="24">
                  <c:v>25.4</c:v>
                </c:pt>
                <c:pt idx="25">
                  <c:v>19.100000000000001</c:v>
                </c:pt>
                <c:pt idx="26">
                  <c:v>26</c:v>
                </c:pt>
                <c:pt idx="27">
                  <c:v>23</c:v>
                </c:pt>
                <c:pt idx="28">
                  <c:v>18.5</c:v>
                </c:pt>
                <c:pt idx="29">
                  <c:v>19.2</c:v>
                </c:pt>
                <c:pt idx="30">
                  <c:v>17.8</c:v>
                </c:pt>
                <c:pt idx="31">
                  <c:v>29.6</c:v>
                </c:pt>
                <c:pt idx="32">
                  <c:v>24.4</c:v>
                </c:pt>
                <c:pt idx="33">
                  <c:v>17.5</c:v>
                </c:pt>
                <c:pt idx="34">
                  <c:v>17</c:v>
                </c:pt>
                <c:pt idx="35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D09F-4FED-BE1B-46C7AC81FAF8}"/>
            </c:ext>
          </c:extLst>
        </c:ser>
        <c:ser>
          <c:idx val="9"/>
          <c:order val="9"/>
          <c:tx>
            <c:strRef>
              <c:f>'Služby-příspěvky k růstu-4'!$L$33</c:f>
              <c:strCache>
                <c:ptCount val="1"/>
                <c:pt idx="0">
                  <c:v>Bariéra růstu: nedostatek pracovníků</c:v>
                </c:pt>
              </c:strCache>
            </c:strRef>
          </c:tx>
          <c:spPr>
            <a:ln w="15875">
              <a:solidFill>
                <a:srgbClr val="CA945E"/>
              </a:solidFill>
              <a:prstDash val="sysDash"/>
            </a:ln>
          </c:spPr>
          <c:marker>
            <c:symbol val="none"/>
          </c:marker>
          <c:cat>
            <c:multiLvlStrRef>
              <c:f>'Služby-příspěvky k růstu-4'!$A$54:$B$89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růstu-4'!$L$54:$L$89</c:f>
              <c:numCache>
                <c:formatCode>#\ ##0.0</c:formatCode>
                <c:ptCount val="36"/>
                <c:pt idx="0">
                  <c:v>9.4</c:v>
                </c:pt>
                <c:pt idx="1">
                  <c:v>9.6999999999999993</c:v>
                </c:pt>
                <c:pt idx="2">
                  <c:v>9.8000000000000007</c:v>
                </c:pt>
                <c:pt idx="3">
                  <c:v>12.8</c:v>
                </c:pt>
                <c:pt idx="4">
                  <c:v>13.9</c:v>
                </c:pt>
                <c:pt idx="5">
                  <c:v>16.3</c:v>
                </c:pt>
                <c:pt idx="6">
                  <c:v>17.5</c:v>
                </c:pt>
                <c:pt idx="7">
                  <c:v>18.899999999999999</c:v>
                </c:pt>
                <c:pt idx="8">
                  <c:v>19.3</c:v>
                </c:pt>
                <c:pt idx="9">
                  <c:v>15</c:v>
                </c:pt>
                <c:pt idx="10">
                  <c:v>21.5</c:v>
                </c:pt>
                <c:pt idx="11">
                  <c:v>19.8</c:v>
                </c:pt>
                <c:pt idx="12">
                  <c:v>19.5</c:v>
                </c:pt>
                <c:pt idx="13">
                  <c:v>10</c:v>
                </c:pt>
                <c:pt idx="14">
                  <c:v>10</c:v>
                </c:pt>
                <c:pt idx="15">
                  <c:v>12.6</c:v>
                </c:pt>
                <c:pt idx="16">
                  <c:v>12.7</c:v>
                </c:pt>
                <c:pt idx="17">
                  <c:v>8.5</c:v>
                </c:pt>
                <c:pt idx="18">
                  <c:v>17.399999999999999</c:v>
                </c:pt>
                <c:pt idx="19">
                  <c:v>20.6</c:v>
                </c:pt>
                <c:pt idx="20">
                  <c:v>20.2</c:v>
                </c:pt>
                <c:pt idx="21">
                  <c:v>10.9</c:v>
                </c:pt>
                <c:pt idx="22">
                  <c:v>17.899999999999999</c:v>
                </c:pt>
                <c:pt idx="23">
                  <c:v>6.6</c:v>
                </c:pt>
                <c:pt idx="24">
                  <c:v>9.3000000000000007</c:v>
                </c:pt>
                <c:pt idx="25">
                  <c:v>9.7000000000000011</c:v>
                </c:pt>
                <c:pt idx="26">
                  <c:v>9.2000000000000011</c:v>
                </c:pt>
                <c:pt idx="27">
                  <c:v>12.3</c:v>
                </c:pt>
                <c:pt idx="28">
                  <c:v>8.3000000000000007</c:v>
                </c:pt>
                <c:pt idx="29">
                  <c:v>8.1</c:v>
                </c:pt>
                <c:pt idx="30">
                  <c:v>8.3000000000000007</c:v>
                </c:pt>
                <c:pt idx="31">
                  <c:v>15.3</c:v>
                </c:pt>
                <c:pt idx="32">
                  <c:v>12.9</c:v>
                </c:pt>
                <c:pt idx="33">
                  <c:v>10.4</c:v>
                </c:pt>
                <c:pt idx="34">
                  <c:v>11.1</c:v>
                </c:pt>
                <c:pt idx="35">
                  <c:v>12.4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D09F-4FED-BE1B-46C7AC81FAF8}"/>
            </c:ext>
          </c:extLst>
        </c:ser>
        <c:ser>
          <c:idx val="10"/>
          <c:order val="10"/>
          <c:tx>
            <c:strRef>
              <c:f>'Služby-příspěvky k růstu-4'!$M$33</c:f>
              <c:strCache>
                <c:ptCount val="1"/>
                <c:pt idx="0">
                  <c:v>Tržby celkem (báze 2021=100, stálé ceny)</c:v>
                </c:pt>
              </c:strCache>
            </c:strRef>
          </c:tx>
          <c:spPr>
            <a:ln w="15875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'Služby-příspěvky k růstu-4'!$A$54:$B$89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růstu-4'!$M$54:$M$89</c:f>
              <c:numCache>
                <c:formatCode>0.0</c:formatCode>
                <c:ptCount val="36"/>
                <c:pt idx="0">
                  <c:v>101.4219604533</c:v>
                </c:pt>
                <c:pt idx="1">
                  <c:v>102.49538191000001</c:v>
                </c:pt>
                <c:pt idx="2">
                  <c:v>102.1840512567</c:v>
                </c:pt>
                <c:pt idx="3">
                  <c:v>103.20163698</c:v>
                </c:pt>
                <c:pt idx="4">
                  <c:v>106.6503331867</c:v>
                </c:pt>
                <c:pt idx="5">
                  <c:v>105.31944761</c:v>
                </c:pt>
                <c:pt idx="6">
                  <c:v>105.3929269967</c:v>
                </c:pt>
                <c:pt idx="7">
                  <c:v>103.7491798467</c:v>
                </c:pt>
                <c:pt idx="8">
                  <c:v>104.6832218533</c:v>
                </c:pt>
                <c:pt idx="9">
                  <c:v>107.16559399330001</c:v>
                </c:pt>
                <c:pt idx="10">
                  <c:v>106.1436901867</c:v>
                </c:pt>
                <c:pt idx="11">
                  <c:v>106.27043888670001</c:v>
                </c:pt>
                <c:pt idx="12">
                  <c:v>100.6979508733</c:v>
                </c:pt>
                <c:pt idx="13">
                  <c:v>86.618830439999996</c:v>
                </c:pt>
                <c:pt idx="14">
                  <c:v>93.9929513867</c:v>
                </c:pt>
                <c:pt idx="15">
                  <c:v>92.232927896700005</c:v>
                </c:pt>
                <c:pt idx="16">
                  <c:v>92.791728806699993</c:v>
                </c:pt>
                <c:pt idx="17">
                  <c:v>97.956733063300007</c:v>
                </c:pt>
                <c:pt idx="18">
                  <c:v>102.40812708999999</c:v>
                </c:pt>
                <c:pt idx="19">
                  <c:v>104.40532648999999</c:v>
                </c:pt>
                <c:pt idx="20">
                  <c:v>106.2540904433</c:v>
                </c:pt>
                <c:pt idx="21">
                  <c:v>108.92754497999999</c:v>
                </c:pt>
                <c:pt idx="22">
                  <c:v>109.5254151833</c:v>
                </c:pt>
                <c:pt idx="23">
                  <c:v>108.85377219670001</c:v>
                </c:pt>
                <c:pt idx="24">
                  <c:v>107.89683521329999</c:v>
                </c:pt>
                <c:pt idx="25">
                  <c:v>106.52775947329999</c:v>
                </c:pt>
                <c:pt idx="26">
                  <c:v>106.05623970329999</c:v>
                </c:pt>
                <c:pt idx="27">
                  <c:v>106.71514075</c:v>
                </c:pt>
                <c:pt idx="28">
                  <c:v>108.53598655</c:v>
                </c:pt>
                <c:pt idx="29">
                  <c:v>109.23094661</c:v>
                </c:pt>
                <c:pt idx="30">
                  <c:v>109.47401877999999</c:v>
                </c:pt>
                <c:pt idx="31">
                  <c:v>109.56355626</c:v>
                </c:pt>
                <c:pt idx="32">
                  <c:v>111.17415665999999</c:v>
                </c:pt>
                <c:pt idx="33">
                  <c:v>111.11343051</c:v>
                </c:pt>
                <c:pt idx="34" formatCode="General">
                  <c:v>110.38462027670001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D09F-4FED-BE1B-46C7AC81FAF8}"/>
            </c:ext>
          </c:extLst>
        </c:ser>
        <c:ser>
          <c:idx val="11"/>
          <c:order val="11"/>
          <c:tx>
            <c:strRef>
              <c:f>'Služby-příspěvky k růstu-4'!$N$33</c:f>
              <c:strCache>
                <c:ptCount val="1"/>
                <c:pt idx="0">
                  <c:v>Tržby celkem (báze 2021=100, běžné ceny)</c:v>
                </c:pt>
              </c:strCache>
            </c:strRef>
          </c:tx>
          <c:spPr>
            <a:ln w="15875">
              <a:solidFill>
                <a:schemeClr val="bg2">
                  <a:lumMod val="25000"/>
                </a:schemeClr>
              </a:solidFill>
              <a:prstDash val="sysDash"/>
            </a:ln>
          </c:spPr>
          <c:marker>
            <c:symbol val="none"/>
          </c:marker>
          <c:cat>
            <c:multiLvlStrRef>
              <c:f>'Služby-příspěvky k růstu-4'!$A$54:$B$89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'Služby-příspěvky k růstu-4'!$N$54:$N$89</c:f>
              <c:numCache>
                <c:formatCode>0.0</c:formatCode>
                <c:ptCount val="36"/>
                <c:pt idx="0">
                  <c:v>92.831140320000003</c:v>
                </c:pt>
                <c:pt idx="1">
                  <c:v>94.084719190000001</c:v>
                </c:pt>
                <c:pt idx="2">
                  <c:v>94.352925536699999</c:v>
                </c:pt>
                <c:pt idx="3">
                  <c:v>95.836781003300004</c:v>
                </c:pt>
                <c:pt idx="4">
                  <c:v>99.320277939999997</c:v>
                </c:pt>
                <c:pt idx="5">
                  <c:v>98.6848122233</c:v>
                </c:pt>
                <c:pt idx="6">
                  <c:v>99.610745516700007</c:v>
                </c:pt>
                <c:pt idx="7">
                  <c:v>98.775679409999995</c:v>
                </c:pt>
                <c:pt idx="8">
                  <c:v>99.816231270000003</c:v>
                </c:pt>
                <c:pt idx="9">
                  <c:v>103.18033488330001</c:v>
                </c:pt>
                <c:pt idx="10">
                  <c:v>102.9398626967</c:v>
                </c:pt>
                <c:pt idx="11">
                  <c:v>103.5312898067</c:v>
                </c:pt>
                <c:pt idx="12">
                  <c:v>98.588248460000003</c:v>
                </c:pt>
                <c:pt idx="13">
                  <c:v>84.899543543299998</c:v>
                </c:pt>
                <c:pt idx="14">
                  <c:v>92.649802966699994</c:v>
                </c:pt>
                <c:pt idx="15">
                  <c:v>91.452913469999999</c:v>
                </c:pt>
                <c:pt idx="16">
                  <c:v>92.153441286700001</c:v>
                </c:pt>
                <c:pt idx="17">
                  <c:v>97.127423936699998</c:v>
                </c:pt>
                <c:pt idx="18">
                  <c:v>102.39163689999999</c:v>
                </c:pt>
                <c:pt idx="19">
                  <c:v>105.9524773967</c:v>
                </c:pt>
                <c:pt idx="20">
                  <c:v>109.83389484670001</c:v>
                </c:pt>
                <c:pt idx="21">
                  <c:v>114.94432504</c:v>
                </c:pt>
                <c:pt idx="22">
                  <c:v>118.0824663033</c:v>
                </c:pt>
                <c:pt idx="23">
                  <c:v>119.45832471670001</c:v>
                </c:pt>
                <c:pt idx="24">
                  <c:v>120.6056653333</c:v>
                </c:pt>
                <c:pt idx="25">
                  <c:v>121.1410804133</c:v>
                </c:pt>
                <c:pt idx="26">
                  <c:v>121.9411090733</c:v>
                </c:pt>
                <c:pt idx="27">
                  <c:v>124.05707319</c:v>
                </c:pt>
                <c:pt idx="28">
                  <c:v>127.0759298433</c:v>
                </c:pt>
                <c:pt idx="29">
                  <c:v>128.64747130999999</c:v>
                </c:pt>
                <c:pt idx="30">
                  <c:v>130.09047260329999</c:v>
                </c:pt>
                <c:pt idx="31">
                  <c:v>131.4113896067</c:v>
                </c:pt>
                <c:pt idx="32">
                  <c:v>134.00080276669999</c:v>
                </c:pt>
                <c:pt idx="33">
                  <c:v>134.98651542330001</c:v>
                </c:pt>
                <c:pt idx="34" formatCode="General">
                  <c:v>135.27249501669999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D09F-4FED-BE1B-46C7AC81FA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576768"/>
        <c:axId val="156575232"/>
      </c:lineChart>
      <c:catAx>
        <c:axId val="156100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/>
            </a:pPr>
            <a:endParaRPr lang="cs-CZ"/>
          </a:p>
        </c:txPr>
        <c:crossAx val="156573696"/>
        <c:crosses val="autoZero"/>
        <c:auto val="1"/>
        <c:lblAlgn val="ctr"/>
        <c:lblOffset val="0"/>
        <c:noMultiLvlLbl val="0"/>
      </c:catAx>
      <c:valAx>
        <c:axId val="156573696"/>
        <c:scaling>
          <c:orientation val="minMax"/>
          <c:max val="15"/>
          <c:min val="-3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Tržby (příspěvky k</a:t>
                </a:r>
                <a:r>
                  <a:rPr lang="cs-CZ" sz="700" b="0" i="1" baseline="0"/>
                  <a:t> meziroční změně)</a:t>
                </a:r>
                <a:endParaRPr lang="cs-CZ" sz="700" b="0" i="1"/>
              </a:p>
            </c:rich>
          </c:tx>
          <c:layout>
            <c:manualLayout>
              <c:xMode val="edge"/>
              <c:yMode val="edge"/>
              <c:x val="0"/>
              <c:y val="0.136492655112195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56100864"/>
        <c:crosses val="autoZero"/>
        <c:crossBetween val="between"/>
        <c:majorUnit val="5"/>
      </c:valAx>
      <c:valAx>
        <c:axId val="156575232"/>
        <c:scaling>
          <c:orientation val="minMax"/>
          <c:max val="150"/>
          <c:min val="-30"/>
        </c:scaling>
        <c:delete val="0"/>
        <c:axPos val="r"/>
        <c:title>
          <c:tx>
            <c:rich>
              <a:bodyPr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700" b="0" i="1" u="none" strike="noStrike" kern="1200" baseline="0">
                    <a:solidFill>
                      <a:sysClr val="windowText" lastClr="000000"/>
                    </a:solidFill>
                    <a:latin typeface="Arial" pitchFamily="34" charset="0"/>
                    <a:ea typeface="+mn-ea"/>
                    <a:cs typeface="+mn-cs"/>
                  </a:defRPr>
                </a:pPr>
                <a:r>
                  <a:rPr lang="cs-CZ" sz="700" b="0" i="1" baseline="0">
                    <a:effectLst/>
                  </a:rPr>
                  <a:t>Tržby (báze 2021=100)</a:t>
                </a:r>
                <a:r>
                  <a:rPr lang="cs-CZ" sz="700" b="0" i="1"/>
                  <a:t>,</a:t>
                </a:r>
                <a:r>
                  <a:rPr lang="cs-CZ" sz="700" b="0" i="1" baseline="0"/>
                  <a:t> s</a:t>
                </a:r>
                <a:r>
                  <a:rPr lang="cs-CZ" sz="700" b="0" i="1"/>
                  <a:t>aldo důvěry, bariéry růstu</a:t>
                </a:r>
              </a:p>
            </c:rich>
          </c:tx>
          <c:layout>
            <c:manualLayout>
              <c:xMode val="edge"/>
              <c:yMode val="edge"/>
              <c:x val="0.97059962406015032"/>
              <c:y val="7.2968499427262329E-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56576768"/>
        <c:crosses val="max"/>
        <c:crossBetween val="between"/>
        <c:majorUnit val="20"/>
      </c:valAx>
      <c:catAx>
        <c:axId val="1565767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56575232"/>
        <c:crosses val="autoZero"/>
        <c:auto val="1"/>
        <c:lblAlgn val="ctr"/>
        <c:lblOffset val="100"/>
        <c:noMultiLvlLbl val="0"/>
      </c:catAx>
      <c:spPr>
        <a:ln>
          <a:solidFill>
            <a:schemeClr val="tx1">
              <a:lumMod val="75000"/>
              <a:lumOff val="25000"/>
            </a:schemeClr>
          </a:solidFill>
        </a:ln>
      </c:spPr>
    </c:plotArea>
    <c:legend>
      <c:legendPos val="r"/>
      <c:layout>
        <c:manualLayout>
          <c:xMode val="edge"/>
          <c:yMode val="edge"/>
          <c:x val="2.7894149438737266E-3"/>
          <c:y val="0.80683901693256121"/>
          <c:w val="0.99229354112783008"/>
          <c:h val="0.18952404020147029"/>
        </c:manualLayout>
      </c:layout>
      <c:overlay val="0"/>
      <c:spPr>
        <a:ln w="6350">
          <a:solidFill>
            <a:schemeClr val="tx1"/>
          </a:solidFill>
        </a:ln>
      </c:spPr>
      <c:txPr>
        <a:bodyPr/>
        <a:lstStyle/>
        <a:p>
          <a:pPr>
            <a:defRPr sz="72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5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461666861125732E-2"/>
          <c:y val="1.5803328678987455E-2"/>
          <c:w val="0.85878628700879256"/>
          <c:h val="0.73450553497678983"/>
        </c:manualLayout>
      </c:layout>
      <c:barChart>
        <c:barDir val="col"/>
        <c:grouping val="stacked"/>
        <c:varyColors val="0"/>
        <c:ser>
          <c:idx val="0"/>
          <c:order val="1"/>
          <c:tx>
            <c:strRef>
              <c:f>'výkonnost odvětví 5a'!$E$66</c:f>
              <c:strCache>
                <c:ptCount val="1"/>
                <c:pt idx="0">
                  <c:v>Maloobchod s potravinami (příspěvek)</c:v>
                </c:pt>
              </c:strCache>
            </c:strRef>
          </c:tx>
          <c:spPr>
            <a:solidFill>
              <a:srgbClr val="92D050"/>
            </a:solidFill>
            <a:ln w="15875">
              <a:noFill/>
            </a:ln>
          </c:spPr>
          <c:invertIfNegative val="0"/>
          <c:cat>
            <c:multiLvlStrRef>
              <c:f>'výkonnost odvětví 5a'!$B$75:$C$110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5a'!$E$75:$E$110</c:f>
              <c:numCache>
                <c:formatCode>#\ ##0.0</c:formatCode>
                <c:ptCount val="36"/>
                <c:pt idx="0">
                  <c:v>0.7787154164630542</c:v>
                </c:pt>
                <c:pt idx="1">
                  <c:v>1.3597766994116862</c:v>
                </c:pt>
                <c:pt idx="2">
                  <c:v>1.1134773635066046</c:v>
                </c:pt>
                <c:pt idx="3">
                  <c:v>0.91970740736417533</c:v>
                </c:pt>
                <c:pt idx="4">
                  <c:v>1.4645333800973857</c:v>
                </c:pt>
                <c:pt idx="5">
                  <c:v>0.53144446548435409</c:v>
                </c:pt>
                <c:pt idx="6">
                  <c:v>0.92792683035692236</c:v>
                </c:pt>
                <c:pt idx="7">
                  <c:v>0.3824919135762459</c:v>
                </c:pt>
                <c:pt idx="8">
                  <c:v>-0.28208291529256013</c:v>
                </c:pt>
                <c:pt idx="9">
                  <c:v>1.4115794519944731</c:v>
                </c:pt>
                <c:pt idx="10">
                  <c:v>0.11831212805240382</c:v>
                </c:pt>
                <c:pt idx="11">
                  <c:v>1.4252185624438525</c:v>
                </c:pt>
                <c:pt idx="12">
                  <c:v>0.67533313612495505</c:v>
                </c:pt>
                <c:pt idx="13">
                  <c:v>-1.8574665817037352</c:v>
                </c:pt>
                <c:pt idx="14">
                  <c:v>-0.62665283397019778</c:v>
                </c:pt>
                <c:pt idx="15">
                  <c:v>-0.29163181920678832</c:v>
                </c:pt>
                <c:pt idx="16">
                  <c:v>-0.58886447637447803</c:v>
                </c:pt>
                <c:pt idx="17">
                  <c:v>0.47912353200059132</c:v>
                </c:pt>
                <c:pt idx="18">
                  <c:v>-0.29898261183634506</c:v>
                </c:pt>
                <c:pt idx="19">
                  <c:v>5.3838291857601613E-3</c:v>
                </c:pt>
                <c:pt idx="20">
                  <c:v>-6.1913013417368948E-2</c:v>
                </c:pt>
                <c:pt idx="21">
                  <c:v>-1.0998344112906489</c:v>
                </c:pt>
                <c:pt idx="22">
                  <c:v>-2.2851603633096964</c:v>
                </c:pt>
                <c:pt idx="23">
                  <c:v>-3.2411979059377738</c:v>
                </c:pt>
                <c:pt idx="24">
                  <c:v>-3.1041465060456797</c:v>
                </c:pt>
                <c:pt idx="25">
                  <c:v>-2.854410351710674</c:v>
                </c:pt>
                <c:pt idx="26">
                  <c:v>-1.6887435868608744</c:v>
                </c:pt>
                <c:pt idx="27">
                  <c:v>-0.7391716625623328</c:v>
                </c:pt>
                <c:pt idx="28">
                  <c:v>0.86707848438837742</c:v>
                </c:pt>
                <c:pt idx="29">
                  <c:v>1.114920615057083</c:v>
                </c:pt>
                <c:pt idx="30">
                  <c:v>0.85635556870168317</c:v>
                </c:pt>
                <c:pt idx="31">
                  <c:v>0.65310278861895843</c:v>
                </c:pt>
                <c:pt idx="32">
                  <c:v>0.38285847058321898</c:v>
                </c:pt>
                <c:pt idx="33">
                  <c:v>0.5218097244507699</c:v>
                </c:pt>
                <c:pt idx="34">
                  <c:v>-0.15331918641320236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37-4EE0-9F33-B9A60B8C7298}"/>
            </c:ext>
          </c:extLst>
        </c:ser>
        <c:ser>
          <c:idx val="1"/>
          <c:order val="2"/>
          <c:tx>
            <c:strRef>
              <c:f>'výkonnost odvětví 5a'!$F$66</c:f>
              <c:strCache>
                <c:ptCount val="1"/>
                <c:pt idx="0">
                  <c:v>Mal. s nepotravinářským zbož. (příspěvek)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15875">
              <a:noFill/>
            </a:ln>
          </c:spPr>
          <c:invertIfNegative val="0"/>
          <c:cat>
            <c:multiLvlStrRef>
              <c:f>'výkonnost odvětví 5a'!$B$75:$C$110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5a'!$F$75:$F$110</c:f>
              <c:numCache>
                <c:formatCode>#\ ##0.0</c:formatCode>
                <c:ptCount val="36"/>
                <c:pt idx="0">
                  <c:v>4.1557103248201761</c:v>
                </c:pt>
                <c:pt idx="1">
                  <c:v>4.4104045377999981</c:v>
                </c:pt>
                <c:pt idx="2">
                  <c:v>4.0615248531372536</c:v>
                </c:pt>
                <c:pt idx="3">
                  <c:v>4.5700952864311759</c:v>
                </c:pt>
                <c:pt idx="4">
                  <c:v>3.9569950425480003</c:v>
                </c:pt>
                <c:pt idx="5">
                  <c:v>3.3604477912859934</c:v>
                </c:pt>
                <c:pt idx="6">
                  <c:v>2.5771913471975827</c:v>
                </c:pt>
                <c:pt idx="7">
                  <c:v>3.7155262619248499</c:v>
                </c:pt>
                <c:pt idx="8">
                  <c:v>1.3112819503208197</c:v>
                </c:pt>
                <c:pt idx="9">
                  <c:v>2.4465088482732695</c:v>
                </c:pt>
                <c:pt idx="10">
                  <c:v>4.2913372796389373</c:v>
                </c:pt>
                <c:pt idx="11">
                  <c:v>5.6716868879358282</c:v>
                </c:pt>
                <c:pt idx="12">
                  <c:v>-3.6631018019599199E-2</c:v>
                </c:pt>
                <c:pt idx="13">
                  <c:v>-0.33215999960599885</c:v>
                </c:pt>
                <c:pt idx="14">
                  <c:v>1.4205055117393666</c:v>
                </c:pt>
                <c:pt idx="15">
                  <c:v>-1.8466010560035075</c:v>
                </c:pt>
                <c:pt idx="16">
                  <c:v>5.4124173760035955E-2</c:v>
                </c:pt>
                <c:pt idx="17">
                  <c:v>5.5742769671294568</c:v>
                </c:pt>
                <c:pt idx="18">
                  <c:v>3.6274333268958374</c:v>
                </c:pt>
                <c:pt idx="19">
                  <c:v>5.6683866004786996</c:v>
                </c:pt>
                <c:pt idx="20">
                  <c:v>5.9897263655707684</c:v>
                </c:pt>
                <c:pt idx="21">
                  <c:v>-0.95233013688331736</c:v>
                </c:pt>
                <c:pt idx="22">
                  <c:v>-3.9413411237102212</c:v>
                </c:pt>
                <c:pt idx="23">
                  <c:v>-5.6382529108304933</c:v>
                </c:pt>
                <c:pt idx="24">
                  <c:v>-4.7868184370841051</c:v>
                </c:pt>
                <c:pt idx="25">
                  <c:v>-4.4881649059168343</c:v>
                </c:pt>
                <c:pt idx="26">
                  <c:v>-2.4573178987148192</c:v>
                </c:pt>
                <c:pt idx="27">
                  <c:v>0.45377463888607283</c:v>
                </c:pt>
                <c:pt idx="28">
                  <c:v>2.7918570582336177</c:v>
                </c:pt>
                <c:pt idx="29">
                  <c:v>2.5913906761637842</c:v>
                </c:pt>
                <c:pt idx="30">
                  <c:v>3.363772355594024</c:v>
                </c:pt>
                <c:pt idx="31">
                  <c:v>3.507734167583838</c:v>
                </c:pt>
                <c:pt idx="32">
                  <c:v>2.1474161900280744</c:v>
                </c:pt>
                <c:pt idx="33">
                  <c:v>2.9871390058855161</c:v>
                </c:pt>
                <c:pt idx="34">
                  <c:v>1.7183040456341629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37-4EE0-9F33-B9A60B8C7298}"/>
            </c:ext>
          </c:extLst>
        </c:ser>
        <c:ser>
          <c:idx val="4"/>
          <c:order val="3"/>
          <c:tx>
            <c:strRef>
              <c:f>'výkonnost odvětví 5a'!$G$66</c:f>
              <c:strCache>
                <c:ptCount val="1"/>
                <c:pt idx="0">
                  <c:v>Maloobchodní prodej PHM (příspěvek)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 w="15875">
              <a:noFill/>
            </a:ln>
          </c:spPr>
          <c:invertIfNegative val="0"/>
          <c:cat>
            <c:multiLvlStrRef>
              <c:f>'výkonnost odvětví 5a'!$B$75:$C$110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5a'!$G$75:$G$110</c:f>
              <c:numCache>
                <c:formatCode>#\ ##0.0</c:formatCode>
                <c:ptCount val="36"/>
                <c:pt idx="0">
                  <c:v>0.53580078847826029</c:v>
                </c:pt>
                <c:pt idx="1">
                  <c:v>0.7481442662741048</c:v>
                </c:pt>
                <c:pt idx="2">
                  <c:v>0.8417253716696228</c:v>
                </c:pt>
                <c:pt idx="3">
                  <c:v>0.68556061136853796</c:v>
                </c:pt>
                <c:pt idx="4">
                  <c:v>0.66247010505524628</c:v>
                </c:pt>
                <c:pt idx="5">
                  <c:v>0.59636844485642493</c:v>
                </c:pt>
                <c:pt idx="6">
                  <c:v>0.37391568004396541</c:v>
                </c:pt>
                <c:pt idx="7">
                  <c:v>0.43417919027381618</c:v>
                </c:pt>
                <c:pt idx="8">
                  <c:v>0.17803327368097366</c:v>
                </c:pt>
                <c:pt idx="9">
                  <c:v>0.36784802555092327</c:v>
                </c:pt>
                <c:pt idx="10">
                  <c:v>0.27496327062133352</c:v>
                </c:pt>
                <c:pt idx="11">
                  <c:v>0.19541841116417427</c:v>
                </c:pt>
                <c:pt idx="12">
                  <c:v>-0.74276417427034591</c:v>
                </c:pt>
                <c:pt idx="13">
                  <c:v>-1.9735846666989318</c:v>
                </c:pt>
                <c:pt idx="14">
                  <c:v>8.3771201076499296E-2</c:v>
                </c:pt>
                <c:pt idx="15">
                  <c:v>-1.0746973279715013</c:v>
                </c:pt>
                <c:pt idx="16">
                  <c:v>-0.7267227974301026</c:v>
                </c:pt>
                <c:pt idx="17">
                  <c:v>1.0690124982207658</c:v>
                </c:pt>
                <c:pt idx="18">
                  <c:v>0.36923648267333387</c:v>
                </c:pt>
                <c:pt idx="19">
                  <c:v>0.92388539837735373</c:v>
                </c:pt>
                <c:pt idx="20">
                  <c:v>1.2435777637956458</c:v>
                </c:pt>
                <c:pt idx="21">
                  <c:v>-0.71068465825744542</c:v>
                </c:pt>
                <c:pt idx="22">
                  <c:v>-1.4490114576623316</c:v>
                </c:pt>
                <c:pt idx="23">
                  <c:v>-0.43088460592449807</c:v>
                </c:pt>
                <c:pt idx="24">
                  <c:v>9.7023552294722509E-2</c:v>
                </c:pt>
                <c:pt idx="25">
                  <c:v>1.0462699147364716</c:v>
                </c:pt>
                <c:pt idx="26">
                  <c:v>1.0244884737916584</c:v>
                </c:pt>
                <c:pt idx="27">
                  <c:v>0.21076829398590505</c:v>
                </c:pt>
                <c:pt idx="28">
                  <c:v>0.60094337704651524</c:v>
                </c:pt>
                <c:pt idx="29">
                  <c:v>0.24989127672404232</c:v>
                </c:pt>
                <c:pt idx="30">
                  <c:v>0.43645650425738519</c:v>
                </c:pt>
                <c:pt idx="31">
                  <c:v>1.0777683321181379</c:v>
                </c:pt>
                <c:pt idx="32">
                  <c:v>0.90809006600647357</c:v>
                </c:pt>
                <c:pt idx="33">
                  <c:v>1.4846670410428948</c:v>
                </c:pt>
                <c:pt idx="34">
                  <c:v>1.201769889261505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37-4EE0-9F33-B9A60B8C72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overlap val="100"/>
        <c:axId val="156100864"/>
        <c:axId val="156573696"/>
      </c:barChart>
      <c:lineChart>
        <c:grouping val="standard"/>
        <c:varyColors val="0"/>
        <c:ser>
          <c:idx val="3"/>
          <c:order val="0"/>
          <c:tx>
            <c:strRef>
              <c:f>'výkonnost odvětví 5a'!$D$66</c:f>
              <c:strCache>
                <c:ptCount val="1"/>
                <c:pt idx="0">
                  <c:v>Maloobchod celkem (meziroční růst)</c:v>
                </c:pt>
              </c:strCache>
            </c:strRef>
          </c:tx>
          <c:spPr>
            <a:ln>
              <a:noFill/>
            </a:ln>
          </c:spPr>
          <c:marker>
            <c:symbol val="dash"/>
            <c:size val="7"/>
            <c:spPr>
              <a:solidFill>
                <a:schemeClr val="tx1">
                  <a:lumMod val="85000"/>
                  <a:lumOff val="15000"/>
                </a:schemeClr>
              </a:solidFill>
              <a:ln w="6350">
                <a:noFill/>
              </a:ln>
            </c:spPr>
          </c:marker>
          <c:cat>
            <c:multiLvlStrRef>
              <c:f>'výkonnost odvětví 5a'!$B$75:$C$110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5a'!$D$75:$D$110</c:f>
              <c:numCache>
                <c:formatCode>#\ ##0.0</c:formatCode>
                <c:ptCount val="36"/>
                <c:pt idx="0">
                  <c:v>5.0535287627999992</c:v>
                </c:pt>
                <c:pt idx="1">
                  <c:v>6.1902167670999972</c:v>
                </c:pt>
                <c:pt idx="2">
                  <c:v>5.697321019499995</c:v>
                </c:pt>
                <c:pt idx="3">
                  <c:v>5.817258804399998</c:v>
                </c:pt>
                <c:pt idx="4">
                  <c:v>5.9494249259000043</c:v>
                </c:pt>
                <c:pt idx="5">
                  <c:v>4.3932899649999939</c:v>
                </c:pt>
                <c:pt idx="6">
                  <c:v>3.8341696340999931</c:v>
                </c:pt>
                <c:pt idx="7">
                  <c:v>4.3513172139000034</c:v>
                </c:pt>
                <c:pt idx="8">
                  <c:v>1.1251737248000069</c:v>
                </c:pt>
                <c:pt idx="9">
                  <c:v>4.1948322156000017</c:v>
                </c:pt>
                <c:pt idx="10">
                  <c:v>4.5011575139999991</c:v>
                </c:pt>
                <c:pt idx="11">
                  <c:v>7.2209563681000049</c:v>
                </c:pt>
                <c:pt idx="12">
                  <c:v>-0.13540494859999797</c:v>
                </c:pt>
                <c:pt idx="13">
                  <c:v>-4.2764857787000068</c:v>
                </c:pt>
                <c:pt idx="14">
                  <c:v>0.83746199809999666</c:v>
                </c:pt>
                <c:pt idx="15">
                  <c:v>-3.1481122935000059</c:v>
                </c:pt>
                <c:pt idx="16">
                  <c:v>-1.3259259921999984</c:v>
                </c:pt>
                <c:pt idx="17">
                  <c:v>6.9527173527999935</c:v>
                </c:pt>
                <c:pt idx="18">
                  <c:v>3.5815405132999985</c:v>
                </c:pt>
                <c:pt idx="19">
                  <c:v>6.4984272970999939</c:v>
                </c:pt>
                <c:pt idx="20">
                  <c:v>6.7649258622000019</c:v>
                </c:pt>
                <c:pt idx="21">
                  <c:v>-2.8031972953999968</c:v>
                </c:pt>
                <c:pt idx="22">
                  <c:v>-7.6545704584000021</c:v>
                </c:pt>
                <c:pt idx="23">
                  <c:v>-9.3111101031999937</c:v>
                </c:pt>
                <c:pt idx="24">
                  <c:v>-7.7755690829999935</c:v>
                </c:pt>
                <c:pt idx="25">
                  <c:v>-6.2826805467000071</c:v>
                </c:pt>
                <c:pt idx="26">
                  <c:v>-3.1393796992999938</c:v>
                </c:pt>
                <c:pt idx="27">
                  <c:v>-0.13830874280000671</c:v>
                </c:pt>
                <c:pt idx="28">
                  <c:v>4.2563483783000038</c:v>
                </c:pt>
                <c:pt idx="29">
                  <c:v>3.9567886818000062</c:v>
                </c:pt>
                <c:pt idx="30">
                  <c:v>4.6562815525000048</c:v>
                </c:pt>
                <c:pt idx="31">
                  <c:v>5.237664299900004</c:v>
                </c:pt>
                <c:pt idx="32">
                  <c:v>3.437494708700001</c:v>
                </c:pt>
                <c:pt idx="33">
                  <c:v>4.9938898334000044</c:v>
                </c:pt>
                <c:pt idx="34">
                  <c:v>2.7664348443999955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837-4EE0-9F33-B9A60B8C72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100864"/>
        <c:axId val="156573696"/>
      </c:lineChart>
      <c:lineChart>
        <c:grouping val="standard"/>
        <c:varyColors val="0"/>
        <c:ser>
          <c:idx val="5"/>
          <c:order val="4"/>
          <c:tx>
            <c:strRef>
              <c:f>'výkonnost odvětví 5a'!$H$66</c:f>
              <c:strCache>
                <c:ptCount val="1"/>
                <c:pt idx="0">
                  <c:v>Maloobchod, bez motor. segm. (2021=100)</c:v>
                </c:pt>
              </c:strCache>
            </c:strRef>
          </c:tx>
          <c:spPr>
            <a:ln w="15875">
              <a:solidFill>
                <a:schemeClr val="tx1">
                  <a:lumMod val="95000"/>
                  <a:lumOff val="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'výkonnost odvětví 5a'!$B$75:$C$110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5a'!$H$75:$H$110</c:f>
              <c:numCache>
                <c:formatCode>#\ ##0.0</c:formatCode>
                <c:ptCount val="36"/>
                <c:pt idx="0">
                  <c:v>87.495099866700002</c:v>
                </c:pt>
                <c:pt idx="1">
                  <c:v>89.138431163299998</c:v>
                </c:pt>
                <c:pt idx="2">
                  <c:v>90.161633323299995</c:v>
                </c:pt>
                <c:pt idx="3">
                  <c:v>90.497394953300002</c:v>
                </c:pt>
                <c:pt idx="4">
                  <c:v>93.094801029999999</c:v>
                </c:pt>
                <c:pt idx="5">
                  <c:v>93.18768412</c:v>
                </c:pt>
                <c:pt idx="6">
                  <c:v>93.508700056699993</c:v>
                </c:pt>
                <c:pt idx="7">
                  <c:v>93.474682340000001</c:v>
                </c:pt>
                <c:pt idx="8">
                  <c:v>95.051863356699997</c:v>
                </c:pt>
                <c:pt idx="9">
                  <c:v>97.727929486700006</c:v>
                </c:pt>
                <c:pt idx="10">
                  <c:v>97.382384529999996</c:v>
                </c:pt>
                <c:pt idx="11">
                  <c:v>98.750010893300001</c:v>
                </c:pt>
                <c:pt idx="12">
                  <c:v>95.168453310000004</c:v>
                </c:pt>
                <c:pt idx="13">
                  <c:v>94.223485960000005</c:v>
                </c:pt>
                <c:pt idx="14">
                  <c:v>98.290064009999995</c:v>
                </c:pt>
                <c:pt idx="15">
                  <c:v>95.235280143300002</c:v>
                </c:pt>
                <c:pt idx="16">
                  <c:v>92.929661196699996</c:v>
                </c:pt>
                <c:pt idx="17">
                  <c:v>100.6414037867</c:v>
                </c:pt>
                <c:pt idx="18">
                  <c:v>102.0950160367</c:v>
                </c:pt>
                <c:pt idx="19">
                  <c:v>101.60440788</c:v>
                </c:pt>
                <c:pt idx="20">
                  <c:v>99.5356148133</c:v>
                </c:pt>
                <c:pt idx="21">
                  <c:v>97.730401493299993</c:v>
                </c:pt>
                <c:pt idx="22">
                  <c:v>94.917115910000007</c:v>
                </c:pt>
                <c:pt idx="23">
                  <c:v>92.890258436699995</c:v>
                </c:pt>
                <c:pt idx="24">
                  <c:v>91.581302633299998</c:v>
                </c:pt>
                <c:pt idx="25">
                  <c:v>91.303218193299998</c:v>
                </c:pt>
                <c:pt idx="26">
                  <c:v>91.896656269999994</c:v>
                </c:pt>
                <c:pt idx="27">
                  <c:v>92.8355982267</c:v>
                </c:pt>
                <c:pt idx="28">
                  <c:v>94.966228700000002</c:v>
                </c:pt>
                <c:pt idx="29">
                  <c:v>95.12849808</c:v>
                </c:pt>
                <c:pt idx="30">
                  <c:v>96.580301436699997</c:v>
                </c:pt>
                <c:pt idx="31">
                  <c:v>97.439393006700001</c:v>
                </c:pt>
                <c:pt idx="32">
                  <c:v>98.1682312967</c:v>
                </c:pt>
                <c:pt idx="33">
                  <c:v>99.556284896700006</c:v>
                </c:pt>
                <c:pt idx="34">
                  <c:v>99.489118259999998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837-4EE0-9F33-B9A60B8C7298}"/>
            </c:ext>
          </c:extLst>
        </c:ser>
        <c:ser>
          <c:idx val="2"/>
          <c:order val="5"/>
          <c:tx>
            <c:strRef>
              <c:f>'výkonnost odvětví 5a'!$I$66</c:f>
              <c:strCache>
                <c:ptCount val="1"/>
                <c:pt idx="0">
                  <c:v>z toho: maloobchod.prodej PHM (2021=100)</c:v>
                </c:pt>
              </c:strCache>
            </c:strRef>
          </c:tx>
          <c:spPr>
            <a:ln w="15875">
              <a:solidFill>
                <a:schemeClr val="bg2">
                  <a:lumMod val="50000"/>
                </a:schemeClr>
              </a:solidFill>
              <a:prstDash val="sysDash"/>
            </a:ln>
          </c:spPr>
          <c:marker>
            <c:symbol val="none"/>
          </c:marker>
          <c:cat>
            <c:multiLvlStrRef>
              <c:f>'výkonnost odvětví 5a'!$B$75:$C$110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5a'!$I$75:$I$110</c:f>
              <c:numCache>
                <c:formatCode>#\ ##0.0</c:formatCode>
                <c:ptCount val="36"/>
                <c:pt idx="0">
                  <c:v>96.055973429999995</c:v>
                </c:pt>
                <c:pt idx="1">
                  <c:v>97.663561083299996</c:v>
                </c:pt>
                <c:pt idx="2">
                  <c:v>99.232546576700003</c:v>
                </c:pt>
                <c:pt idx="3">
                  <c:v>100.27997863669999</c:v>
                </c:pt>
                <c:pt idx="4">
                  <c:v>101.92380869669999</c:v>
                </c:pt>
                <c:pt idx="5">
                  <c:v>102.3573869567</c:v>
                </c:pt>
                <c:pt idx="6">
                  <c:v>101.9803127767</c:v>
                </c:pt>
                <c:pt idx="7">
                  <c:v>101.9116452767</c:v>
                </c:pt>
                <c:pt idx="8">
                  <c:v>105.5158907133</c:v>
                </c:pt>
                <c:pt idx="9">
                  <c:v>106.7628022633</c:v>
                </c:pt>
                <c:pt idx="10">
                  <c:v>102.2787380533</c:v>
                </c:pt>
                <c:pt idx="11">
                  <c:v>102.40340343</c:v>
                </c:pt>
                <c:pt idx="12">
                  <c:v>101.81614777999999</c:v>
                </c:pt>
                <c:pt idx="13">
                  <c:v>89.515623356700004</c:v>
                </c:pt>
                <c:pt idx="14">
                  <c:v>98.569475176699996</c:v>
                </c:pt>
                <c:pt idx="15">
                  <c:v>92.226775443299999</c:v>
                </c:pt>
                <c:pt idx="16">
                  <c:v>96.028055443300005</c:v>
                </c:pt>
                <c:pt idx="17">
                  <c:v>100.95526664</c:v>
                </c:pt>
                <c:pt idx="18">
                  <c:v>102.1839067733</c:v>
                </c:pt>
                <c:pt idx="19">
                  <c:v>100.03157658329999</c:v>
                </c:pt>
                <c:pt idx="20">
                  <c:v>100.5530699267</c:v>
                </c:pt>
                <c:pt idx="21">
                  <c:v>95.840850366699996</c:v>
                </c:pt>
                <c:pt idx="22">
                  <c:v>95.151085766700007</c:v>
                </c:pt>
                <c:pt idx="23">
                  <c:v>97.979687746699994</c:v>
                </c:pt>
                <c:pt idx="24">
                  <c:v>98.911021050000002</c:v>
                </c:pt>
                <c:pt idx="25">
                  <c:v>101.98549807329999</c:v>
                </c:pt>
                <c:pt idx="26">
                  <c:v>102.91336689000001</c:v>
                </c:pt>
                <c:pt idx="27">
                  <c:v>101.7754913667</c:v>
                </c:pt>
                <c:pt idx="28">
                  <c:v>104.3204886</c:v>
                </c:pt>
                <c:pt idx="29">
                  <c:v>104.5265699367</c:v>
                </c:pt>
                <c:pt idx="30">
                  <c:v>107.08135968000001</c:v>
                </c:pt>
                <c:pt idx="31">
                  <c:v>110.96453081</c:v>
                </c:pt>
                <c:pt idx="32">
                  <c:v>112.44259235</c:v>
                </c:pt>
                <c:pt idx="33">
                  <c:v>115.7098063167</c:v>
                </c:pt>
                <c:pt idx="34">
                  <c:v>117.39015766670001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837-4EE0-9F33-B9A60B8C7298}"/>
            </c:ext>
          </c:extLst>
        </c:ser>
        <c:ser>
          <c:idx val="6"/>
          <c:order val="6"/>
          <c:tx>
            <c:strRef>
              <c:f>'výkonnost odvětví 5a'!$J$66</c:f>
              <c:strCache>
                <c:ptCount val="1"/>
                <c:pt idx="0">
                  <c:v>Obchod a opravy motor. vozidel (2021=100)</c:v>
                </c:pt>
              </c:strCache>
            </c:strRef>
          </c:tx>
          <c:spPr>
            <a:ln w="15875">
              <a:solidFill>
                <a:srgbClr val="984807"/>
              </a:solidFill>
              <a:prstDash val="solid"/>
            </a:ln>
          </c:spPr>
          <c:marker>
            <c:symbol val="none"/>
          </c:marker>
          <c:cat>
            <c:multiLvlStrRef>
              <c:f>'výkonnost odvětví 5a'!$B$75:$C$110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5a'!$J$75:$J$110</c:f>
              <c:numCache>
                <c:formatCode>#\ ##0.0</c:formatCode>
                <c:ptCount val="36"/>
                <c:pt idx="0">
                  <c:v>109.6931493133</c:v>
                </c:pt>
                <c:pt idx="1">
                  <c:v>110.1404259533</c:v>
                </c:pt>
                <c:pt idx="2">
                  <c:v>109.35124661330001</c:v>
                </c:pt>
                <c:pt idx="3">
                  <c:v>110.30069229670001</c:v>
                </c:pt>
                <c:pt idx="4">
                  <c:v>108.8070253133</c:v>
                </c:pt>
                <c:pt idx="5">
                  <c:v>108.53626257000001</c:v>
                </c:pt>
                <c:pt idx="6">
                  <c:v>108.41447377999999</c:v>
                </c:pt>
                <c:pt idx="7">
                  <c:v>106.84909192000001</c:v>
                </c:pt>
                <c:pt idx="8">
                  <c:v>108.70853031670001</c:v>
                </c:pt>
                <c:pt idx="9">
                  <c:v>109.27449573</c:v>
                </c:pt>
                <c:pt idx="10">
                  <c:v>107.5435867133</c:v>
                </c:pt>
                <c:pt idx="11">
                  <c:v>107.39297555</c:v>
                </c:pt>
                <c:pt idx="12">
                  <c:v>95.102227563300005</c:v>
                </c:pt>
                <c:pt idx="13">
                  <c:v>78.841400570000005</c:v>
                </c:pt>
                <c:pt idx="14">
                  <c:v>99.650671279999997</c:v>
                </c:pt>
                <c:pt idx="15">
                  <c:v>99.510519133299994</c:v>
                </c:pt>
                <c:pt idx="16">
                  <c:v>101.3769643033</c:v>
                </c:pt>
                <c:pt idx="17">
                  <c:v>101.23623748999999</c:v>
                </c:pt>
                <c:pt idx="18">
                  <c:v>98.602767686700005</c:v>
                </c:pt>
                <c:pt idx="19">
                  <c:v>97.350488703300002</c:v>
                </c:pt>
                <c:pt idx="20">
                  <c:v>96.563465226700004</c:v>
                </c:pt>
                <c:pt idx="21">
                  <c:v>95.534042606699998</c:v>
                </c:pt>
                <c:pt idx="22">
                  <c:v>95.552323200000004</c:v>
                </c:pt>
                <c:pt idx="23">
                  <c:v>96.026997303300007</c:v>
                </c:pt>
                <c:pt idx="24">
                  <c:v>98.772985053300005</c:v>
                </c:pt>
                <c:pt idx="25">
                  <c:v>99.524203896700001</c:v>
                </c:pt>
                <c:pt idx="26">
                  <c:v>100.92688999329999</c:v>
                </c:pt>
                <c:pt idx="27">
                  <c:v>101.45730141670001</c:v>
                </c:pt>
                <c:pt idx="28">
                  <c:v>101.2504075633</c:v>
                </c:pt>
                <c:pt idx="29">
                  <c:v>100.9646541633</c:v>
                </c:pt>
                <c:pt idx="30">
                  <c:v>100.4180281533</c:v>
                </c:pt>
                <c:pt idx="31">
                  <c:v>101.58989199</c:v>
                </c:pt>
                <c:pt idx="32">
                  <c:v>102.8267414867</c:v>
                </c:pt>
                <c:pt idx="33">
                  <c:v>103.49376882670001</c:v>
                </c:pt>
                <c:pt idx="34">
                  <c:v>104.74142284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837-4EE0-9F33-B9A60B8C7298}"/>
            </c:ext>
          </c:extLst>
        </c:ser>
        <c:ser>
          <c:idx val="7"/>
          <c:order val="7"/>
          <c:tx>
            <c:strRef>
              <c:f>'výkonnost odvětví 5a'!$K$66</c:f>
              <c:strCache>
                <c:ptCount val="1"/>
              </c:strCache>
            </c:strRef>
          </c:tx>
          <c:spPr>
            <a:ln w="3175">
              <a:noFill/>
              <a:prstDash val="sysDash"/>
            </a:ln>
          </c:spPr>
          <c:marker>
            <c:symbol val="none"/>
          </c:marker>
          <c:cat>
            <c:multiLvlStrRef>
              <c:f>'výkonnost odvětví 5a'!$B$75:$C$110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5a'!$K$75:$K$110</c:f>
              <c:numCache>
                <c:formatCode>#\ ##0.0</c:formatCode>
                <c:ptCount val="36"/>
                <c:pt idx="0">
                  <c:v>-0.41669776696149152</c:v>
                </c:pt>
                <c:pt idx="1">
                  <c:v>-0.32810873638579163</c:v>
                </c:pt>
                <c:pt idx="2">
                  <c:v>-0.31940656881348628</c:v>
                </c:pt>
                <c:pt idx="3">
                  <c:v>-0.358104500763891</c:v>
                </c:pt>
                <c:pt idx="4">
                  <c:v>-0.13457360180062816</c:v>
                </c:pt>
                <c:pt idx="5">
                  <c:v>-9.4970736626778574E-2</c:v>
                </c:pt>
                <c:pt idx="6">
                  <c:v>-4.4864223498477129E-2</c:v>
                </c:pt>
                <c:pt idx="7">
                  <c:v>-0.18088015187490841</c:v>
                </c:pt>
                <c:pt idx="8">
                  <c:v>-8.2058583909226379E-2</c:v>
                </c:pt>
                <c:pt idx="9">
                  <c:v>-3.110411021866416E-2</c:v>
                </c:pt>
                <c:pt idx="10">
                  <c:v>-0.1834551643126755</c:v>
                </c:pt>
                <c:pt idx="11">
                  <c:v>-7.13674934438501E-2</c:v>
                </c:pt>
                <c:pt idx="12">
                  <c:v>-3.1342892435007874E-2</c:v>
                </c:pt>
                <c:pt idx="13">
                  <c:v>-0.11327453069134075</c:v>
                </c:pt>
                <c:pt idx="14">
                  <c:v>-4.0161880745671424E-2</c:v>
                </c:pt>
                <c:pt idx="15">
                  <c:v>6.4817909681791352E-2</c:v>
                </c:pt>
                <c:pt idx="16">
                  <c:v>-6.4462892155453755E-2</c:v>
                </c:pt>
                <c:pt idx="17">
                  <c:v>-0.16969564455082065</c:v>
                </c:pt>
                <c:pt idx="18">
                  <c:v>-0.11614668443282761</c:v>
                </c:pt>
                <c:pt idx="19">
                  <c:v>-9.9228530941819604E-2</c:v>
                </c:pt>
                <c:pt idx="20">
                  <c:v>-0.40646525374904319</c:v>
                </c:pt>
                <c:pt idx="21">
                  <c:v>-4.0348088968585216E-2</c:v>
                </c:pt>
                <c:pt idx="22">
                  <c:v>2.0942486282247152E-2</c:v>
                </c:pt>
                <c:pt idx="23">
                  <c:v>-7.7468050722806492E-4</c:v>
                </c:pt>
                <c:pt idx="24">
                  <c:v>1.837230783506924E-2</c:v>
                </c:pt>
                <c:pt idx="25">
                  <c:v>1.3624796191029631E-2</c:v>
                </c:pt>
                <c:pt idx="26">
                  <c:v>-1.7806687515958597E-2</c:v>
                </c:pt>
                <c:pt idx="27">
                  <c:v>-6.3680013109651795E-2</c:v>
                </c:pt>
                <c:pt idx="28">
                  <c:v>-3.5305413685068343E-3</c:v>
                </c:pt>
                <c:pt idx="29">
                  <c:v>5.8611385509654834E-4</c:v>
                </c:pt>
                <c:pt idx="30">
                  <c:v>-3.0287605308770837E-4</c:v>
                </c:pt>
                <c:pt idx="31">
                  <c:v>-9.4098842093015556E-4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837-4EE0-9F33-B9A60B8C7298}"/>
            </c:ext>
          </c:extLst>
        </c:ser>
        <c:ser>
          <c:idx val="8"/>
          <c:order val="8"/>
          <c:tx>
            <c:strRef>
              <c:f>'výkonnost odvětví 5a'!$L$66</c:f>
              <c:strCache>
                <c:ptCount val="1"/>
                <c:pt idx="0">
                  <c:v>Saldo indikátoru důvěry spotřebitelů</c:v>
                </c:pt>
              </c:strCache>
            </c:strRef>
          </c:tx>
          <c:spPr>
            <a:ln w="12700">
              <a:solidFill>
                <a:schemeClr val="bg1">
                  <a:lumMod val="50000"/>
                </a:schemeClr>
              </a:solidFill>
              <a:prstDash val="sysDot"/>
            </a:ln>
          </c:spPr>
          <c:marker>
            <c:symbol val="circle"/>
            <c:size val="5"/>
            <c:spPr>
              <a:solidFill>
                <a:srgbClr val="FFFF00"/>
              </a:solidFill>
              <a:ln>
                <a:solidFill>
                  <a:schemeClr val="bg1">
                    <a:lumMod val="50000"/>
                  </a:schemeClr>
                </a:solidFill>
              </a:ln>
            </c:spPr>
          </c:marker>
          <c:cat>
            <c:multiLvlStrRef>
              <c:f>'výkonnost odvětví 5a'!$B$75:$C$110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5a'!$L$75:$L$110</c:f>
              <c:numCache>
                <c:formatCode>0.0</c:formatCode>
                <c:ptCount val="36"/>
                <c:pt idx="0">
                  <c:v>1.25</c:v>
                </c:pt>
                <c:pt idx="1">
                  <c:v>-0.5</c:v>
                </c:pt>
                <c:pt idx="2">
                  <c:v>0.5</c:v>
                </c:pt>
                <c:pt idx="3">
                  <c:v>5</c:v>
                </c:pt>
                <c:pt idx="4">
                  <c:v>3.75</c:v>
                </c:pt>
                <c:pt idx="5">
                  <c:v>6</c:v>
                </c:pt>
                <c:pt idx="6">
                  <c:v>4</c:v>
                </c:pt>
                <c:pt idx="7">
                  <c:v>1</c:v>
                </c:pt>
                <c:pt idx="8">
                  <c:v>3.25</c:v>
                </c:pt>
                <c:pt idx="9">
                  <c:v>0</c:v>
                </c:pt>
                <c:pt idx="10">
                  <c:v>2.25</c:v>
                </c:pt>
                <c:pt idx="11">
                  <c:v>-0.5</c:v>
                </c:pt>
                <c:pt idx="12">
                  <c:v>-1.75</c:v>
                </c:pt>
                <c:pt idx="13">
                  <c:v>-9.25</c:v>
                </c:pt>
                <c:pt idx="14">
                  <c:v>-8.75</c:v>
                </c:pt>
                <c:pt idx="15">
                  <c:v>-18.5</c:v>
                </c:pt>
                <c:pt idx="16">
                  <c:v>-16.25</c:v>
                </c:pt>
                <c:pt idx="17">
                  <c:v>-6.75</c:v>
                </c:pt>
                <c:pt idx="18">
                  <c:v>-4.5</c:v>
                </c:pt>
                <c:pt idx="19">
                  <c:v>-17</c:v>
                </c:pt>
                <c:pt idx="20">
                  <c:v>-16.5</c:v>
                </c:pt>
                <c:pt idx="21">
                  <c:v>-31</c:v>
                </c:pt>
                <c:pt idx="22">
                  <c:v>-29.8</c:v>
                </c:pt>
                <c:pt idx="23">
                  <c:v>-30.8</c:v>
                </c:pt>
                <c:pt idx="24">
                  <c:v>-21</c:v>
                </c:pt>
                <c:pt idx="25">
                  <c:v>-20.3</c:v>
                </c:pt>
                <c:pt idx="26">
                  <c:v>-18</c:v>
                </c:pt>
                <c:pt idx="27">
                  <c:v>-18.3</c:v>
                </c:pt>
                <c:pt idx="28">
                  <c:v>-15.8</c:v>
                </c:pt>
                <c:pt idx="29">
                  <c:v>-9</c:v>
                </c:pt>
                <c:pt idx="30">
                  <c:v>-12.8</c:v>
                </c:pt>
                <c:pt idx="31">
                  <c:v>-9</c:v>
                </c:pt>
                <c:pt idx="32">
                  <c:v>-13.5</c:v>
                </c:pt>
                <c:pt idx="33">
                  <c:v>-9.8000000000000007</c:v>
                </c:pt>
                <c:pt idx="34">
                  <c:v>-11.3</c:v>
                </c:pt>
                <c:pt idx="3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837-4EE0-9F33-B9A60B8C7298}"/>
            </c:ext>
          </c:extLst>
        </c:ser>
        <c:ser>
          <c:idx val="9"/>
          <c:order val="9"/>
          <c:tx>
            <c:strRef>
              <c:f>'výkonnost odvětví 5a'!$M$66</c:f>
              <c:strCache>
                <c:ptCount val="1"/>
                <c:pt idx="0">
                  <c:v>Saldo indikátoru důvěry obchodníků</c:v>
                </c:pt>
              </c:strCache>
            </c:strRef>
          </c:tx>
          <c:spPr>
            <a:ln w="6350">
              <a:solidFill>
                <a:schemeClr val="bg1">
                  <a:lumMod val="50000"/>
                </a:schemeClr>
              </a:solidFill>
              <a:prstDash val="sysDash"/>
            </a:ln>
          </c:spPr>
          <c:marker>
            <c:symbol val="triangle"/>
            <c:size val="5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</c:spPr>
          </c:marker>
          <c:cat>
            <c:multiLvlStrRef>
              <c:f>'výkonnost odvětví 5a'!$B$75:$C$110</c:f>
              <c:multiLvlStrCache>
                <c:ptCount val="3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  <c:pt idx="34">
                    <c:v>3</c:v>
                  </c:pt>
                  <c:pt idx="35">
                    <c:v>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  <c:pt idx="24">
                    <c:v>2023</c:v>
                  </c:pt>
                  <c:pt idx="28">
                    <c:v>2024</c:v>
                  </c:pt>
                  <c:pt idx="32">
                    <c:v>2025</c:v>
                  </c:pt>
                </c:lvl>
              </c:multiLvlStrCache>
            </c:multiLvlStrRef>
          </c:cat>
          <c:val>
            <c:numRef>
              <c:f>'výkonnost odvětví 5a'!$M$75:$M$110</c:f>
              <c:numCache>
                <c:formatCode>0.0</c:formatCode>
                <c:ptCount val="36"/>
                <c:pt idx="0">
                  <c:v>24.3</c:v>
                </c:pt>
                <c:pt idx="1">
                  <c:v>17.3</c:v>
                </c:pt>
                <c:pt idx="2">
                  <c:v>22.7</c:v>
                </c:pt>
                <c:pt idx="3">
                  <c:v>21.7</c:v>
                </c:pt>
                <c:pt idx="4">
                  <c:v>23.3</c:v>
                </c:pt>
                <c:pt idx="5">
                  <c:v>17.3</c:v>
                </c:pt>
                <c:pt idx="6">
                  <c:v>15.6</c:v>
                </c:pt>
                <c:pt idx="7">
                  <c:v>15</c:v>
                </c:pt>
                <c:pt idx="8">
                  <c:v>12.7</c:v>
                </c:pt>
                <c:pt idx="9">
                  <c:v>12.3</c:v>
                </c:pt>
                <c:pt idx="10">
                  <c:v>14.7</c:v>
                </c:pt>
                <c:pt idx="11">
                  <c:v>14.7</c:v>
                </c:pt>
                <c:pt idx="12">
                  <c:v>18.7</c:v>
                </c:pt>
                <c:pt idx="13">
                  <c:v>-1</c:v>
                </c:pt>
                <c:pt idx="14">
                  <c:v>12</c:v>
                </c:pt>
                <c:pt idx="15">
                  <c:v>7</c:v>
                </c:pt>
                <c:pt idx="16">
                  <c:v>1.3</c:v>
                </c:pt>
                <c:pt idx="17">
                  <c:v>15</c:v>
                </c:pt>
                <c:pt idx="18">
                  <c:v>18.3</c:v>
                </c:pt>
                <c:pt idx="19">
                  <c:v>21.3</c:v>
                </c:pt>
                <c:pt idx="20">
                  <c:v>19.7</c:v>
                </c:pt>
                <c:pt idx="21">
                  <c:v>19.600000000000001</c:v>
                </c:pt>
                <c:pt idx="22">
                  <c:v>10.3</c:v>
                </c:pt>
                <c:pt idx="23">
                  <c:v>14.7</c:v>
                </c:pt>
                <c:pt idx="24">
                  <c:v>9.3000000000000007</c:v>
                </c:pt>
                <c:pt idx="25">
                  <c:v>13.3</c:v>
                </c:pt>
                <c:pt idx="26">
                  <c:v>5.7</c:v>
                </c:pt>
                <c:pt idx="27">
                  <c:v>3.3</c:v>
                </c:pt>
                <c:pt idx="28">
                  <c:v>1.7</c:v>
                </c:pt>
                <c:pt idx="29">
                  <c:v>11.3</c:v>
                </c:pt>
                <c:pt idx="30">
                  <c:v>9.3000000000000007</c:v>
                </c:pt>
                <c:pt idx="31">
                  <c:v>11.3</c:v>
                </c:pt>
                <c:pt idx="32">
                  <c:v>15</c:v>
                </c:pt>
                <c:pt idx="33">
                  <c:v>13.3</c:v>
                </c:pt>
                <c:pt idx="34">
                  <c:v>13.3</c:v>
                </c:pt>
                <c:pt idx="35">
                  <c:v>11.7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E837-4EE0-9F33-B9A60B8C72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5570767"/>
        <c:axId val="1875563695"/>
      </c:lineChart>
      <c:catAx>
        <c:axId val="156100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/>
            </a:pPr>
            <a:endParaRPr lang="cs-CZ"/>
          </a:p>
        </c:txPr>
        <c:crossAx val="156573696"/>
        <c:crosses val="autoZero"/>
        <c:auto val="1"/>
        <c:lblAlgn val="ctr"/>
        <c:lblOffset val="0"/>
        <c:noMultiLvlLbl val="0"/>
      </c:catAx>
      <c:valAx>
        <c:axId val="156573696"/>
        <c:scaling>
          <c:orientation val="minMax"/>
          <c:max val="12"/>
          <c:min val="-1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50" b="0" i="1"/>
                </a:pPr>
                <a:r>
                  <a:rPr lang="cs-CZ" sz="750" b="0" i="1"/>
                  <a:t>Tržby</a:t>
                </a:r>
                <a:r>
                  <a:rPr lang="cs-CZ" sz="750" b="0" i="1" baseline="0"/>
                  <a:t> (příspěvky k meziroč. změně)</a:t>
                </a:r>
                <a:endParaRPr lang="cs-CZ" sz="750" b="0" i="1"/>
              </a:p>
            </c:rich>
          </c:tx>
          <c:layout>
            <c:manualLayout>
              <c:xMode val="edge"/>
              <c:yMode val="edge"/>
              <c:x val="2.6086947381477195E-3"/>
              <c:y val="0.16393316671713359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56100864"/>
        <c:crosses val="autoZero"/>
        <c:crossBetween val="between"/>
        <c:majorUnit val="2"/>
      </c:valAx>
      <c:valAx>
        <c:axId val="1875563695"/>
        <c:scaling>
          <c:orientation val="minMax"/>
          <c:max val="125"/>
          <c:min val="-40"/>
        </c:scaling>
        <c:delete val="0"/>
        <c:axPos val="r"/>
        <c:title>
          <c:tx>
            <c:rich>
              <a:bodyPr/>
              <a:lstStyle/>
              <a:p>
                <a:pPr>
                  <a:defRPr sz="750" b="0" i="1"/>
                </a:pPr>
                <a:r>
                  <a:rPr lang="cs-CZ" sz="750" b="0" i="1">
                    <a:latin typeface="Arial" panose="020B0604020202020204" pitchFamily="34" charset="0"/>
                    <a:cs typeface="Arial" panose="020B0604020202020204" pitchFamily="34" charset="0"/>
                  </a:rPr>
                  <a:t>Tržby</a:t>
                </a:r>
                <a:r>
                  <a:rPr lang="cs-CZ" sz="750" b="0" i="1" baseline="0">
                    <a:latin typeface="Arial" panose="020B0604020202020204" pitchFamily="34" charset="0"/>
                    <a:cs typeface="Arial" panose="020B0604020202020204" pitchFamily="34" charset="0"/>
                  </a:rPr>
                  <a:t> (rok 2021=100), </a:t>
                </a:r>
                <a:r>
                  <a:rPr lang="cs-CZ" sz="750" b="0" i="1" u="none" strike="noStrike" baseline="0"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saldo důvěry</a:t>
                </a:r>
                <a:endParaRPr lang="cs-CZ" sz="750" b="0" i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0.96896265019335537"/>
              <c:y val="0.174339711750961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875570767"/>
        <c:crosses val="max"/>
        <c:crossBetween val="between"/>
        <c:majorUnit val="15"/>
      </c:valAx>
      <c:catAx>
        <c:axId val="187557076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75563695"/>
        <c:crosses val="autoZero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2.468684205823891E-3"/>
          <c:y val="0.83019315530312354"/>
          <c:w val="0.98989464522781667"/>
          <c:h val="0.16278392037883976"/>
        </c:manualLayout>
      </c:layout>
      <c:overlay val="0"/>
      <c:spPr>
        <a:ln w="6350">
          <a:solidFill>
            <a:schemeClr val="tx1"/>
          </a:solidFill>
        </a:ln>
      </c:spPr>
      <c:txPr>
        <a:bodyPr/>
        <a:lstStyle/>
        <a:p>
          <a:pPr>
            <a:defRPr sz="75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5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BC6B78-CD4F-4CCE-9179-CFFE2F38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12</Pages>
  <Words>5214</Words>
  <Characters>30765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35908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120</cp:revision>
  <cp:lastPrinted>2014-07-17T14:07:00Z</cp:lastPrinted>
  <dcterms:created xsi:type="dcterms:W3CDTF">2025-09-16T11:02:00Z</dcterms:created>
  <dcterms:modified xsi:type="dcterms:W3CDTF">2025-12-16T10:45:00Z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