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04E" w:rsidRDefault="0062704E" w:rsidP="0062704E">
      <w:pPr>
        <w:spacing w:before="120" w:after="120"/>
        <w:rPr>
          <w:rFonts w:ascii="Arial" w:hAnsi="Arial"/>
          <w:b/>
          <w:bCs/>
          <w:i/>
          <w:iCs/>
          <w:lang w:val="en-GB"/>
        </w:rPr>
      </w:pPr>
      <w:bookmarkStart w:id="0" w:name="_GoBack"/>
      <w:bookmarkEnd w:id="0"/>
      <w:r>
        <w:rPr>
          <w:rFonts w:ascii="Arial" w:hAnsi="Arial"/>
          <w:b/>
          <w:bCs/>
          <w:i/>
          <w:iCs/>
          <w:lang w:val="en-GB"/>
        </w:rPr>
        <w:t>Regional Accounts for Agriculture</w:t>
      </w:r>
    </w:p>
    <w:p w:rsidR="0062704E" w:rsidRDefault="0062704E" w:rsidP="0062704E">
      <w:pPr>
        <w:spacing w:before="120" w:after="120"/>
        <w:rPr>
          <w:rFonts w:ascii="Arial" w:hAnsi="Arial"/>
          <w:b/>
          <w:bCs/>
          <w:i/>
          <w:iCs/>
          <w:lang w:val="en-GB"/>
        </w:rPr>
      </w:pPr>
    </w:p>
    <w:p w:rsidR="0062704E" w:rsidRDefault="0062704E" w:rsidP="0062704E">
      <w:pPr>
        <w:spacing w:before="120" w:after="120"/>
        <w:rPr>
          <w:rFonts w:ascii="Arial" w:hAnsi="Arial"/>
          <w:b/>
          <w:i/>
          <w:iCs/>
          <w:u w:val="single"/>
          <w:lang w:val="en-GB"/>
        </w:rPr>
      </w:pPr>
      <w:r>
        <w:rPr>
          <w:rFonts w:ascii="Arial" w:hAnsi="Arial"/>
          <w:b/>
          <w:i/>
          <w:iCs/>
          <w:lang w:val="en-GB"/>
        </w:rPr>
        <w:t>Methodology comments</w:t>
      </w:r>
    </w:p>
    <w:p w:rsidR="0062704E" w:rsidRDefault="0062704E" w:rsidP="0062704E">
      <w:pPr>
        <w:spacing w:before="120" w:after="120"/>
        <w:jc w:val="both"/>
        <w:rPr>
          <w:rFonts w:ascii="Arial" w:hAnsi="Arial"/>
          <w:i/>
          <w:iCs/>
          <w:sz w:val="20"/>
          <w:lang w:val="en-GB"/>
        </w:rPr>
      </w:pPr>
      <w:r>
        <w:rPr>
          <w:rFonts w:ascii="Arial" w:hAnsi="Arial"/>
          <w:i/>
          <w:iCs/>
          <w:sz w:val="20"/>
          <w:lang w:val="en-GB"/>
        </w:rPr>
        <w:t xml:space="preserve">The Regional Accounts for Agriculture (RAA) are a regional-level adaptation of the Economic Accounts for Agriculture (EAA). The agricultural industry in a region covers the units (agricultural holdings) engaged in agricultural activities on the regional territory.  Accounts for agriculture are compiled on the level NUTS 2 only from the year 2000 forwards for Eurostat and on the level NUTS 3 from the year 2003 forward for users in the Czech Republic. Data on the level NUTS 2 has not been published in the Czech Republic so far. This publication with data on the level NUTS 3 contains the basic part - the Production Account for separable countries. Data are mentioned at the current prices and in the constant prices 2000. </w:t>
      </w:r>
    </w:p>
    <w:p w:rsidR="0062704E" w:rsidRDefault="0062704E" w:rsidP="0062704E">
      <w:pPr>
        <w:spacing w:before="120" w:after="120"/>
        <w:jc w:val="both"/>
        <w:rPr>
          <w:rFonts w:ascii="Arial" w:hAnsi="Arial"/>
          <w:i/>
          <w:iCs/>
          <w:sz w:val="20"/>
          <w:lang w:val="en-GB"/>
        </w:rPr>
      </w:pPr>
      <w:r>
        <w:rPr>
          <w:b/>
          <w:bCs/>
          <w:i/>
          <w:iCs/>
          <w:lang w:val="en-GB"/>
        </w:rPr>
        <w:t xml:space="preserve"> </w:t>
      </w:r>
      <w:r>
        <w:rPr>
          <w:rFonts w:ascii="Arial" w:hAnsi="Arial"/>
          <w:b/>
          <w:bCs/>
          <w:i/>
          <w:iCs/>
          <w:sz w:val="20"/>
          <w:lang w:val="en-GB"/>
        </w:rPr>
        <w:t>Output of agricultural activities</w:t>
      </w:r>
      <w:r>
        <w:rPr>
          <w:rFonts w:ascii="Arial" w:hAnsi="Arial"/>
          <w:i/>
          <w:iCs/>
          <w:sz w:val="20"/>
          <w:lang w:val="en-GB"/>
        </w:rPr>
        <w:t xml:space="preserve"> is in value statement and represents the whole final output of the agriculture sector.</w:t>
      </w:r>
    </w:p>
    <w:p w:rsidR="0062704E" w:rsidRDefault="0062704E" w:rsidP="0062704E">
      <w:pPr>
        <w:spacing w:before="120" w:after="120"/>
        <w:jc w:val="both"/>
        <w:rPr>
          <w:rFonts w:ascii="Arial" w:hAnsi="Arial"/>
          <w:i/>
          <w:iCs/>
          <w:sz w:val="20"/>
          <w:lang w:val="en-GB"/>
        </w:rPr>
      </w:pPr>
      <w:r>
        <w:rPr>
          <w:rFonts w:ascii="Arial" w:hAnsi="Arial"/>
          <w:i/>
          <w:iCs/>
          <w:sz w:val="20"/>
          <w:lang w:val="en-GB"/>
        </w:rPr>
        <w:t xml:space="preserve">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 </w:t>
      </w:r>
    </w:p>
    <w:p w:rsidR="0062704E" w:rsidRDefault="0062704E" w:rsidP="0062704E">
      <w:pPr>
        <w:pStyle w:val="Zkladntext2"/>
      </w:pPr>
      <w:r>
        <w:t>Since the purpose of the processing is to measure, describe and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whose holdings are larger than threshold must be recorded.</w:t>
      </w:r>
    </w:p>
    <w:p w:rsidR="0062704E" w:rsidRDefault="0062704E" w:rsidP="0062704E">
      <w:pPr>
        <w:spacing w:before="120" w:after="120"/>
        <w:jc w:val="both"/>
        <w:rPr>
          <w:rFonts w:ascii="Arial" w:hAnsi="Arial"/>
          <w:i/>
          <w:iCs/>
          <w:sz w:val="20"/>
          <w:lang w:val="en-GB"/>
        </w:rPr>
      </w:pPr>
      <w:r>
        <w:rPr>
          <w:rFonts w:ascii="Arial" w:hAnsi="Arial"/>
          <w:i/>
          <w:iCs/>
          <w:sz w:val="20"/>
          <w:lang w:val="en-GB"/>
        </w:rPr>
        <w:t>The output is to be valued at the basic prices according to the Regulation (EC) No 138/2004.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The final version of regi</w:t>
      </w:r>
      <w:r w:rsidR="00C618ED">
        <w:rPr>
          <w:rFonts w:ascii="Arial" w:hAnsi="Arial"/>
          <w:i/>
          <w:iCs/>
          <w:sz w:val="20"/>
          <w:lang w:val="en-GB"/>
        </w:rPr>
        <w:t>onal accounts for the years 201</w:t>
      </w:r>
      <w:r w:rsidR="00693F5F">
        <w:rPr>
          <w:rFonts w:ascii="Arial" w:hAnsi="Arial"/>
          <w:i/>
          <w:iCs/>
          <w:sz w:val="20"/>
          <w:lang w:val="en-GB"/>
        </w:rPr>
        <w:t>9 and 2020</w:t>
      </w:r>
      <w:r>
        <w:rPr>
          <w:rFonts w:ascii="Arial" w:hAnsi="Arial"/>
          <w:i/>
          <w:iCs/>
          <w:sz w:val="20"/>
          <w:lang w:val="en-GB"/>
        </w:rPr>
        <w:t xml:space="preserve"> </w:t>
      </w:r>
      <w:proofErr w:type="gramStart"/>
      <w:r>
        <w:rPr>
          <w:rFonts w:ascii="Arial" w:hAnsi="Arial"/>
          <w:i/>
          <w:iCs/>
          <w:sz w:val="20"/>
          <w:lang w:val="en-GB"/>
        </w:rPr>
        <w:t>was compiled</w:t>
      </w:r>
      <w:proofErr w:type="gramEnd"/>
      <w:r>
        <w:rPr>
          <w:rFonts w:ascii="Arial" w:hAnsi="Arial"/>
          <w:i/>
          <w:iCs/>
          <w:sz w:val="20"/>
          <w:lang w:val="en-GB"/>
        </w:rPr>
        <w:t xml:space="preserve"> in this manner. The whole production account was expressed at the basic prices. Values in graphs has been expressed at basic current prices. </w:t>
      </w:r>
    </w:p>
    <w:p w:rsidR="0062704E" w:rsidRDefault="0062704E" w:rsidP="0062704E">
      <w:pPr>
        <w:spacing w:before="120" w:after="120"/>
        <w:jc w:val="both"/>
        <w:rPr>
          <w:rFonts w:ascii="Arial" w:hAnsi="Arial"/>
          <w:i/>
          <w:iCs/>
          <w:sz w:val="20"/>
          <w:lang w:val="en-GB"/>
        </w:rPr>
      </w:pPr>
      <w:r>
        <w:rPr>
          <w:rFonts w:ascii="Arial" w:hAnsi="Arial"/>
          <w:i/>
          <w:iCs/>
          <w:sz w:val="20"/>
          <w:lang w:val="en-GB"/>
        </w:rPr>
        <w:t xml:space="preserve">The ESA 2010 proposes two methods of compiling the RAA, the bottom-up and the top-down methods; these two methods may also be combined. The first one consists in collecting the data at the level of the units and then summing them to obtain the regional value for the different aggregates. The top-down method reconstructs the regional values by breaking down the national figure using an indicator, which reflects as closely as possible the regional distribution of the variable, in question. Both of these methods were used in our case (the first method for items 1 up to 13, the second method for items 15 and 17). </w:t>
      </w:r>
    </w:p>
    <w:p w:rsidR="0062704E" w:rsidRDefault="0062704E" w:rsidP="0062704E">
      <w:pPr>
        <w:spacing w:before="120" w:after="120"/>
        <w:jc w:val="both"/>
        <w:rPr>
          <w:rFonts w:ascii="Arial" w:hAnsi="Arial"/>
          <w:i/>
          <w:iCs/>
          <w:sz w:val="20"/>
          <w:lang w:val="en-GB"/>
        </w:rPr>
      </w:pPr>
      <w:r>
        <w:rPr>
          <w:rFonts w:ascii="Arial" w:hAnsi="Arial"/>
          <w:i/>
          <w:iCs/>
          <w:sz w:val="20"/>
          <w:lang w:val="en-GB"/>
        </w:rPr>
        <w:t>On the basis of Eurostat decision (Working Group in November 2004) data for the latest year will not be sent as final but a</w:t>
      </w:r>
      <w:r w:rsidR="00693F5F">
        <w:rPr>
          <w:rFonts w:ascii="Arial" w:hAnsi="Arial"/>
          <w:i/>
          <w:iCs/>
          <w:sz w:val="20"/>
          <w:lang w:val="en-GB"/>
        </w:rPr>
        <w:t>s preliminary. The EAA 2020</w:t>
      </w:r>
      <w:r>
        <w:rPr>
          <w:rFonts w:ascii="Arial" w:hAnsi="Arial"/>
          <w:i/>
          <w:iCs/>
          <w:sz w:val="20"/>
          <w:lang w:val="en-GB"/>
        </w:rPr>
        <w:t xml:space="preserve"> contains prel</w:t>
      </w:r>
      <w:r w:rsidR="00693F5F">
        <w:rPr>
          <w:rFonts w:ascii="Arial" w:hAnsi="Arial"/>
          <w:i/>
          <w:iCs/>
          <w:sz w:val="20"/>
          <w:lang w:val="en-GB"/>
        </w:rPr>
        <w:t>iminary data that is why RAA 2020</w:t>
      </w:r>
      <w:r>
        <w:rPr>
          <w:rFonts w:ascii="Arial" w:hAnsi="Arial"/>
          <w:i/>
          <w:iCs/>
          <w:sz w:val="20"/>
          <w:lang w:val="en-GB"/>
        </w:rPr>
        <w:t xml:space="preserve"> data </w:t>
      </w:r>
      <w:proofErr w:type="gramStart"/>
      <w:r>
        <w:rPr>
          <w:rFonts w:ascii="Arial" w:hAnsi="Arial"/>
          <w:i/>
          <w:iCs/>
          <w:sz w:val="20"/>
          <w:lang w:val="en-GB"/>
        </w:rPr>
        <w:t>is presented</w:t>
      </w:r>
      <w:proofErr w:type="gramEnd"/>
      <w:r>
        <w:rPr>
          <w:rFonts w:ascii="Arial" w:hAnsi="Arial"/>
          <w:i/>
          <w:iCs/>
          <w:sz w:val="20"/>
          <w:lang w:val="en-GB"/>
        </w:rPr>
        <w:t xml:space="preserve"> as preliminary. Results for “Praha” are quoted together with district “</w:t>
      </w:r>
      <w:proofErr w:type="spellStart"/>
      <w:r>
        <w:rPr>
          <w:rFonts w:ascii="Arial" w:hAnsi="Arial"/>
          <w:i/>
          <w:iCs/>
          <w:sz w:val="20"/>
          <w:lang w:val="en-GB"/>
        </w:rPr>
        <w:t>Středočeský</w:t>
      </w:r>
      <w:proofErr w:type="spellEnd"/>
      <w:r>
        <w:rPr>
          <w:rFonts w:ascii="Arial" w:hAnsi="Arial"/>
          <w:i/>
          <w:iCs/>
          <w:sz w:val="20"/>
          <w:lang w:val="en-GB"/>
        </w:rPr>
        <w:t xml:space="preserve">”. </w:t>
      </w:r>
    </w:p>
    <w:p w:rsidR="0062704E" w:rsidRPr="00A91E6C" w:rsidRDefault="0062704E" w:rsidP="0062704E">
      <w:pPr>
        <w:spacing w:before="120" w:after="120"/>
        <w:jc w:val="both"/>
        <w:rPr>
          <w:rFonts w:ascii="Arial" w:hAnsi="Arial" w:cs="Arial"/>
          <w:i/>
          <w:iCs/>
          <w:sz w:val="20"/>
          <w:szCs w:val="20"/>
        </w:rPr>
      </w:pPr>
      <w:r>
        <w:rPr>
          <w:rFonts w:ascii="Arial" w:hAnsi="Arial"/>
          <w:i/>
          <w:iCs/>
          <w:sz w:val="20"/>
          <w:lang w:val="en-GB"/>
        </w:rPr>
        <w:t>There have been monitored the items: 04.2/2 “Ornamental plants and flowers”, 04.2/3 “Plantations”, 12.2/3” Other animal products” and especially the item 17.1. ”Processing of agricultural products”, that is a part of “Inseparable non –agricultural secondary activities” for the first time in 2003. The data were acquired from additional data sources and from the calculated results of Farm structural survey. These activities are closely linked to agricultural production but they are not monitored separately in accounting</w:t>
      </w:r>
      <w:r>
        <w:rPr>
          <w:rFonts w:ascii="Arial" w:hAnsi="Arial"/>
          <w:i/>
          <w:iCs/>
          <w:sz w:val="20"/>
          <w:lang w:val="en-US"/>
        </w:rPr>
        <w:t>;</w:t>
      </w:r>
      <w:r>
        <w:rPr>
          <w:rFonts w:ascii="Arial" w:hAnsi="Arial"/>
          <w:i/>
          <w:iCs/>
          <w:sz w:val="20"/>
          <w:lang w:val="en-GB"/>
        </w:rPr>
        <w:t xml:space="preserve"> they cannot be distinguished from the main agricultural activity</w:t>
      </w:r>
      <w:r>
        <w:rPr>
          <w:rFonts w:ascii="Arial" w:hAnsi="Arial"/>
          <w:i/>
          <w:iCs/>
          <w:sz w:val="20"/>
        </w:rPr>
        <w:t xml:space="preserve">. </w:t>
      </w:r>
      <w:r w:rsidRPr="00A91E6C">
        <w:rPr>
          <w:rFonts w:ascii="Arial" w:hAnsi="Arial" w:cs="Arial"/>
          <w:i/>
          <w:sz w:val="20"/>
          <w:szCs w:val="20"/>
          <w:lang w:val="en"/>
        </w:rPr>
        <w:t>In both years under review, energy production from renewable sources was included in heading 17.2.</w:t>
      </w:r>
    </w:p>
    <w:p w:rsidR="00B2179A" w:rsidRDefault="00B2179A"/>
    <w:sectPr w:rsidR="00B217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4E"/>
    <w:rsid w:val="002704EB"/>
    <w:rsid w:val="004F355B"/>
    <w:rsid w:val="0062704E"/>
    <w:rsid w:val="006675CB"/>
    <w:rsid w:val="00693F5F"/>
    <w:rsid w:val="00B2179A"/>
    <w:rsid w:val="00C61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706F"/>
  <w15:docId w15:val="{5649D73D-2EDB-4858-874F-02591290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704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rsid w:val="0062704E"/>
    <w:pPr>
      <w:spacing w:before="120" w:after="120"/>
      <w:jc w:val="both"/>
    </w:pPr>
    <w:rPr>
      <w:rFonts w:ascii="Arial" w:hAnsi="Arial"/>
      <w:i/>
      <w:iCs/>
      <w:sz w:val="20"/>
      <w:lang w:val="en-GB"/>
    </w:rPr>
  </w:style>
  <w:style w:type="character" w:customStyle="1" w:styleId="Zkladntext2Char">
    <w:name w:val="Základní text 2 Char"/>
    <w:basedOn w:val="Standardnpsmoodstavce"/>
    <w:link w:val="Zkladntext2"/>
    <w:semiHidden/>
    <w:rsid w:val="0062704E"/>
    <w:rPr>
      <w:rFonts w:ascii="Arial" w:eastAsia="Times New Roman" w:hAnsi="Arial" w:cs="Times New Roman"/>
      <w:i/>
      <w:iCs/>
      <w:sz w:val="20"/>
      <w:szCs w:val="24"/>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3638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Gregorová</dc:creator>
  <cp:lastModifiedBy>lukavcova31543</cp:lastModifiedBy>
  <cp:revision>2</cp:revision>
  <dcterms:created xsi:type="dcterms:W3CDTF">2021-10-13T10:45:00Z</dcterms:created>
  <dcterms:modified xsi:type="dcterms:W3CDTF">2021-10-13T10:45:00Z</dcterms:modified>
</cp:coreProperties>
</file>