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4" w:rsidRDefault="000E6184">
      <w:pPr>
        <w:pStyle w:val="Odstavecseseznamem"/>
        <w:ind w:left="0"/>
        <w:rPr>
          <w:sz w:val="2"/>
        </w:rPr>
      </w:pPr>
    </w:p>
    <w:p w:rsidR="00960769" w:rsidRPr="00A74192" w:rsidRDefault="00CD7E35" w:rsidP="00122127">
      <w:pPr>
        <w:pStyle w:val="Nadpis1"/>
        <w:numPr>
          <w:ilvl w:val="0"/>
          <w:numId w:val="20"/>
        </w:numPr>
        <w:jc w:val="both"/>
      </w:pPr>
      <w:bookmarkStart w:id="0" w:name="_Toc469299930"/>
      <w:bookmarkStart w:id="1" w:name="_Toc485271455"/>
      <w:r w:rsidRPr="00A74192">
        <w:t>Souhrnná výkonnost</w:t>
      </w:r>
      <w:bookmarkEnd w:id="0"/>
      <w:bookmarkEnd w:id="1"/>
    </w:p>
    <w:tbl>
      <w:tblPr>
        <w:tblW w:w="5000" w:type="pct"/>
        <w:tblInd w:w="108" w:type="dxa"/>
        <w:tblLayout w:type="fixed"/>
        <w:tblLook w:val="00A0"/>
      </w:tblPr>
      <w:tblGrid>
        <w:gridCol w:w="1985"/>
        <w:gridCol w:w="284"/>
        <w:gridCol w:w="1133"/>
        <w:gridCol w:w="5104"/>
        <w:gridCol w:w="1348"/>
      </w:tblGrid>
      <w:tr w:rsidR="000C60D8" w:rsidRPr="00A74192" w:rsidTr="008F1638">
        <w:tc>
          <w:tcPr>
            <w:tcW w:w="1007" w:type="pct"/>
          </w:tcPr>
          <w:p w:rsidR="000C60D8" w:rsidRPr="005E2AB2" w:rsidRDefault="000C60D8" w:rsidP="00B25E3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Hrubý domácí produkt v uplynulém čtvrtletí meziročně vzrostl o</w:t>
            </w:r>
            <w:r w:rsidR="00B25E31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 xml:space="preserve">2,9 %. </w:t>
            </w:r>
          </w:p>
        </w:tc>
        <w:tc>
          <w:tcPr>
            <w:tcW w:w="144" w:type="pct"/>
          </w:tcPr>
          <w:p w:rsidR="000C60D8" w:rsidRPr="005E2AB2" w:rsidRDefault="000C60D8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0C60D8" w:rsidRPr="00365E26" w:rsidRDefault="000C60D8" w:rsidP="00134DFD">
            <w:pPr>
              <w:pStyle w:val="Textpoznpodarou"/>
              <w:jc w:val="both"/>
              <w:rPr>
                <w:rFonts w:cs="Arial"/>
                <w:spacing w:val="-2"/>
                <w:sz w:val="16"/>
                <w:szCs w:val="16"/>
              </w:rPr>
            </w:pPr>
            <w:r w:rsidRPr="00365E26">
              <w:rPr>
                <w:rFonts w:cs="Arial"/>
                <w:spacing w:val="-2"/>
              </w:rPr>
              <w:t>Meziroční nárůst hrubého domácího produktu (HDP) v 1. čtvrtletí roku 2017 činil 2,9 %</w:t>
            </w:r>
            <w:r w:rsidR="00AF6B7C" w:rsidRPr="00365E26">
              <w:rPr>
                <w:rStyle w:val="Znakapoznpodarou"/>
                <w:rFonts w:cs="Arial"/>
                <w:spacing w:val="-2"/>
              </w:rPr>
              <w:footnoteReference w:id="1"/>
            </w:r>
            <w:r w:rsidRPr="00365E26">
              <w:rPr>
                <w:rFonts w:cs="Arial"/>
                <w:spacing w:val="-2"/>
              </w:rPr>
              <w:t xml:space="preserve">. Po mírném zpomalení hospodářského růstu v druhé polovině roku 2016 </w:t>
            </w:r>
            <w:r w:rsidRPr="00365E26">
              <w:rPr>
                <w:spacing w:val="-2"/>
              </w:rPr>
              <w:t>se</w:t>
            </w:r>
            <w:r w:rsidR="006260B8" w:rsidRPr="00365E26">
              <w:rPr>
                <w:spacing w:val="-2"/>
              </w:rPr>
              <w:t> </w:t>
            </w:r>
            <w:r w:rsidRPr="00365E26">
              <w:rPr>
                <w:spacing w:val="-2"/>
              </w:rPr>
              <w:t>dynamika</w:t>
            </w:r>
            <w:r w:rsidRPr="00365E26">
              <w:rPr>
                <w:rFonts w:cs="Arial"/>
                <w:spacing w:val="-2"/>
              </w:rPr>
              <w:t xml:space="preserve"> ekonomického vývoje oživila. Růst HDP nedosahoval výše, kterou měl v roce 2015, přesto </w:t>
            </w:r>
            <w:r w:rsidR="005A61D1" w:rsidRPr="00365E26">
              <w:rPr>
                <w:rFonts w:cs="Arial"/>
                <w:spacing w:val="-2"/>
              </w:rPr>
              <w:t>byla</w:t>
            </w:r>
            <w:r w:rsidRPr="00365E26">
              <w:rPr>
                <w:rFonts w:cs="Arial"/>
                <w:spacing w:val="-2"/>
              </w:rPr>
              <w:t xml:space="preserve"> dynamika </w:t>
            </w:r>
            <w:r w:rsidR="005A61D1" w:rsidRPr="00365E26">
              <w:rPr>
                <w:rFonts w:cs="Arial"/>
                <w:spacing w:val="-2"/>
              </w:rPr>
              <w:t>některých</w:t>
            </w:r>
            <w:r w:rsidRPr="00365E26">
              <w:rPr>
                <w:rFonts w:cs="Arial"/>
                <w:spacing w:val="-2"/>
              </w:rPr>
              <w:t xml:space="preserve"> výdajových složek blízká tomuto výjimečně úspěšnému období. Spotřeba domácností, která táhla růst v minulém roce, neztratila na významu ani v 1. čtvrtletí 2017. Druhým pilířem meziročního růstu se stala bilance zahraničního obchodu. Jediným faktorem, který brzdil rychlejší meziroční růst, byla tvorba kapitálu, </w:t>
            </w:r>
            <w:r w:rsidR="005A61D1" w:rsidRPr="00365E26">
              <w:rPr>
                <w:rFonts w:cs="Arial"/>
                <w:spacing w:val="-2"/>
              </w:rPr>
              <w:t>jejíž pokles byl způsoben vyšší srovnávací základnou loňského roku. Hrubá přidaná hod</w:t>
            </w:r>
            <w:r w:rsidRPr="00365E26">
              <w:rPr>
                <w:rFonts w:cs="Arial"/>
                <w:spacing w:val="-2"/>
              </w:rPr>
              <w:t>nota (HPH) meziročně vzrostla o 2,5 %.</w:t>
            </w:r>
          </w:p>
          <w:p w:rsidR="000C60D8" w:rsidRPr="00613CBB" w:rsidRDefault="000C60D8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C60D8" w:rsidRPr="00A74192" w:rsidTr="008F1638">
        <w:tc>
          <w:tcPr>
            <w:tcW w:w="1007" w:type="pct"/>
          </w:tcPr>
          <w:p w:rsidR="000C60D8" w:rsidRPr="005E2AB2" w:rsidRDefault="000C60D8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Mezičtvrtletní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dynamika se značně zrychlila. Přírůstek HDP oproti předchozímu čtvrtletí činil 1,3 %.</w:t>
            </w:r>
          </w:p>
        </w:tc>
        <w:tc>
          <w:tcPr>
            <w:tcW w:w="144" w:type="pct"/>
          </w:tcPr>
          <w:p w:rsidR="000C60D8" w:rsidRPr="005E2AB2" w:rsidRDefault="000C60D8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0C60D8" w:rsidRDefault="000C60D8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C16350">
              <w:rPr>
                <w:rFonts w:cs="Arial"/>
              </w:rPr>
              <w:t>Mezičtvrtletní</w:t>
            </w:r>
            <w:proofErr w:type="spellEnd"/>
            <w:r w:rsidRPr="00C16350">
              <w:rPr>
                <w:rFonts w:cs="Arial"/>
              </w:rPr>
              <w:t xml:space="preserve"> dynamika růstu byla </w:t>
            </w:r>
            <w:r w:rsidR="005A61D1">
              <w:rPr>
                <w:rFonts w:cs="Arial"/>
              </w:rPr>
              <w:t>výrazně silnější než na konci roku 2016</w:t>
            </w:r>
            <w:r w:rsidRPr="00C16350">
              <w:rPr>
                <w:rFonts w:cs="Arial"/>
              </w:rPr>
              <w:t>. V 1.</w:t>
            </w:r>
            <w:r w:rsidR="00CB2B15">
              <w:rPr>
                <w:rFonts w:cs="Arial"/>
              </w:rPr>
              <w:t> </w:t>
            </w:r>
            <w:r w:rsidRPr="00C16350">
              <w:rPr>
                <w:rFonts w:cs="Arial"/>
              </w:rPr>
              <w:t xml:space="preserve">čtvrtletí 2017 </w:t>
            </w:r>
            <w:r>
              <w:rPr>
                <w:rFonts w:cs="Arial"/>
              </w:rPr>
              <w:t>byl</w:t>
            </w:r>
            <w:r w:rsidRPr="00C16350">
              <w:rPr>
                <w:rFonts w:cs="Arial"/>
              </w:rPr>
              <w:t xml:space="preserve"> HDP o 1,3 %</w:t>
            </w:r>
            <w:r>
              <w:rPr>
                <w:rFonts w:cs="Arial"/>
              </w:rPr>
              <w:t xml:space="preserve"> vyšší než v předchozím kvartálu, což je nejvyšší hodnota od 2. čtvrtletí roku 2015. Vysoký </w:t>
            </w:r>
            <w:proofErr w:type="spellStart"/>
            <w:r>
              <w:rPr>
                <w:rFonts w:cs="Arial"/>
              </w:rPr>
              <w:t>mezičtvrtletní</w:t>
            </w:r>
            <w:proofErr w:type="spellEnd"/>
            <w:r>
              <w:rPr>
                <w:rFonts w:cs="Arial"/>
              </w:rPr>
              <w:t xml:space="preserve"> růst byl podpořen </w:t>
            </w:r>
            <w:proofErr w:type="spellStart"/>
            <w:r>
              <w:rPr>
                <w:rFonts w:cs="Arial"/>
              </w:rPr>
              <w:t>mezičtvrtletním</w:t>
            </w:r>
            <w:proofErr w:type="spellEnd"/>
            <w:r>
              <w:rPr>
                <w:rFonts w:cs="Arial"/>
              </w:rPr>
              <w:t xml:space="preserve"> oživením </w:t>
            </w:r>
            <w:r w:rsidR="00AF6B7C">
              <w:rPr>
                <w:rFonts w:cs="Arial"/>
              </w:rPr>
              <w:t>investiční aktivity</w:t>
            </w:r>
            <w:r>
              <w:rPr>
                <w:rFonts w:cs="Arial"/>
              </w:rPr>
              <w:t xml:space="preserve"> i stabilním růstem výdajů na celkovou spotřebu, ve kterých se projevil </w:t>
            </w:r>
            <w:proofErr w:type="spellStart"/>
            <w:r>
              <w:rPr>
                <w:rFonts w:cs="Arial"/>
              </w:rPr>
              <w:t>mezičtvrtletní</w:t>
            </w:r>
            <w:proofErr w:type="spellEnd"/>
            <w:r>
              <w:rPr>
                <w:rFonts w:cs="Arial"/>
              </w:rPr>
              <w:t xml:space="preserve"> nárůst vládní spotřeby.</w:t>
            </w:r>
          </w:p>
          <w:p w:rsidR="000C60D8" w:rsidRPr="00C16350" w:rsidRDefault="000C60D8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C60D8" w:rsidRPr="00A74192" w:rsidTr="008F1638">
        <w:tblPrEx>
          <w:tblCellMar>
            <w:left w:w="70" w:type="dxa"/>
            <w:right w:w="70" w:type="dxa"/>
          </w:tblCellMar>
        </w:tblPrEx>
        <w:tc>
          <w:tcPr>
            <w:tcW w:w="1007" w:type="pct"/>
          </w:tcPr>
          <w:p w:rsidR="000C60D8" w:rsidRPr="005E2AB2" w:rsidRDefault="000C60D8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 rámci EU byl český hospodářský růst nadprůměrný, především ten čtvrtletní. </w:t>
            </w:r>
          </w:p>
        </w:tc>
        <w:tc>
          <w:tcPr>
            <w:tcW w:w="144" w:type="pct"/>
          </w:tcPr>
          <w:p w:rsidR="000C60D8" w:rsidRPr="005E2AB2" w:rsidRDefault="000C60D8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6467D0" w:rsidRDefault="000C60D8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Česká republika z hlediska meziročního růstu </w:t>
            </w:r>
            <w:r w:rsidR="005A61D1">
              <w:rPr>
                <w:rFonts w:cs="Arial"/>
              </w:rPr>
              <w:t>pohybovala</w:t>
            </w:r>
            <w:r>
              <w:rPr>
                <w:rFonts w:cs="Arial"/>
              </w:rPr>
              <w:t xml:space="preserve"> nad průměrem</w:t>
            </w:r>
            <w:r w:rsidR="007841BB">
              <w:rPr>
                <w:rFonts w:cs="Arial"/>
              </w:rPr>
              <w:t xml:space="preserve"> EU</w:t>
            </w:r>
            <w:r>
              <w:rPr>
                <w:rFonts w:cs="Arial"/>
              </w:rPr>
              <w:t>. Meziroční nárůst HDP v</w:t>
            </w:r>
            <w:r w:rsidR="007841BB">
              <w:rPr>
                <w:rFonts w:cs="Arial"/>
              </w:rPr>
              <w:t xml:space="preserve"> EU </w:t>
            </w:r>
            <w:r>
              <w:rPr>
                <w:rFonts w:cs="Arial"/>
              </w:rPr>
              <w:t>činil 2,1 %</w:t>
            </w:r>
            <w:r>
              <w:rPr>
                <w:rStyle w:val="Znakapoznpodarou"/>
              </w:rPr>
              <w:footnoteReference w:id="2"/>
            </w:r>
            <w:r>
              <w:rPr>
                <w:rFonts w:cs="Arial"/>
              </w:rPr>
              <w:t xml:space="preserve">. Naopak oživení </w:t>
            </w:r>
            <w:proofErr w:type="spellStart"/>
            <w:r>
              <w:rPr>
                <w:rFonts w:cs="Arial"/>
              </w:rPr>
              <w:t>mezičtvrtletní</w:t>
            </w:r>
            <w:proofErr w:type="spellEnd"/>
            <w:r>
              <w:rPr>
                <w:rFonts w:cs="Arial"/>
              </w:rPr>
              <w:t xml:space="preserve"> dynamiky Česko posunulo téměř k vrcholu mezi evropskými zeměmi. Tempo </w:t>
            </w:r>
            <w:proofErr w:type="spellStart"/>
            <w:r w:rsidR="005A61D1">
              <w:rPr>
                <w:rFonts w:cs="Arial"/>
              </w:rPr>
              <w:t>mezi</w:t>
            </w:r>
            <w:r>
              <w:rPr>
                <w:rFonts w:cs="Arial"/>
              </w:rPr>
              <w:t>čtvrtletního</w:t>
            </w:r>
            <w:proofErr w:type="spellEnd"/>
            <w:r>
              <w:rPr>
                <w:rFonts w:cs="Arial"/>
              </w:rPr>
              <w:t xml:space="preserve"> růstu v EU </w:t>
            </w:r>
            <w:r w:rsidR="007841BB">
              <w:rPr>
                <w:rFonts w:cs="Arial"/>
              </w:rPr>
              <w:t>dosáhlo</w:t>
            </w:r>
            <w:r>
              <w:rPr>
                <w:rFonts w:cs="Arial"/>
              </w:rPr>
              <w:t xml:space="preserve"> 0,6 %, stále však bylo méně než poloviční oproti ČR. Nejvyššího meziročního růstu dosáhlo Rumunsko (5,6 %), Slovinsko (5,0 %) a</w:t>
            </w:r>
            <w:r w:rsidR="007841BB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Polsko (4,2 %). Mezi nejrychleji rostoucími ekonomikami je většina zástupců „nových“ států </w:t>
            </w:r>
            <w:r w:rsidR="00CD0779">
              <w:rPr>
                <w:rFonts w:cs="Arial"/>
              </w:rPr>
              <w:t>U</w:t>
            </w:r>
            <w:r>
              <w:rPr>
                <w:rFonts w:cs="Arial"/>
              </w:rPr>
              <w:t xml:space="preserve">nie, </w:t>
            </w:r>
            <w:r w:rsidR="007841BB">
              <w:rPr>
                <w:rFonts w:cs="Arial"/>
              </w:rPr>
              <w:t xml:space="preserve">u </w:t>
            </w:r>
            <w:r>
              <w:rPr>
                <w:rFonts w:cs="Arial"/>
              </w:rPr>
              <w:t>kter</w:t>
            </w:r>
            <w:r w:rsidR="007841BB">
              <w:rPr>
                <w:rFonts w:cs="Arial"/>
              </w:rPr>
              <w:t xml:space="preserve">ých letos dozněl vliv propadu </w:t>
            </w:r>
            <w:r>
              <w:rPr>
                <w:rFonts w:cs="Arial"/>
              </w:rPr>
              <w:t xml:space="preserve">kapitálových výdajů </w:t>
            </w:r>
            <w:r w:rsidR="007841BB">
              <w:rPr>
                <w:rFonts w:cs="Arial"/>
              </w:rPr>
              <w:t>z minulého roku.</w:t>
            </w:r>
            <w:r>
              <w:rPr>
                <w:rFonts w:cs="Arial"/>
              </w:rPr>
              <w:t xml:space="preserve"> Hospodářský růst u většiny z nich v 1. čtvrtletí 2017 zrychlil oproti minulému roku. Nejpomalejší meziroční růst byl v Ř</w:t>
            </w:r>
            <w:r w:rsidR="003F0293">
              <w:rPr>
                <w:rFonts w:cs="Arial"/>
              </w:rPr>
              <w:t>ecku (0,4 %), Francii (1,0 %) a </w:t>
            </w:r>
            <w:r>
              <w:rPr>
                <w:rFonts w:cs="Arial"/>
              </w:rPr>
              <w:t>Itálii (1,2 %). Německá ekonomika, jejíž prosperita je klíčová pro český export, se</w:t>
            </w:r>
            <w:r w:rsidR="006260B8">
              <w:rPr>
                <w:rFonts w:cs="Arial"/>
              </w:rPr>
              <w:t> </w:t>
            </w:r>
            <w:r w:rsidR="005A61D1">
              <w:rPr>
                <w:rFonts w:cs="Arial"/>
              </w:rPr>
              <w:t>držela</w:t>
            </w:r>
            <w:r>
              <w:rPr>
                <w:rFonts w:cs="Arial"/>
              </w:rPr>
              <w:t xml:space="preserve"> na stabilní růstové trajektorii (1,7 %).</w:t>
            </w:r>
          </w:p>
          <w:p w:rsidR="00FB3763" w:rsidRPr="00FB3763" w:rsidRDefault="00FB3763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  <w:p w:rsidR="006467D0" w:rsidRDefault="006467D0" w:rsidP="0066026B">
            <w:pPr>
              <w:pStyle w:val="Textpoznpodarou"/>
              <w:spacing w:after="6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</w:rPr>
              <w:t xml:space="preserve">Graf č. 1 </w:t>
            </w:r>
            <w:r w:rsidRPr="00A6766C">
              <w:rPr>
                <w:rFonts w:cs="Arial"/>
                <w:b/>
                <w:lang w:eastAsia="en-US"/>
              </w:rPr>
              <w:t xml:space="preserve">HDP </w:t>
            </w:r>
            <w:r w:rsidRPr="00A6766C">
              <w:rPr>
                <w:rFonts w:cs="Arial"/>
                <w:lang w:eastAsia="en-US"/>
              </w:rPr>
              <w:t>(</w:t>
            </w:r>
            <w:r w:rsidR="005A61D1">
              <w:rPr>
                <w:rFonts w:cs="Arial"/>
                <w:lang w:eastAsia="en-US"/>
              </w:rPr>
              <w:t>objemové indexy</w:t>
            </w:r>
            <w:r w:rsidRPr="00A6766C">
              <w:rPr>
                <w:rFonts w:cs="Arial"/>
                <w:lang w:eastAsia="en-US"/>
              </w:rPr>
              <w:t>, očištěno o sezónní a kalendářní vlivy, v %)</w:t>
            </w:r>
          </w:p>
          <w:p w:rsidR="006467D0" w:rsidRDefault="00FB3763" w:rsidP="00FB3763">
            <w:pPr>
              <w:pStyle w:val="Textpoznpodarou"/>
              <w:tabs>
                <w:tab w:val="left" w:pos="1039"/>
              </w:tabs>
              <w:ind w:left="-57"/>
              <w:jc w:val="both"/>
              <w:rPr>
                <w:rFonts w:cs="Arial"/>
              </w:rPr>
            </w:pPr>
            <w:r w:rsidRPr="00FB3763">
              <w:rPr>
                <w:rFonts w:cs="Arial"/>
                <w:noProof/>
              </w:rPr>
              <w:drawing>
                <wp:inline distT="0" distB="0" distL="0" distR="0">
                  <wp:extent cx="4737600" cy="3553200"/>
                  <wp:effectExtent l="19050" t="0" r="0" b="0"/>
                  <wp:docPr id="2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6467D0" w:rsidRDefault="006467D0" w:rsidP="00365E26">
            <w:pPr>
              <w:pStyle w:val="Textpoznpodarou"/>
              <w:tabs>
                <w:tab w:val="right" w:pos="7241"/>
              </w:tabs>
              <w:spacing w:before="60"/>
              <w:jc w:val="right"/>
              <w:rPr>
                <w:rFonts w:cs="Arial"/>
                <w:sz w:val="14"/>
                <w:szCs w:val="16"/>
              </w:rPr>
            </w:pPr>
            <w:bookmarkStart w:id="2" w:name="_GoBack"/>
            <w:bookmarkEnd w:id="2"/>
            <w:r w:rsidRPr="006467D0">
              <w:rPr>
                <w:rFonts w:cs="Arial"/>
                <w:sz w:val="14"/>
                <w:szCs w:val="16"/>
              </w:rPr>
              <w:t xml:space="preserve">Zdroj: ČSÚ, </w:t>
            </w:r>
            <w:proofErr w:type="spellStart"/>
            <w:r w:rsidRPr="006467D0">
              <w:rPr>
                <w:rFonts w:cs="Arial"/>
                <w:sz w:val="14"/>
                <w:szCs w:val="16"/>
              </w:rPr>
              <w:t>Eurostat</w:t>
            </w:r>
            <w:proofErr w:type="spellEnd"/>
          </w:p>
          <w:p w:rsidR="00365E26" w:rsidRPr="00365E26" w:rsidRDefault="00365E26" w:rsidP="00365E26">
            <w:pPr>
              <w:pStyle w:val="Textpoznpodarou"/>
              <w:tabs>
                <w:tab w:val="right" w:pos="7241"/>
              </w:tabs>
              <w:spacing w:before="60"/>
              <w:jc w:val="right"/>
              <w:rPr>
                <w:rFonts w:cs="Arial"/>
                <w:sz w:val="14"/>
                <w:szCs w:val="16"/>
              </w:rPr>
            </w:pPr>
          </w:p>
        </w:tc>
      </w:tr>
      <w:tr w:rsidR="00FC6DB5" w:rsidRPr="00A6766C" w:rsidTr="008F1638">
        <w:tc>
          <w:tcPr>
            <w:tcW w:w="1007" w:type="pct"/>
          </w:tcPr>
          <w:p w:rsidR="00FC6DB5" w:rsidRPr="00A6766C" w:rsidRDefault="00FC6DB5" w:rsidP="000C60D8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4" w:type="pct"/>
          </w:tcPr>
          <w:p w:rsidR="00FC6DB5" w:rsidRPr="00A6766C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575" w:type="pct"/>
          </w:tcPr>
          <w:p w:rsidR="00FC6DB5" w:rsidRPr="00A6766C" w:rsidRDefault="00FC6DB5" w:rsidP="000F5598">
            <w:pPr>
              <w:pStyle w:val="Textpoznpodarou"/>
              <w:jc w:val="both"/>
              <w:rPr>
                <w:rFonts w:cs="Arial"/>
              </w:rPr>
            </w:pPr>
            <w:r w:rsidRPr="00A6766C">
              <w:rPr>
                <w:rFonts w:cs="Arial"/>
                <w:lang w:eastAsia="en-US"/>
              </w:rPr>
              <w:t>Graf č. 2</w:t>
            </w:r>
          </w:p>
        </w:tc>
        <w:tc>
          <w:tcPr>
            <w:tcW w:w="3274" w:type="pct"/>
            <w:gridSpan w:val="2"/>
          </w:tcPr>
          <w:p w:rsidR="007841BB" w:rsidRPr="00A6766C" w:rsidRDefault="00FC6DB5" w:rsidP="005A61D1">
            <w:pPr>
              <w:pStyle w:val="Textpoznpodarou"/>
              <w:rPr>
                <w:rFonts w:cs="Arial"/>
                <w:lang w:eastAsia="en-US"/>
              </w:rPr>
            </w:pPr>
            <w:r w:rsidRPr="00A6766C">
              <w:rPr>
                <w:rFonts w:cs="Arial"/>
                <w:b/>
                <w:lang w:eastAsia="en-US"/>
              </w:rPr>
              <w:t xml:space="preserve">HDP </w:t>
            </w:r>
            <w:r w:rsidRPr="00A6766C">
              <w:rPr>
                <w:rFonts w:cs="Arial"/>
                <w:lang w:eastAsia="en-US"/>
              </w:rPr>
              <w:t>(</w:t>
            </w:r>
            <w:r w:rsidR="005A61D1">
              <w:rPr>
                <w:rFonts w:cs="Arial"/>
                <w:lang w:eastAsia="en-US"/>
              </w:rPr>
              <w:t>objemové indexy</w:t>
            </w:r>
            <w:r w:rsidRPr="00A6766C">
              <w:rPr>
                <w:rFonts w:cs="Arial"/>
                <w:lang w:eastAsia="en-US"/>
              </w:rPr>
              <w:t xml:space="preserve">, očištěno o sezónní a kalendářní vlivy, </w:t>
            </w:r>
            <w:r>
              <w:rPr>
                <w:rFonts w:cs="Arial"/>
                <w:lang w:eastAsia="en-US"/>
              </w:rPr>
              <w:t>meziročně</w:t>
            </w:r>
            <w:r w:rsidRPr="00A6766C">
              <w:rPr>
                <w:rFonts w:cs="Arial"/>
                <w:lang w:eastAsia="en-US"/>
              </w:rPr>
              <w:t xml:space="preserve"> v</w:t>
            </w:r>
            <w:r w:rsidR="00CB2B15">
              <w:rPr>
                <w:rFonts w:cs="Arial"/>
                <w:lang w:eastAsia="en-US"/>
              </w:rPr>
              <w:t> </w:t>
            </w:r>
            <w:r w:rsidRPr="00A6766C">
              <w:rPr>
                <w:rFonts w:cs="Arial"/>
                <w:lang w:eastAsia="en-US"/>
              </w:rPr>
              <w:t xml:space="preserve">%, pravá osa) </w:t>
            </w:r>
            <w:r w:rsidRPr="00A6766C">
              <w:rPr>
                <w:rFonts w:cs="Arial"/>
                <w:b/>
                <w:lang w:eastAsia="en-US"/>
              </w:rPr>
              <w:t>a indikátory důvěry</w:t>
            </w:r>
            <w:r w:rsidRPr="00A6766C">
              <w:rPr>
                <w:rFonts w:cs="Arial"/>
                <w:lang w:eastAsia="en-US"/>
              </w:rPr>
              <w:t xml:space="preserve"> (2005=100, levá osa)</w:t>
            </w:r>
          </w:p>
        </w:tc>
      </w:tr>
      <w:tr w:rsidR="000C60D8" w:rsidRPr="00A74192" w:rsidTr="008F1638">
        <w:tc>
          <w:tcPr>
            <w:tcW w:w="1007" w:type="pct"/>
          </w:tcPr>
          <w:p w:rsidR="000C60D8" w:rsidRDefault="000C60D8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0C60D8" w:rsidRPr="005E2AB2" w:rsidRDefault="000C60D8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0C60D8" w:rsidRDefault="007841BB" w:rsidP="00A6766C">
            <w:pPr>
              <w:pStyle w:val="Textpoznpodarou"/>
              <w:ind w:left="-94"/>
              <w:jc w:val="both"/>
              <w:rPr>
                <w:rFonts w:cs="Arial"/>
              </w:rPr>
            </w:pPr>
            <w:r w:rsidRPr="007841BB">
              <w:rPr>
                <w:rFonts w:cs="Arial"/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6766C" w:rsidRPr="007841BB" w:rsidRDefault="00A6766C" w:rsidP="00A6766C">
            <w:pPr>
              <w:pStyle w:val="Textpoznpodarou"/>
              <w:ind w:left="-94"/>
              <w:jc w:val="right"/>
              <w:rPr>
                <w:rFonts w:cs="Arial"/>
                <w:sz w:val="14"/>
                <w:szCs w:val="14"/>
              </w:rPr>
            </w:pPr>
            <w:r w:rsidRPr="007841BB">
              <w:rPr>
                <w:rFonts w:cs="Arial"/>
                <w:sz w:val="14"/>
                <w:szCs w:val="14"/>
              </w:rPr>
              <w:t>Zdroj: ČSÚ</w:t>
            </w:r>
          </w:p>
          <w:p w:rsidR="00FC6DB5" w:rsidRPr="000125F0" w:rsidRDefault="00FC6DB5" w:rsidP="00A6766C">
            <w:pPr>
              <w:pStyle w:val="Textpoznpodarou"/>
              <w:ind w:left="-94"/>
              <w:jc w:val="right"/>
              <w:rPr>
                <w:rFonts w:cs="Arial"/>
              </w:rPr>
            </w:pPr>
          </w:p>
        </w:tc>
      </w:tr>
      <w:tr w:rsidR="000C60D8" w:rsidRPr="00A74192" w:rsidTr="008F1638">
        <w:tc>
          <w:tcPr>
            <w:tcW w:w="1007" w:type="pct"/>
          </w:tcPr>
          <w:p w:rsidR="000C60D8" w:rsidRPr="005E2AB2" w:rsidRDefault="000C60D8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Růst HDP byl tažen kombinací rostoucí domácí i zahraniční poptávky. Přetrvávalo negativní působení výdajů na tvorbu hrubého fixního kapitálu.  </w:t>
            </w:r>
          </w:p>
        </w:tc>
        <w:tc>
          <w:tcPr>
            <w:tcW w:w="144" w:type="pct"/>
          </w:tcPr>
          <w:p w:rsidR="000C60D8" w:rsidRPr="005E2AB2" w:rsidRDefault="000C60D8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0C60D8" w:rsidRDefault="000C60D8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0125F0">
              <w:rPr>
                <w:rFonts w:cs="Arial"/>
              </w:rPr>
              <w:t>Jak bylo zmíněno výše, výdaje na konečnou spotřebu domácností zůstáva</w:t>
            </w:r>
            <w:r w:rsidR="005A61D1">
              <w:rPr>
                <w:rFonts w:cs="Arial"/>
              </w:rPr>
              <w:t>ly</w:t>
            </w:r>
            <w:r w:rsidRPr="000125F0">
              <w:rPr>
                <w:rFonts w:cs="Arial"/>
              </w:rPr>
              <w:t xml:space="preserve"> důležitým </w:t>
            </w:r>
            <w:r>
              <w:rPr>
                <w:rFonts w:cs="Arial"/>
              </w:rPr>
              <w:t>tahounem hospodářského růstu i v 1. čtvrtletí. Přesto jejich úloha ne</w:t>
            </w:r>
            <w:r w:rsidR="005A61D1">
              <w:rPr>
                <w:rFonts w:cs="Arial"/>
              </w:rPr>
              <w:t>byla</w:t>
            </w:r>
            <w:r>
              <w:rPr>
                <w:rFonts w:cs="Arial"/>
              </w:rPr>
              <w:t xml:space="preserve"> tak silná jako v předchozím půlroce. Příspěvek spotřeby domácností k meziročnímu růstu HDP</w:t>
            </w:r>
            <w:r>
              <w:rPr>
                <w:rStyle w:val="Znakapoznpodarou"/>
              </w:rPr>
              <w:footnoteReference w:id="3"/>
            </w:r>
            <w:r>
              <w:rPr>
                <w:rFonts w:cs="Arial"/>
              </w:rPr>
              <w:t xml:space="preserve"> činil 1,0 </w:t>
            </w:r>
            <w:proofErr w:type="spell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 a oproti předchozímu čtvrtletí se snížil o</w:t>
            </w:r>
            <w:r w:rsidR="00CB2B15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0,4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 (za</w:t>
            </w:r>
            <w:proofErr w:type="gramEnd"/>
            <w:r>
              <w:rPr>
                <w:rFonts w:cs="Arial"/>
              </w:rPr>
              <w:t xml:space="preserve"> současného zrychlení růstu HDP o 1 </w:t>
            </w:r>
            <w:proofErr w:type="spell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 xml:space="preserve">.). Chybějící příspěvek spotřeby domácností byl částečně nahrazen růstem vládní spotřeby. Její příspěvek k růstu HDP dosáhl 0,5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Klíčovou roli v posílení hospodářského růstu měla bilance zahraničního obchodu. Její příspěvek k růstu v 1. čtvrtletí 2017 činil 1,7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Výdaje na tvorbu hrubého fixního kapitálu, které výrazně brzdily růst v minulých třech čtvrtletích, meziročně opět klesly, propad se však zmírnil. Jejich příspěvek k růstu HDP činil -0,2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V meziročním srovnání se totiž projevila vyšší srovnávací základna 1. čtvrtletí 2016, ve kterém ještě doznívalo dočerpávání evropských dotací z minulého programového období. </w:t>
            </w:r>
          </w:p>
          <w:p w:rsidR="000C60D8" w:rsidRPr="000367FE" w:rsidRDefault="000C60D8" w:rsidP="00134DFD">
            <w:pPr>
              <w:pStyle w:val="Textpoznpodarou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A6766C" w:rsidRPr="00A6766C" w:rsidTr="008F1638">
        <w:tc>
          <w:tcPr>
            <w:tcW w:w="1007" w:type="pct"/>
          </w:tcPr>
          <w:p w:rsidR="00A6766C" w:rsidRPr="005E2AB2" w:rsidRDefault="00A6766C" w:rsidP="00B25E3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Výdaje na spotřebu domácností rostly i</w:t>
            </w:r>
            <w:r w:rsidR="00B25E31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v 1.</w:t>
            </w:r>
            <w:r w:rsidR="007240C5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čtvrtletí a výrazně táhly růst HDP.</w:t>
            </w:r>
          </w:p>
        </w:tc>
        <w:tc>
          <w:tcPr>
            <w:tcW w:w="144" w:type="pct"/>
          </w:tcPr>
          <w:p w:rsidR="00A6766C" w:rsidRPr="005E2AB2" w:rsidRDefault="00A6766C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A6766C" w:rsidRDefault="00A6766C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393007">
              <w:rPr>
                <w:rFonts w:cs="Arial"/>
              </w:rPr>
              <w:t>Výdaje na konečnou spotřebu domácností v 1. čtvrtletí roku 2017 vzrostly o</w:t>
            </w:r>
            <w:r w:rsidR="00CB2B15">
              <w:rPr>
                <w:rFonts w:cs="Arial"/>
              </w:rPr>
              <w:t> </w:t>
            </w:r>
            <w:r>
              <w:rPr>
                <w:rFonts w:cs="Arial"/>
              </w:rPr>
              <w:t>2</w:t>
            </w:r>
            <w:r w:rsidRPr="00393007">
              <w:rPr>
                <w:rFonts w:cs="Arial"/>
              </w:rPr>
              <w:t>,</w:t>
            </w:r>
            <w:r>
              <w:rPr>
                <w:rFonts w:cs="Arial"/>
              </w:rPr>
              <w:t>8</w:t>
            </w:r>
            <w:r w:rsidR="00CB2B15">
              <w:rPr>
                <w:rFonts w:cs="Arial"/>
              </w:rPr>
              <w:t> </w:t>
            </w:r>
            <w:r w:rsidRPr="00393007">
              <w:rPr>
                <w:rFonts w:cs="Arial"/>
              </w:rPr>
              <w:t>%</w:t>
            </w:r>
            <w:r>
              <w:rPr>
                <w:rFonts w:cs="Arial"/>
              </w:rPr>
              <w:t>. Po mírném zpomalení v minulém čtvrtletí se opět zrychlilo meziroční tempo růstu výdajů na spotřebu předmětů dlouhodobé spotřeby na 6,6 % (domácí pojetí, bez</w:t>
            </w:r>
            <w:r w:rsidR="006260B8">
              <w:rPr>
                <w:rFonts w:cs="Arial"/>
              </w:rPr>
              <w:t> </w:t>
            </w:r>
            <w:r>
              <w:rPr>
                <w:rFonts w:cs="Arial"/>
              </w:rPr>
              <w:t>sezónního očištění). Předměty střednědobé spotřeby, na něž domácnosti zvýšily výdaje v závěru minulého roku, si udržely poměrně silné tempo růstu i</w:t>
            </w:r>
            <w:r w:rsidR="006260B8">
              <w:rPr>
                <w:rFonts w:cs="Arial"/>
              </w:rPr>
              <w:t> </w:t>
            </w:r>
            <w:r>
              <w:rPr>
                <w:rFonts w:cs="Arial"/>
              </w:rPr>
              <w:t>v 1.</w:t>
            </w:r>
            <w:r w:rsidR="006260B8">
              <w:rPr>
                <w:rFonts w:cs="Arial"/>
              </w:rPr>
              <w:t> </w:t>
            </w:r>
            <w:r>
              <w:rPr>
                <w:rFonts w:cs="Arial"/>
              </w:rPr>
              <w:t>čtvrtletí (6,2 %). Největší podíl na spotřebě domácností mají však předměty krátkodobé spotřeby. Výdaje na ně vzrostly o 3,4 %.</w:t>
            </w:r>
          </w:p>
          <w:p w:rsidR="00A6766C" w:rsidRPr="006805C3" w:rsidRDefault="00A6766C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6766C" w:rsidRPr="00A74192" w:rsidTr="008F1638">
        <w:tc>
          <w:tcPr>
            <w:tcW w:w="1007" w:type="pct"/>
          </w:tcPr>
          <w:p w:rsidR="00A6766C" w:rsidRDefault="00A6766C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Zrychlil se růst objemu vyplacených mezd a</w:t>
            </w:r>
            <w:r w:rsidR="00B25E31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 xml:space="preserve">platů. </w:t>
            </w:r>
          </w:p>
          <w:p w:rsidR="00A6766C" w:rsidRPr="005E2AB2" w:rsidRDefault="00A6766C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Výrazně se na tom podepsal zpracovatelský průmysl.</w:t>
            </w:r>
          </w:p>
        </w:tc>
        <w:tc>
          <w:tcPr>
            <w:tcW w:w="144" w:type="pct"/>
          </w:tcPr>
          <w:p w:rsidR="00A6766C" w:rsidRPr="005E2AB2" w:rsidRDefault="00A6766C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A6766C" w:rsidRDefault="00A6766C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2D4329">
              <w:rPr>
                <w:rFonts w:cs="Arial"/>
              </w:rPr>
              <w:t>Objem vyplacených mezd a</w:t>
            </w:r>
            <w:r w:rsidR="00CB2B15">
              <w:rPr>
                <w:rFonts w:cs="Arial"/>
              </w:rPr>
              <w:t> </w:t>
            </w:r>
            <w:r w:rsidRPr="002D4329">
              <w:rPr>
                <w:rFonts w:cs="Arial"/>
              </w:rPr>
              <w:t xml:space="preserve">platů v 1. čtvrtletí </w:t>
            </w:r>
            <w:r>
              <w:rPr>
                <w:rFonts w:cs="Arial"/>
              </w:rPr>
              <w:t xml:space="preserve">meziročně </w:t>
            </w:r>
            <w:r w:rsidRPr="002D4329">
              <w:rPr>
                <w:rFonts w:cs="Arial"/>
              </w:rPr>
              <w:t>vzrostl o 6,7 % a</w:t>
            </w:r>
            <w:r w:rsidR="006260B8">
              <w:rPr>
                <w:rFonts w:cs="Arial"/>
              </w:rPr>
              <w:t> </w:t>
            </w:r>
            <w:r w:rsidRPr="002D4329">
              <w:rPr>
                <w:rFonts w:cs="Arial"/>
              </w:rPr>
              <w:t>na</w:t>
            </w:r>
            <w:r w:rsidR="006260B8">
              <w:rPr>
                <w:rFonts w:cs="Arial"/>
              </w:rPr>
              <w:t> </w:t>
            </w:r>
            <w:r w:rsidRPr="002D4329">
              <w:rPr>
                <w:rFonts w:cs="Arial"/>
              </w:rPr>
              <w:t>zrychlujícím se tempu růstu se neprojevila ani vysoká srovnávací základna minulého roku.</w:t>
            </w:r>
            <w:r>
              <w:rPr>
                <w:rFonts w:cs="Arial"/>
              </w:rPr>
              <w:t xml:space="preserve"> Vzhledem k meziročnímu nárůstu celkové zaměstnanosti o 1,5 %</w:t>
            </w:r>
            <w:r w:rsidR="005A61D1">
              <w:rPr>
                <w:rStyle w:val="Znakapoznpodarou"/>
              </w:rPr>
              <w:footnoteReference w:id="4"/>
            </w:r>
            <w:r>
              <w:rPr>
                <w:rFonts w:cs="Arial"/>
              </w:rPr>
              <w:t xml:space="preserve"> se nominální růst objemu vyplacených mezd přelil do nárůstu příjmů. V reálném vyjádření se objem mezd a</w:t>
            </w:r>
            <w:r w:rsidR="00CB2B15">
              <w:rPr>
                <w:rFonts w:cs="Arial"/>
              </w:rPr>
              <w:t> </w:t>
            </w:r>
            <w:r>
              <w:rPr>
                <w:rFonts w:cs="Arial"/>
              </w:rPr>
              <w:t>platů zvýšil o 3,8 %</w:t>
            </w:r>
            <w:r>
              <w:rPr>
                <w:rStyle w:val="Znakapoznpodarou"/>
              </w:rPr>
              <w:footnoteReference w:id="5"/>
            </w:r>
            <w:r w:rsidR="003F0293">
              <w:rPr>
                <w:rFonts w:cs="Arial"/>
              </w:rPr>
              <w:t>. Rozdíl mezi nominálním a </w:t>
            </w:r>
            <w:r>
              <w:rPr>
                <w:rFonts w:cs="Arial"/>
              </w:rPr>
              <w:t>reálným růstem byl tak nejvyšší od 4. čtvrtletí roku 2008. Na celkovém růstu mezd a platů se projevilo především zrychlení jejich tempa růstu ve</w:t>
            </w:r>
            <w:r w:rsidR="006260B8">
              <w:rPr>
                <w:rFonts w:cs="Arial"/>
              </w:rPr>
              <w:t> </w:t>
            </w:r>
            <w:r>
              <w:rPr>
                <w:rFonts w:cs="Arial"/>
              </w:rPr>
              <w:t>zpracovatelském průmyslu (6,9 %</w:t>
            </w:r>
            <w:r w:rsidR="007841BB">
              <w:rPr>
                <w:rFonts w:cs="Arial"/>
              </w:rPr>
              <w:t xml:space="preserve">, výrazně ovlivněno vyplácením mimořádných </w:t>
            </w:r>
            <w:r w:rsidR="007841BB">
              <w:rPr>
                <w:rFonts w:cs="Arial"/>
              </w:rPr>
              <w:lastRenderedPageBreak/>
              <w:t>bonusů v 1. čtvrtletí</w:t>
            </w:r>
            <w:r>
              <w:rPr>
                <w:rFonts w:cs="Arial"/>
              </w:rPr>
              <w:t>), který zaměstnává nejvíce osob. Výrazně narost</w:t>
            </w:r>
            <w:r w:rsidR="003F0293">
              <w:rPr>
                <w:rFonts w:cs="Arial"/>
              </w:rPr>
              <w:t>l objem vyplacených mezd v odvětví</w:t>
            </w:r>
            <w:r>
              <w:rPr>
                <w:rFonts w:cs="Arial"/>
              </w:rPr>
              <w:t xml:space="preserve"> informačních a komunikačních činností (9,8 % při</w:t>
            </w:r>
            <w:r w:rsidR="006260B8">
              <w:rPr>
                <w:rFonts w:cs="Arial"/>
              </w:rPr>
              <w:t> </w:t>
            </w:r>
            <w:r>
              <w:rPr>
                <w:rFonts w:cs="Arial"/>
              </w:rPr>
              <w:t>současném nárůstu zaměstnanosti o 4,3 %) i činn</w:t>
            </w:r>
            <w:r w:rsidR="003F0293">
              <w:rPr>
                <w:rFonts w:cs="Arial"/>
              </w:rPr>
              <w:t>ostí v oblasti nemovitostí (6,0 </w:t>
            </w:r>
            <w:r>
              <w:rPr>
                <w:rFonts w:cs="Arial"/>
              </w:rPr>
              <w:t xml:space="preserve">%). Pokračoval silný růst objemu vyplacených mezd a platů ve veřejné správě a obraně (7,2 %). </w:t>
            </w:r>
            <w:r w:rsidR="00CC7086">
              <w:rPr>
                <w:rFonts w:cs="Arial"/>
              </w:rPr>
              <w:t xml:space="preserve">Konjunktura ale i další faktory </w:t>
            </w:r>
            <w:r w:rsidR="003F0293">
              <w:rPr>
                <w:rFonts w:cs="Arial"/>
              </w:rPr>
              <w:t>se projevil</w:t>
            </w:r>
            <w:r w:rsidR="00CC7086">
              <w:rPr>
                <w:rFonts w:cs="Arial"/>
              </w:rPr>
              <w:t>y</w:t>
            </w:r>
            <w:r w:rsidR="003F0293">
              <w:rPr>
                <w:rFonts w:cs="Arial"/>
              </w:rPr>
              <w:t xml:space="preserve"> v odvětví</w:t>
            </w:r>
            <w:r>
              <w:rPr>
                <w:rFonts w:cs="Arial"/>
              </w:rPr>
              <w:t xml:space="preserve"> obchod, doprava, ubytování </w:t>
            </w:r>
            <w:r w:rsidRPr="00CB2B15">
              <w:t>a</w:t>
            </w:r>
            <w:r w:rsidR="00CB2B15">
              <w:t> </w:t>
            </w:r>
            <w:r w:rsidRPr="00CB2B15">
              <w:t>pohostinství</w:t>
            </w:r>
            <w:r>
              <w:rPr>
                <w:rFonts w:cs="Arial"/>
              </w:rPr>
              <w:t xml:space="preserve"> (6,6 %), část</w:t>
            </w:r>
            <w:r w:rsidR="003F0293">
              <w:rPr>
                <w:rFonts w:cs="Arial"/>
              </w:rPr>
              <w:t xml:space="preserve">ečně </w:t>
            </w:r>
            <w:r w:rsidR="00505493">
              <w:rPr>
                <w:rFonts w:cs="Arial"/>
              </w:rPr>
              <w:t xml:space="preserve">i </w:t>
            </w:r>
            <w:r w:rsidR="003F0293">
              <w:rPr>
                <w:rFonts w:cs="Arial"/>
              </w:rPr>
              <w:t>u zemědělství, lesnictví a </w:t>
            </w:r>
            <w:r>
              <w:rPr>
                <w:rFonts w:cs="Arial"/>
              </w:rPr>
              <w:t>rybářství (2,8 %). I</w:t>
            </w:r>
            <w:r w:rsidR="00CB2B15">
              <w:rPr>
                <w:rFonts w:cs="Arial"/>
              </w:rPr>
              <w:t> </w:t>
            </w:r>
            <w:r>
              <w:rPr>
                <w:rFonts w:cs="Arial"/>
              </w:rPr>
              <w:t>přes nepříznivou situaci ve stavebnictví zrychlil růst objem</w:t>
            </w:r>
            <w:r w:rsidR="003F0293">
              <w:rPr>
                <w:rFonts w:cs="Arial"/>
              </w:rPr>
              <w:t>u vyplacených mezd v tomto odvětví</w:t>
            </w:r>
            <w:r>
              <w:rPr>
                <w:rFonts w:cs="Arial"/>
              </w:rPr>
              <w:t xml:space="preserve"> o 2,8 %.</w:t>
            </w:r>
          </w:p>
          <w:p w:rsidR="00A6766C" w:rsidRPr="004207AD" w:rsidRDefault="00A6766C" w:rsidP="00134DFD">
            <w:pPr>
              <w:pStyle w:val="Textpoznpodarou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A6766C" w:rsidRPr="00A74192" w:rsidTr="008F1638">
        <w:tc>
          <w:tcPr>
            <w:tcW w:w="1007" w:type="pct"/>
          </w:tcPr>
          <w:p w:rsidR="00A6766C" w:rsidRPr="005E2AB2" w:rsidRDefault="00A6766C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Výdaje na spotřebu vládních institucí po dvou čtvrtletích stagnace opět vzrostly.</w:t>
            </w:r>
          </w:p>
        </w:tc>
        <w:tc>
          <w:tcPr>
            <w:tcW w:w="144" w:type="pct"/>
          </w:tcPr>
          <w:p w:rsidR="00A6766C" w:rsidRPr="005E2AB2" w:rsidRDefault="00A6766C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A6766C" w:rsidRPr="00365E26" w:rsidRDefault="00A6766C" w:rsidP="00134DFD">
            <w:pPr>
              <w:pStyle w:val="Textpoznpodarou"/>
              <w:jc w:val="both"/>
              <w:rPr>
                <w:rFonts w:cs="Arial"/>
                <w:spacing w:val="-4"/>
                <w:sz w:val="16"/>
                <w:szCs w:val="16"/>
              </w:rPr>
            </w:pPr>
            <w:r w:rsidRPr="00365E26">
              <w:rPr>
                <w:rFonts w:cs="Arial"/>
                <w:spacing w:val="-4"/>
              </w:rPr>
              <w:t>Po útlumu v minulém půlroce (0,8 % a 0,1 % ve 3. a 4. čtvrtletí) se opět zrychlilo meziroční tempo růstu výdajů na spotřebu vládních institucí</w:t>
            </w:r>
            <w:r w:rsidR="00AF6B7C" w:rsidRPr="00365E26">
              <w:rPr>
                <w:rFonts w:cs="Arial"/>
                <w:spacing w:val="-4"/>
              </w:rPr>
              <w:t xml:space="preserve"> (</w:t>
            </w:r>
            <w:r w:rsidRPr="00365E26">
              <w:rPr>
                <w:rFonts w:cs="Arial"/>
                <w:spacing w:val="-4"/>
              </w:rPr>
              <w:t>dosáhlo 2,4 %</w:t>
            </w:r>
            <w:r w:rsidR="00AF6B7C" w:rsidRPr="00365E26">
              <w:rPr>
                <w:rFonts w:cs="Arial"/>
                <w:spacing w:val="-4"/>
              </w:rPr>
              <w:t>)</w:t>
            </w:r>
            <w:r w:rsidRPr="00365E26">
              <w:rPr>
                <w:rFonts w:cs="Arial"/>
                <w:spacing w:val="-4"/>
              </w:rPr>
              <w:t>. Mezičtvrtletní nárůst činil 1,4 %, což je netypické pro 1. čtvrtletí. Obvykle v tomto kvartálu vládní výdaje stagnují. Naposledy podobně silně rostly v 1. čtvrtletí roku 2013.</w:t>
            </w:r>
          </w:p>
          <w:p w:rsidR="00A6766C" w:rsidRPr="00A6766C" w:rsidRDefault="00A6766C" w:rsidP="00A6766C">
            <w:pPr>
              <w:pStyle w:val="Textpoznpodarou"/>
              <w:jc w:val="righ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C6DB5" w:rsidRPr="00A74192" w:rsidTr="008F1638">
        <w:tc>
          <w:tcPr>
            <w:tcW w:w="1007" w:type="pct"/>
          </w:tcPr>
          <w:p w:rsidR="00FC6DB5" w:rsidRPr="005E2AB2" w:rsidRDefault="00FC6DB5" w:rsidP="00A6766C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FC6DB5" w:rsidRPr="005E2AB2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575" w:type="pct"/>
          </w:tcPr>
          <w:p w:rsidR="00FC6DB5" w:rsidRPr="005E2AB2" w:rsidRDefault="00FC6DB5" w:rsidP="000F5598">
            <w:pPr>
              <w:pStyle w:val="Textpoznpodarou"/>
              <w:rPr>
                <w:rFonts w:cs="Arial"/>
                <w:lang w:eastAsia="en-US"/>
              </w:rPr>
            </w:pPr>
            <w:r w:rsidRPr="005E2AB2">
              <w:rPr>
                <w:rFonts w:cs="Arial"/>
                <w:lang w:eastAsia="en-US"/>
              </w:rPr>
              <w:t>Graf č. 3</w:t>
            </w:r>
          </w:p>
        </w:tc>
        <w:tc>
          <w:tcPr>
            <w:tcW w:w="3274" w:type="pct"/>
            <w:gridSpan w:val="2"/>
          </w:tcPr>
          <w:p w:rsidR="00505493" w:rsidRDefault="00FC6DB5" w:rsidP="005A61D1">
            <w:pPr>
              <w:pStyle w:val="Textpoznpodarou"/>
              <w:rPr>
                <w:rFonts w:cs="Arial"/>
                <w:lang w:eastAsia="en-US"/>
              </w:rPr>
            </w:pPr>
            <w:r w:rsidRPr="005E2AB2">
              <w:rPr>
                <w:rFonts w:cs="Arial"/>
                <w:b/>
                <w:lang w:eastAsia="en-US"/>
              </w:rPr>
              <w:t>Příspěvky výdajových složek k</w:t>
            </w:r>
            <w:r w:rsidR="005A61D1">
              <w:rPr>
                <w:rFonts w:cs="Arial"/>
                <w:b/>
                <w:lang w:eastAsia="en-US"/>
              </w:rPr>
              <w:t xml:space="preserve"> reálné</w:t>
            </w:r>
            <w:r w:rsidRPr="005E2AB2">
              <w:rPr>
                <w:rFonts w:cs="Arial"/>
                <w:b/>
                <w:lang w:eastAsia="en-US"/>
              </w:rPr>
              <w:t> změně HDP*</w:t>
            </w:r>
            <w:r w:rsidRPr="005E2AB2">
              <w:rPr>
                <w:rFonts w:cs="Arial"/>
                <w:lang w:eastAsia="en-US"/>
              </w:rPr>
              <w:t xml:space="preserve"> </w:t>
            </w:r>
          </w:p>
          <w:p w:rsidR="00FC6DB5" w:rsidRPr="005E2AB2" w:rsidRDefault="00FC6DB5" w:rsidP="005A61D1">
            <w:pPr>
              <w:pStyle w:val="Textpoznpodarou"/>
              <w:rPr>
                <w:rFonts w:cs="Arial"/>
                <w:lang w:eastAsia="en-US"/>
              </w:rPr>
            </w:pPr>
            <w:r w:rsidRPr="005E2AB2">
              <w:rPr>
                <w:rFonts w:cs="Arial"/>
                <w:lang w:eastAsia="en-US"/>
              </w:rPr>
              <w:t>(</w:t>
            </w:r>
            <w:r w:rsidR="005A61D1">
              <w:rPr>
                <w:rFonts w:cs="Arial"/>
                <w:lang w:eastAsia="en-US"/>
              </w:rPr>
              <w:t>objemové indexy</w:t>
            </w:r>
            <w:r w:rsidRPr="005E2AB2">
              <w:rPr>
                <w:rFonts w:cs="Arial"/>
                <w:lang w:eastAsia="en-US"/>
              </w:rPr>
              <w:t xml:space="preserve">, </w:t>
            </w:r>
            <w:r>
              <w:rPr>
                <w:rFonts w:cs="Arial"/>
                <w:lang w:eastAsia="en-US"/>
              </w:rPr>
              <w:t xml:space="preserve">meziroční růst, </w:t>
            </w:r>
            <w:r w:rsidRPr="005E2AB2">
              <w:rPr>
                <w:rFonts w:cs="Arial"/>
                <w:lang w:eastAsia="en-US"/>
              </w:rPr>
              <w:t>příspěvky v </w:t>
            </w:r>
            <w:proofErr w:type="spellStart"/>
            <w:proofErr w:type="gramStart"/>
            <w:r w:rsidRPr="005E2AB2">
              <w:rPr>
                <w:rFonts w:cs="Arial"/>
                <w:lang w:eastAsia="en-US"/>
              </w:rPr>
              <w:t>p.b</w:t>
            </w:r>
            <w:proofErr w:type="spellEnd"/>
            <w:r w:rsidRPr="005E2AB2">
              <w:rPr>
                <w:rFonts w:cs="Arial"/>
                <w:lang w:eastAsia="en-US"/>
              </w:rPr>
              <w:t>., HDP</w:t>
            </w:r>
            <w:proofErr w:type="gramEnd"/>
            <w:r w:rsidRPr="005E2AB2">
              <w:rPr>
                <w:rFonts w:cs="Arial"/>
                <w:lang w:eastAsia="en-US"/>
              </w:rPr>
              <w:t xml:space="preserve"> v %)</w:t>
            </w:r>
          </w:p>
        </w:tc>
      </w:tr>
      <w:tr w:rsidR="00FC6DB5" w:rsidRPr="00A74192" w:rsidTr="008F1638">
        <w:tc>
          <w:tcPr>
            <w:tcW w:w="1007" w:type="pct"/>
          </w:tcPr>
          <w:p w:rsidR="00FC6DB5" w:rsidRPr="005E2AB2" w:rsidRDefault="00FC6DB5" w:rsidP="00A949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FC6DB5" w:rsidRPr="00A74192" w:rsidRDefault="00FC6DB5" w:rsidP="00D94859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FC6DB5" w:rsidRPr="00E60FCE" w:rsidRDefault="00CC7086" w:rsidP="002C63C1">
            <w:pPr>
              <w:pStyle w:val="Textpoznpodarou"/>
              <w:ind w:left="-95"/>
              <w:jc w:val="both"/>
              <w:rPr>
                <w:rFonts w:cs="Arial"/>
                <w:sz w:val="14"/>
                <w:szCs w:val="14"/>
                <w:highlight w:val="yellow"/>
              </w:rPr>
            </w:pPr>
            <w:r w:rsidRPr="00CC7086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>
                  <wp:extent cx="4737600" cy="3553200"/>
                  <wp:effectExtent l="0" t="0" r="0" b="0"/>
                  <wp:docPr id="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C6DB5" w:rsidRPr="00A74192" w:rsidTr="008F1638">
        <w:tc>
          <w:tcPr>
            <w:tcW w:w="1007" w:type="pct"/>
          </w:tcPr>
          <w:p w:rsidR="00FC6DB5" w:rsidRPr="005E2AB2" w:rsidRDefault="00FC6DB5" w:rsidP="00A949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FC6DB5" w:rsidRPr="00A74192" w:rsidRDefault="00FC6DB5" w:rsidP="00D94859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165" w:type="pct"/>
            <w:gridSpan w:val="2"/>
          </w:tcPr>
          <w:p w:rsidR="00FC6DB5" w:rsidRPr="007841BB" w:rsidRDefault="00816A28" w:rsidP="00A9497A">
            <w:pPr>
              <w:pStyle w:val="Textpoznpodarou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*P</w:t>
            </w:r>
            <w:r w:rsidR="00FC6DB5" w:rsidRPr="007841BB">
              <w:rPr>
                <w:rFonts w:cs="Arial"/>
                <w:sz w:val="14"/>
                <w:szCs w:val="14"/>
                <w:lang w:eastAsia="en-US"/>
              </w:rPr>
              <w:t>říspěvky ke změně HDP po vyloučení dovozu pro konečné užití</w:t>
            </w:r>
          </w:p>
        </w:tc>
        <w:tc>
          <w:tcPr>
            <w:tcW w:w="684" w:type="pct"/>
          </w:tcPr>
          <w:p w:rsidR="00FC6DB5" w:rsidRPr="007841BB" w:rsidRDefault="00FC6DB5" w:rsidP="002C63C1">
            <w:pPr>
              <w:pStyle w:val="Textpoznpodarou"/>
              <w:jc w:val="right"/>
              <w:rPr>
                <w:rFonts w:cs="Arial"/>
                <w:sz w:val="14"/>
                <w:szCs w:val="14"/>
              </w:rPr>
            </w:pPr>
            <w:r w:rsidRPr="007841BB">
              <w:rPr>
                <w:rFonts w:cs="Arial"/>
                <w:sz w:val="14"/>
                <w:szCs w:val="14"/>
              </w:rPr>
              <w:t>Zdroj: ČSÚ</w:t>
            </w:r>
          </w:p>
          <w:p w:rsidR="00FC6DB5" w:rsidRPr="007841BB" w:rsidRDefault="00FC6DB5" w:rsidP="002C63C1">
            <w:pPr>
              <w:pStyle w:val="Textpoznpodarou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FC6DB5" w:rsidRPr="00A74192" w:rsidTr="008F1638">
        <w:tc>
          <w:tcPr>
            <w:tcW w:w="1007" w:type="pct"/>
          </w:tcPr>
          <w:p w:rsidR="00FC6DB5" w:rsidRPr="005E2AB2" w:rsidRDefault="00FC6DB5" w:rsidP="00B25E3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Meziroční propad výdajů na tvorbu hrubého fixního kapitálu se</w:t>
            </w:r>
            <w:r w:rsidR="00B25E31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zmírňuje</w:t>
            </w:r>
          </w:p>
        </w:tc>
        <w:tc>
          <w:tcPr>
            <w:tcW w:w="144" w:type="pct"/>
          </w:tcPr>
          <w:p w:rsidR="00FC6DB5" w:rsidRPr="005E2AB2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5A61D1" w:rsidRDefault="00FC6DB5" w:rsidP="005A61D1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A65B13">
              <w:rPr>
                <w:rFonts w:cs="Arial"/>
              </w:rPr>
              <w:t xml:space="preserve">Výdaje na tvorbu hrubého fixního kapitálu </w:t>
            </w:r>
            <w:r w:rsidR="005A61D1">
              <w:rPr>
                <w:rFonts w:cs="Arial"/>
              </w:rPr>
              <w:t xml:space="preserve">byly </w:t>
            </w:r>
            <w:r w:rsidRPr="00A65B13">
              <w:rPr>
                <w:rFonts w:cs="Arial"/>
              </w:rPr>
              <w:t>v 1. čtvrtletí 2017</w:t>
            </w:r>
            <w:r w:rsidR="005A61D1">
              <w:rPr>
                <w:rFonts w:cs="Arial"/>
              </w:rPr>
              <w:t xml:space="preserve"> meziročně nižší </w:t>
            </w:r>
            <w:r>
              <w:rPr>
                <w:rFonts w:cs="Arial"/>
              </w:rPr>
              <w:t>o</w:t>
            </w:r>
            <w:r w:rsidR="006260B8">
              <w:rPr>
                <w:rFonts w:cs="Arial"/>
              </w:rPr>
              <w:t> </w:t>
            </w:r>
            <w:r>
              <w:rPr>
                <w:rFonts w:cs="Arial"/>
              </w:rPr>
              <w:t>0,6 %</w:t>
            </w:r>
            <w:r w:rsidRPr="00A65B1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5A61D1">
              <w:rPr>
                <w:rFonts w:cs="Arial"/>
              </w:rPr>
              <w:t>Propad, který začal ve 2. čtvrtletí 2016, se však zmírňoval a nyní se</w:t>
            </w:r>
            <w:r w:rsidR="006260B8">
              <w:rPr>
                <w:rFonts w:cs="Arial"/>
              </w:rPr>
              <w:t> </w:t>
            </w:r>
            <w:r w:rsidR="005A61D1">
              <w:rPr>
                <w:rFonts w:cs="Arial"/>
              </w:rPr>
              <w:t>do</w:t>
            </w:r>
            <w:r w:rsidR="006260B8">
              <w:rPr>
                <w:rFonts w:cs="Arial"/>
              </w:rPr>
              <w:t> </w:t>
            </w:r>
            <w:r w:rsidR="005A61D1">
              <w:rPr>
                <w:rFonts w:cs="Arial"/>
              </w:rPr>
              <w:t xml:space="preserve">meziročního nárůstu promítlo hlavně srovnání s 1. čtvrtletím minulého roku, ve kterém byla investiční aktivita ještě vysoká. To potvrzuje i </w:t>
            </w:r>
            <w:proofErr w:type="spellStart"/>
            <w:r w:rsidR="005A61D1">
              <w:rPr>
                <w:rFonts w:cs="Arial"/>
              </w:rPr>
              <w:t>mezičtvrtletní</w:t>
            </w:r>
            <w:proofErr w:type="spellEnd"/>
            <w:r w:rsidR="005A61D1">
              <w:rPr>
                <w:rFonts w:cs="Arial"/>
              </w:rPr>
              <w:t xml:space="preserve"> nárůst o</w:t>
            </w:r>
            <w:r w:rsidR="006260B8">
              <w:rPr>
                <w:rFonts w:cs="Arial"/>
              </w:rPr>
              <w:t> </w:t>
            </w:r>
            <w:r w:rsidR="005A61D1">
              <w:rPr>
                <w:rFonts w:cs="Arial"/>
              </w:rPr>
              <w:t xml:space="preserve">3,6 %. Z hlediska věcného členění tvorby hrubého fixního kapitálu pokračoval propad investic do ostatních staveb, které zahrnují velké infrastrukturní projekty (meziroční pokles o 10,7 %). </w:t>
            </w:r>
          </w:p>
          <w:p w:rsidR="00FC6DB5" w:rsidRPr="003E6D29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C6DB5" w:rsidRPr="00A74192" w:rsidTr="008F1638">
        <w:tc>
          <w:tcPr>
            <w:tcW w:w="1007" w:type="pct"/>
          </w:tcPr>
          <w:p w:rsidR="00FC6DB5" w:rsidRPr="005E2AB2" w:rsidRDefault="00FC6DB5" w:rsidP="00B25E3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Vzrostly investice do ICT, ostatních strojů a</w:t>
            </w:r>
            <w:r w:rsidR="00B25E31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zařízení a zbraňových systémů.</w:t>
            </w:r>
          </w:p>
        </w:tc>
        <w:tc>
          <w:tcPr>
            <w:tcW w:w="144" w:type="pct"/>
          </w:tcPr>
          <w:p w:rsidR="00FC6DB5" w:rsidRPr="005E2AB2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FC6DB5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3E6D29">
              <w:rPr>
                <w:rFonts w:cs="Arial"/>
              </w:rPr>
              <w:t xml:space="preserve">Ostatní investiční kategorie si připsaly meziroční nárůsty. Důležité pro oživení investiční aktivity byly investice do </w:t>
            </w:r>
            <w:r>
              <w:rPr>
                <w:rFonts w:cs="Arial"/>
              </w:rPr>
              <w:t xml:space="preserve">kategorie </w:t>
            </w:r>
            <w:r w:rsidRPr="003E6D29">
              <w:rPr>
                <w:rFonts w:cs="Arial"/>
              </w:rPr>
              <w:t>ICT, ostatních strojů a zařízení a</w:t>
            </w:r>
            <w:r w:rsidR="00CB2B15">
              <w:rPr>
                <w:rFonts w:cs="Arial"/>
              </w:rPr>
              <w:t> </w:t>
            </w:r>
            <w:r w:rsidRPr="003E6D29">
              <w:rPr>
                <w:rFonts w:cs="Arial"/>
              </w:rPr>
              <w:t>zbraňových systém</w:t>
            </w:r>
            <w:r>
              <w:rPr>
                <w:rFonts w:cs="Arial"/>
              </w:rPr>
              <w:t>ů</w:t>
            </w:r>
            <w:r w:rsidRPr="003E6D29">
              <w:rPr>
                <w:rFonts w:cs="Arial"/>
              </w:rPr>
              <w:t>, které jsou objemově nejvyšší položkou a vzrostly v 1.</w:t>
            </w:r>
            <w:r w:rsidR="00CB2B15">
              <w:rPr>
                <w:rFonts w:cs="Arial"/>
              </w:rPr>
              <w:t> </w:t>
            </w:r>
            <w:r w:rsidRPr="003E6D29">
              <w:rPr>
                <w:rFonts w:cs="Arial"/>
              </w:rPr>
              <w:t>čtvrtletí o 6,9 %.</w:t>
            </w:r>
            <w:r>
              <w:rPr>
                <w:rFonts w:cs="Arial"/>
              </w:rPr>
              <w:t xml:space="preserve"> Zrychlilo již v minulém roce výrazné tempo růstu investic do</w:t>
            </w:r>
            <w:r w:rsidR="00CB2B15">
              <w:rPr>
                <w:rFonts w:cs="Arial"/>
              </w:rPr>
              <w:t> </w:t>
            </w:r>
            <w:r>
              <w:rPr>
                <w:rFonts w:cs="Arial"/>
              </w:rPr>
              <w:t>dopravních prostředků (16,6 %). Střídmější meziroční tempo růstu v porovnání s předchozím čtvrtletím měly investice do obydlí (4,6 %) a oslabil růst tvorby hrubého fixního kapitálu prostřednictvím produktů duševního vlastnictví (1,3 %).</w:t>
            </w:r>
          </w:p>
          <w:p w:rsidR="00FC6DB5" w:rsidRPr="00ED5FE7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C6DB5" w:rsidRPr="00A74192" w:rsidTr="008F1638">
        <w:tc>
          <w:tcPr>
            <w:tcW w:w="1007" w:type="pct"/>
          </w:tcPr>
          <w:p w:rsidR="00FC6DB5" w:rsidRPr="005E2AB2" w:rsidRDefault="00FC6DB5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Zahraničnímu obchodu se dařilo, což se promítlo i do přebytku </w:t>
            </w:r>
            <w:r>
              <w:rPr>
                <w:rFonts w:cs="Arial"/>
                <w:sz w:val="16"/>
                <w:szCs w:val="16"/>
              </w:rPr>
              <w:lastRenderedPageBreak/>
              <w:t>obchodní bilance.</w:t>
            </w:r>
          </w:p>
        </w:tc>
        <w:tc>
          <w:tcPr>
            <w:tcW w:w="144" w:type="pct"/>
          </w:tcPr>
          <w:p w:rsidR="00FC6DB5" w:rsidRPr="005E2AB2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FC6DB5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C11F7C">
              <w:rPr>
                <w:rFonts w:cs="Arial"/>
              </w:rPr>
              <w:t xml:space="preserve">Přebytek bilance zahraničního obchodu </w:t>
            </w:r>
            <w:r>
              <w:rPr>
                <w:rFonts w:cs="Arial"/>
              </w:rPr>
              <w:t xml:space="preserve">(v běžných cenách) </w:t>
            </w:r>
            <w:r w:rsidRPr="00C11F7C">
              <w:rPr>
                <w:rFonts w:cs="Arial"/>
              </w:rPr>
              <w:t xml:space="preserve">dosáhl v 1. čtvrtletí </w:t>
            </w:r>
            <w:r>
              <w:rPr>
                <w:rFonts w:cs="Arial"/>
              </w:rPr>
              <w:t>8</w:t>
            </w:r>
            <w:r w:rsidRPr="00C11F7C">
              <w:rPr>
                <w:rFonts w:cs="Arial"/>
              </w:rPr>
              <w:t>6,</w:t>
            </w:r>
            <w:r>
              <w:rPr>
                <w:rFonts w:cs="Arial"/>
              </w:rPr>
              <w:t>0</w:t>
            </w:r>
            <w:r w:rsidRPr="00C11F7C">
              <w:rPr>
                <w:rFonts w:cs="Arial"/>
              </w:rPr>
              <w:t xml:space="preserve"> mld. korun</w:t>
            </w:r>
            <w:r w:rsidR="006963FB">
              <w:rPr>
                <w:rStyle w:val="Znakapoznpodarou"/>
              </w:rPr>
              <w:footnoteReference w:id="6"/>
            </w:r>
            <w:r w:rsidRPr="00C11F7C">
              <w:rPr>
                <w:rFonts w:cs="Arial"/>
              </w:rPr>
              <w:t xml:space="preserve"> a přebytek stejného období minulého roku byl překonán o</w:t>
            </w:r>
            <w:r w:rsidR="00CB2B15">
              <w:rPr>
                <w:rFonts w:cs="Arial"/>
              </w:rPr>
              <w:t> </w:t>
            </w:r>
            <w:r w:rsidRPr="00C11F7C">
              <w:rPr>
                <w:rFonts w:cs="Arial"/>
              </w:rPr>
              <w:t>2,</w:t>
            </w:r>
            <w:r>
              <w:rPr>
                <w:rFonts w:cs="Arial"/>
              </w:rPr>
              <w:t>0</w:t>
            </w:r>
            <w:r w:rsidR="00CB2B15">
              <w:rPr>
                <w:rFonts w:cs="Arial"/>
              </w:rPr>
              <w:t> </w:t>
            </w:r>
            <w:r w:rsidRPr="00C11F7C">
              <w:rPr>
                <w:rFonts w:cs="Arial"/>
              </w:rPr>
              <w:t>mld.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korun. Většinu přebytku tvořilo kladné saldo obchodu se zbožím, které dosáhlo 60,9 mld. korun a oproti 1. čtvrtletí roku 2016 se snížilo o 2,8 mld. korun. Růst celkového přebytku byl podpořen meziročním zvýšením kladného salda obchodu se službami, které v 1. čtvrtletí letošního roku dosáhlo 25,1 mld. korun.</w:t>
            </w:r>
          </w:p>
          <w:p w:rsidR="00FC6DB5" w:rsidRPr="00F75A91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FC6DB5" w:rsidRPr="00A74192" w:rsidTr="008F1638">
        <w:tc>
          <w:tcPr>
            <w:tcW w:w="1007" w:type="pct"/>
          </w:tcPr>
          <w:p w:rsidR="00FC6DB5" w:rsidRPr="005E2AB2" w:rsidRDefault="00FC6DB5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Směnné relace byly záporné. Stál za tím obchod se zbožím, neboť směnné relace obchodu se službami byly kladné. </w:t>
            </w:r>
          </w:p>
        </w:tc>
        <w:tc>
          <w:tcPr>
            <w:tcW w:w="144" w:type="pct"/>
          </w:tcPr>
          <w:p w:rsidR="00FC6DB5" w:rsidRPr="005E2AB2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FC6DB5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F75A91">
              <w:rPr>
                <w:rFonts w:cs="Arial"/>
              </w:rPr>
              <w:t xml:space="preserve">Směnné relace dosáhly v 1. čtvrtletí 2017 hodnoty 98,3 % a oproti předchozímu čtvrtletí se </w:t>
            </w:r>
            <w:r>
              <w:rPr>
                <w:rFonts w:cs="Arial"/>
              </w:rPr>
              <w:t>snížily</w:t>
            </w:r>
            <w:r w:rsidRPr="00F75A91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Záporné směnné relace měly svůj původ v</w:t>
            </w:r>
            <w:r w:rsidR="006963FB">
              <w:rPr>
                <w:rFonts w:cs="Arial"/>
              </w:rPr>
              <w:t xml:space="preserve"> rychlejším</w:t>
            </w:r>
            <w:r>
              <w:rPr>
                <w:rFonts w:cs="Arial"/>
              </w:rPr>
              <w:t xml:space="preserve"> cenovém růstu </w:t>
            </w:r>
            <w:r w:rsidR="006963FB">
              <w:rPr>
                <w:rFonts w:cs="Arial"/>
              </w:rPr>
              <w:t>dováženého</w:t>
            </w:r>
            <w:r>
              <w:rPr>
                <w:rFonts w:cs="Arial"/>
              </w:rPr>
              <w:t xml:space="preserve"> zboží. Ačkoli u </w:t>
            </w:r>
            <w:r w:rsidR="006963FB">
              <w:rPr>
                <w:rFonts w:cs="Arial"/>
              </w:rPr>
              <w:t>vývozu i dovozu</w:t>
            </w:r>
            <w:r>
              <w:rPr>
                <w:rFonts w:cs="Arial"/>
              </w:rPr>
              <w:t xml:space="preserve"> došlo poprvé po osmi čtvrtletích k meziročnímu zvýšení cen, růst cen importovaného zboží byl rychlejší a výsledné směnné relace obchodu se zbožím dosáhly 97,9 %. Celkové směnné relace byly korigovány mírně vzhůru kladnými relacemi obchodu se službami (100,3 %). Záporné směnné relace se promítly i do hodnoty reálného hrubého domácího důchodu (RHDD), která v 1. čtvrtletí meziročně vzrostla o</w:t>
            </w:r>
            <w:r w:rsidR="00CB2B15">
              <w:rPr>
                <w:rFonts w:cs="Arial"/>
              </w:rPr>
              <w:t> </w:t>
            </w:r>
            <w:r>
              <w:rPr>
                <w:rFonts w:cs="Arial"/>
              </w:rPr>
              <w:t>2,3</w:t>
            </w:r>
            <w:r w:rsidR="00CB2B15">
              <w:rPr>
                <w:rFonts w:cs="Arial"/>
              </w:rPr>
              <w:t> </w:t>
            </w:r>
            <w:r>
              <w:rPr>
                <w:rFonts w:cs="Arial"/>
              </w:rPr>
              <w:t>%. Rozdíl mezi RHDD a HDP činil -12,2 mld. korun, což je nejvýraznější ztráta ze směnných relací od 1. čtvrtletí roku 2011.</w:t>
            </w:r>
          </w:p>
          <w:p w:rsidR="00FC6DB5" w:rsidRPr="0081627E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FC6DB5" w:rsidRPr="00A74192" w:rsidTr="008F1638">
        <w:tc>
          <w:tcPr>
            <w:tcW w:w="1007" w:type="pct"/>
          </w:tcPr>
          <w:p w:rsidR="00FC6DB5" w:rsidRPr="005E2AB2" w:rsidRDefault="00FC6DB5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Zpracovatelský průmysl stále výrazně přispívá k růstu hrubé přidané hodnoty, tentokrát v tandemu s výrazným růstem služeb.</w:t>
            </w:r>
          </w:p>
        </w:tc>
        <w:tc>
          <w:tcPr>
            <w:tcW w:w="144" w:type="pct"/>
          </w:tcPr>
          <w:p w:rsidR="00FC6DB5" w:rsidRPr="005E2AB2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FC6DB5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Růst hrubé přidané hodnoty byl opět silně podpořen zpracovatelským průmyslem</w:t>
            </w:r>
            <w:r w:rsidR="00AF6B7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V 1. čtvrtletí růst jeho přidané hodnoty činil 3,9 % a v porovnání s předchozím rokem se mírně zpomalil. I jeho příspěvek k růstu HPH se oproti předchozímu čtvrtletí o 0,1 </w:t>
            </w:r>
            <w:proofErr w:type="spell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 xml:space="preserve">. </w:t>
            </w:r>
            <w:r w:rsidR="006963FB">
              <w:rPr>
                <w:rFonts w:cs="Arial"/>
              </w:rPr>
              <w:t>snížil</w:t>
            </w:r>
            <w:r>
              <w:rPr>
                <w:rFonts w:cs="Arial"/>
              </w:rPr>
              <w:t xml:space="preserve"> a</w:t>
            </w:r>
            <w:r w:rsidR="00CB2B15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dosáhl 1,1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Nejvýrazněji tak k růstu HPH přispěla odvětví služeb, jejichž příspěvek činil 1,3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Nejsilněji přispěly činnosti v oblasti nemovitostí (0,3</w:t>
            </w:r>
            <w:r w:rsidR="00CB2B15">
              <w:rPr>
                <w:rFonts w:cs="Arial"/>
              </w:rPr>
              <w:t> 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.), jejichž</w:t>
            </w:r>
            <w:proofErr w:type="gramEnd"/>
            <w:r>
              <w:rPr>
                <w:rFonts w:cs="Arial"/>
              </w:rPr>
              <w:t xml:space="preserve"> meziroční růst v tomto čtvrtletí zrychlil na 4,0 % a</w:t>
            </w:r>
            <w:r w:rsidR="00362408">
              <w:rPr>
                <w:rFonts w:cs="Arial"/>
              </w:rPr>
              <w:t> </w:t>
            </w:r>
            <w:r w:rsidR="007240C5">
              <w:rPr>
                <w:rFonts w:cs="Arial"/>
              </w:rPr>
              <w:t>j</w:t>
            </w:r>
            <w:r>
              <w:rPr>
                <w:rFonts w:cs="Arial"/>
              </w:rPr>
              <w:t>sou</w:t>
            </w:r>
            <w:r w:rsidR="007240C5">
              <w:rPr>
                <w:rFonts w:cs="Arial"/>
              </w:rPr>
              <w:t xml:space="preserve"> třetím rokem</w:t>
            </w:r>
            <w:r>
              <w:rPr>
                <w:rFonts w:cs="Arial"/>
              </w:rPr>
              <w:t xml:space="preserve"> významným přispěvatelem k růstu HPH. Po dvou čtvrtletích stagnace se oživil růst HPH informačních a komunikačních činností (4,7 %)</w:t>
            </w:r>
            <w:r w:rsidR="007240C5">
              <w:rPr>
                <w:rFonts w:cs="Arial"/>
              </w:rPr>
              <w:t xml:space="preserve">, které </w:t>
            </w:r>
            <w:r>
              <w:rPr>
                <w:rFonts w:cs="Arial"/>
              </w:rPr>
              <w:t xml:space="preserve">přispěly k celkovému růstu HPH 0,2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Podobný byl i příspěvek odvětví s dominancí státu. </w:t>
            </w:r>
            <w:r w:rsidR="006963FB">
              <w:rPr>
                <w:rFonts w:cs="Arial"/>
              </w:rPr>
              <w:t xml:space="preserve">Ostatní průmyslová odvětví </w:t>
            </w:r>
            <w:proofErr w:type="spellStart"/>
            <w:r>
              <w:rPr>
                <w:rFonts w:cs="Arial"/>
              </w:rPr>
              <w:t>příspě</w:t>
            </w:r>
            <w:r w:rsidR="006963FB">
              <w:rPr>
                <w:rFonts w:cs="Arial"/>
              </w:rPr>
              <w:t>la</w:t>
            </w:r>
            <w:proofErr w:type="spellEnd"/>
            <w:r>
              <w:rPr>
                <w:rFonts w:cs="Arial"/>
              </w:rPr>
              <w:t xml:space="preserve"> k růstu HPH 0,1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 </w:t>
            </w:r>
          </w:p>
          <w:p w:rsidR="00FC6DB5" w:rsidRPr="001F1693" w:rsidRDefault="00FC6DB5" w:rsidP="00134DFD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C6DB5" w:rsidRPr="00A74192" w:rsidTr="008F1638">
        <w:tc>
          <w:tcPr>
            <w:tcW w:w="1007" w:type="pct"/>
          </w:tcPr>
          <w:p w:rsidR="00FC6DB5" w:rsidRDefault="00FC6DB5" w:rsidP="000F5598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FC6DB5" w:rsidRPr="005E2AB2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575" w:type="pct"/>
          </w:tcPr>
          <w:p w:rsidR="00FC6DB5" w:rsidRDefault="00FC6DB5" w:rsidP="00134DFD">
            <w:pPr>
              <w:pStyle w:val="Textpoznpodarou"/>
              <w:jc w:val="both"/>
              <w:rPr>
                <w:rFonts w:cs="Arial"/>
              </w:rPr>
            </w:pPr>
            <w:r w:rsidRPr="005E2AB2">
              <w:rPr>
                <w:rFonts w:cs="Arial"/>
                <w:lang w:eastAsia="en-US"/>
              </w:rPr>
              <w:t>Graf č. 4</w:t>
            </w:r>
          </w:p>
        </w:tc>
        <w:tc>
          <w:tcPr>
            <w:tcW w:w="3274" w:type="pct"/>
            <w:gridSpan w:val="2"/>
          </w:tcPr>
          <w:p w:rsidR="00505493" w:rsidRDefault="006963FB" w:rsidP="006963FB">
            <w:pPr>
              <w:pStyle w:val="Textpoznpodarou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Příspěvky odvětví k reálné</w:t>
            </w:r>
            <w:r w:rsidR="00FC6DB5" w:rsidRPr="005E2AB2">
              <w:rPr>
                <w:rFonts w:cs="Arial"/>
                <w:b/>
                <w:lang w:eastAsia="en-US"/>
              </w:rPr>
              <w:t> změně HPH</w:t>
            </w:r>
            <w:r w:rsidR="00FC6DB5" w:rsidRPr="005E2AB2">
              <w:rPr>
                <w:rFonts w:cs="Arial"/>
                <w:lang w:eastAsia="en-US"/>
              </w:rPr>
              <w:t xml:space="preserve"> </w:t>
            </w:r>
          </w:p>
          <w:p w:rsidR="00FC6DB5" w:rsidRDefault="00FC6DB5" w:rsidP="006963FB">
            <w:pPr>
              <w:pStyle w:val="Textpoznpodarou"/>
              <w:rPr>
                <w:rFonts w:cs="Arial"/>
              </w:rPr>
            </w:pPr>
            <w:r w:rsidRPr="005E2AB2">
              <w:rPr>
                <w:rFonts w:cs="Arial"/>
                <w:lang w:eastAsia="en-US"/>
              </w:rPr>
              <w:t>(</w:t>
            </w:r>
            <w:r w:rsidR="006963FB">
              <w:rPr>
                <w:rFonts w:cs="Arial"/>
                <w:lang w:eastAsia="en-US"/>
              </w:rPr>
              <w:t>objemové indexy</w:t>
            </w:r>
            <w:r w:rsidRPr="005E2AB2">
              <w:rPr>
                <w:rFonts w:cs="Arial"/>
                <w:lang w:eastAsia="en-US"/>
              </w:rPr>
              <w:t>,</w:t>
            </w:r>
            <w:r w:rsidR="006963FB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mezi</w:t>
            </w:r>
            <w:r w:rsidR="007841BB">
              <w:rPr>
                <w:rFonts w:cs="Arial"/>
                <w:lang w:eastAsia="en-US"/>
              </w:rPr>
              <w:t>roční</w:t>
            </w:r>
            <w:r w:rsidRPr="005E2AB2">
              <w:rPr>
                <w:rFonts w:cs="Arial"/>
                <w:lang w:eastAsia="en-US"/>
              </w:rPr>
              <w:t xml:space="preserve"> příspěvky v </w:t>
            </w:r>
            <w:proofErr w:type="spellStart"/>
            <w:proofErr w:type="gramStart"/>
            <w:r w:rsidRPr="005E2AB2">
              <w:rPr>
                <w:rFonts w:cs="Arial"/>
                <w:lang w:eastAsia="en-US"/>
              </w:rPr>
              <w:t>p.b</w:t>
            </w:r>
            <w:proofErr w:type="spellEnd"/>
            <w:r w:rsidRPr="005E2AB2">
              <w:rPr>
                <w:rFonts w:cs="Arial"/>
                <w:lang w:eastAsia="en-US"/>
              </w:rPr>
              <w:t>., HPH</w:t>
            </w:r>
            <w:proofErr w:type="gramEnd"/>
            <w:r w:rsidRPr="005E2AB2">
              <w:rPr>
                <w:rFonts w:cs="Arial"/>
                <w:lang w:eastAsia="en-US"/>
              </w:rPr>
              <w:t xml:space="preserve"> v %)</w:t>
            </w:r>
          </w:p>
        </w:tc>
      </w:tr>
      <w:tr w:rsidR="00FC6DB5" w:rsidRPr="00A74192" w:rsidTr="008F1638">
        <w:tc>
          <w:tcPr>
            <w:tcW w:w="1007" w:type="pct"/>
          </w:tcPr>
          <w:p w:rsidR="00FC6DB5" w:rsidRDefault="00FC6DB5" w:rsidP="00134DFD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FC6DB5" w:rsidRPr="005E2AB2" w:rsidRDefault="00FC6DB5" w:rsidP="00134DFD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FC6DB5" w:rsidRDefault="006963FB" w:rsidP="002C63C1">
            <w:pPr>
              <w:pStyle w:val="Textpoznpodarou"/>
              <w:ind w:left="-95"/>
              <w:jc w:val="both"/>
              <w:rPr>
                <w:rFonts w:cs="Arial"/>
              </w:rPr>
            </w:pPr>
            <w:r w:rsidRPr="006963FB">
              <w:rPr>
                <w:rFonts w:cs="Arial"/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1109F0" w:rsidRDefault="001109F0" w:rsidP="00F56375">
            <w:pPr>
              <w:pStyle w:val="Textpoznpodarou"/>
              <w:ind w:left="-95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 w:rsidRPr="007841BB">
              <w:rPr>
                <w:rFonts w:cs="Arial"/>
                <w:sz w:val="14"/>
                <w:szCs w:val="14"/>
                <w:lang w:eastAsia="en-US"/>
              </w:rPr>
              <w:t>Zdroj: ČSÚ</w:t>
            </w:r>
          </w:p>
          <w:p w:rsidR="006963FB" w:rsidRPr="007841BB" w:rsidRDefault="006963FB" w:rsidP="00F56375">
            <w:pPr>
              <w:pStyle w:val="Textpoznpodarou"/>
              <w:ind w:left="-95"/>
              <w:jc w:val="right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6963FB" w:rsidRPr="00A74192" w:rsidTr="008F1638">
        <w:tc>
          <w:tcPr>
            <w:tcW w:w="1007" w:type="pct"/>
          </w:tcPr>
          <w:p w:rsidR="006963FB" w:rsidRPr="005E2AB2" w:rsidRDefault="006963FB" w:rsidP="00B25E31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Stavebnictví se opět meziročně pokleslo a</w:t>
            </w:r>
            <w:r w:rsidR="00B25E31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 xml:space="preserve">bylo jediným odvětvím, které brzdilo růst HPH. </w:t>
            </w:r>
          </w:p>
        </w:tc>
        <w:tc>
          <w:tcPr>
            <w:tcW w:w="144" w:type="pct"/>
          </w:tcPr>
          <w:p w:rsidR="006963FB" w:rsidRPr="005E2AB2" w:rsidRDefault="006963FB" w:rsidP="006260B8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6963FB" w:rsidRDefault="006963FB" w:rsidP="006260B8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1F1693">
              <w:rPr>
                <w:rFonts w:cs="Arial"/>
              </w:rPr>
              <w:t>Jediným odvětvím, které brzdilo růst HPH bylo stavebnictví</w:t>
            </w:r>
            <w:r>
              <w:rPr>
                <w:rFonts w:cs="Arial"/>
              </w:rPr>
              <w:t>. Jeho hrubá přidaná hodnota v 1. čtvrtletí meziročně klesla o 4,9 %. Pokles se v porovnání s úhrnem předchozího roku zmírnil a částečně se do něj promítla srovnávací základna 1. čtvrtletí loňského roku, ve kterém se ještě projevoval vliv evropských fondů. Tyto faktory vedly k negativnímu příspěvku k růst</w:t>
            </w:r>
            <w:r w:rsidR="007240C5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HPH ve výši -0,3 </w:t>
            </w:r>
            <w:proofErr w:type="spellStart"/>
            <w:proofErr w:type="gramStart"/>
            <w:r>
              <w:rPr>
                <w:rFonts w:cs="Arial"/>
              </w:rPr>
              <w:t>p.b</w:t>
            </w:r>
            <w:proofErr w:type="spellEnd"/>
            <w:r>
              <w:rPr>
                <w:rFonts w:cs="Arial"/>
              </w:rPr>
              <w:t>.</w:t>
            </w:r>
            <w:proofErr w:type="gramEnd"/>
          </w:p>
          <w:p w:rsidR="006963FB" w:rsidRPr="001F1693" w:rsidRDefault="006963FB" w:rsidP="006260B8">
            <w:pPr>
              <w:pStyle w:val="Textpoznpodarou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</w:tbl>
    <w:p w:rsidR="00ED3A94" w:rsidRPr="00A74192" w:rsidRDefault="00ED3A94" w:rsidP="00D94859">
      <w:pPr>
        <w:pStyle w:val="Textpoznpodarou"/>
        <w:jc w:val="both"/>
        <w:rPr>
          <w:sz w:val="2"/>
          <w:szCs w:val="2"/>
        </w:rPr>
      </w:pPr>
    </w:p>
    <w:p w:rsidR="008A03DE" w:rsidRPr="00CE7158" w:rsidRDefault="008A03DE" w:rsidP="008A03DE">
      <w:pPr>
        <w:pStyle w:val="Textpoznpodarou"/>
        <w:jc w:val="both"/>
        <w:rPr>
          <w:rFonts w:cs="Arial"/>
          <w:color w:val="000000"/>
          <w:sz w:val="10"/>
          <w:szCs w:val="10"/>
        </w:rPr>
      </w:pPr>
    </w:p>
    <w:sectPr w:rsidR="008A03DE" w:rsidRPr="00CE7158" w:rsidSect="00122127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418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B0" w:rsidRDefault="000716B0" w:rsidP="00E71A58">
      <w:r>
        <w:separator/>
      </w:r>
    </w:p>
  </w:endnote>
  <w:endnote w:type="continuationSeparator" w:id="0">
    <w:p w:rsidR="000716B0" w:rsidRDefault="000716B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Default="00D667A0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243E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3F243E" w:rsidRPr="005A21E0">
      <w:rPr>
        <w:rFonts w:ascii="Arial" w:hAnsi="Arial" w:cs="Arial"/>
        <w:sz w:val="16"/>
        <w:szCs w:val="16"/>
      </w:rPr>
      <w:fldChar w:fldCharType="separate"/>
    </w:r>
    <w:r w:rsidR="00122127">
      <w:rPr>
        <w:rFonts w:ascii="Arial" w:hAnsi="Arial" w:cs="Arial"/>
        <w:noProof/>
        <w:sz w:val="16"/>
        <w:szCs w:val="16"/>
      </w:rPr>
      <w:t>6</w:t>
    </w:r>
    <w:r w:rsidR="003F243E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Default="00D667A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D667A0" w:rsidRPr="00223E00" w:rsidRDefault="00D667A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3F243E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3F243E" w:rsidRPr="00223E00">
      <w:rPr>
        <w:rFonts w:ascii="Arial" w:hAnsi="Arial" w:cs="Arial"/>
        <w:sz w:val="16"/>
        <w:szCs w:val="16"/>
      </w:rPr>
      <w:fldChar w:fldCharType="separate"/>
    </w:r>
    <w:r w:rsidR="00122127">
      <w:rPr>
        <w:rFonts w:ascii="Arial" w:hAnsi="Arial" w:cs="Arial"/>
        <w:noProof/>
        <w:sz w:val="16"/>
        <w:szCs w:val="16"/>
      </w:rPr>
      <w:t>5</w:t>
    </w:r>
    <w:r w:rsidR="003F243E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B0" w:rsidRDefault="000716B0" w:rsidP="00E71A58">
      <w:r>
        <w:separator/>
      </w:r>
    </w:p>
  </w:footnote>
  <w:footnote w:type="continuationSeparator" w:id="0">
    <w:p w:rsidR="000716B0" w:rsidRDefault="000716B0" w:rsidP="00E71A58">
      <w:r>
        <w:continuationSeparator/>
      </w:r>
    </w:p>
  </w:footnote>
  <w:footnote w:id="1">
    <w:p w:rsidR="00D667A0" w:rsidRPr="00EF1EE3" w:rsidRDefault="00D667A0" w:rsidP="00AF6B7C">
      <w:pPr>
        <w:pStyle w:val="Textpoznpodarou"/>
        <w:rPr>
          <w:sz w:val="16"/>
          <w:szCs w:val="16"/>
        </w:rPr>
      </w:pPr>
      <w:r w:rsidRPr="00EF1EE3">
        <w:rPr>
          <w:rStyle w:val="Znakapoznpodarou"/>
          <w:sz w:val="16"/>
          <w:szCs w:val="16"/>
        </w:rPr>
        <w:footnoteRef/>
      </w:r>
      <w:r w:rsidRPr="00EF1EE3">
        <w:rPr>
          <w:sz w:val="16"/>
          <w:szCs w:val="16"/>
        </w:rPr>
        <w:t xml:space="preserve"> </w:t>
      </w:r>
      <w:r>
        <w:rPr>
          <w:sz w:val="16"/>
          <w:szCs w:val="16"/>
        </w:rPr>
        <w:t>Vývoj</w:t>
      </w:r>
      <w:r w:rsidRPr="00EF1EE3">
        <w:rPr>
          <w:sz w:val="16"/>
          <w:szCs w:val="16"/>
        </w:rPr>
        <w:t xml:space="preserve"> HDP, hrubé přidané hodnot</w:t>
      </w:r>
      <w:r>
        <w:rPr>
          <w:sz w:val="16"/>
          <w:szCs w:val="16"/>
        </w:rPr>
        <w:t>y</w:t>
      </w:r>
      <w:r w:rsidRPr="00EF1EE3">
        <w:rPr>
          <w:sz w:val="16"/>
          <w:szCs w:val="16"/>
        </w:rPr>
        <w:t xml:space="preserve"> a jejich slož</w:t>
      </w:r>
      <w:r>
        <w:rPr>
          <w:sz w:val="16"/>
          <w:szCs w:val="16"/>
        </w:rPr>
        <w:t>e</w:t>
      </w:r>
      <w:r w:rsidRPr="00EF1EE3">
        <w:rPr>
          <w:sz w:val="16"/>
          <w:szCs w:val="16"/>
        </w:rPr>
        <w:t xml:space="preserve">k </w:t>
      </w:r>
      <w:r>
        <w:rPr>
          <w:sz w:val="16"/>
          <w:szCs w:val="16"/>
        </w:rPr>
        <w:t xml:space="preserve">je </w:t>
      </w:r>
      <w:r w:rsidRPr="00EF1EE3">
        <w:rPr>
          <w:sz w:val="16"/>
          <w:szCs w:val="16"/>
        </w:rPr>
        <w:t>vyjádřen</w:t>
      </w:r>
      <w:r>
        <w:rPr>
          <w:sz w:val="16"/>
          <w:szCs w:val="16"/>
        </w:rPr>
        <w:t xml:space="preserve"> prostřednictvím objemových indexů (tj. očištěn o změny cen)</w:t>
      </w:r>
      <w:r w:rsidRPr="00EF1EE3">
        <w:rPr>
          <w:sz w:val="16"/>
          <w:szCs w:val="16"/>
        </w:rPr>
        <w:t xml:space="preserve"> a v očištění o sezónní a kalendářn</w:t>
      </w:r>
      <w:r>
        <w:rPr>
          <w:sz w:val="16"/>
          <w:szCs w:val="16"/>
        </w:rPr>
        <w:t>í vlivy. Údaje byly zveřejněny 2</w:t>
      </w:r>
      <w:r w:rsidRPr="00EF1EE3">
        <w:rPr>
          <w:sz w:val="16"/>
          <w:szCs w:val="16"/>
        </w:rPr>
        <w:t>.</w:t>
      </w:r>
      <w:r>
        <w:rPr>
          <w:sz w:val="16"/>
          <w:szCs w:val="16"/>
        </w:rPr>
        <w:t xml:space="preserve"> 6</w:t>
      </w:r>
      <w:r w:rsidRPr="00EF1EE3">
        <w:rPr>
          <w:sz w:val="16"/>
          <w:szCs w:val="16"/>
        </w:rPr>
        <w:t>. 201</w:t>
      </w:r>
      <w:r>
        <w:rPr>
          <w:sz w:val="16"/>
          <w:szCs w:val="16"/>
        </w:rPr>
        <w:t>7</w:t>
      </w:r>
      <w:r w:rsidRPr="00EF1EE3">
        <w:rPr>
          <w:sz w:val="16"/>
          <w:szCs w:val="16"/>
        </w:rPr>
        <w:t xml:space="preserve"> a z</w:t>
      </w:r>
      <w:r>
        <w:rPr>
          <w:sz w:val="16"/>
          <w:szCs w:val="16"/>
        </w:rPr>
        <w:t xml:space="preserve">revidované údaje </w:t>
      </w:r>
      <w:r w:rsidRPr="00EF1EE3">
        <w:rPr>
          <w:sz w:val="16"/>
          <w:szCs w:val="16"/>
        </w:rPr>
        <w:t>bud</w:t>
      </w:r>
      <w:r>
        <w:rPr>
          <w:sz w:val="16"/>
          <w:szCs w:val="16"/>
        </w:rPr>
        <w:t>ou</w:t>
      </w:r>
      <w:r w:rsidRPr="00EF1EE3">
        <w:rPr>
          <w:sz w:val="16"/>
          <w:szCs w:val="16"/>
        </w:rPr>
        <w:t xml:space="preserve"> publikován</w:t>
      </w:r>
      <w:r>
        <w:rPr>
          <w:sz w:val="16"/>
          <w:szCs w:val="16"/>
        </w:rPr>
        <w:t>y</w:t>
      </w:r>
      <w:r w:rsidRPr="00EF1EE3">
        <w:rPr>
          <w:sz w:val="16"/>
          <w:szCs w:val="16"/>
        </w:rPr>
        <w:t xml:space="preserve"> </w:t>
      </w:r>
      <w:r>
        <w:rPr>
          <w:sz w:val="16"/>
          <w:szCs w:val="16"/>
        </w:rPr>
        <w:t>30</w:t>
      </w:r>
      <w:r w:rsidRPr="00EF1EE3">
        <w:rPr>
          <w:sz w:val="16"/>
          <w:szCs w:val="16"/>
        </w:rPr>
        <w:t xml:space="preserve">. </w:t>
      </w:r>
      <w:r>
        <w:rPr>
          <w:sz w:val="16"/>
          <w:szCs w:val="16"/>
        </w:rPr>
        <w:t>6</w:t>
      </w:r>
      <w:r w:rsidRPr="00EF1EE3">
        <w:rPr>
          <w:sz w:val="16"/>
          <w:szCs w:val="16"/>
        </w:rPr>
        <w:t>. 2017.</w:t>
      </w:r>
    </w:p>
  </w:footnote>
  <w:footnote w:id="2">
    <w:p w:rsidR="00D667A0" w:rsidRPr="00BB319F" w:rsidRDefault="00D667A0">
      <w:pPr>
        <w:pStyle w:val="Textpoznpodarou"/>
        <w:rPr>
          <w:sz w:val="16"/>
          <w:szCs w:val="16"/>
        </w:rPr>
      </w:pPr>
      <w:r w:rsidRPr="00AF6B7C">
        <w:rPr>
          <w:rStyle w:val="Znakapoznpodarou"/>
          <w:sz w:val="16"/>
          <w:szCs w:val="16"/>
        </w:rPr>
        <w:footnoteRef/>
      </w:r>
      <w:r w:rsidRPr="00AF6B7C">
        <w:rPr>
          <w:sz w:val="16"/>
          <w:szCs w:val="16"/>
        </w:rPr>
        <w:t xml:space="preserve"> </w:t>
      </w:r>
      <w:r w:rsidRPr="00BB319F">
        <w:rPr>
          <w:sz w:val="16"/>
          <w:szCs w:val="16"/>
        </w:rPr>
        <w:t>Nedostupná data za Irsko a Lucembursko. Data za Slovensko nejsou očištěna o kalendářní vlivy.</w:t>
      </w:r>
    </w:p>
  </w:footnote>
  <w:footnote w:id="3">
    <w:p w:rsidR="00D667A0" w:rsidRDefault="00D66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1EE3">
        <w:rPr>
          <w:sz w:val="16"/>
          <w:szCs w:val="16"/>
        </w:rPr>
        <w:t>Příspěvky ke změně HDP po vyloučení dovozu pro konečné užití.</w:t>
      </w:r>
    </w:p>
  </w:footnote>
  <w:footnote w:id="4">
    <w:p w:rsidR="00D667A0" w:rsidRDefault="00D667A0" w:rsidP="005A61D1">
      <w:pPr>
        <w:pStyle w:val="Textpoznpodarou"/>
      </w:pPr>
      <w:r w:rsidRPr="00004BA8">
        <w:rPr>
          <w:rStyle w:val="Znakapoznpodarou"/>
          <w:sz w:val="16"/>
        </w:rPr>
        <w:footnoteRef/>
      </w:r>
      <w:r w:rsidRPr="00004BA8">
        <w:rPr>
          <w:sz w:val="16"/>
        </w:rPr>
        <w:t xml:space="preserve"> V pojetí národních účtů, sezónně očištěno.</w:t>
      </w:r>
    </w:p>
  </w:footnote>
  <w:footnote w:id="5">
    <w:p w:rsidR="00D667A0" w:rsidRDefault="00D66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Do reálného vyjádření převedeno s využitím deflátoru</w:t>
      </w:r>
      <w:r w:rsidRPr="00DF1793">
        <w:rPr>
          <w:sz w:val="16"/>
          <w:szCs w:val="16"/>
        </w:rPr>
        <w:t xml:space="preserve"> výdajů na konečnou spotřebu domácností.</w:t>
      </w:r>
    </w:p>
  </w:footnote>
  <w:footnote w:id="6">
    <w:p w:rsidR="00D667A0" w:rsidRPr="009B4251" w:rsidRDefault="00D667A0" w:rsidP="006963FB">
      <w:pPr>
        <w:pStyle w:val="Textpoznpodarou"/>
        <w:rPr>
          <w:sz w:val="16"/>
        </w:rPr>
      </w:pPr>
      <w:r w:rsidRPr="009B4251">
        <w:rPr>
          <w:rStyle w:val="Znakapoznpodarou"/>
          <w:sz w:val="18"/>
        </w:rPr>
        <w:footnoteRef/>
      </w:r>
      <w:r w:rsidRPr="009B4251">
        <w:rPr>
          <w:sz w:val="16"/>
        </w:rPr>
        <w:t xml:space="preserve"> Podle metodiky </w:t>
      </w:r>
      <w:r>
        <w:rPr>
          <w:sz w:val="16"/>
        </w:rPr>
        <w:t xml:space="preserve">čtvrtletních </w:t>
      </w:r>
      <w:r w:rsidRPr="009B4251">
        <w:rPr>
          <w:sz w:val="16"/>
        </w:rPr>
        <w:t>národních účtů</w:t>
      </w:r>
      <w:r>
        <w:rPr>
          <w:sz w:val="16"/>
        </w:rPr>
        <w:t xml:space="preserve"> (vývoz a dovoz v ocenění FOB/FOB)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Pr="00C00831" w:rsidRDefault="00D667A0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Pr="0030768C" w:rsidRDefault="00D667A0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182115"/>
    <w:multiLevelType w:val="hybridMultilevel"/>
    <w:tmpl w:val="4B6CDB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7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15"/>
  </w:num>
  <w:num w:numId="16">
    <w:abstractNumId w:val="12"/>
  </w:num>
  <w:num w:numId="17">
    <w:abstractNumId w:val="5"/>
  </w:num>
  <w:num w:numId="18">
    <w:abstractNumId w:val="18"/>
  </w:num>
  <w:num w:numId="19">
    <w:abstractNumId w:val="8"/>
  </w:num>
  <w:num w:numId="2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3780E"/>
    <w:rsid w:val="0004075D"/>
    <w:rsid w:val="000411E1"/>
    <w:rsid w:val="00041E9C"/>
    <w:rsid w:val="00043C68"/>
    <w:rsid w:val="00043E05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6B0"/>
    <w:rsid w:val="00071F80"/>
    <w:rsid w:val="00072118"/>
    <w:rsid w:val="00073173"/>
    <w:rsid w:val="0007324C"/>
    <w:rsid w:val="000779AC"/>
    <w:rsid w:val="00080A41"/>
    <w:rsid w:val="00080AA8"/>
    <w:rsid w:val="00081851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4AF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0F7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09F0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17CE8"/>
    <w:rsid w:val="00121C39"/>
    <w:rsid w:val="00122127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4DFD"/>
    <w:rsid w:val="00136561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4731B"/>
    <w:rsid w:val="00147E55"/>
    <w:rsid w:val="001500FC"/>
    <w:rsid w:val="00151AC0"/>
    <w:rsid w:val="00151B27"/>
    <w:rsid w:val="00152046"/>
    <w:rsid w:val="00152488"/>
    <w:rsid w:val="00152E53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18C2"/>
    <w:rsid w:val="00173642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BAE"/>
    <w:rsid w:val="00193432"/>
    <w:rsid w:val="0019346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66"/>
    <w:rsid w:val="001C0EB9"/>
    <w:rsid w:val="001C1219"/>
    <w:rsid w:val="001C357A"/>
    <w:rsid w:val="001C3A37"/>
    <w:rsid w:val="001C4384"/>
    <w:rsid w:val="001C55F5"/>
    <w:rsid w:val="001C65FF"/>
    <w:rsid w:val="001C6747"/>
    <w:rsid w:val="001D3787"/>
    <w:rsid w:val="001D47E5"/>
    <w:rsid w:val="001D584C"/>
    <w:rsid w:val="001D5E1B"/>
    <w:rsid w:val="001D66C1"/>
    <w:rsid w:val="001D6EF6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5061"/>
    <w:rsid w:val="00215A2C"/>
    <w:rsid w:val="002161D6"/>
    <w:rsid w:val="00217980"/>
    <w:rsid w:val="002179F9"/>
    <w:rsid w:val="002205F2"/>
    <w:rsid w:val="0022080E"/>
    <w:rsid w:val="00220895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50D8"/>
    <w:rsid w:val="00257613"/>
    <w:rsid w:val="00261A0F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4C6F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C63C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2CE4"/>
    <w:rsid w:val="002E34F3"/>
    <w:rsid w:val="002E4217"/>
    <w:rsid w:val="002E435E"/>
    <w:rsid w:val="002E73F2"/>
    <w:rsid w:val="002F33FB"/>
    <w:rsid w:val="002F663A"/>
    <w:rsid w:val="002F68A4"/>
    <w:rsid w:val="002F7594"/>
    <w:rsid w:val="002F7902"/>
    <w:rsid w:val="003003E7"/>
    <w:rsid w:val="00300D6F"/>
    <w:rsid w:val="00301357"/>
    <w:rsid w:val="0030192C"/>
    <w:rsid w:val="00301D04"/>
    <w:rsid w:val="00302A94"/>
    <w:rsid w:val="003035D4"/>
    <w:rsid w:val="00303A3C"/>
    <w:rsid w:val="00303DCB"/>
    <w:rsid w:val="00304771"/>
    <w:rsid w:val="00305736"/>
    <w:rsid w:val="00305C33"/>
    <w:rsid w:val="00306C5B"/>
    <w:rsid w:val="00306E3B"/>
    <w:rsid w:val="0030768C"/>
    <w:rsid w:val="00310AD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5CAA"/>
    <w:rsid w:val="0035605E"/>
    <w:rsid w:val="00356244"/>
    <w:rsid w:val="00357449"/>
    <w:rsid w:val="00357C28"/>
    <w:rsid w:val="00361F76"/>
    <w:rsid w:val="0036238B"/>
    <w:rsid w:val="00362408"/>
    <w:rsid w:val="003630B0"/>
    <w:rsid w:val="003649FC"/>
    <w:rsid w:val="003651A4"/>
    <w:rsid w:val="00365680"/>
    <w:rsid w:val="003657F3"/>
    <w:rsid w:val="00365E26"/>
    <w:rsid w:val="00366D4D"/>
    <w:rsid w:val="00366F77"/>
    <w:rsid w:val="00367038"/>
    <w:rsid w:val="00370963"/>
    <w:rsid w:val="0037144E"/>
    <w:rsid w:val="00372272"/>
    <w:rsid w:val="0037290D"/>
    <w:rsid w:val="003736B5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2142"/>
    <w:rsid w:val="003B2580"/>
    <w:rsid w:val="003B293F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0B96"/>
    <w:rsid w:val="003C26F4"/>
    <w:rsid w:val="003C3686"/>
    <w:rsid w:val="003C4852"/>
    <w:rsid w:val="003C5BC7"/>
    <w:rsid w:val="003C601E"/>
    <w:rsid w:val="003C66C4"/>
    <w:rsid w:val="003C6DB9"/>
    <w:rsid w:val="003D2393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F0293"/>
    <w:rsid w:val="003F116D"/>
    <w:rsid w:val="003F181F"/>
    <w:rsid w:val="003F1A48"/>
    <w:rsid w:val="003F1E23"/>
    <w:rsid w:val="003F22F6"/>
    <w:rsid w:val="003F243E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0AE6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4DC"/>
    <w:rsid w:val="00446892"/>
    <w:rsid w:val="00447267"/>
    <w:rsid w:val="00447E36"/>
    <w:rsid w:val="00450700"/>
    <w:rsid w:val="00450C30"/>
    <w:rsid w:val="004529C7"/>
    <w:rsid w:val="00453D50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471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082"/>
    <w:rsid w:val="00490247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06A6"/>
    <w:rsid w:val="004A11F8"/>
    <w:rsid w:val="004A22BD"/>
    <w:rsid w:val="004A22FA"/>
    <w:rsid w:val="004A269A"/>
    <w:rsid w:val="004A26DB"/>
    <w:rsid w:val="004A30FB"/>
    <w:rsid w:val="004A35DD"/>
    <w:rsid w:val="004A37D3"/>
    <w:rsid w:val="004A3AD6"/>
    <w:rsid w:val="004A3BCE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C7C50"/>
    <w:rsid w:val="004D0211"/>
    <w:rsid w:val="004D1C9C"/>
    <w:rsid w:val="004D2A0E"/>
    <w:rsid w:val="004D458D"/>
    <w:rsid w:val="004D4F13"/>
    <w:rsid w:val="004D504B"/>
    <w:rsid w:val="004D536E"/>
    <w:rsid w:val="004D58CE"/>
    <w:rsid w:val="004D70B1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CC5"/>
    <w:rsid w:val="004F6350"/>
    <w:rsid w:val="004F7170"/>
    <w:rsid w:val="005028E1"/>
    <w:rsid w:val="00505493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367B"/>
    <w:rsid w:val="00513A89"/>
    <w:rsid w:val="00513B7E"/>
    <w:rsid w:val="005140DE"/>
    <w:rsid w:val="00514474"/>
    <w:rsid w:val="005147E9"/>
    <w:rsid w:val="0051507D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5A8"/>
    <w:rsid w:val="00532854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734B"/>
    <w:rsid w:val="005375B1"/>
    <w:rsid w:val="00537AFD"/>
    <w:rsid w:val="00537CB4"/>
    <w:rsid w:val="00540CB3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C88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3C97"/>
    <w:rsid w:val="00574240"/>
    <w:rsid w:val="0057454C"/>
    <w:rsid w:val="005752EB"/>
    <w:rsid w:val="005755F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14F2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0BA"/>
    <w:rsid w:val="005C4A23"/>
    <w:rsid w:val="005C562C"/>
    <w:rsid w:val="005C5812"/>
    <w:rsid w:val="005C6400"/>
    <w:rsid w:val="005C7B4D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C83"/>
    <w:rsid w:val="005F5916"/>
    <w:rsid w:val="005F601D"/>
    <w:rsid w:val="005F6119"/>
    <w:rsid w:val="005F7940"/>
    <w:rsid w:val="00600712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ECC"/>
    <w:rsid w:val="00680F68"/>
    <w:rsid w:val="0068260E"/>
    <w:rsid w:val="00682D98"/>
    <w:rsid w:val="0068373D"/>
    <w:rsid w:val="00683B2A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9D7"/>
    <w:rsid w:val="006B5CA3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C6197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4A1B"/>
    <w:rsid w:val="006E59FC"/>
    <w:rsid w:val="006E5CFD"/>
    <w:rsid w:val="006E7E2C"/>
    <w:rsid w:val="006F1326"/>
    <w:rsid w:val="006F2280"/>
    <w:rsid w:val="006F2BEE"/>
    <w:rsid w:val="006F3708"/>
    <w:rsid w:val="006F376C"/>
    <w:rsid w:val="006F3A90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42C1"/>
    <w:rsid w:val="00715487"/>
    <w:rsid w:val="007159D2"/>
    <w:rsid w:val="00716DCC"/>
    <w:rsid w:val="00717726"/>
    <w:rsid w:val="0072050E"/>
    <w:rsid w:val="00720958"/>
    <w:rsid w:val="00720FA2"/>
    <w:rsid w:val="007211F5"/>
    <w:rsid w:val="007240C5"/>
    <w:rsid w:val="00724666"/>
    <w:rsid w:val="00724ADE"/>
    <w:rsid w:val="00724E80"/>
    <w:rsid w:val="00725492"/>
    <w:rsid w:val="007256B7"/>
    <w:rsid w:val="00726043"/>
    <w:rsid w:val="0072704A"/>
    <w:rsid w:val="007279B9"/>
    <w:rsid w:val="00730AE8"/>
    <w:rsid w:val="007315DA"/>
    <w:rsid w:val="00731963"/>
    <w:rsid w:val="00732706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63A13"/>
    <w:rsid w:val="00763D86"/>
    <w:rsid w:val="0077058D"/>
    <w:rsid w:val="00770931"/>
    <w:rsid w:val="00772536"/>
    <w:rsid w:val="00773613"/>
    <w:rsid w:val="0077430F"/>
    <w:rsid w:val="00774782"/>
    <w:rsid w:val="00776476"/>
    <w:rsid w:val="00776527"/>
    <w:rsid w:val="00777DB1"/>
    <w:rsid w:val="007805E1"/>
    <w:rsid w:val="00780DDF"/>
    <w:rsid w:val="0078113E"/>
    <w:rsid w:val="00781834"/>
    <w:rsid w:val="007821DB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642"/>
    <w:rsid w:val="007A11D9"/>
    <w:rsid w:val="007A327B"/>
    <w:rsid w:val="007A4048"/>
    <w:rsid w:val="007A45B1"/>
    <w:rsid w:val="007A4606"/>
    <w:rsid w:val="007A4D58"/>
    <w:rsid w:val="007A5039"/>
    <w:rsid w:val="007B04E8"/>
    <w:rsid w:val="007B0D67"/>
    <w:rsid w:val="007B0F90"/>
    <w:rsid w:val="007B1966"/>
    <w:rsid w:val="007B2257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C61"/>
    <w:rsid w:val="007D2DA3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EF7"/>
    <w:rsid w:val="007E3715"/>
    <w:rsid w:val="007E5880"/>
    <w:rsid w:val="007E5F3D"/>
    <w:rsid w:val="007E6588"/>
    <w:rsid w:val="007E7063"/>
    <w:rsid w:val="007E7E61"/>
    <w:rsid w:val="007F0316"/>
    <w:rsid w:val="007F0845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18D8"/>
    <w:rsid w:val="008525F9"/>
    <w:rsid w:val="0085281A"/>
    <w:rsid w:val="00853F33"/>
    <w:rsid w:val="008548EA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6DE2"/>
    <w:rsid w:val="0088733A"/>
    <w:rsid w:val="008901CC"/>
    <w:rsid w:val="00891BE0"/>
    <w:rsid w:val="00893302"/>
    <w:rsid w:val="00893648"/>
    <w:rsid w:val="00893D83"/>
    <w:rsid w:val="00893F0C"/>
    <w:rsid w:val="00893F3C"/>
    <w:rsid w:val="008945A1"/>
    <w:rsid w:val="00894A63"/>
    <w:rsid w:val="00894F71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6F21"/>
    <w:rsid w:val="008A73DA"/>
    <w:rsid w:val="008B00C2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7B8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E3B"/>
    <w:rsid w:val="008D13EA"/>
    <w:rsid w:val="008D2671"/>
    <w:rsid w:val="008D2A16"/>
    <w:rsid w:val="008D2ECF"/>
    <w:rsid w:val="008D347D"/>
    <w:rsid w:val="008D3F3D"/>
    <w:rsid w:val="008D4376"/>
    <w:rsid w:val="008E0367"/>
    <w:rsid w:val="008E2DCD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4836"/>
    <w:rsid w:val="00934963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5157"/>
    <w:rsid w:val="00986745"/>
    <w:rsid w:val="009867BC"/>
    <w:rsid w:val="00987109"/>
    <w:rsid w:val="00987309"/>
    <w:rsid w:val="0099012D"/>
    <w:rsid w:val="00990363"/>
    <w:rsid w:val="00991266"/>
    <w:rsid w:val="009928AE"/>
    <w:rsid w:val="00993BE6"/>
    <w:rsid w:val="00993D9C"/>
    <w:rsid w:val="00993F56"/>
    <w:rsid w:val="009954FF"/>
    <w:rsid w:val="0099571E"/>
    <w:rsid w:val="00995E2F"/>
    <w:rsid w:val="009961BC"/>
    <w:rsid w:val="00996355"/>
    <w:rsid w:val="0099788F"/>
    <w:rsid w:val="00997ADD"/>
    <w:rsid w:val="009A05A2"/>
    <w:rsid w:val="009A0979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7388"/>
    <w:rsid w:val="009C74C2"/>
    <w:rsid w:val="009D0CFF"/>
    <w:rsid w:val="009D1551"/>
    <w:rsid w:val="009D2859"/>
    <w:rsid w:val="009D36EC"/>
    <w:rsid w:val="009D3CD0"/>
    <w:rsid w:val="009D4173"/>
    <w:rsid w:val="009D51CA"/>
    <w:rsid w:val="009D6095"/>
    <w:rsid w:val="009D6306"/>
    <w:rsid w:val="009E048A"/>
    <w:rsid w:val="009E1124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10D66"/>
    <w:rsid w:val="00A12BA8"/>
    <w:rsid w:val="00A133F2"/>
    <w:rsid w:val="00A13993"/>
    <w:rsid w:val="00A1420C"/>
    <w:rsid w:val="00A1456C"/>
    <w:rsid w:val="00A14821"/>
    <w:rsid w:val="00A14C9D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55F2"/>
    <w:rsid w:val="00A378F8"/>
    <w:rsid w:val="00A40965"/>
    <w:rsid w:val="00A40B19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6766C"/>
    <w:rsid w:val="00A711B0"/>
    <w:rsid w:val="00A71279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B58"/>
    <w:rsid w:val="00A84D7D"/>
    <w:rsid w:val="00A84FAF"/>
    <w:rsid w:val="00A851B6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74C5"/>
    <w:rsid w:val="00AB7BEE"/>
    <w:rsid w:val="00AB7DF2"/>
    <w:rsid w:val="00AC1E3F"/>
    <w:rsid w:val="00AC219A"/>
    <w:rsid w:val="00AC3D02"/>
    <w:rsid w:val="00AC4F18"/>
    <w:rsid w:val="00AD0B46"/>
    <w:rsid w:val="00AD1094"/>
    <w:rsid w:val="00AD2565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734"/>
    <w:rsid w:val="00AE6CDA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436"/>
    <w:rsid w:val="00B01C2C"/>
    <w:rsid w:val="00B0231C"/>
    <w:rsid w:val="00B07372"/>
    <w:rsid w:val="00B07C2A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2E17"/>
    <w:rsid w:val="00B25567"/>
    <w:rsid w:val="00B25E31"/>
    <w:rsid w:val="00B266C5"/>
    <w:rsid w:val="00B27293"/>
    <w:rsid w:val="00B300E8"/>
    <w:rsid w:val="00B301BB"/>
    <w:rsid w:val="00B321E3"/>
    <w:rsid w:val="00B3229E"/>
    <w:rsid w:val="00B32DDB"/>
    <w:rsid w:val="00B3447A"/>
    <w:rsid w:val="00B3448C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5DE5"/>
    <w:rsid w:val="00B46D25"/>
    <w:rsid w:val="00B47430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700"/>
    <w:rsid w:val="00B760C1"/>
    <w:rsid w:val="00B76D1E"/>
    <w:rsid w:val="00B77BC8"/>
    <w:rsid w:val="00B800EB"/>
    <w:rsid w:val="00B822D2"/>
    <w:rsid w:val="00B823F1"/>
    <w:rsid w:val="00B831B4"/>
    <w:rsid w:val="00B83D46"/>
    <w:rsid w:val="00B848B8"/>
    <w:rsid w:val="00B84A41"/>
    <w:rsid w:val="00B84D57"/>
    <w:rsid w:val="00B8504B"/>
    <w:rsid w:val="00B853C2"/>
    <w:rsid w:val="00B853DC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94F"/>
    <w:rsid w:val="00BA0DED"/>
    <w:rsid w:val="00BA0F99"/>
    <w:rsid w:val="00BA56C9"/>
    <w:rsid w:val="00BB0274"/>
    <w:rsid w:val="00BB0B13"/>
    <w:rsid w:val="00BB1CFD"/>
    <w:rsid w:val="00BB2C53"/>
    <w:rsid w:val="00BB32DA"/>
    <w:rsid w:val="00BB3A54"/>
    <w:rsid w:val="00BB462A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BF7F0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6971"/>
    <w:rsid w:val="00C1711F"/>
    <w:rsid w:val="00C17E38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36EC3"/>
    <w:rsid w:val="00C40E09"/>
    <w:rsid w:val="00C40F81"/>
    <w:rsid w:val="00C41463"/>
    <w:rsid w:val="00C41A72"/>
    <w:rsid w:val="00C42D45"/>
    <w:rsid w:val="00C43CB1"/>
    <w:rsid w:val="00C4422D"/>
    <w:rsid w:val="00C476C5"/>
    <w:rsid w:val="00C503B0"/>
    <w:rsid w:val="00C511C2"/>
    <w:rsid w:val="00C527C6"/>
    <w:rsid w:val="00C53CDB"/>
    <w:rsid w:val="00C53D82"/>
    <w:rsid w:val="00C5474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C9B"/>
    <w:rsid w:val="00C8180B"/>
    <w:rsid w:val="00C8335E"/>
    <w:rsid w:val="00C83F9C"/>
    <w:rsid w:val="00C84CE3"/>
    <w:rsid w:val="00C85614"/>
    <w:rsid w:val="00C86127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A02B2"/>
    <w:rsid w:val="00CA0883"/>
    <w:rsid w:val="00CA1085"/>
    <w:rsid w:val="00CA140F"/>
    <w:rsid w:val="00CA25C2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2B15"/>
    <w:rsid w:val="00CB2EEA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1E"/>
    <w:rsid w:val="00CC2A36"/>
    <w:rsid w:val="00CC2E15"/>
    <w:rsid w:val="00CC3440"/>
    <w:rsid w:val="00CC351B"/>
    <w:rsid w:val="00CC3908"/>
    <w:rsid w:val="00CC4F3D"/>
    <w:rsid w:val="00CC62AD"/>
    <w:rsid w:val="00CC6CA2"/>
    <w:rsid w:val="00CC7086"/>
    <w:rsid w:val="00CC7B80"/>
    <w:rsid w:val="00CD0779"/>
    <w:rsid w:val="00CD2B3C"/>
    <w:rsid w:val="00CD30F6"/>
    <w:rsid w:val="00CD4B29"/>
    <w:rsid w:val="00CD5493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4DEB"/>
    <w:rsid w:val="00CE57D8"/>
    <w:rsid w:val="00CE5F03"/>
    <w:rsid w:val="00CE617A"/>
    <w:rsid w:val="00CE6E3C"/>
    <w:rsid w:val="00CE7158"/>
    <w:rsid w:val="00CE797F"/>
    <w:rsid w:val="00CF107E"/>
    <w:rsid w:val="00CF15BF"/>
    <w:rsid w:val="00CF25D2"/>
    <w:rsid w:val="00CF28C2"/>
    <w:rsid w:val="00CF3D3A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4B3"/>
    <w:rsid w:val="00D37689"/>
    <w:rsid w:val="00D378CC"/>
    <w:rsid w:val="00D4042C"/>
    <w:rsid w:val="00D40B9E"/>
    <w:rsid w:val="00D41281"/>
    <w:rsid w:val="00D42312"/>
    <w:rsid w:val="00D42E15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688"/>
    <w:rsid w:val="00D62901"/>
    <w:rsid w:val="00D6345E"/>
    <w:rsid w:val="00D6470C"/>
    <w:rsid w:val="00D64853"/>
    <w:rsid w:val="00D64CB5"/>
    <w:rsid w:val="00D667A0"/>
    <w:rsid w:val="00D66D48"/>
    <w:rsid w:val="00D7162F"/>
    <w:rsid w:val="00D72897"/>
    <w:rsid w:val="00D72948"/>
    <w:rsid w:val="00D73256"/>
    <w:rsid w:val="00D73A30"/>
    <w:rsid w:val="00D73E6F"/>
    <w:rsid w:val="00D74ABF"/>
    <w:rsid w:val="00D74C65"/>
    <w:rsid w:val="00D74E97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1B44"/>
    <w:rsid w:val="00D82462"/>
    <w:rsid w:val="00D831C6"/>
    <w:rsid w:val="00D83EF3"/>
    <w:rsid w:val="00D84BD1"/>
    <w:rsid w:val="00D85886"/>
    <w:rsid w:val="00D868CE"/>
    <w:rsid w:val="00D86DAE"/>
    <w:rsid w:val="00D875B6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0B8D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1878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F0615"/>
    <w:rsid w:val="00DF0DC3"/>
    <w:rsid w:val="00DF21FD"/>
    <w:rsid w:val="00DF2873"/>
    <w:rsid w:val="00DF293C"/>
    <w:rsid w:val="00DF34B2"/>
    <w:rsid w:val="00DF4C74"/>
    <w:rsid w:val="00DF5578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446B"/>
    <w:rsid w:val="00E04694"/>
    <w:rsid w:val="00E049F6"/>
    <w:rsid w:val="00E04CA9"/>
    <w:rsid w:val="00E05B2B"/>
    <w:rsid w:val="00E05EAD"/>
    <w:rsid w:val="00E06A2A"/>
    <w:rsid w:val="00E06E17"/>
    <w:rsid w:val="00E07F05"/>
    <w:rsid w:val="00E106A2"/>
    <w:rsid w:val="00E127E1"/>
    <w:rsid w:val="00E12BCE"/>
    <w:rsid w:val="00E144D2"/>
    <w:rsid w:val="00E144D6"/>
    <w:rsid w:val="00E15346"/>
    <w:rsid w:val="00E15B7D"/>
    <w:rsid w:val="00E16D20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93B"/>
    <w:rsid w:val="00E47CB8"/>
    <w:rsid w:val="00E522BB"/>
    <w:rsid w:val="00E52A3D"/>
    <w:rsid w:val="00E533B7"/>
    <w:rsid w:val="00E539E4"/>
    <w:rsid w:val="00E53C14"/>
    <w:rsid w:val="00E569C7"/>
    <w:rsid w:val="00E571F2"/>
    <w:rsid w:val="00E57429"/>
    <w:rsid w:val="00E60FCE"/>
    <w:rsid w:val="00E61EA8"/>
    <w:rsid w:val="00E62A33"/>
    <w:rsid w:val="00E63221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77FEA"/>
    <w:rsid w:val="00E80E31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2CE9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B0B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F5A"/>
    <w:rsid w:val="00EF3486"/>
    <w:rsid w:val="00EF3CF0"/>
    <w:rsid w:val="00EF4685"/>
    <w:rsid w:val="00EF5397"/>
    <w:rsid w:val="00EF6BE3"/>
    <w:rsid w:val="00F00D0E"/>
    <w:rsid w:val="00F00D3C"/>
    <w:rsid w:val="00F020EA"/>
    <w:rsid w:val="00F02A72"/>
    <w:rsid w:val="00F04811"/>
    <w:rsid w:val="00F0488C"/>
    <w:rsid w:val="00F0496E"/>
    <w:rsid w:val="00F04D10"/>
    <w:rsid w:val="00F053EA"/>
    <w:rsid w:val="00F0625B"/>
    <w:rsid w:val="00F06944"/>
    <w:rsid w:val="00F06C6F"/>
    <w:rsid w:val="00F0732D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ACD"/>
    <w:rsid w:val="00F365BF"/>
    <w:rsid w:val="00F36BF8"/>
    <w:rsid w:val="00F375BA"/>
    <w:rsid w:val="00F37760"/>
    <w:rsid w:val="00F403D1"/>
    <w:rsid w:val="00F4351C"/>
    <w:rsid w:val="00F43921"/>
    <w:rsid w:val="00F44E1B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60B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1F0F"/>
    <w:rsid w:val="00F727D5"/>
    <w:rsid w:val="00F72F44"/>
    <w:rsid w:val="00F73A0C"/>
    <w:rsid w:val="00F7593B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B0A9A"/>
    <w:rsid w:val="00FB16AD"/>
    <w:rsid w:val="00FB1F21"/>
    <w:rsid w:val="00FB3763"/>
    <w:rsid w:val="00FB483B"/>
    <w:rsid w:val="00FB56F1"/>
    <w:rsid w:val="00FB5FD4"/>
    <w:rsid w:val="00FB6398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4B4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46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1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1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1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1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2240163796014495E-2"/>
          <c:y val="2.3046636085626952E-2"/>
          <c:w val="0.93617042384329663"/>
          <c:h val="0.74192840256670733"/>
        </c:manualLayout>
      </c:layout>
      <c:barChart>
        <c:barDir val="col"/>
        <c:grouping val="clustered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cat>
            <c:multiLvlStrRef>
              <c:f>'souhrnná výkonnost 1'!$A$9:$B$25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'souhrnná výkonnost 1'!$C$9:$C$25</c:f>
              <c:numCache>
                <c:formatCode>0.0</c:formatCode>
                <c:ptCount val="17"/>
                <c:pt idx="0">
                  <c:v>-1.8183240994123595</c:v>
                </c:pt>
                <c:pt idx="1">
                  <c:v>-1.1346359154058521</c:v>
                </c:pt>
                <c:pt idx="2">
                  <c:v>-0.31855910189885883</c:v>
                </c:pt>
                <c:pt idx="3">
                  <c:v>1.3442938337462413</c:v>
                </c:pt>
                <c:pt idx="4">
                  <c:v>1.9118657875327472</c:v>
                </c:pt>
                <c:pt idx="5">
                  <c:v>2.5704618333533804</c:v>
                </c:pt>
                <c:pt idx="6">
                  <c:v>3.4094329084640975</c:v>
                </c:pt>
                <c:pt idx="7">
                  <c:v>2.9599504950552222</c:v>
                </c:pt>
                <c:pt idx="8">
                  <c:v>4.6183316957481404</c:v>
                </c:pt>
                <c:pt idx="9">
                  <c:v>5.0044710844734714</c:v>
                </c:pt>
                <c:pt idx="10">
                  <c:v>4.8146133276957777</c:v>
                </c:pt>
                <c:pt idx="11">
                  <c:v>4.0266999877712824</c:v>
                </c:pt>
                <c:pt idx="12">
                  <c:v>3.0002433446268797</c:v>
                </c:pt>
                <c:pt idx="13">
                  <c:v>2.6048115202913222</c:v>
                </c:pt>
                <c:pt idx="14">
                  <c:v>1.8</c:v>
                </c:pt>
                <c:pt idx="15">
                  <c:v>1.9000000000000001</c:v>
                </c:pt>
                <c:pt idx="16" formatCode="General">
                  <c:v>2.9</c:v>
                </c:pt>
              </c:numCache>
            </c:numRef>
          </c:val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EU28 meziroční změna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</c:spPr>
          <c:cat>
            <c:multiLvlStrRef>
              <c:f>'souhrnná výkonnost 1'!$A$9:$B$25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'souhrnná výkonnost 1'!$D$9:$D$25</c:f>
              <c:numCache>
                <c:formatCode>0.0</c:formatCode>
                <c:ptCount val="17"/>
                <c:pt idx="0">
                  <c:v>-0.59113300492609999</c:v>
                </c:pt>
                <c:pt idx="1">
                  <c:v>9.8716683119455667E-2</c:v>
                </c:pt>
                <c:pt idx="2">
                  <c:v>0.49358341559723745</c:v>
                </c:pt>
                <c:pt idx="3">
                  <c:v>1.1892963330029618</c:v>
                </c:pt>
                <c:pt idx="4">
                  <c:v>1.6848364717542021</c:v>
                </c:pt>
                <c:pt idx="5">
                  <c:v>1.4792899408284024</c:v>
                </c:pt>
                <c:pt idx="6">
                  <c:v>1.5717092337917571</c:v>
                </c:pt>
                <c:pt idx="7">
                  <c:v>1.8609206660137181</c:v>
                </c:pt>
                <c:pt idx="8">
                  <c:v>2.0467836257310026</c:v>
                </c:pt>
                <c:pt idx="9">
                  <c:v>2.2351797862001912</c:v>
                </c:pt>
                <c:pt idx="10">
                  <c:v>2.127659574468074</c:v>
                </c:pt>
                <c:pt idx="11">
                  <c:v>2.1153846153846181</c:v>
                </c:pt>
                <c:pt idx="12">
                  <c:v>1.8</c:v>
                </c:pt>
                <c:pt idx="13">
                  <c:v>1.8</c:v>
                </c:pt>
                <c:pt idx="14">
                  <c:v>1.8939393939393856</c:v>
                </c:pt>
                <c:pt idx="15">
                  <c:v>1.9000000000000001</c:v>
                </c:pt>
                <c:pt idx="16" formatCode="General">
                  <c:v>2.1</c:v>
                </c:pt>
              </c:numCache>
            </c:numRef>
          </c:val>
        </c:ser>
        <c:gapWidth val="100"/>
        <c:axId val="126397056"/>
        <c:axId val="126411520"/>
      </c:barChart>
      <c:lineChart>
        <c:grouping val="standard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5"/>
            <c:spPr>
              <a:solidFill>
                <a:schemeClr val="accent1"/>
              </a:solidFill>
              <a:ln w="15875">
                <a:solidFill>
                  <a:srgbClr val="0071BC"/>
                </a:solidFill>
              </a:ln>
            </c:spPr>
          </c:marker>
          <c:val>
            <c:numRef>
              <c:f>'souhrnná výkonnost 1'!$E$9:$E$25</c:f>
              <c:numCache>
                <c:formatCode>0.0</c:formatCode>
                <c:ptCount val="17"/>
                <c:pt idx="0">
                  <c:v>-0.77984519331122104</c:v>
                </c:pt>
                <c:pt idx="1">
                  <c:v>0.30366655157341432</c:v>
                </c:pt>
                <c:pt idx="2">
                  <c:v>0.33090279954115226</c:v>
                </c:pt>
                <c:pt idx="3">
                  <c:v>1.4957534049610643</c:v>
                </c:pt>
                <c:pt idx="4">
                  <c:v>-0.22416933837837424</c:v>
                </c:pt>
                <c:pt idx="5">
                  <c:v>0.9518697579586477</c:v>
                </c:pt>
                <c:pt idx="6">
                  <c:v>1.1515554892533038</c:v>
                </c:pt>
                <c:pt idx="7">
                  <c:v>1.0545890458876244</c:v>
                </c:pt>
                <c:pt idx="8">
                  <c:v>1.3829250809288141</c:v>
                </c:pt>
                <c:pt idx="9">
                  <c:v>1.3244764765629924</c:v>
                </c:pt>
                <c:pt idx="10">
                  <c:v>0.96866415880406009</c:v>
                </c:pt>
                <c:pt idx="11">
                  <c:v>0.29494059380668786</c:v>
                </c:pt>
                <c:pt idx="12">
                  <c:v>0.38255520508960494</c:v>
                </c:pt>
                <c:pt idx="13">
                  <c:v>0.93547814722010969</c:v>
                </c:pt>
                <c:pt idx="14">
                  <c:v>0.23024423038829553</c:v>
                </c:pt>
                <c:pt idx="15">
                  <c:v>0.4</c:v>
                </c:pt>
                <c:pt idx="16" formatCode="General">
                  <c:v>1.3</c:v>
                </c:pt>
              </c:numCache>
            </c:numRef>
          </c:val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EU28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5"/>
            <c:spPr>
              <a:solidFill>
                <a:srgbClr val="4F81BD"/>
              </a:solidFill>
              <a:ln w="15875">
                <a:solidFill>
                  <a:srgbClr val="BD1B21"/>
                </a:solidFill>
              </a:ln>
            </c:spPr>
          </c:marker>
          <c:val>
            <c:numRef>
              <c:f>'souhrnná výkonnost 1'!$F$9:$F$25</c:f>
              <c:numCache>
                <c:formatCode>0.0</c:formatCode>
                <c:ptCount val="17"/>
                <c:pt idx="0">
                  <c:v>0</c:v>
                </c:pt>
                <c:pt idx="1">
                  <c:v>0.49554013875123876</c:v>
                </c:pt>
                <c:pt idx="2">
                  <c:v>0.39447731755423465</c:v>
                </c:pt>
                <c:pt idx="3">
                  <c:v>0.29469548133595214</c:v>
                </c:pt>
                <c:pt idx="4">
                  <c:v>0.48971596474045298</c:v>
                </c:pt>
                <c:pt idx="5">
                  <c:v>0.29239766081872481</c:v>
                </c:pt>
                <c:pt idx="6">
                  <c:v>0.48590864917395776</c:v>
                </c:pt>
                <c:pt idx="7">
                  <c:v>0.58027079303674456</c:v>
                </c:pt>
                <c:pt idx="8">
                  <c:v>0.67307692307692579</c:v>
                </c:pt>
                <c:pt idx="9">
                  <c:v>0.47755491881566586</c:v>
                </c:pt>
                <c:pt idx="10">
                  <c:v>0.38022813688212131</c:v>
                </c:pt>
                <c:pt idx="11">
                  <c:v>0.56818181818182933</c:v>
                </c:pt>
                <c:pt idx="12">
                  <c:v>0.4</c:v>
                </c:pt>
                <c:pt idx="13">
                  <c:v>0.4</c:v>
                </c:pt>
                <c:pt idx="14">
                  <c:v>0.4</c:v>
                </c:pt>
                <c:pt idx="15">
                  <c:v>0.5</c:v>
                </c:pt>
                <c:pt idx="16" formatCode="General">
                  <c:v>0.60000000000000064</c:v>
                </c:pt>
              </c:numCache>
            </c:numRef>
          </c:val>
        </c:ser>
        <c:marker val="1"/>
        <c:axId val="126397056"/>
        <c:axId val="126411520"/>
      </c:lineChart>
      <c:catAx>
        <c:axId val="126397056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6411520"/>
        <c:crosses val="autoZero"/>
        <c:auto val="1"/>
        <c:lblAlgn val="ctr"/>
        <c:lblOffset val="100"/>
      </c:catAx>
      <c:valAx>
        <c:axId val="126411520"/>
        <c:scaling>
          <c:orientation val="minMax"/>
          <c:max val="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2639705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9667131036811888E-2"/>
          <c:y val="0.89437255125717996"/>
          <c:w val="0.93714918946301962"/>
          <c:h val="9.0301755758791014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3724701079031984E-2"/>
          <c:y val="2.6970778117567398E-2"/>
          <c:w val="0.87770649039240889"/>
          <c:h val="0.76009512552065761"/>
        </c:manualLayout>
      </c:layout>
      <c:barChart>
        <c:barDir val="col"/>
        <c:grouping val="clustered"/>
        <c:ser>
          <c:idx val="0"/>
          <c:order val="0"/>
          <c:tx>
            <c:strRef>
              <c:f>'souhrnná výkonnost 2'!$C$5</c:f>
              <c:strCache>
                <c:ptCount val="1"/>
                <c:pt idx="0">
                  <c:v>HDP (pravá osa)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val>
            <c:numRef>
              <c:f>'souhrnná výkonnost 2'!$C$18:$C$68</c:f>
              <c:numCache>
                <c:formatCode>0.0</c:formatCode>
                <c:ptCount val="51"/>
                <c:pt idx="0">
                  <c:v>-1.8</c:v>
                </c:pt>
                <c:pt idx="1">
                  <c:v>-1.8</c:v>
                </c:pt>
                <c:pt idx="2">
                  <c:v>-1.8</c:v>
                </c:pt>
                <c:pt idx="3">
                  <c:v>-1.1000000000000001</c:v>
                </c:pt>
                <c:pt idx="4">
                  <c:v>-1.1000000000000001</c:v>
                </c:pt>
                <c:pt idx="5">
                  <c:v>-1.1000000000000001</c:v>
                </c:pt>
                <c:pt idx="6">
                  <c:v>-0.27686934380389538</c:v>
                </c:pt>
                <c:pt idx="7">
                  <c:v>-0.27686934380389538</c:v>
                </c:pt>
                <c:pt idx="8">
                  <c:v>-0.27686934380389538</c:v>
                </c:pt>
                <c:pt idx="9">
                  <c:v>1.3</c:v>
                </c:pt>
                <c:pt idx="10">
                  <c:v>1.3</c:v>
                </c:pt>
                <c:pt idx="11">
                  <c:v>1.3</c:v>
                </c:pt>
                <c:pt idx="12">
                  <c:v>1.9000000000000001</c:v>
                </c:pt>
                <c:pt idx="13">
                  <c:v>1.9000000000000001</c:v>
                </c:pt>
                <c:pt idx="14">
                  <c:v>1.9000000000000001</c:v>
                </c:pt>
                <c:pt idx="15">
                  <c:v>2.6</c:v>
                </c:pt>
                <c:pt idx="16">
                  <c:v>2.6</c:v>
                </c:pt>
                <c:pt idx="17">
                  <c:v>2.6</c:v>
                </c:pt>
                <c:pt idx="18">
                  <c:v>3.4</c:v>
                </c:pt>
                <c:pt idx="19">
                  <c:v>3.4</c:v>
                </c:pt>
                <c:pt idx="20">
                  <c:v>3.4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4.5999999999999996</c:v>
                </c:pt>
                <c:pt idx="25">
                  <c:v>4.5999999999999996</c:v>
                </c:pt>
                <c:pt idx="26">
                  <c:v>4.5999999999999996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4.8</c:v>
                </c:pt>
                <c:pt idx="31">
                  <c:v>4.8</c:v>
                </c:pt>
                <c:pt idx="32">
                  <c:v>4.8</c:v>
                </c:pt>
                <c:pt idx="33">
                  <c:v>4.0041137240462445</c:v>
                </c:pt>
                <c:pt idx="34">
                  <c:v>4.0041137240462445</c:v>
                </c:pt>
                <c:pt idx="35">
                  <c:v>4.0041137240462445</c:v>
                </c:pt>
                <c:pt idx="36">
                  <c:v>2.9952314567299112</c:v>
                </c:pt>
                <c:pt idx="37">
                  <c:v>2.9952314567299112</c:v>
                </c:pt>
                <c:pt idx="38">
                  <c:v>2.9952314567299112</c:v>
                </c:pt>
                <c:pt idx="39">
                  <c:v>2.6</c:v>
                </c:pt>
                <c:pt idx="40">
                  <c:v>2.6</c:v>
                </c:pt>
                <c:pt idx="41" formatCode="General">
                  <c:v>2.6</c:v>
                </c:pt>
                <c:pt idx="42" formatCode="General">
                  <c:v>1.8</c:v>
                </c:pt>
                <c:pt idx="43" formatCode="General">
                  <c:v>1.8</c:v>
                </c:pt>
                <c:pt idx="44" formatCode="General">
                  <c:v>1.8</c:v>
                </c:pt>
                <c:pt idx="45" formatCode="General">
                  <c:v>1.9000000000000001</c:v>
                </c:pt>
                <c:pt idx="46" formatCode="General">
                  <c:v>1.9000000000000001</c:v>
                </c:pt>
                <c:pt idx="47" formatCode="General">
                  <c:v>1.9000000000000001</c:v>
                </c:pt>
                <c:pt idx="48" formatCode="General">
                  <c:v>2.9</c:v>
                </c:pt>
                <c:pt idx="49" formatCode="General">
                  <c:v>2.9</c:v>
                </c:pt>
                <c:pt idx="50" formatCode="General">
                  <c:v>2.9</c:v>
                </c:pt>
              </c:numCache>
            </c:numRef>
          </c:val>
        </c:ser>
        <c:gapWidth val="0"/>
        <c:axId val="126310656"/>
        <c:axId val="126309120"/>
      </c:barChart>
      <c:lineChart>
        <c:grouping val="standard"/>
        <c:ser>
          <c:idx val="3"/>
          <c:order val="1"/>
          <c:tx>
            <c:strRef>
              <c:f>'souhrnná výkonnost 2'!$D$5</c:f>
              <c:strCache>
                <c:ptCount val="1"/>
                <c:pt idx="0">
                  <c:v>Důvěra podnikatelů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'souhrnná výkonnost 2'!$A$18:$B$68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'souhrnná výkonnost 2'!$D$18:$D$68</c:f>
              <c:numCache>
                <c:formatCode>###,###,##0.0</c:formatCode>
                <c:ptCount val="51"/>
                <c:pt idx="0">
                  <c:v>84.6</c:v>
                </c:pt>
                <c:pt idx="1">
                  <c:v>85.2</c:v>
                </c:pt>
                <c:pt idx="2" formatCode="###,###,##0">
                  <c:v>85</c:v>
                </c:pt>
                <c:pt idx="3">
                  <c:v>82.7</c:v>
                </c:pt>
                <c:pt idx="4">
                  <c:v>83.6</c:v>
                </c:pt>
                <c:pt idx="5" formatCode="###,###,##0">
                  <c:v>84</c:v>
                </c:pt>
                <c:pt idx="6" formatCode="###,###,##0">
                  <c:v>84</c:v>
                </c:pt>
                <c:pt idx="7">
                  <c:v>84.8</c:v>
                </c:pt>
                <c:pt idx="8">
                  <c:v>87.5</c:v>
                </c:pt>
                <c:pt idx="9" formatCode="###,###,##0">
                  <c:v>89</c:v>
                </c:pt>
                <c:pt idx="10">
                  <c:v>89.9</c:v>
                </c:pt>
                <c:pt idx="11">
                  <c:v>90.9</c:v>
                </c:pt>
                <c:pt idx="12">
                  <c:v>90.1</c:v>
                </c:pt>
                <c:pt idx="13">
                  <c:v>90.9</c:v>
                </c:pt>
                <c:pt idx="14">
                  <c:v>91.6</c:v>
                </c:pt>
                <c:pt idx="15">
                  <c:v>91.5</c:v>
                </c:pt>
                <c:pt idx="16">
                  <c:v>91.5</c:v>
                </c:pt>
                <c:pt idx="17">
                  <c:v>92.5</c:v>
                </c:pt>
                <c:pt idx="18">
                  <c:v>91.6</c:v>
                </c:pt>
                <c:pt idx="19">
                  <c:v>92.5</c:v>
                </c:pt>
                <c:pt idx="20">
                  <c:v>93.2</c:v>
                </c:pt>
                <c:pt idx="21">
                  <c:v>92.8</c:v>
                </c:pt>
                <c:pt idx="22">
                  <c:v>93.5</c:v>
                </c:pt>
                <c:pt idx="23">
                  <c:v>94.8</c:v>
                </c:pt>
                <c:pt idx="24">
                  <c:v>94.3</c:v>
                </c:pt>
                <c:pt idx="25">
                  <c:v>93.4</c:v>
                </c:pt>
                <c:pt idx="26">
                  <c:v>92.9</c:v>
                </c:pt>
                <c:pt idx="27">
                  <c:v>93.2</c:v>
                </c:pt>
                <c:pt idx="28">
                  <c:v>93.8</c:v>
                </c:pt>
                <c:pt idx="29">
                  <c:v>95.5</c:v>
                </c:pt>
                <c:pt idx="30">
                  <c:v>94.6</c:v>
                </c:pt>
                <c:pt idx="31">
                  <c:v>94.2</c:v>
                </c:pt>
                <c:pt idx="32">
                  <c:v>94.4</c:v>
                </c:pt>
                <c:pt idx="33">
                  <c:v>93.2</c:v>
                </c:pt>
                <c:pt idx="34">
                  <c:v>94.2</c:v>
                </c:pt>
                <c:pt idx="35">
                  <c:v>94.3</c:v>
                </c:pt>
                <c:pt idx="36" formatCode="###,###,##0">
                  <c:v>96</c:v>
                </c:pt>
                <c:pt idx="37" formatCode="0.0">
                  <c:v>95.3</c:v>
                </c:pt>
                <c:pt idx="38" formatCode="0.0">
                  <c:v>95.1</c:v>
                </c:pt>
                <c:pt idx="39" formatCode="0.0">
                  <c:v>93.8</c:v>
                </c:pt>
                <c:pt idx="40" formatCode="0.0">
                  <c:v>94.3</c:v>
                </c:pt>
                <c:pt idx="41" formatCode="0.0">
                  <c:v>93.5</c:v>
                </c:pt>
                <c:pt idx="42" formatCode="0.0">
                  <c:v>94</c:v>
                </c:pt>
                <c:pt idx="43" formatCode="0.0">
                  <c:v>95.3</c:v>
                </c:pt>
                <c:pt idx="44" formatCode="0.0">
                  <c:v>95.2</c:v>
                </c:pt>
                <c:pt idx="45" formatCode="0.0">
                  <c:v>95.2</c:v>
                </c:pt>
                <c:pt idx="46" formatCode="0.0">
                  <c:v>97.5</c:v>
                </c:pt>
                <c:pt idx="47" formatCode="0.0">
                  <c:v>97.1</c:v>
                </c:pt>
                <c:pt idx="48" formatCode="General">
                  <c:v>97</c:v>
                </c:pt>
                <c:pt idx="49" formatCode="General">
                  <c:v>95.9</c:v>
                </c:pt>
                <c:pt idx="50" formatCode="General">
                  <c:v>94.1</c:v>
                </c:pt>
              </c:numCache>
            </c:numRef>
          </c:val>
        </c:ser>
        <c:ser>
          <c:idx val="2"/>
          <c:order val="2"/>
          <c:tx>
            <c:strRef>
              <c:f>'souhrnná výkonnost 2'!$E$5</c:f>
              <c:strCache>
                <c:ptCount val="1"/>
                <c:pt idx="0">
                  <c:v>Důvěra spotřebitelů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'souhrnná výkonnost 2'!$A$18:$B$68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'souhrnná výkonnost 2'!$E$18:$E$68</c:f>
              <c:numCache>
                <c:formatCode>###,###,##0.0</c:formatCode>
                <c:ptCount val="51"/>
                <c:pt idx="0">
                  <c:v>73.8</c:v>
                </c:pt>
                <c:pt idx="1">
                  <c:v>79.5</c:v>
                </c:pt>
                <c:pt idx="2" formatCode="###,###,##0">
                  <c:v>81</c:v>
                </c:pt>
                <c:pt idx="3">
                  <c:v>77.900000000000006</c:v>
                </c:pt>
                <c:pt idx="4" formatCode="###,###,##0">
                  <c:v>82</c:v>
                </c:pt>
                <c:pt idx="5">
                  <c:v>82.8</c:v>
                </c:pt>
                <c:pt idx="6">
                  <c:v>81.3</c:v>
                </c:pt>
                <c:pt idx="7">
                  <c:v>84.9</c:v>
                </c:pt>
                <c:pt idx="8">
                  <c:v>87.7</c:v>
                </c:pt>
                <c:pt idx="9">
                  <c:v>88.5</c:v>
                </c:pt>
                <c:pt idx="10">
                  <c:v>92.8</c:v>
                </c:pt>
                <c:pt idx="11">
                  <c:v>92.6</c:v>
                </c:pt>
                <c:pt idx="12">
                  <c:v>96.9</c:v>
                </c:pt>
                <c:pt idx="13">
                  <c:v>93.1</c:v>
                </c:pt>
                <c:pt idx="14">
                  <c:v>96.7</c:v>
                </c:pt>
                <c:pt idx="15">
                  <c:v>98.4</c:v>
                </c:pt>
                <c:pt idx="16">
                  <c:v>98.2</c:v>
                </c:pt>
                <c:pt idx="17">
                  <c:v>99.4</c:v>
                </c:pt>
                <c:pt idx="18">
                  <c:v>99.9</c:v>
                </c:pt>
                <c:pt idx="19">
                  <c:v>97.9</c:v>
                </c:pt>
                <c:pt idx="20">
                  <c:v>96.3</c:v>
                </c:pt>
                <c:pt idx="21">
                  <c:v>100.2</c:v>
                </c:pt>
                <c:pt idx="22">
                  <c:v>103.6</c:v>
                </c:pt>
                <c:pt idx="23">
                  <c:v>105.1</c:v>
                </c:pt>
                <c:pt idx="24">
                  <c:v>106.7</c:v>
                </c:pt>
                <c:pt idx="25">
                  <c:v>105.7</c:v>
                </c:pt>
                <c:pt idx="26">
                  <c:v>105.7</c:v>
                </c:pt>
                <c:pt idx="27">
                  <c:v>104.3</c:v>
                </c:pt>
                <c:pt idx="28">
                  <c:v>103.6</c:v>
                </c:pt>
                <c:pt idx="29">
                  <c:v>104.3</c:v>
                </c:pt>
                <c:pt idx="30">
                  <c:v>103.6</c:v>
                </c:pt>
                <c:pt idx="31">
                  <c:v>103.6</c:v>
                </c:pt>
                <c:pt idx="32">
                  <c:v>103.3</c:v>
                </c:pt>
                <c:pt idx="33">
                  <c:v>104.8</c:v>
                </c:pt>
                <c:pt idx="34">
                  <c:v>105.3</c:v>
                </c:pt>
                <c:pt idx="35">
                  <c:v>107.4</c:v>
                </c:pt>
                <c:pt idx="36" formatCode="###,###,##0">
                  <c:v>110</c:v>
                </c:pt>
                <c:pt idx="37" formatCode="0.0">
                  <c:v>106.2</c:v>
                </c:pt>
                <c:pt idx="38" formatCode="0.0">
                  <c:v>104.8</c:v>
                </c:pt>
                <c:pt idx="39" formatCode="0.0">
                  <c:v>104.3</c:v>
                </c:pt>
                <c:pt idx="40" formatCode="0.0">
                  <c:v>104.3</c:v>
                </c:pt>
                <c:pt idx="41" formatCode="0.0">
                  <c:v>103.8</c:v>
                </c:pt>
                <c:pt idx="42" formatCode="0.0">
                  <c:v>102.3</c:v>
                </c:pt>
                <c:pt idx="43" formatCode="0.0">
                  <c:v>104.3</c:v>
                </c:pt>
                <c:pt idx="44" formatCode="0.0">
                  <c:v>106.4</c:v>
                </c:pt>
                <c:pt idx="45" formatCode="0.0">
                  <c:v>108.9</c:v>
                </c:pt>
                <c:pt idx="46" formatCode="0.0">
                  <c:v>107.9</c:v>
                </c:pt>
                <c:pt idx="47" formatCode="0.0">
                  <c:v>108.7</c:v>
                </c:pt>
                <c:pt idx="48" formatCode="General">
                  <c:v>110</c:v>
                </c:pt>
                <c:pt idx="49" formatCode="General">
                  <c:v>108.2</c:v>
                </c:pt>
                <c:pt idx="50" formatCode="General">
                  <c:v>108.7</c:v>
                </c:pt>
              </c:numCache>
            </c:numRef>
          </c:val>
        </c:ser>
        <c:ser>
          <c:idx val="1"/>
          <c:order val="3"/>
          <c:tx>
            <c:strRef>
              <c:f>'souhrnná výkonnost 2'!$F$5</c:f>
              <c:strCache>
                <c:ptCount val="1"/>
                <c:pt idx="0">
                  <c:v>Souhrnný indikátor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'souhrnná výkonnost 2'!$A$18:$B$68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'souhrnná výkonnost 2'!$F$18:$F$68</c:f>
              <c:numCache>
                <c:formatCode>###,###,##0.0</c:formatCode>
                <c:ptCount val="51"/>
                <c:pt idx="0">
                  <c:v>82.8</c:v>
                </c:pt>
                <c:pt idx="1">
                  <c:v>84.2</c:v>
                </c:pt>
                <c:pt idx="2">
                  <c:v>84.4</c:v>
                </c:pt>
                <c:pt idx="3">
                  <c:v>81.900000000000006</c:v>
                </c:pt>
                <c:pt idx="4">
                  <c:v>83.3</c:v>
                </c:pt>
                <c:pt idx="5">
                  <c:v>83.8</c:v>
                </c:pt>
                <c:pt idx="6">
                  <c:v>83.6</c:v>
                </c:pt>
                <c:pt idx="7">
                  <c:v>84.8</c:v>
                </c:pt>
                <c:pt idx="8">
                  <c:v>87.5</c:v>
                </c:pt>
                <c:pt idx="9">
                  <c:v>88.9</c:v>
                </c:pt>
                <c:pt idx="10">
                  <c:v>90.4</c:v>
                </c:pt>
                <c:pt idx="11">
                  <c:v>91.2</c:v>
                </c:pt>
                <c:pt idx="12">
                  <c:v>91.3</c:v>
                </c:pt>
                <c:pt idx="13">
                  <c:v>91.2</c:v>
                </c:pt>
                <c:pt idx="14">
                  <c:v>92.4</c:v>
                </c:pt>
                <c:pt idx="15">
                  <c:v>92.6</c:v>
                </c:pt>
                <c:pt idx="16">
                  <c:v>92.6</c:v>
                </c:pt>
                <c:pt idx="17">
                  <c:v>93.6</c:v>
                </c:pt>
                <c:pt idx="18" formatCode="###,###,##0">
                  <c:v>93</c:v>
                </c:pt>
                <c:pt idx="19">
                  <c:v>93.4</c:v>
                </c:pt>
                <c:pt idx="20">
                  <c:v>93.7</c:v>
                </c:pt>
                <c:pt idx="21">
                  <c:v>94.1</c:v>
                </c:pt>
                <c:pt idx="22">
                  <c:v>95.2</c:v>
                </c:pt>
                <c:pt idx="23">
                  <c:v>96.5</c:v>
                </c:pt>
                <c:pt idx="24">
                  <c:v>96.4</c:v>
                </c:pt>
                <c:pt idx="25">
                  <c:v>95.5</c:v>
                </c:pt>
                <c:pt idx="26">
                  <c:v>95.1</c:v>
                </c:pt>
                <c:pt idx="27">
                  <c:v>95.1</c:v>
                </c:pt>
                <c:pt idx="28">
                  <c:v>95.5</c:v>
                </c:pt>
                <c:pt idx="29" formatCode="###,###,##0">
                  <c:v>97</c:v>
                </c:pt>
                <c:pt idx="30">
                  <c:v>96.1</c:v>
                </c:pt>
                <c:pt idx="31">
                  <c:v>95.7</c:v>
                </c:pt>
                <c:pt idx="32">
                  <c:v>95.9</c:v>
                </c:pt>
                <c:pt idx="33">
                  <c:v>95.1</c:v>
                </c:pt>
                <c:pt idx="34" formatCode="###,###,##0">
                  <c:v>96</c:v>
                </c:pt>
                <c:pt idx="35">
                  <c:v>96.5</c:v>
                </c:pt>
                <c:pt idx="36">
                  <c:v>98.4</c:v>
                </c:pt>
                <c:pt idx="37" formatCode="0.0">
                  <c:v>97.1</c:v>
                </c:pt>
                <c:pt idx="38" formatCode="0.0">
                  <c:v>96.7</c:v>
                </c:pt>
                <c:pt idx="39" formatCode="0.0">
                  <c:v>95.6</c:v>
                </c:pt>
                <c:pt idx="40" formatCode="0.0">
                  <c:v>96</c:v>
                </c:pt>
                <c:pt idx="41" formatCode="0.0">
                  <c:v>95.3</c:v>
                </c:pt>
                <c:pt idx="42" formatCode="0.0">
                  <c:v>95.4</c:v>
                </c:pt>
                <c:pt idx="43" formatCode="0.0">
                  <c:v>96.8</c:v>
                </c:pt>
                <c:pt idx="44" formatCode="0.0">
                  <c:v>97.1</c:v>
                </c:pt>
                <c:pt idx="45" formatCode="0.0">
                  <c:v>97.5</c:v>
                </c:pt>
                <c:pt idx="46" formatCode="0.0">
                  <c:v>99.3</c:v>
                </c:pt>
                <c:pt idx="47" formatCode="0.0">
                  <c:v>99.1</c:v>
                </c:pt>
                <c:pt idx="48" formatCode="General">
                  <c:v>99.2</c:v>
                </c:pt>
                <c:pt idx="49" formatCode="General">
                  <c:v>98</c:v>
                </c:pt>
                <c:pt idx="50" formatCode="General">
                  <c:v>96.6</c:v>
                </c:pt>
              </c:numCache>
            </c:numRef>
          </c:val>
        </c:ser>
        <c:marker val="1"/>
        <c:axId val="127110144"/>
        <c:axId val="169698816"/>
      </c:lineChart>
      <c:catAx>
        <c:axId val="127110144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crossAx val="169698816"/>
        <c:crossesAt val="100"/>
        <c:auto val="1"/>
        <c:lblAlgn val="ctr"/>
        <c:lblOffset val="100"/>
      </c:catAx>
      <c:valAx>
        <c:axId val="169698816"/>
        <c:scaling>
          <c:orientation val="minMax"/>
          <c:max val="130"/>
          <c:min val="7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tickLblPos val="nextTo"/>
        <c:spPr>
          <a:ln>
            <a:solidFill>
              <a:schemeClr val="tx1"/>
            </a:solidFill>
          </a:ln>
        </c:spPr>
        <c:crossAx val="127110144"/>
        <c:crosses val="autoZero"/>
        <c:crossBetween val="between"/>
        <c:majorUnit val="5"/>
      </c:valAx>
      <c:valAx>
        <c:axId val="126309120"/>
        <c:scaling>
          <c:orientation val="minMax"/>
          <c:min val="-6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126310656"/>
        <c:crosses val="max"/>
        <c:crossBetween val="between"/>
        <c:majorUnit val="1"/>
      </c:valAx>
      <c:catAx>
        <c:axId val="126310656"/>
        <c:scaling>
          <c:orientation val="minMax"/>
        </c:scaling>
        <c:delete val="1"/>
        <c:axPos val="b"/>
        <c:tickLblPos val="none"/>
        <c:crossAx val="126309120"/>
        <c:crossesAt val="0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2295583422442583E-2"/>
          <c:y val="0.9022883597883562"/>
          <c:w val="0.88075331324325201"/>
          <c:h val="8.264578408195417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6948352704928253E-2"/>
          <c:y val="2.8458510079622041E-2"/>
          <c:w val="0.93956464282120555"/>
          <c:h val="0.6497469886299676"/>
        </c:manualLayout>
      </c:layout>
      <c:barChart>
        <c:barDir val="col"/>
        <c:grouping val="stacked"/>
        <c:ser>
          <c:idx val="5"/>
          <c:order val="1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val>
            <c:numRef>
              <c:f>'souhrnná výkonnost 3'!$D$10:$D$26</c:f>
              <c:numCache>
                <c:formatCode>#,##0.0</c:formatCode>
                <c:ptCount val="17"/>
                <c:pt idx="0">
                  <c:v>0.38460868319953651</c:v>
                </c:pt>
                <c:pt idx="1">
                  <c:v>0.38080674988057717</c:v>
                </c:pt>
                <c:pt idx="2">
                  <c:v>0.11936440701875382</c:v>
                </c:pt>
                <c:pt idx="3">
                  <c:v>-0.12248235332147196</c:v>
                </c:pt>
                <c:pt idx="4">
                  <c:v>-0.3138860069439745</c:v>
                </c:pt>
                <c:pt idx="5">
                  <c:v>9.8222633430611866E-3</c:v>
                </c:pt>
                <c:pt idx="6">
                  <c:v>0.70194277673633287</c:v>
                </c:pt>
                <c:pt idx="7">
                  <c:v>1.0375254911027258</c:v>
                </c:pt>
                <c:pt idx="8">
                  <c:v>1.1302492839383664</c:v>
                </c:pt>
                <c:pt idx="9">
                  <c:v>1.0400225755827188</c:v>
                </c:pt>
                <c:pt idx="10">
                  <c:v>0.86676052684576854</c:v>
                </c:pt>
                <c:pt idx="11">
                  <c:v>0.84272560509746475</c:v>
                </c:pt>
                <c:pt idx="12">
                  <c:v>0.86255692826867814</c:v>
                </c:pt>
                <c:pt idx="13">
                  <c:v>0.97031889433542562</c:v>
                </c:pt>
                <c:pt idx="14">
                  <c:v>1.3404861994837043</c:v>
                </c:pt>
                <c:pt idx="15">
                  <c:v>1.3754442514033616</c:v>
                </c:pt>
                <c:pt idx="16">
                  <c:v>1.0369631408933844</c:v>
                </c:pt>
              </c:numCache>
            </c:numRef>
          </c:val>
        </c:ser>
        <c:ser>
          <c:idx val="4"/>
          <c:order val="2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val>
            <c:numRef>
              <c:f>'souhrnná výkonnost 3'!$E$10:$E$26</c:f>
              <c:numCache>
                <c:formatCode>#,##0.0</c:formatCode>
                <c:ptCount val="17"/>
                <c:pt idx="0">
                  <c:v>0.27776891808534832</c:v>
                </c:pt>
                <c:pt idx="1">
                  <c:v>0.3591825540732575</c:v>
                </c:pt>
                <c:pt idx="2">
                  <c:v>0.64798994002997234</c:v>
                </c:pt>
                <c:pt idx="3">
                  <c:v>0.52415599235557686</c:v>
                </c:pt>
                <c:pt idx="4">
                  <c:v>0.18121000209187962</c:v>
                </c:pt>
                <c:pt idx="5">
                  <c:v>0.37093971201964954</c:v>
                </c:pt>
                <c:pt idx="6">
                  <c:v>2.0076043475000634E-2</c:v>
                </c:pt>
                <c:pt idx="7">
                  <c:v>0.38826780572518332</c:v>
                </c:pt>
                <c:pt idx="8">
                  <c:v>0.25320168679198329</c:v>
                </c:pt>
                <c:pt idx="9">
                  <c:v>0.27764778498652776</c:v>
                </c:pt>
                <c:pt idx="10">
                  <c:v>0.61351947275851493</c:v>
                </c:pt>
                <c:pt idx="11">
                  <c:v>0.32875983120567925</c:v>
                </c:pt>
                <c:pt idx="12">
                  <c:v>0.26798154787803341</c:v>
                </c:pt>
                <c:pt idx="13">
                  <c:v>0.45238764628414746</c:v>
                </c:pt>
                <c:pt idx="14">
                  <c:v>0.16227358832720143</c:v>
                </c:pt>
                <c:pt idx="15">
                  <c:v>4.1112034604368415E-2</c:v>
                </c:pt>
                <c:pt idx="16">
                  <c:v>0.46051328757759308</c:v>
                </c:pt>
              </c:numCache>
            </c:numRef>
          </c:val>
        </c:ser>
        <c:ser>
          <c:idx val="3"/>
          <c:order val="3"/>
          <c:tx>
            <c:strRef>
              <c:f>'souhrnná výkonnost 3'!$J$5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val>
            <c:numRef>
              <c:f>'souhrnná výkonnost 3'!$J$10:$J$26</c:f>
              <c:numCache>
                <c:formatCode>#,##0.0</c:formatCode>
                <c:ptCount val="17"/>
                <c:pt idx="0">
                  <c:v>-1.3967940821530818</c:v>
                </c:pt>
                <c:pt idx="1">
                  <c:v>-2.851040772583596</c:v>
                </c:pt>
                <c:pt idx="2">
                  <c:v>-4.5717511214794337E-2</c:v>
                </c:pt>
                <c:pt idx="3">
                  <c:v>0.36338941104248118</c:v>
                </c:pt>
                <c:pt idx="4">
                  <c:v>-1.2469862138961322E-2</c:v>
                </c:pt>
                <c:pt idx="5">
                  <c:v>1.8028822674776512</c:v>
                </c:pt>
                <c:pt idx="6">
                  <c:v>1.2422047187129563</c:v>
                </c:pt>
                <c:pt idx="7">
                  <c:v>0.30938723391783218</c:v>
                </c:pt>
                <c:pt idx="8">
                  <c:v>2.8557966981085237</c:v>
                </c:pt>
                <c:pt idx="9">
                  <c:v>3.1967309061710671</c:v>
                </c:pt>
                <c:pt idx="10">
                  <c:v>2.2330600355021435</c:v>
                </c:pt>
                <c:pt idx="11">
                  <c:v>1.0746260409745054</c:v>
                </c:pt>
                <c:pt idx="12">
                  <c:v>0.65007119542772562</c:v>
                </c:pt>
                <c:pt idx="13">
                  <c:v>-0.85849017879551204</c:v>
                </c:pt>
                <c:pt idx="14">
                  <c:v>-0.21600138953353226</c:v>
                </c:pt>
                <c:pt idx="15">
                  <c:v>-0.39013249651246823</c:v>
                </c:pt>
                <c:pt idx="16">
                  <c:v>-0.37603361865842483</c:v>
                </c:pt>
              </c:numCache>
            </c:numRef>
          </c:val>
        </c:ser>
        <c:ser>
          <c:idx val="1"/>
          <c:order val="4"/>
          <c:tx>
            <c:strRef>
              <c:f>'souhrnná výkonnost 3'!$H$5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val>
            <c:numRef>
              <c:f>'souhrnná výkonnost 3'!$H$10:$H$26</c:f>
              <c:numCache>
                <c:formatCode>#,##0.0</c:formatCode>
                <c:ptCount val="17"/>
                <c:pt idx="0">
                  <c:v>-1.1059209427183077</c:v>
                </c:pt>
                <c:pt idx="1">
                  <c:v>0.96606258298063219</c:v>
                </c:pt>
                <c:pt idx="2">
                  <c:v>-1.0909221346050695</c:v>
                </c:pt>
                <c:pt idx="3">
                  <c:v>0.5543292070322301</c:v>
                </c:pt>
                <c:pt idx="4">
                  <c:v>2.0663995630788179</c:v>
                </c:pt>
                <c:pt idx="5">
                  <c:v>0.36457773242542491</c:v>
                </c:pt>
                <c:pt idx="6">
                  <c:v>1.408763729171798</c:v>
                </c:pt>
                <c:pt idx="7">
                  <c:v>1.1776227551161738</c:v>
                </c:pt>
                <c:pt idx="8">
                  <c:v>0.35515708845923383</c:v>
                </c:pt>
                <c:pt idx="9">
                  <c:v>0.48377943831943782</c:v>
                </c:pt>
                <c:pt idx="10">
                  <c:v>1.1107492623644266</c:v>
                </c:pt>
                <c:pt idx="11">
                  <c:v>1.777328936880288</c:v>
                </c:pt>
                <c:pt idx="12">
                  <c:v>1.214548986870758</c:v>
                </c:pt>
                <c:pt idx="13">
                  <c:v>1.9844679009086597</c:v>
                </c:pt>
                <c:pt idx="14">
                  <c:v>0.52872381664171009</c:v>
                </c:pt>
                <c:pt idx="15">
                  <c:v>0.89756452052311453</c:v>
                </c:pt>
                <c:pt idx="16">
                  <c:v>1.7410043828028889</c:v>
                </c:pt>
              </c:numCache>
            </c:numRef>
          </c:val>
        </c:ser>
        <c:gapWidth val="40"/>
        <c:overlap val="100"/>
        <c:axId val="126334080"/>
        <c:axId val="126335616"/>
      </c:barChart>
      <c:lineChart>
        <c:grouping val="standard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'souhrnná výkonnost 3'!$C$10:$C$26</c:f>
              <c:numCache>
                <c:formatCode>#,##0.0</c:formatCode>
                <c:ptCount val="17"/>
                <c:pt idx="0">
                  <c:v>-1.8183240994123744</c:v>
                </c:pt>
                <c:pt idx="1">
                  <c:v>-1.1346359154058603</c:v>
                </c:pt>
                <c:pt idx="2">
                  <c:v>-0.31855910189885767</c:v>
                </c:pt>
                <c:pt idx="3">
                  <c:v>1.3442938337462169</c:v>
                </c:pt>
                <c:pt idx="4">
                  <c:v>1.9118657875327358</c:v>
                </c:pt>
                <c:pt idx="5">
                  <c:v>2.5704618333533729</c:v>
                </c:pt>
                <c:pt idx="6">
                  <c:v>3.4094329084640731</c:v>
                </c:pt>
                <c:pt idx="7">
                  <c:v>2.9599504950552333</c:v>
                </c:pt>
                <c:pt idx="8">
                  <c:v>4.6183316957481404</c:v>
                </c:pt>
                <c:pt idx="9">
                  <c:v>5.004471084473459</c:v>
                </c:pt>
                <c:pt idx="10">
                  <c:v>4.8146133276957999</c:v>
                </c:pt>
                <c:pt idx="11">
                  <c:v>4.0266999877712824</c:v>
                </c:pt>
                <c:pt idx="12">
                  <c:v>3.012100436980099</c:v>
                </c:pt>
                <c:pt idx="13">
                  <c:v>2.5615225459731992</c:v>
                </c:pt>
                <c:pt idx="14">
                  <c:v>1.795953840723248</c:v>
                </c:pt>
                <c:pt idx="15">
                  <c:v>1.8904504619906437</c:v>
                </c:pt>
                <c:pt idx="16">
                  <c:v>2.9</c:v>
                </c:pt>
              </c:numCache>
            </c:numRef>
          </c:val>
        </c:ser>
        <c:marker val="1"/>
        <c:axId val="126334080"/>
        <c:axId val="126335616"/>
      </c:lineChart>
      <c:catAx>
        <c:axId val="126334080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6335616"/>
        <c:crosses val="autoZero"/>
        <c:auto val="1"/>
        <c:lblAlgn val="ctr"/>
        <c:lblOffset val="100"/>
      </c:catAx>
      <c:valAx>
        <c:axId val="126335616"/>
        <c:scaling>
          <c:orientation val="minMax"/>
          <c:max val="6"/>
          <c:min val="-4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tickLblPos val="nextTo"/>
        <c:spPr>
          <a:ln>
            <a:solidFill>
              <a:schemeClr val="tx1"/>
            </a:solidFill>
          </a:ln>
        </c:spPr>
        <c:crossAx val="126334080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4891184424094004E-2"/>
          <c:y val="0.79301446583361457"/>
          <c:w val="0.94049666651103803"/>
          <c:h val="0.19014325115388939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4404035346808465E-2"/>
          <c:y val="3.7154479717354444E-2"/>
          <c:w val="0.93674937195830155"/>
          <c:h val="0.63445260610154264"/>
        </c:manualLayout>
      </c:layout>
      <c:barChart>
        <c:barDir val="col"/>
        <c:grouping val="stacked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val>
            <c:numRef>
              <c:f>'souhrnná výkonnost 4'!$C$10:$C$26</c:f>
              <c:numCache>
                <c:formatCode>#,##0.0</c:formatCode>
                <c:ptCount val="17"/>
                <c:pt idx="0">
                  <c:v>-2.8700725413310851E-2</c:v>
                </c:pt>
                <c:pt idx="1">
                  <c:v>-0.1237163377572455</c:v>
                </c:pt>
                <c:pt idx="2">
                  <c:v>-0.10582435265615225</c:v>
                </c:pt>
                <c:pt idx="3">
                  <c:v>2.7509486087323523E-3</c:v>
                </c:pt>
                <c:pt idx="4">
                  <c:v>8.0382098390950646E-2</c:v>
                </c:pt>
                <c:pt idx="5">
                  <c:v>0.25121214663618885</c:v>
                </c:pt>
                <c:pt idx="6">
                  <c:v>0.29927249906963255</c:v>
                </c:pt>
                <c:pt idx="7">
                  <c:v>0.2353786105602019</c:v>
                </c:pt>
                <c:pt idx="8">
                  <c:v>0.22856317142925814</c:v>
                </c:pt>
                <c:pt idx="9">
                  <c:v>0.15562648472275906</c:v>
                </c:pt>
                <c:pt idx="10">
                  <c:v>0.11374116426824316</c:v>
                </c:pt>
                <c:pt idx="11">
                  <c:v>0.15356050157168771</c:v>
                </c:pt>
                <c:pt idx="12">
                  <c:v>0.14341882490106458</c:v>
                </c:pt>
                <c:pt idx="13">
                  <c:v>0.257050473172586</c:v>
                </c:pt>
                <c:pt idx="14">
                  <c:v>0.28822537234001189</c:v>
                </c:pt>
                <c:pt idx="15">
                  <c:v>0.26878386996612491</c:v>
                </c:pt>
                <c:pt idx="16" formatCode="General">
                  <c:v>0.19140262680022541</c:v>
                </c:pt>
              </c:numCache>
            </c:numRef>
          </c:val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val>
            <c:numRef>
              <c:f>'souhrnná výkonnost 4'!$D$10:$D$26</c:f>
              <c:numCache>
                <c:formatCode>#,##0.0</c:formatCode>
                <c:ptCount val="17"/>
                <c:pt idx="0">
                  <c:v>-0.80203056756092628</c:v>
                </c:pt>
                <c:pt idx="1">
                  <c:v>-0.60008536509500754</c:v>
                </c:pt>
                <c:pt idx="2">
                  <c:v>-0.65042066820085764</c:v>
                </c:pt>
                <c:pt idx="3">
                  <c:v>-0.63017240400350516</c:v>
                </c:pt>
                <c:pt idx="4">
                  <c:v>0.37445370777845588</c:v>
                </c:pt>
                <c:pt idx="5">
                  <c:v>1.2191643868116901</c:v>
                </c:pt>
                <c:pt idx="6">
                  <c:v>2.0095549347101627</c:v>
                </c:pt>
                <c:pt idx="7">
                  <c:v>2.5236605530640381</c:v>
                </c:pt>
                <c:pt idx="8">
                  <c:v>2.6326704919697108</c:v>
                </c:pt>
                <c:pt idx="9">
                  <c:v>2.3316334191272547</c:v>
                </c:pt>
                <c:pt idx="10">
                  <c:v>2.2098862852042473</c:v>
                </c:pt>
                <c:pt idx="11">
                  <c:v>1.6203938852719117</c:v>
                </c:pt>
                <c:pt idx="12">
                  <c:v>1.3135634789283182</c:v>
                </c:pt>
                <c:pt idx="13">
                  <c:v>1.4161130384453027</c:v>
                </c:pt>
                <c:pt idx="14">
                  <c:v>1.1873096187132854</c:v>
                </c:pt>
                <c:pt idx="15">
                  <c:v>1.2268196751141847</c:v>
                </c:pt>
                <c:pt idx="16" formatCode="General">
                  <c:v>1.0535109257772723</c:v>
                </c:pt>
              </c:numCache>
            </c:numRef>
          </c:val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B,D,E)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val>
            <c:numRef>
              <c:f>'souhrnná výkonnost 4'!$E$10:$E$26</c:f>
              <c:numCache>
                <c:formatCode>0.0</c:formatCode>
                <c:ptCount val="17"/>
                <c:pt idx="0">
                  <c:v>-1.0013754449946373</c:v>
                </c:pt>
                <c:pt idx="1">
                  <c:v>-1.0044387873592557</c:v>
                </c:pt>
                <c:pt idx="2">
                  <c:v>-0.64389184848237591</c:v>
                </c:pt>
                <c:pt idx="3">
                  <c:v>-0.22385209429771069</c:v>
                </c:pt>
                <c:pt idx="4">
                  <c:v>0.39772389846935863</c:v>
                </c:pt>
                <c:pt idx="5">
                  <c:v>0.10233498780850736</c:v>
                </c:pt>
                <c:pt idx="6">
                  <c:v>-0.16914497604049344</c:v>
                </c:pt>
                <c:pt idx="7">
                  <c:v>-0.12019447582220563</c:v>
                </c:pt>
                <c:pt idx="8">
                  <c:v>-0.75799273610034024</c:v>
                </c:pt>
                <c:pt idx="9">
                  <c:v>-0.80490656715140052</c:v>
                </c:pt>
                <c:pt idx="10">
                  <c:v>-0.73844302514351978</c:v>
                </c:pt>
                <c:pt idx="11">
                  <c:v>-0.9023080141014006</c:v>
                </c:pt>
                <c:pt idx="12">
                  <c:v>-0.29809199631484279</c:v>
                </c:pt>
                <c:pt idx="13">
                  <c:v>-1.9698036334538961E-3</c:v>
                </c:pt>
                <c:pt idx="14">
                  <c:v>-0.17212952521188588</c:v>
                </c:pt>
                <c:pt idx="15">
                  <c:v>1.1952763198069385E-2</c:v>
                </c:pt>
                <c:pt idx="16" formatCode="General">
                  <c:v>0.1</c:v>
                </c:pt>
              </c:numCache>
            </c:numRef>
          </c:val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val>
            <c:numRef>
              <c:f>'souhrnná výkonnost 4'!$F$10:$F$26</c:f>
              <c:numCache>
                <c:formatCode>#,##0.0</c:formatCode>
                <c:ptCount val="17"/>
                <c:pt idx="0">
                  <c:v>-9.9771821790355528E-2</c:v>
                </c:pt>
                <c:pt idx="1">
                  <c:v>7.3842176134935988E-2</c:v>
                </c:pt>
                <c:pt idx="2">
                  <c:v>0.11916034314920022</c:v>
                </c:pt>
                <c:pt idx="3">
                  <c:v>0.18254440566292879</c:v>
                </c:pt>
                <c:pt idx="4">
                  <c:v>0.22381930964876293</c:v>
                </c:pt>
                <c:pt idx="5">
                  <c:v>8.1881275845914619E-2</c:v>
                </c:pt>
                <c:pt idx="6">
                  <c:v>2.6373359235819602E-2</c:v>
                </c:pt>
                <c:pt idx="7">
                  <c:v>0.12395276606307516</c:v>
                </c:pt>
                <c:pt idx="8">
                  <c:v>0.11827423199702113</c:v>
                </c:pt>
                <c:pt idx="9">
                  <c:v>0.31780862711797497</c:v>
                </c:pt>
                <c:pt idx="10">
                  <c:v>0.46394857820558738</c:v>
                </c:pt>
                <c:pt idx="11">
                  <c:v>0.28530854264097688</c:v>
                </c:pt>
                <c:pt idx="12">
                  <c:v>5.5551306087525405E-2</c:v>
                </c:pt>
                <c:pt idx="13">
                  <c:v>-0.31275153711130299</c:v>
                </c:pt>
                <c:pt idx="14">
                  <c:v>-0.44387064699451056</c:v>
                </c:pt>
                <c:pt idx="15">
                  <c:v>-0.61071167027267392</c:v>
                </c:pt>
                <c:pt idx="16" formatCode="General">
                  <c:v>-0.30000000000000032</c:v>
                </c:pt>
              </c:numCache>
            </c:numRef>
          </c:val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val>
            <c:numRef>
              <c:f>'souhrnná výkonnost 4'!$G$10:$G$26</c:f>
              <c:numCache>
                <c:formatCode>0.0</c:formatCode>
                <c:ptCount val="17"/>
                <c:pt idx="0">
                  <c:v>0.36492478191537386</c:v>
                </c:pt>
                <c:pt idx="1">
                  <c:v>0.8122929996681667</c:v>
                </c:pt>
                <c:pt idx="2">
                  <c:v>1.0694635160230557</c:v>
                </c:pt>
                <c:pt idx="3">
                  <c:v>1.3281961400675659</c:v>
                </c:pt>
                <c:pt idx="4">
                  <c:v>1.2739049182135358</c:v>
                </c:pt>
                <c:pt idx="5">
                  <c:v>1.4222099657074918</c:v>
                </c:pt>
                <c:pt idx="6">
                  <c:v>1.662721814229271</c:v>
                </c:pt>
                <c:pt idx="7">
                  <c:v>1.5747281575603338</c:v>
                </c:pt>
                <c:pt idx="8">
                  <c:v>1.8977579549156014</c:v>
                </c:pt>
                <c:pt idx="9">
                  <c:v>2.206578398975247</c:v>
                </c:pt>
                <c:pt idx="10">
                  <c:v>2.2758646047511397</c:v>
                </c:pt>
                <c:pt idx="11">
                  <c:v>2.3433047114185404</c:v>
                </c:pt>
                <c:pt idx="12">
                  <c:v>1.5370017387888215</c:v>
                </c:pt>
                <c:pt idx="13">
                  <c:v>1.1614442253390058</c:v>
                </c:pt>
                <c:pt idx="14">
                  <c:v>0.74843578258601873</c:v>
                </c:pt>
                <c:pt idx="15">
                  <c:v>0.72017816936202039</c:v>
                </c:pt>
                <c:pt idx="16" formatCode="General">
                  <c:v>1.2995870674811181</c:v>
                </c:pt>
              </c:numCache>
            </c:numRef>
          </c:val>
        </c:ser>
        <c:gapWidth val="70"/>
        <c:overlap val="100"/>
        <c:axId val="126421248"/>
        <c:axId val="126464000"/>
      </c:barChart>
      <c:lineChart>
        <c:grouping val="standard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4'!$A$10:$B$26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'souhrnná výkonnost 4'!$H$10:$H$26</c:f>
              <c:numCache>
                <c:formatCode>#,##0.0</c:formatCode>
                <c:ptCount val="17"/>
                <c:pt idx="0">
                  <c:v>-1.5563523203955774</c:v>
                </c:pt>
                <c:pt idx="1">
                  <c:v>-0.83647174665812785</c:v>
                </c:pt>
                <c:pt idx="2">
                  <c:v>-0.21945827566005274</c:v>
                </c:pt>
                <c:pt idx="3">
                  <c:v>0.65102313488762031</c:v>
                </c:pt>
                <c:pt idx="4">
                  <c:v>2.3722512676579641</c:v>
                </c:pt>
                <c:pt idx="5">
                  <c:v>3.0768768516544531</c:v>
                </c:pt>
                <c:pt idx="6">
                  <c:v>3.8160772862928569</c:v>
                </c:pt>
                <c:pt idx="7">
                  <c:v>4.3283212684131067</c:v>
                </c:pt>
                <c:pt idx="8">
                  <c:v>4.1166069549586979</c:v>
                </c:pt>
                <c:pt idx="9">
                  <c:v>4.2037092225432104</c:v>
                </c:pt>
                <c:pt idx="10">
                  <c:v>4.3207255655193055</c:v>
                </c:pt>
                <c:pt idx="11">
                  <c:v>3.5100508493434024</c:v>
                </c:pt>
                <c:pt idx="12">
                  <c:v>2.7603406515470001</c:v>
                </c:pt>
                <c:pt idx="13">
                  <c:v>2.5189462661930175</c:v>
                </c:pt>
                <c:pt idx="14">
                  <c:v>1.5920487558210621</c:v>
                </c:pt>
                <c:pt idx="15">
                  <c:v>1.6014370872980599</c:v>
                </c:pt>
                <c:pt idx="16" formatCode="General">
                  <c:v>2.4667814220602193</c:v>
                </c:pt>
              </c:numCache>
            </c:numRef>
          </c:val>
        </c:ser>
        <c:marker val="1"/>
        <c:axId val="126421248"/>
        <c:axId val="126464000"/>
      </c:lineChart>
      <c:catAx>
        <c:axId val="126421248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6464000"/>
        <c:crosses val="autoZero"/>
        <c:auto val="1"/>
        <c:lblAlgn val="ctr"/>
        <c:lblOffset val="100"/>
      </c:catAx>
      <c:valAx>
        <c:axId val="126464000"/>
        <c:scaling>
          <c:orientation val="minMax"/>
          <c:max val="6"/>
          <c:min val="-3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26421248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8782884397989404E-2"/>
          <c:y val="0.79016604750647301"/>
          <c:w val="0.92922619274506457"/>
          <c:h val="0.19462484520995108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229D-5F52-4FF4-A539-4A308F380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AC764-972E-492C-AA1F-2DCE8B12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1</TotalTime>
  <Pages>4</Pages>
  <Words>1492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10277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2017-03-16T10:07:00Z</cp:lastPrinted>
  <dcterms:created xsi:type="dcterms:W3CDTF">2017-06-20T12:45:00Z</dcterms:created>
  <dcterms:modified xsi:type="dcterms:W3CDTF">2017-06-20T12:46:00Z</dcterms:modified>
</cp:coreProperties>
</file>