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B5C" w:rsidRPr="005D69FA" w:rsidRDefault="00660B5C" w:rsidP="00660B5C">
      <w:pPr>
        <w:pStyle w:val="Default"/>
        <w:jc w:val="center"/>
        <w:rPr>
          <w:b/>
          <w:bCs/>
          <w:color w:val="auto"/>
          <w:sz w:val="23"/>
          <w:szCs w:val="23"/>
          <w:lang w:val="en-GB"/>
        </w:rPr>
      </w:pPr>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r w:rsidRPr="005C33DB">
        <w:rPr>
          <w:i/>
          <w:sz w:val="18"/>
          <w:szCs w:val="18"/>
          <w:lang w:val="en-GB"/>
        </w:rPr>
        <w:t>Brdy</w:t>
      </w:r>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r w:rsidRPr="005C33DB">
        <w:rPr>
          <w:i/>
          <w:sz w:val="18"/>
          <w:szCs w:val="18"/>
          <w:lang w:val="en-GB"/>
        </w:rPr>
        <w:t>Vysočina</w:t>
      </w:r>
      <w:r w:rsidRPr="005C33DB">
        <w:rPr>
          <w:sz w:val="18"/>
          <w:szCs w:val="18"/>
          <w:lang w:val="en-GB"/>
        </w:rPr>
        <w:t xml:space="preserve"> Region and the </w:t>
      </w:r>
      <w:r w:rsidRPr="005C33DB">
        <w:rPr>
          <w:i/>
          <w:sz w:val="18"/>
          <w:szCs w:val="18"/>
          <w:lang w:val="en-GB"/>
        </w:rPr>
        <w:t xml:space="preserve">Jihomoravský </w:t>
      </w:r>
      <w:r w:rsidRPr="005C33DB">
        <w:rPr>
          <w:sz w:val="18"/>
          <w:szCs w:val="18"/>
          <w:lang w:val="en-GB"/>
        </w:rPr>
        <w:t xml:space="preserve">Region and between the </w:t>
      </w:r>
      <w:r w:rsidRPr="005C33DB">
        <w:rPr>
          <w:i/>
          <w:sz w:val="18"/>
          <w:szCs w:val="18"/>
          <w:lang w:val="en-GB"/>
        </w:rPr>
        <w:t>Moravskoslezský</w:t>
      </w:r>
      <w:r w:rsidRPr="005C33DB">
        <w:rPr>
          <w:sz w:val="18"/>
          <w:szCs w:val="18"/>
          <w:lang w:val="en-GB"/>
        </w:rPr>
        <w:t xml:space="preserve"> Region and the </w:t>
      </w:r>
      <w:r w:rsidRPr="005C33DB">
        <w:rPr>
          <w:i/>
          <w:sz w:val="18"/>
          <w:szCs w:val="18"/>
          <w:lang w:val="en-GB"/>
        </w:rPr>
        <w:t>Olomoucký</w:t>
      </w:r>
      <w:r w:rsidRPr="005C33DB">
        <w:rPr>
          <w:sz w:val="18"/>
          <w:szCs w:val="18"/>
          <w:lang w:val="en-GB"/>
        </w:rPr>
        <w:t xml:space="preserve"> Region. As at 1 January 2007, territories of some districts changed.</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Sb,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89/1995 Sb on the State Statistical Service, and following an agreement with Eurostat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proofErr w:type="gramStart"/>
      <w:r>
        <w:rPr>
          <w:rFonts w:cs="Arial"/>
          <w:i w:val="0"/>
          <w:szCs w:val="18"/>
        </w:rPr>
        <w:t>have</w:t>
      </w:r>
      <w:proofErr w:type="gramEnd"/>
      <w:r>
        <w:rPr>
          <w:rFonts w:cs="Arial"/>
          <w:i w:val="0"/>
          <w:szCs w:val="18"/>
        </w:rPr>
        <w:t xml:space="preser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refers to the </w:t>
      </w:r>
      <w:r w:rsidRPr="005C33DB">
        <w:rPr>
          <w:b/>
          <w:color w:val="auto"/>
          <w:sz w:val="18"/>
          <w:szCs w:val="18"/>
        </w:rPr>
        <w:t>state of the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LAU 1 refers to </w:t>
      </w:r>
      <w:r w:rsidRPr="005D69FA">
        <w:rPr>
          <w:b/>
          <w:bCs/>
          <w:color w:val="auto"/>
          <w:sz w:val="18"/>
          <w:szCs w:val="18"/>
          <w:lang w:val="en-GB"/>
        </w:rPr>
        <w:t>districts</w:t>
      </w:r>
      <w:r w:rsidRPr="005D69FA">
        <w:rPr>
          <w:color w:val="auto"/>
          <w:sz w:val="18"/>
          <w:szCs w:val="18"/>
          <w:lang w:val="en-GB"/>
        </w:rPr>
        <w:t xml:space="preserve">, i.e. to 76 districts and Prague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LAU 2 refers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(as at 1 January 201</w:t>
      </w:r>
      <w:r>
        <w:rPr>
          <w:color w:val="auto"/>
          <w:sz w:val="18"/>
          <w:szCs w:val="18"/>
          <w:lang w:val="en-GB"/>
        </w:rPr>
        <w:t>7</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r w:rsidRPr="005D69FA">
        <w:rPr>
          <w:rFonts w:cs="Arial"/>
          <w:b/>
          <w:bCs/>
          <w:iCs/>
          <w:color w:val="000000"/>
          <w:szCs w:val="18"/>
        </w:rPr>
        <w:t>Praha</w:t>
      </w:r>
      <w:r w:rsidRPr="005D69FA">
        <w:rPr>
          <w:rFonts w:cs="Arial"/>
          <w:b/>
          <w:bCs/>
          <w:i w:val="0"/>
          <w:color w:val="000000"/>
          <w:szCs w:val="18"/>
        </w:rPr>
        <w:tab/>
      </w:r>
      <w:r w:rsidRPr="005D69FA">
        <w:rPr>
          <w:rFonts w:cs="Arial"/>
          <w:bCs/>
          <w:iCs/>
          <w:color w:val="000000"/>
          <w:szCs w:val="18"/>
        </w:rPr>
        <w:t>Hl. m. Praha</w:t>
      </w:r>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Střední Čechy</w:t>
      </w:r>
      <w:r w:rsidRPr="005D69FA">
        <w:rPr>
          <w:rFonts w:cs="Arial"/>
          <w:b/>
          <w:bCs/>
          <w:i w:val="0"/>
          <w:iCs/>
          <w:color w:val="000000"/>
          <w:szCs w:val="18"/>
        </w:rPr>
        <w:tab/>
      </w:r>
      <w:r w:rsidRPr="005D69FA">
        <w:rPr>
          <w:rFonts w:cs="Arial"/>
          <w:bCs/>
          <w:iCs/>
          <w:color w:val="000000"/>
          <w:szCs w:val="18"/>
        </w:rPr>
        <w:t>Středočeský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Jihozápad</w:t>
      </w:r>
      <w:r w:rsidRPr="005D69FA">
        <w:rPr>
          <w:rFonts w:cs="Arial"/>
          <w:b/>
          <w:bCs/>
          <w:i w:val="0"/>
          <w:iCs/>
          <w:color w:val="000000"/>
          <w:szCs w:val="18"/>
        </w:rPr>
        <w:tab/>
      </w:r>
      <w:r w:rsidRPr="005D69FA">
        <w:rPr>
          <w:rFonts w:cs="Arial"/>
          <w:bCs/>
          <w:iCs/>
          <w:color w:val="000000"/>
          <w:szCs w:val="18"/>
        </w:rPr>
        <w:t>Jihočeský</w:t>
      </w:r>
      <w:r w:rsidRPr="005D69FA">
        <w:rPr>
          <w:rFonts w:cs="Arial"/>
          <w:bCs/>
          <w:i w:val="0"/>
          <w:iCs/>
          <w:color w:val="000000"/>
          <w:szCs w:val="18"/>
        </w:rPr>
        <w:t xml:space="preserve"> Region and </w:t>
      </w:r>
      <w:r w:rsidRPr="005D69FA">
        <w:rPr>
          <w:rFonts w:cs="Arial"/>
          <w:bCs/>
          <w:iCs/>
          <w:color w:val="000000"/>
          <w:szCs w:val="18"/>
        </w:rPr>
        <w:t>Plzeňský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Severozápad</w:t>
      </w:r>
      <w:r w:rsidRPr="005D69FA">
        <w:rPr>
          <w:rFonts w:cs="Arial"/>
          <w:b/>
          <w:bCs/>
          <w:i w:val="0"/>
          <w:iCs/>
          <w:color w:val="000000"/>
          <w:szCs w:val="18"/>
        </w:rPr>
        <w:tab/>
      </w:r>
      <w:r w:rsidRPr="005D69FA">
        <w:rPr>
          <w:rFonts w:cs="Arial"/>
          <w:bCs/>
          <w:iCs/>
          <w:color w:val="000000"/>
          <w:szCs w:val="18"/>
        </w:rPr>
        <w:t>Karlovarský</w:t>
      </w:r>
      <w:r w:rsidRPr="005D69FA">
        <w:rPr>
          <w:rFonts w:cs="Arial"/>
          <w:bCs/>
          <w:i w:val="0"/>
          <w:iCs/>
          <w:color w:val="000000"/>
          <w:szCs w:val="18"/>
        </w:rPr>
        <w:t xml:space="preserve"> Region and </w:t>
      </w:r>
      <w:r w:rsidRPr="005D69FA">
        <w:rPr>
          <w:rFonts w:cs="Arial"/>
          <w:bCs/>
          <w:iCs/>
          <w:color w:val="000000"/>
          <w:szCs w:val="18"/>
        </w:rPr>
        <w:t>Ústecký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Severovýchod</w:t>
      </w:r>
      <w:r w:rsidRPr="005D69FA">
        <w:rPr>
          <w:rFonts w:cs="Arial"/>
          <w:b/>
          <w:bCs/>
          <w:i w:val="0"/>
          <w:iCs/>
          <w:color w:val="000000"/>
          <w:szCs w:val="18"/>
        </w:rPr>
        <w:tab/>
      </w:r>
      <w:r w:rsidRPr="005D69FA">
        <w:rPr>
          <w:rFonts w:cs="Arial"/>
          <w:bCs/>
          <w:iCs/>
          <w:color w:val="000000"/>
          <w:szCs w:val="18"/>
        </w:rPr>
        <w:t xml:space="preserve">Liberecký </w:t>
      </w:r>
      <w:r w:rsidRPr="005D69FA">
        <w:rPr>
          <w:rFonts w:cs="Arial"/>
          <w:bCs/>
          <w:i w:val="0"/>
          <w:iCs/>
          <w:color w:val="000000"/>
          <w:szCs w:val="18"/>
        </w:rPr>
        <w:t xml:space="preserve">Region, </w:t>
      </w:r>
      <w:r w:rsidRPr="005D69FA">
        <w:rPr>
          <w:rFonts w:cs="Arial"/>
          <w:bCs/>
          <w:iCs/>
          <w:color w:val="000000"/>
          <w:szCs w:val="18"/>
        </w:rPr>
        <w:t>Královéhradecký</w:t>
      </w:r>
      <w:r w:rsidRPr="005D69FA">
        <w:rPr>
          <w:rFonts w:cs="Arial"/>
          <w:bCs/>
          <w:i w:val="0"/>
          <w:iCs/>
          <w:color w:val="000000"/>
          <w:szCs w:val="18"/>
        </w:rPr>
        <w:t xml:space="preserve"> Region, and </w:t>
      </w:r>
      <w:r w:rsidRPr="005D69FA">
        <w:rPr>
          <w:rFonts w:cs="Arial"/>
          <w:bCs/>
          <w:iCs/>
          <w:color w:val="000000"/>
          <w:szCs w:val="18"/>
        </w:rPr>
        <w:t>Pardubický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Jihovýchod</w:t>
      </w:r>
      <w:r w:rsidRPr="005D69FA">
        <w:rPr>
          <w:rFonts w:cs="Arial"/>
          <w:b/>
          <w:bCs/>
          <w:i w:val="0"/>
          <w:iCs/>
          <w:color w:val="000000"/>
          <w:szCs w:val="18"/>
        </w:rPr>
        <w:tab/>
      </w:r>
      <w:r w:rsidRPr="005D69FA">
        <w:rPr>
          <w:rFonts w:cs="Arial"/>
          <w:bCs/>
          <w:iCs/>
          <w:color w:val="000000"/>
          <w:szCs w:val="18"/>
        </w:rPr>
        <w:t>Vysočina</w:t>
      </w:r>
      <w:r w:rsidRPr="005D69FA">
        <w:rPr>
          <w:rFonts w:cs="Arial"/>
          <w:bCs/>
          <w:i w:val="0"/>
          <w:iCs/>
          <w:color w:val="000000"/>
          <w:szCs w:val="18"/>
        </w:rPr>
        <w:t xml:space="preserve"> Region and </w:t>
      </w:r>
      <w:r w:rsidRPr="005D69FA">
        <w:rPr>
          <w:rFonts w:cs="Arial"/>
          <w:bCs/>
          <w:iCs/>
          <w:color w:val="000000"/>
          <w:szCs w:val="18"/>
        </w:rPr>
        <w:t>Jihomoravský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Střední Morava</w:t>
      </w:r>
      <w:r w:rsidRPr="005D69FA">
        <w:rPr>
          <w:rFonts w:cs="Arial"/>
          <w:b/>
          <w:bCs/>
          <w:i w:val="0"/>
          <w:iCs/>
          <w:color w:val="000000"/>
          <w:szCs w:val="18"/>
        </w:rPr>
        <w:tab/>
      </w:r>
      <w:r w:rsidRPr="005D69FA">
        <w:rPr>
          <w:rFonts w:cs="Arial"/>
          <w:bCs/>
          <w:iCs/>
          <w:color w:val="000000"/>
          <w:szCs w:val="18"/>
        </w:rPr>
        <w:t>Olomoucký</w:t>
      </w:r>
      <w:r w:rsidRPr="005D69FA">
        <w:rPr>
          <w:rFonts w:cs="Arial"/>
          <w:bCs/>
          <w:i w:val="0"/>
          <w:iCs/>
          <w:color w:val="000000"/>
          <w:szCs w:val="18"/>
        </w:rPr>
        <w:t xml:space="preserve"> Region and </w:t>
      </w:r>
      <w:r w:rsidRPr="005D69FA">
        <w:rPr>
          <w:rFonts w:cs="Arial"/>
          <w:bCs/>
          <w:iCs/>
          <w:color w:val="000000"/>
          <w:szCs w:val="18"/>
        </w:rPr>
        <w:t>Zlínský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Moravskoslezsko</w:t>
      </w:r>
      <w:r w:rsidRPr="005D69FA">
        <w:rPr>
          <w:rFonts w:cs="Arial"/>
          <w:bCs/>
          <w:i w:val="0"/>
          <w:iCs/>
          <w:color w:val="000000"/>
          <w:szCs w:val="18"/>
        </w:rPr>
        <w:tab/>
      </w:r>
      <w:r w:rsidRPr="005D69FA">
        <w:rPr>
          <w:rFonts w:cs="Arial"/>
          <w:bCs/>
          <w:iCs/>
          <w:color w:val="000000"/>
          <w:szCs w:val="18"/>
        </w:rPr>
        <w:t>Moravskoslezský</w:t>
      </w:r>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r w:rsidRPr="00360C75">
        <w:rPr>
          <w:color w:val="auto"/>
          <w:sz w:val="18"/>
          <w:szCs w:val="18"/>
          <w:lang w:val="en-GB"/>
        </w:rPr>
        <w:t xml:space="preserve"> </w:t>
      </w: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SETTLEMENT STRUCTURE</w:t>
      </w:r>
    </w:p>
    <w:p w:rsidR="00660B5C" w:rsidRPr="00360C75" w:rsidRDefault="00660B5C" w:rsidP="00660B5C">
      <w:pPr>
        <w:pStyle w:val="Default"/>
        <w:jc w:val="center"/>
        <w:rPr>
          <w:b/>
          <w:bCs/>
          <w:color w:val="auto"/>
          <w:sz w:val="20"/>
          <w:szCs w:val="20"/>
          <w:lang w:val="en-GB"/>
        </w:rPr>
      </w:pPr>
    </w:p>
    <w:p w:rsidR="00660B5C" w:rsidRPr="00360C75" w:rsidRDefault="00660B5C" w:rsidP="00660B5C">
      <w:pPr>
        <w:rPr>
          <w:rFonts w:ascii="Arial" w:hAnsi="Arial" w:cs="Arial"/>
          <w:sz w:val="18"/>
          <w:szCs w:val="18"/>
          <w:lang w:val="en-GB"/>
        </w:rPr>
      </w:pPr>
      <w:r>
        <w:rPr>
          <w:rFonts w:ascii="Arial" w:hAnsi="Arial" w:cs="Arial"/>
          <w:bCs/>
          <w:sz w:val="18"/>
          <w:szCs w:val="18"/>
          <w:lang w:val="en-GB"/>
        </w:rPr>
        <w:t xml:space="preserve">The </w:t>
      </w:r>
      <w:r>
        <w:rPr>
          <w:rFonts w:ascii="Arial" w:hAnsi="Arial" w:cs="Arial"/>
          <w:b/>
          <w:bCs/>
          <w:sz w:val="18"/>
          <w:szCs w:val="18"/>
          <w:lang w:val="en-GB"/>
        </w:rPr>
        <w:t>municipality</w:t>
      </w:r>
      <w:r>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660B5C" w:rsidRPr="00360C75" w:rsidRDefault="00660B5C" w:rsidP="00660B5C">
      <w:pPr>
        <w:pStyle w:val="Default"/>
        <w:jc w:val="both"/>
        <w:rPr>
          <w:color w:val="auto"/>
          <w:sz w:val="18"/>
          <w:szCs w:val="18"/>
          <w:lang w:val="en-GB"/>
        </w:rPr>
      </w:pPr>
      <w:r>
        <w:rPr>
          <w:color w:val="auto"/>
          <w:sz w:val="18"/>
          <w:szCs w:val="18"/>
          <w:lang w:val="en-GB"/>
        </w:rPr>
        <w:lastRenderedPageBreak/>
        <w:t xml:space="preserve">The list of </w:t>
      </w:r>
      <w:r>
        <w:rPr>
          <w:b/>
          <w:bCs/>
          <w:color w:val="auto"/>
          <w:sz w:val="18"/>
          <w:szCs w:val="18"/>
          <w:lang w:val="en-GB"/>
        </w:rPr>
        <w:t>municipalities with extended powers</w:t>
      </w:r>
      <w:r>
        <w:rPr>
          <w:iCs/>
          <w:lang w:val="en-GB"/>
        </w:rPr>
        <w:t xml:space="preserve"> </w:t>
      </w:r>
      <w:r>
        <w:rPr>
          <w:color w:val="auto"/>
          <w:sz w:val="18"/>
          <w:szCs w:val="18"/>
          <w:lang w:val="en-GB"/>
        </w:rPr>
        <w:t xml:space="preserve">and of </w:t>
      </w:r>
      <w:r>
        <w:rPr>
          <w:b/>
          <w:bCs/>
          <w:color w:val="auto"/>
          <w:sz w:val="18"/>
          <w:szCs w:val="18"/>
          <w:lang w:val="en-GB"/>
        </w:rPr>
        <w:t>municipalities with authorized municipal authority</w:t>
      </w:r>
      <w:r>
        <w:rPr>
          <w:bCs/>
          <w:iCs/>
          <w:lang w:val="en-GB"/>
        </w:rPr>
        <w:t xml:space="preserve"> </w:t>
      </w:r>
      <w:r>
        <w:rPr>
          <w:bCs/>
          <w:color w:val="auto"/>
          <w:sz w:val="18"/>
          <w:szCs w:val="18"/>
          <w:lang w:val="en-GB"/>
        </w:rPr>
        <w:t>was established by the Act</w:t>
      </w:r>
      <w:r>
        <w:rPr>
          <w:b/>
          <w:bCs/>
          <w:color w:val="auto"/>
          <w:sz w:val="18"/>
          <w:szCs w:val="18"/>
          <w:lang w:val="en-GB"/>
        </w:rPr>
        <w:t xml:space="preserve"> </w:t>
      </w:r>
      <w:r>
        <w:rPr>
          <w:color w:val="auto"/>
          <w:sz w:val="18"/>
          <w:szCs w:val="18"/>
          <w:lang w:val="en-GB"/>
        </w:rPr>
        <w:t xml:space="preserve">No 314/2002 Sb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Sb establishing administrative districts of municipalities with authorised municipal authority and administrative districts of municipalities with extended powers. . As at 1 January 2005, which administrative district competence a municipality falls in </w:t>
      </w:r>
      <w:proofErr w:type="gramStart"/>
      <w:r>
        <w:rPr>
          <w:color w:val="auto"/>
          <w:sz w:val="18"/>
          <w:szCs w:val="18"/>
          <w:lang w:val="en-GB"/>
        </w:rPr>
        <w:t>was  adjusted</w:t>
      </w:r>
      <w:proofErr w:type="gramEnd"/>
      <w:r>
        <w:rPr>
          <w:color w:val="auto"/>
          <w:sz w:val="18"/>
          <w:szCs w:val="18"/>
          <w:lang w:val="en-GB"/>
        </w:rPr>
        <w:t xml:space="preserve"> and determined by the Decree of the Ministry of the Interior No 388/2004 Sb of 24 June 2004 amending the Decree of the Ministry of the Interior No 388/2002 Sb of 15 August 2002 establishing administrative districts of municipalities with authorised municipal authority and administrative districts of municipalities with extended powers.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 xml:space="preserve">(there are 26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urbanistic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The Act of the Czech National Council No 114/1992 Sb,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parks are large areas unique at the national or international scales, major parts of which are occupied by natural or nature-close ecosystems where species of flora and fauna, and abiotic nature are of extraordinary scientific and educational importance;</w:t>
      </w:r>
    </w:p>
    <w:p w:rsidR="00660B5C" w:rsidRPr="00360C75"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case may be, preserved monuments of historical settlements.</w:t>
      </w:r>
    </w:p>
    <w:p w:rsidR="00660B5C" w:rsidRPr="00360C75" w:rsidRDefault="00660B5C" w:rsidP="00660B5C">
      <w:pPr>
        <w:pStyle w:val="RtextmetodikaA"/>
        <w:spacing w:after="0"/>
        <w:rPr>
          <w:rFonts w:cs="Arial"/>
          <w:b/>
          <w:i w:val="0"/>
          <w:color w:val="000000"/>
        </w:rPr>
      </w:pPr>
      <w:r>
        <w:rPr>
          <w:rFonts w:cs="Arial"/>
          <w:b/>
          <w:bCs/>
          <w:i w:val="0"/>
          <w:color w:val="000000"/>
        </w:rPr>
        <w:t>Small-size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lastRenderedPageBreak/>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Since 2007 the areas of specially protected areas has been given according to respective decrees to the Act on Nature Conservation and Landscape Protection.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Register of Emissions and Air Pollution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Hydrometeorological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sz w:val="18"/>
          <w:szCs w:val="20"/>
          <w:lang w:val="en-GB"/>
        </w:rPr>
      </w:pPr>
      <w:r>
        <w:rPr>
          <w:b/>
          <w:bCs/>
          <w:sz w:val="18"/>
          <w:szCs w:val="20"/>
          <w:lang w:val="en-GB"/>
        </w:rPr>
        <w:t>Waste</w:t>
      </w:r>
      <w:r>
        <w:rPr>
          <w:sz w:val="18"/>
          <w:szCs w:val="20"/>
          <w:lang w:val="en-GB"/>
        </w:rPr>
        <w:t xml:space="preserve"> shall mean any movable thing which its owner disposes of or intends to dispose of or has the duty to dispose of.</w:t>
      </w:r>
    </w:p>
    <w:p w:rsidR="00660B5C" w:rsidRPr="00360C75" w:rsidRDefault="00660B5C" w:rsidP="00660B5C">
      <w:pPr>
        <w:pStyle w:val="Default"/>
        <w:jc w:val="both"/>
        <w:rPr>
          <w:sz w:val="18"/>
          <w:szCs w:val="20"/>
          <w:lang w:val="en-GB"/>
        </w:rPr>
      </w:pPr>
    </w:p>
    <w:p w:rsidR="00660B5C" w:rsidRPr="00360C75" w:rsidRDefault="00660B5C" w:rsidP="00660B5C">
      <w:pPr>
        <w:pStyle w:val="RtextmetodikaA"/>
        <w:rPr>
          <w:rStyle w:val="Siln"/>
          <w:rFonts w:eastAsiaTheme="majorEastAsia"/>
          <w:i w:val="0"/>
        </w:rPr>
      </w:pPr>
      <w:r w:rsidRPr="001B63CA">
        <w:rPr>
          <w:rFonts w:cs="Arial"/>
          <w:bCs/>
          <w:i w:val="0"/>
          <w:color w:val="000000"/>
        </w:rPr>
        <w:t xml:space="preserve">The </w:t>
      </w:r>
      <w:r w:rsidRPr="001B63CA">
        <w:rPr>
          <w:rFonts w:cs="Arial"/>
          <w:b/>
          <w:bCs/>
          <w:i w:val="0"/>
          <w:color w:val="000000"/>
        </w:rPr>
        <w:t>municipal waste</w:t>
      </w:r>
      <w:r w:rsidRPr="001B63CA">
        <w:rPr>
          <w:rFonts w:cs="Arial"/>
          <w:i w:val="0"/>
          <w:color w:val="000000"/>
        </w:rPr>
        <w:t xml:space="preserve"> shall mean the household waste and similar waste according to the </w:t>
      </w:r>
      <w:r w:rsidRPr="001B63CA">
        <w:rPr>
          <w:rStyle w:val="Siln"/>
          <w:rFonts w:eastAsiaTheme="majorEastAsia"/>
          <w:i w:val="0"/>
        </w:rPr>
        <w:t>Commission Decision of 18 November 2011 establishing rules and calculation methods for verifying compliance with the targets set in Article 11(2) of Directive 2008/98/EC of the European Parliament and of the Council (notified under document C(2011) 8165). The household waste means waste generated by households and similar waste means waste in nature and composition comparable to household waste, excluding production waste and waste from agriculture and forestry.</w:t>
      </w:r>
    </w:p>
    <w:p w:rsidR="00660B5C" w:rsidRPr="00360C75" w:rsidRDefault="00660B5C" w:rsidP="00660B5C">
      <w:pPr>
        <w:pStyle w:val="Default"/>
        <w:jc w:val="both"/>
        <w:rPr>
          <w:b/>
          <w:bCs/>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Since 2004 there has been a more precise definition of sewerage and of water invoiced to households due to an amendment to the Decree No 428/2001 Sb establishing execution of the Act No 274/2001 Sb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sources. Since 2011, data on the population size and </w:t>
      </w:r>
      <w:r>
        <w:rPr>
          <w:color w:val="auto"/>
          <w:sz w:val="18"/>
          <w:szCs w:val="18"/>
          <w:lang w:val="en-GB"/>
        </w:rPr>
        <w:t>distribution</w:t>
      </w:r>
      <w:r w:rsidRPr="005D69FA">
        <w:rPr>
          <w:color w:val="auto"/>
          <w:sz w:val="18"/>
          <w:szCs w:val="18"/>
          <w:lang w:val="en-GB"/>
        </w:rPr>
        <w:t xml:space="preserve"> follow the final results of the 2011 Population and Housing Census as at 26 March 2011;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200</w:t>
      </w:r>
      <w:r>
        <w:rPr>
          <w:color w:val="auto"/>
          <w:sz w:val="18"/>
          <w:szCs w:val="18"/>
          <w:lang w:val="en-GB"/>
        </w:rPr>
        <w:t>1</w:t>
      </w:r>
      <w:r w:rsidRPr="005D69FA">
        <w:rPr>
          <w:color w:val="auto"/>
          <w:sz w:val="18"/>
          <w:szCs w:val="18"/>
          <w:lang w:val="en-GB"/>
        </w:rPr>
        <w:t xml:space="preserve"> data on the population followed the Census results as at 3 March 1991, from 2001 to 2010 they followed the Census results as at 1 March 2001).</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 xml:space="preserve">All data refer to the population permanently resident on the given territory, irrespective of the citizenship. Since </w:t>
      </w:r>
      <w:r>
        <w:rPr>
          <w:color w:val="auto"/>
          <w:sz w:val="18"/>
          <w:szCs w:val="18"/>
          <w:lang w:val="en-GB"/>
        </w:rPr>
        <w:t>2001 the following are included: foreigners with asylum granted and foreigners with visa for stay over 90 days.</w:t>
      </w:r>
      <w:r w:rsidRPr="005D69FA">
        <w:rPr>
          <w:color w:val="auto"/>
          <w:sz w:val="18"/>
          <w:szCs w:val="18"/>
          <w:lang w:val="en-GB"/>
        </w:rPr>
        <w:t xml:space="preserve"> </w:t>
      </w:r>
      <w:r>
        <w:rPr>
          <w:color w:val="auto"/>
          <w:sz w:val="18"/>
          <w:szCs w:val="18"/>
          <w:lang w:val="en-GB"/>
        </w:rPr>
        <w:t>Since 1 May 2004, EU nationals with temporary residence and third-country nationals with</w:t>
      </w:r>
      <w:r w:rsidRPr="005C33DB">
        <w:rPr>
          <w:color w:val="auto"/>
          <w:sz w:val="18"/>
          <w:szCs w:val="18"/>
          <w:lang w:val="en-GB"/>
        </w:rPr>
        <w:t xml:space="preserve"> a long</w:t>
      </w:r>
      <w:r>
        <w:rPr>
          <w:color w:val="auto"/>
          <w:sz w:val="18"/>
          <w:szCs w:val="18"/>
          <w:lang w:val="en-GB"/>
        </w:rPr>
        <w:t>-term residence permit on the territory of the Czech Republic are also included.</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id-year population</w:t>
      </w:r>
      <w:r w:rsidRPr="005D69FA">
        <w:rPr>
          <w:color w:val="auto"/>
          <w:sz w:val="18"/>
          <w:szCs w:val="18"/>
          <w:lang w:val="en-GB"/>
        </w:rPr>
        <w:t xml:space="preserve"> is the population of the given territory balanced as at 1 July of the reference year.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atural change</w:t>
      </w:r>
      <w:r w:rsidRPr="005D69FA">
        <w:rPr>
          <w:color w:val="auto"/>
          <w:sz w:val="18"/>
          <w:szCs w:val="18"/>
          <w:lang w:val="en-GB"/>
        </w:rPr>
        <w:t xml:space="preserve"> </w:t>
      </w:r>
      <w:r>
        <w:rPr>
          <w:color w:val="auto"/>
          <w:sz w:val="18"/>
          <w:szCs w:val="18"/>
          <w:lang w:val="en-GB"/>
        </w:rPr>
        <w:t>or natural</w:t>
      </w:r>
      <w:r w:rsidRPr="005D69FA">
        <w:rPr>
          <w:color w:val="auto"/>
          <w:sz w:val="18"/>
          <w:szCs w:val="18"/>
          <w:lang w:val="en-GB"/>
        </w:rPr>
        <w:t xml:space="preserve"> population</w:t>
      </w:r>
      <w:r>
        <w:rPr>
          <w:color w:val="auto"/>
          <w:sz w:val="18"/>
          <w:szCs w:val="18"/>
          <w:lang w:val="en-GB"/>
        </w:rPr>
        <w:t xml:space="preserve"> change</w:t>
      </w:r>
      <w:r w:rsidRPr="005D69FA">
        <w:rPr>
          <w:color w:val="auto"/>
          <w:sz w:val="18"/>
          <w:szCs w:val="18"/>
          <w:lang w:val="en-GB"/>
        </w:rPr>
        <w:t xml:space="preserve"> is the </w:t>
      </w:r>
      <w:r>
        <w:rPr>
          <w:color w:val="auto"/>
          <w:sz w:val="18"/>
          <w:szCs w:val="18"/>
          <w:lang w:val="en-GB"/>
        </w:rPr>
        <w:t>number of</w:t>
      </w:r>
      <w:r w:rsidRPr="005D69FA">
        <w:rPr>
          <w:color w:val="auto"/>
          <w:sz w:val="18"/>
          <w:szCs w:val="18"/>
          <w:lang w:val="en-GB"/>
        </w:rPr>
        <w:t xml:space="preserve"> live births </w:t>
      </w:r>
      <w:r>
        <w:rPr>
          <w:color w:val="auto"/>
          <w:sz w:val="18"/>
          <w:szCs w:val="18"/>
          <w:lang w:val="en-GB"/>
        </w:rPr>
        <w:t>minus</w:t>
      </w:r>
      <w:r w:rsidRPr="005D69FA">
        <w:rPr>
          <w:color w:val="auto"/>
          <w:sz w:val="18"/>
          <w:szCs w:val="18"/>
          <w:lang w:val="en-GB"/>
        </w:rPr>
        <w:t xml:space="preserve"> the number of deaths.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t</w:t>
      </w:r>
      <w:r w:rsidRPr="005D69FA">
        <w:rPr>
          <w:b/>
          <w:color w:val="auto"/>
          <w:sz w:val="18"/>
          <w:szCs w:val="18"/>
          <w:lang w:val="en-GB"/>
        </w:rPr>
        <w:t>otal population change</w:t>
      </w:r>
      <w:r w:rsidRPr="005D69FA">
        <w:rPr>
          <w:color w:val="auto"/>
          <w:sz w:val="18"/>
          <w:szCs w:val="18"/>
          <w:lang w:val="en-GB"/>
        </w:rPr>
        <w:t xml:space="preserve"> is the sum of the natural change and net migration.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igration</w:t>
      </w:r>
      <w:r w:rsidRPr="005D69FA">
        <w:rPr>
          <w:color w:val="auto"/>
          <w:sz w:val="18"/>
          <w:szCs w:val="18"/>
          <w:lang w:val="en-GB"/>
        </w:rPr>
        <w:t xml:space="preserve"> is a change of permanent residence or long-term residence of a person </w:t>
      </w:r>
      <w:r>
        <w:rPr>
          <w:color w:val="auto"/>
          <w:sz w:val="18"/>
          <w:szCs w:val="18"/>
          <w:lang w:val="en-GB"/>
        </w:rPr>
        <w:t>across</w:t>
      </w:r>
      <w:r w:rsidRPr="005D69FA">
        <w:rPr>
          <w:color w:val="auto"/>
          <w:sz w:val="18"/>
          <w:szCs w:val="18"/>
          <w:lang w:val="en-GB"/>
        </w:rPr>
        <w:t xml:space="preserve"> the border of </w:t>
      </w:r>
      <w:r>
        <w:rPr>
          <w:color w:val="auto"/>
          <w:sz w:val="18"/>
          <w:szCs w:val="18"/>
          <w:lang w:val="en-GB"/>
        </w:rPr>
        <w:t>a</w:t>
      </w:r>
      <w:r w:rsidRPr="005D69FA">
        <w:rPr>
          <w:color w:val="auto"/>
          <w:sz w:val="18"/>
          <w:szCs w:val="18"/>
          <w:lang w:val="en-GB"/>
        </w:rPr>
        <w:t xml:space="preserve"> given territory. The CZSO receives the data on migration from information systems of the Ministry of the Interior and the Directorate of the Alien Police Service.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abortions</w:t>
      </w:r>
      <w:r w:rsidRPr="005D69FA">
        <w:rPr>
          <w:color w:val="auto"/>
          <w:sz w:val="18"/>
          <w:szCs w:val="18"/>
          <w:lang w:val="en-GB"/>
        </w:rPr>
        <w:t xml:space="preserve"> are compiled from a set of individual data </w:t>
      </w:r>
      <w:r>
        <w:rPr>
          <w:color w:val="auto"/>
          <w:sz w:val="18"/>
          <w:szCs w:val="18"/>
          <w:lang w:val="en-GB"/>
        </w:rPr>
        <w:t>taken over</w:t>
      </w:r>
      <w:r w:rsidRPr="005D69FA">
        <w:rPr>
          <w:color w:val="auto"/>
          <w:sz w:val="18"/>
          <w:szCs w:val="18"/>
          <w:lang w:val="en-GB"/>
        </w:rPr>
        <w:t xml:space="preserve"> by the CZSO from the Institute of Health Information and Statistics</w:t>
      </w:r>
      <w:r>
        <w:rPr>
          <w:color w:val="auto"/>
          <w:sz w:val="18"/>
          <w:szCs w:val="18"/>
          <w:lang w:val="en-GB"/>
        </w:rPr>
        <w:t xml:space="preserve"> of the CR</w:t>
      </w:r>
      <w:r w:rsidRPr="005D69FA">
        <w:rPr>
          <w:color w:val="auto"/>
          <w:sz w:val="18"/>
          <w:szCs w:val="18"/>
          <w:lang w:val="en-GB"/>
        </w:rPr>
        <w:t xml:space="preserve">. </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Since 2013, data on causes of death are taken over from the Death certificate (Report on examination of the deceased person) via the Institute of Health Information and Statistics of the </w:t>
      </w:r>
      <w:r>
        <w:rPr>
          <w:color w:val="auto"/>
          <w:sz w:val="18"/>
          <w:szCs w:val="18"/>
          <w:lang w:val="en-GB"/>
        </w:rPr>
        <w:t>CR</w:t>
      </w:r>
      <w:r w:rsidRPr="005D69FA">
        <w:rPr>
          <w:color w:val="auto"/>
          <w:sz w:val="18"/>
          <w:szCs w:val="18"/>
          <w:lang w:val="en-GB"/>
        </w:rPr>
        <w:t xml:space="preserv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place of residence of the spouses. The CZSO receives the data from the information system of the Ministry of Justice.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on wages paid in </w:t>
      </w:r>
      <w:r>
        <w:rPr>
          <w:rFonts w:cs="Arial"/>
          <w:i w:val="0"/>
          <w:color w:val="000000"/>
          <w:szCs w:val="18"/>
        </w:rPr>
        <w:t>respective</w:t>
      </w:r>
      <w:r w:rsidRPr="005D69FA">
        <w:rPr>
          <w:rFonts w:cs="Arial"/>
          <w:i w:val="0"/>
          <w:color w:val="000000"/>
          <w:szCs w:val="18"/>
        </w:rPr>
        <w:t xml:space="preserve"> regions.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Regional macroeconomic indicators are revised in harmony with the revisions of annual national accounts. Update data include results of an occasional revision of the annual national accounts in 2014 related to the transition to the new EU accounting framework (European System of National and Regional Accounts, ESA 2010). </w:t>
      </w:r>
    </w:p>
    <w:p w:rsidR="00660B5C" w:rsidRDefault="00660B5C" w:rsidP="00660B5C">
      <w:pPr>
        <w:pStyle w:val="Default"/>
        <w:jc w:val="both"/>
        <w:rPr>
          <w:color w:val="auto"/>
          <w:sz w:val="18"/>
          <w:szCs w:val="18"/>
          <w:lang w:val="en-GB"/>
        </w:rPr>
      </w:pPr>
    </w:p>
    <w:p w:rsidR="00660B5C" w:rsidRDefault="00660B5C" w:rsidP="00660B5C">
      <w:pPr>
        <w:pStyle w:val="Default"/>
        <w:jc w:val="center"/>
        <w:rPr>
          <w:b/>
          <w:bCs/>
          <w:color w:val="auto"/>
          <w:sz w:val="20"/>
          <w:szCs w:val="20"/>
          <w:lang w:val="en-GB"/>
        </w:rPr>
      </w:pPr>
    </w:p>
    <w:p w:rsidR="00D21672" w:rsidRDefault="00D21672"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lastRenderedPageBreak/>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Eurostat,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over 24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360C75"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w:t>
      </w:r>
      <w:proofErr w:type="gramStart"/>
      <w:r w:rsidRPr="001B63CA">
        <w:rPr>
          <w:rFonts w:cs="Arial"/>
          <w:i w:val="0"/>
          <w:color w:val="000000"/>
        </w:rPr>
        <w:t>,</w:t>
      </w:r>
      <w:proofErr w:type="gramEnd"/>
      <w:r w:rsidRPr="001B63CA">
        <w:rPr>
          <w:rFonts w:cs="Arial"/>
          <w:i w:val="0"/>
          <w:color w:val="000000"/>
        </w:rPr>
        <w:t xml:space="preserve">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Sb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F94BA0" w:rsidRDefault="00F94BA0" w:rsidP="00660B5C">
      <w:pPr>
        <w:pStyle w:val="Default"/>
        <w:jc w:val="center"/>
        <w:rPr>
          <w:b/>
          <w:color w:val="auto"/>
          <w:sz w:val="20"/>
          <w:szCs w:val="20"/>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lastRenderedPageBreak/>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the numbers of employees 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employees of businesses, which are not statistically measured. </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Pr="001B63CA">
        <w:rPr>
          <w:rFonts w:cs="Arial"/>
          <w:bCs/>
          <w:i w:val="0"/>
          <w:color w:val="000000"/>
        </w:rPr>
        <w:t xml:space="preserve"> (effective since 1 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ORGANIZATIONAL STATISTICS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i w:val="0"/>
        </w:rPr>
      </w:pPr>
      <w:r w:rsidRPr="005D69FA">
        <w:rPr>
          <w:i w:val="0"/>
        </w:rPr>
        <w:t xml:space="preserve">Organizational statistics draws data from the </w:t>
      </w:r>
      <w:r w:rsidRPr="005D69FA">
        <w:rPr>
          <w:b/>
          <w:i w:val="0"/>
        </w:rPr>
        <w:t>Statistical Business Register</w:t>
      </w:r>
      <w:r>
        <w:rPr>
          <w:b/>
          <w:i w:val="0"/>
        </w:rPr>
        <w:t xml:space="preserve"> </w:t>
      </w:r>
      <w:r>
        <w:rPr>
          <w:i w:val="0"/>
        </w:rPr>
        <w:t>(RES)</w:t>
      </w:r>
      <w:r w:rsidRPr="005D69FA">
        <w:rPr>
          <w:i w:val="0"/>
        </w:rPr>
        <w:t>. The Statistical Business Register is a public list, which is made and maintained by the CZSO pursuant to the Act No 89/1995 Sb,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Pr>
          <w:i w:val="0"/>
        </w:rPr>
        <w:t xml:space="preserve"> (ROS)</w:t>
      </w:r>
      <w:r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(Societas Europaea,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(Societas Cooperativa Europaea, SCE). </w:t>
      </w:r>
    </w:p>
    <w:p w:rsidR="00660B5C" w:rsidRPr="005D69FA" w:rsidRDefault="00660B5C" w:rsidP="00660B5C">
      <w:pPr>
        <w:pStyle w:val="RtextmetodikaA"/>
        <w:rPr>
          <w:rFonts w:cs="Arial"/>
          <w:bCs/>
          <w:i w:val="0"/>
          <w:color w:val="000000"/>
          <w:szCs w:val="18"/>
        </w:rPr>
      </w:pPr>
      <w:r w:rsidRPr="005D69FA">
        <w:rPr>
          <w:i w:val="0"/>
          <w:szCs w:val="18"/>
        </w:rPr>
        <w:t xml:space="preserve">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breakdown of the Statistical Business Register by </w:t>
      </w:r>
      <w:r w:rsidRPr="005D69FA">
        <w:rPr>
          <w:b/>
          <w:color w:val="auto"/>
          <w:sz w:val="18"/>
          <w:szCs w:val="18"/>
          <w:lang w:val="en-GB"/>
        </w:rPr>
        <w:t>principal activity</w:t>
      </w:r>
      <w:r w:rsidRPr="005D69FA">
        <w:rPr>
          <w:color w:val="auto"/>
          <w:sz w:val="18"/>
          <w:szCs w:val="18"/>
          <w:lang w:val="en-GB"/>
        </w:rPr>
        <w:t xml:space="preserve"> corresponds to sections of the </w:t>
      </w:r>
      <w:r w:rsidRPr="005D69FA">
        <w:rPr>
          <w:b/>
          <w:color w:val="auto"/>
          <w:sz w:val="18"/>
          <w:szCs w:val="18"/>
          <w:lang w:val="en-GB"/>
        </w:rPr>
        <w:t>Classification of Economic Activities (CZ-NACE)</w:t>
      </w:r>
      <w:r w:rsidRPr="005D69FA">
        <w:rPr>
          <w:color w:val="auto"/>
          <w:sz w:val="18"/>
          <w:szCs w:val="18"/>
          <w:lang w:val="en-GB"/>
        </w:rPr>
        <w:t>.</w:t>
      </w:r>
    </w:p>
    <w:p w:rsidR="00660B5C" w:rsidRPr="00360C75" w:rsidRDefault="00660B5C" w:rsidP="00660B5C">
      <w:pPr>
        <w:pStyle w:val="Default"/>
        <w:jc w:val="both"/>
        <w:rPr>
          <w:color w:val="auto"/>
          <w:sz w:val="18"/>
          <w:szCs w:val="18"/>
          <w:lang w:val="en-GB"/>
        </w:rPr>
      </w:pPr>
      <w:r w:rsidRPr="005D69FA">
        <w:rPr>
          <w:color w:val="auto"/>
          <w:sz w:val="18"/>
          <w:szCs w:val="18"/>
          <w:lang w:val="en-GB"/>
        </w:rPr>
        <w:t xml:space="preserve">A </w:t>
      </w:r>
      <w:r w:rsidRPr="005D69FA">
        <w:rPr>
          <w:b/>
          <w:color w:val="auto"/>
          <w:sz w:val="18"/>
          <w:szCs w:val="18"/>
          <w:lang w:val="en-GB"/>
        </w:rPr>
        <w:t>business with identified activity</w:t>
      </w:r>
      <w:r w:rsidRPr="005D69FA">
        <w:rPr>
          <w:color w:val="auto"/>
          <w:sz w:val="18"/>
          <w:szCs w:val="18"/>
          <w:lang w:val="en-GB"/>
        </w:rPr>
        <w:t xml:space="preserve"> is that, which reports economic activity according to information from statistical surveys or administrative data sources.</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lastRenderedPageBreak/>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for the agricultural production and also land, which has been and shall be utilised for agriculture, yet temporarily is not in such usage. </w:t>
      </w:r>
    </w:p>
    <w:p w:rsidR="00660B5C" w:rsidRPr="00360C75" w:rsidRDefault="00660B5C" w:rsidP="00660B5C">
      <w:pPr>
        <w:pStyle w:val="RtextmetodikaA"/>
        <w:rPr>
          <w:rFonts w:cs="Arial"/>
          <w:i w:val="0"/>
          <w:color w:val="000000"/>
        </w:rPr>
      </w:pPr>
      <w:r>
        <w:rPr>
          <w:rFonts w:cs="Arial"/>
          <w:b/>
          <w:bCs/>
          <w:i w:val="0"/>
          <w:color w:val="000000"/>
        </w:rPr>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w:t>
      </w:r>
      <w:proofErr w:type="gramStart"/>
      <w:r w:rsidRPr="001B63CA">
        <w:rPr>
          <w:rFonts w:cs="Arial"/>
          <w:i w:val="0"/>
          <w:color w:val="000000"/>
        </w:rPr>
        <w:t>The</w:t>
      </w:r>
      <w:r w:rsidRPr="001B63CA">
        <w:rPr>
          <w:rFonts w:cs="Arial"/>
          <w:bCs/>
          <w:i w:val="0"/>
          <w:color w:val="000000"/>
        </w:rPr>
        <w:t xml:space="preserve"> </w:t>
      </w:r>
      <w:r>
        <w:rPr>
          <w:rFonts w:cs="Arial"/>
          <w:b/>
          <w:bCs/>
          <w:i w:val="0"/>
          <w:color w:val="000000"/>
        </w:rPr>
        <w:t>per</w:t>
      </w:r>
      <w:proofErr w:type="gramEnd"/>
      <w:r>
        <w:rPr>
          <w:rFonts w:cs="Arial"/>
          <w:b/>
          <w:bCs/>
          <w:i w:val="0"/>
          <w:color w:val="000000"/>
        </w:rPr>
        <w:t xml:space="preserve">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and permanent grasslands areas.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r>
        <w:rPr>
          <w:rFonts w:cs="Arial"/>
          <w:bCs/>
          <w:i w:val="0"/>
          <w:color w:val="000000"/>
        </w:rPr>
        <w:t>poultry</w:t>
      </w:r>
      <w:r w:rsidRPr="001B63CA">
        <w:rPr>
          <w:rFonts w:cs="Arial"/>
          <w:bCs/>
          <w:i w:val="0"/>
          <w:color w:val="000000"/>
        </w:rPr>
        <w:t>meat)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 xml:space="preserve">is given for reporting units covered by the sample survey (with no grossing-up to the whole agricultural </w:t>
      </w:r>
      <w:proofErr w:type="gramStart"/>
      <w:r w:rsidRPr="001B63CA">
        <w:rPr>
          <w:i w:val="0"/>
        </w:rPr>
        <w:t>industry, that</w:t>
      </w:r>
      <w:proofErr w:type="gramEnd"/>
      <w:r w:rsidRPr="001B63CA">
        <w:rPr>
          <w:i w:val="0"/>
        </w:rPr>
        <w:t xml:space="preserve">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r>
        <w:rPr>
          <w:rFonts w:cs="Arial"/>
          <w:b/>
          <w:bCs/>
          <w:i w:val="0"/>
          <w:color w:val="000000"/>
        </w:rPr>
        <w:t>Afforestation/reforestation</w:t>
      </w:r>
      <w:r w:rsidRPr="001B63CA">
        <w:rPr>
          <w:rFonts w:cs="Arial"/>
          <w:i w:val="0"/>
          <w:color w:val="000000"/>
        </w:rPr>
        <w:t xml:space="preserve"> shall mean the artificial afforestation, i.e. planting and sowing of forests (the natural forest regeneration is excluded), which includes, besides areas forested for the first time, also improvements and additions to forest cultures and natural seeding areas converted to the area of fully forested land. Roundwood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roundwood removals include also dry trees, sporadic windfalls, blowdowns,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silvicultural measures in premature stands. The thinning is carried out by removing from the stand trees, which are economically inappropriate and undesirable in favour of the crop trees. </w:t>
      </w:r>
    </w:p>
    <w:p w:rsidR="00660B5C" w:rsidRPr="00360C75" w:rsidRDefault="00660B5C" w:rsidP="00660B5C">
      <w:pPr>
        <w:pStyle w:val="RtextmetodikaA"/>
        <w:rPr>
          <w:rFonts w:cs="Arial"/>
          <w:i w:val="0"/>
          <w:iCs/>
          <w:color w:val="000000"/>
        </w:rPr>
      </w:pPr>
      <w:r w:rsidRPr="001B63CA">
        <w:rPr>
          <w:rFonts w:cs="Arial"/>
          <w:i w:val="0"/>
          <w:color w:val="000000"/>
        </w:rPr>
        <w:t>Table also contains data on</w:t>
      </w:r>
      <w:r w:rsidRPr="000E7C84">
        <w:rPr>
          <w:rFonts w:cs="Arial"/>
          <w:b/>
          <w:i w:val="0"/>
          <w:color w:val="000000"/>
        </w:rPr>
        <w:t xml:space="preserve"> gamekeeping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p>
    <w:p w:rsidR="00660B5C" w:rsidRPr="00360C75" w:rsidRDefault="007235EC" w:rsidP="00660B5C">
      <w:pPr>
        <w:pStyle w:val="Default"/>
        <w:jc w:val="center"/>
        <w:rPr>
          <w:b/>
          <w:bCs/>
          <w:color w:val="auto"/>
          <w:sz w:val="20"/>
          <w:szCs w:val="20"/>
          <w:lang w:val="en-GB"/>
        </w:rPr>
      </w:pPr>
      <w:r>
        <w:rPr>
          <w:b/>
          <w:bCs/>
          <w:color w:val="auto"/>
          <w:sz w:val="20"/>
          <w:szCs w:val="20"/>
          <w:lang w:val="en-GB"/>
        </w:rPr>
        <w:lastRenderedPageBreak/>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 building</w:t>
      </w:r>
      <w:r w:rsidRPr="001B63CA">
        <w:rPr>
          <w:rFonts w:cs="Arial"/>
          <w:bCs/>
          <w:i w:val="0"/>
          <w:color w:val="000000"/>
        </w:rPr>
        <w:t xml:space="preserve"> notifications, constructions permitted on the basis of a public contract, and constructions permitted in the shortened building proceedings by an authorised inspector, which have been granted and registered by a competent building authority in the sense of the Act No 183/2006 Sb on land-use planning and Construction Code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660B5C" w:rsidRPr="00360C75" w:rsidRDefault="00660B5C" w:rsidP="00660B5C">
      <w:pPr>
        <w:pStyle w:val="RtextmetodikaA"/>
        <w:rPr>
          <w:rFonts w:cs="Arial"/>
          <w:i w:val="0"/>
          <w:color w:val="000000"/>
        </w:rPr>
      </w:pPr>
      <w:r w:rsidRPr="001B63CA">
        <w:rPr>
          <w:rFonts w:cs="Arial"/>
          <w:i w:val="0"/>
          <w:color w:val="000000"/>
        </w:rPr>
        <w:t xml:space="preserve">Data on </w:t>
      </w:r>
      <w:r>
        <w:rPr>
          <w:rFonts w:cs="Arial"/>
          <w:b/>
          <w:bCs/>
          <w:i w:val="0"/>
          <w:color w:val="000000"/>
        </w:rPr>
        <w:t>housing construction</w:t>
      </w:r>
      <w:r w:rsidRPr="001B63CA">
        <w:rPr>
          <w:rFonts w:cs="Arial"/>
          <w:i w:val="0"/>
          <w:color w:val="000000"/>
        </w:rPr>
        <w:t xml:space="preserve"> include construction of new dwellings on the given territory by means of all types of construction activities. The </w:t>
      </w:r>
      <w:r>
        <w:rPr>
          <w:rFonts w:cs="Arial"/>
          <w:b/>
          <w:bCs/>
          <w:i w:val="0"/>
          <w:color w:val="000000"/>
        </w:rPr>
        <w:t>dwelling</w:t>
      </w:r>
      <w:r w:rsidRPr="001B63CA">
        <w:rPr>
          <w:rFonts w:cs="Arial"/>
          <w:i w:val="0"/>
          <w:color w:val="000000"/>
        </w:rPr>
        <w:t xml:space="preserve"> shall mean one room or a set of rooms designed for living by the planning and building control authority decisions and can serve the purpose as independent dwelling units. </w:t>
      </w:r>
      <w:r>
        <w:rPr>
          <w:rFonts w:cs="Arial"/>
          <w:b/>
          <w:bCs/>
          <w:i w:val="0"/>
          <w:color w:val="000000"/>
        </w:rPr>
        <w:t>Dwellings started</w:t>
      </w:r>
      <w:r w:rsidRPr="001B63CA">
        <w:rPr>
          <w:rFonts w:cs="Arial"/>
          <w:i w:val="0"/>
          <w:color w:val="000000"/>
        </w:rPr>
        <w:t xml:space="preserve"> are since 2006 dwellings in buildings which construction was permitted in the reference period by building permits have been granted. Since 2007 these shall mean dwellings construction of which commenced on the basis of building permit granted or building notifications. It does not matter whether they were completed in the reference period or not. </w:t>
      </w:r>
      <w:r>
        <w:rPr>
          <w:rFonts w:cs="Arial"/>
          <w:b/>
          <w:bCs/>
          <w:i w:val="0"/>
          <w:color w:val="000000"/>
        </w:rPr>
        <w:t>Dwellings completed</w:t>
      </w:r>
      <w:r w:rsidRPr="001B63CA">
        <w:rPr>
          <w:rFonts w:cs="Arial"/>
          <w:i w:val="0"/>
          <w:color w:val="000000"/>
        </w:rPr>
        <w:t xml:space="preserve"> are dwellings, for which the competent planning and building control authorities issued approvals pursuant to the Construction Act, as amended by the end of the reference period.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lastRenderedPageBreak/>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660B5C">
      <w:pPr>
        <w:pStyle w:val="RtextmetodikaA"/>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from a separate annual survey carried out as personal interview of a sample of approx. 10 000 individuals aged 16+ years. Results thereof are then grossed up to the whole population of the Czech Republic. 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PC/Internet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kbit/s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proofErr w:type="gramStart"/>
      <w:r w:rsidRPr="005D69FA">
        <w:rPr>
          <w:b/>
          <w:bCs/>
          <w:i w:val="0"/>
          <w:lang w:val="en-GB"/>
        </w:rPr>
        <w:t>other</w:t>
      </w:r>
      <w:proofErr w:type="gramEnd"/>
      <w:r w:rsidRPr="005D69FA">
        <w:rPr>
          <w:b/>
          <w:bCs/>
          <w:i w:val="0"/>
          <w:lang w:val="en-GB"/>
        </w:rPr>
        <w:t xml:space="preserve">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Pr="005D69FA" w:rsidRDefault="00660B5C" w:rsidP="00660B5C">
      <w:pPr>
        <w:pStyle w:val="RtextmetodikaA"/>
        <w:rPr>
          <w:i w:val="0"/>
        </w:rPr>
      </w:pPr>
      <w:r w:rsidRPr="005D69FA">
        <w:rPr>
          <w:i w:val="0"/>
        </w:rPr>
        <w:lastRenderedPageBreak/>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660B5C" w:rsidRDefault="00660B5C" w:rsidP="00660B5C">
      <w:pPr>
        <w:pStyle w:val="Default"/>
        <w:jc w:val="both"/>
        <w:rPr>
          <w:color w:val="auto"/>
          <w:sz w:val="18"/>
          <w:szCs w:val="18"/>
          <w:lang w:val="en-GB"/>
        </w:rPr>
      </w:pPr>
      <w:r w:rsidRPr="005C33DB">
        <w:rPr>
          <w:sz w:val="18"/>
          <w:szCs w:val="18"/>
          <w:lang w:val="en-GB"/>
        </w:rPr>
        <w:t xml:space="preserve">The population size and numbers of females with </w:t>
      </w:r>
      <w:r w:rsidRPr="005C33DB">
        <w:rPr>
          <w:b/>
          <w:sz w:val="18"/>
          <w:szCs w:val="18"/>
          <w:lang w:val="en-GB"/>
        </w:rPr>
        <w:t>tertiary education</w:t>
      </w:r>
      <w:r w:rsidRPr="005C33DB">
        <w:rPr>
          <w:sz w:val="18"/>
          <w:szCs w:val="18"/>
          <w:lang w:val="en-GB"/>
        </w:rPr>
        <w:t xml:space="preserve"> are calculated from data collected within the Labour Force Sample Survey. Data are allocated to regions according to the place of residence of respondents at the time of data collection.</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according to the status as at 30 September of the reference year). The totals include also data on schools for pupils 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proofErr w:type="gramStart"/>
      <w:r w:rsidRPr="005D69FA">
        <w:rPr>
          <w:lang w:val="en-GB"/>
        </w:rPr>
        <w:t>secondary</w:t>
      </w:r>
      <w:proofErr w:type="gramEnd"/>
      <w:r w:rsidRPr="005D69FA">
        <w:rPr>
          <w:lang w:val="en-GB"/>
        </w:rPr>
        <w:t xml:space="preserve">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proofErr w:type="gramStart"/>
      <w:r w:rsidRPr="005D69FA">
        <w:rPr>
          <w:lang w:val="en-GB"/>
        </w:rPr>
        <w:t>general</w:t>
      </w:r>
      <w:proofErr w:type="gramEnd"/>
      <w:r w:rsidRPr="005D69FA">
        <w:rPr>
          <w:lang w:val="en-GB"/>
        </w:rPr>
        <w:t xml:space="preserve">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proofErr w:type="gramStart"/>
      <w:r w:rsidRPr="005D69FA">
        <w:rPr>
          <w:lang w:val="en-GB"/>
        </w:rPr>
        <w:t>shortened</w:t>
      </w:r>
      <w:proofErr w:type="gramEnd"/>
      <w:r w:rsidRPr="005D69FA">
        <w:rPr>
          <w:lang w:val="en-GB"/>
        </w:rPr>
        <w:t xml:space="preserve">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w:t>
      </w:r>
      <w:r w:rsidRPr="005D69FA">
        <w:rPr>
          <w:color w:val="auto"/>
          <w:sz w:val="18"/>
          <w:szCs w:val="18"/>
          <w:lang w:val="en-GB"/>
        </w:rPr>
        <w:lastRenderedPageBreak/>
        <w:t>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r w:rsidRPr="005D69FA">
        <w:rPr>
          <w:i/>
          <w:color w:val="auto"/>
          <w:sz w:val="18"/>
          <w:szCs w:val="18"/>
          <w:lang w:val="en-GB"/>
        </w:rPr>
        <w:t>absolutorium</w:t>
      </w:r>
      <w:r w:rsidRPr="005D69FA">
        <w:rPr>
          <w:color w:val="auto"/>
          <w:sz w:val="18"/>
          <w:szCs w:val="18"/>
          <w:lang w:val="en-GB"/>
        </w:rPr>
        <w:t>” after having successfully finished a six-year or an eight-year education programme). Pupils are admitted for education in an eight-year education programme with the specialism of dance after having completed the fifth grade of a 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r w:rsidRPr="005D69FA">
        <w:rPr>
          <w:i/>
          <w:color w:val="auto"/>
          <w:sz w:val="18"/>
          <w:szCs w:val="18"/>
          <w:lang w:val="en-GB"/>
        </w:rPr>
        <w:t>absolutorium</w:t>
      </w:r>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Pr>
          <w:b/>
          <w:bCs/>
          <w:i w:val="0"/>
        </w:rPr>
        <w:t>Till 2011 the</w:t>
      </w:r>
      <w:r w:rsidRPr="001B63CA">
        <w:rPr>
          <w:bCs/>
          <w:i w:val="0"/>
        </w:rPr>
        <w:t xml:space="preserve"> </w:t>
      </w:r>
      <w:r w:rsidRPr="000E7C84">
        <w:rPr>
          <w:b/>
          <w:i w:val="0"/>
        </w:rPr>
        <w:t xml:space="preserve">statistics of temporary incapacity for work due disease or injury was carried out </w:t>
      </w:r>
      <w:r w:rsidRPr="001B63CA">
        <w:rPr>
          <w:i w:val="0"/>
        </w:rPr>
        <w:t>by</w:t>
      </w:r>
      <w:r w:rsidRPr="001B63CA">
        <w:rPr>
          <w:bCs/>
          <w:i w:val="0"/>
        </w:rPr>
        <w:t xml:space="preserve"> a statistical survey</w:t>
      </w:r>
      <w:r w:rsidRPr="001B63CA">
        <w:rPr>
          <w:i w:val="0"/>
        </w:rPr>
        <w:t xml:space="preserve"> on rates of incapacity for work due to disease and injury by means of the state statistical questionnaire </w:t>
      </w:r>
      <w:r w:rsidRPr="000E7C84">
        <w:rPr>
          <w:b/>
          <w:i w:val="0"/>
        </w:rPr>
        <w:t>Nem Úr 1-02,</w:t>
      </w:r>
      <w:r w:rsidRPr="001B63CA">
        <w:rPr>
          <w:i w:val="0"/>
        </w:rPr>
        <w:t xml:space="preserve"> results of which were </w:t>
      </w:r>
      <w:r w:rsidRPr="001B63CA">
        <w:rPr>
          <w:bCs/>
          <w:i w:val="0"/>
        </w:rPr>
        <w:t xml:space="preserve">supplemented with data from the administrative source of the Information System of the Czech Social Security Administration (CSSA). </w:t>
      </w: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 and from sources of the Czech Statistical Office.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pension insurance scheme provides old-age, disability, widows’, widowers’, and orphans’ pensions. Before 2009 disability pensions were provided as full and partial ones. Effective since 1 January 2010 full disability pensions were partly transformed into disability pensions, third level and partly were subdivided into disability pensions of first level and second level depending on percentage of the working ability reduction of the insured person due to long-term adverse condition. Data starting from 2010 show, on the contrary </w:t>
      </w:r>
      <w:r w:rsidRPr="001B63CA">
        <w:rPr>
          <w:rFonts w:cs="Arial"/>
          <w:i w:val="0"/>
          <w:color w:val="000000"/>
        </w:rPr>
        <w:lastRenderedPageBreak/>
        <w:t xml:space="preserve">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155/1995 Sb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four </w:t>
      </w:r>
      <w:r>
        <w:rPr>
          <w:rFonts w:cs="Arial"/>
          <w:b/>
          <w:bCs/>
          <w:i w:val="0"/>
          <w:color w:val="000000"/>
        </w:rPr>
        <w:t>benefits</w:t>
      </w:r>
      <w:r w:rsidRPr="001B63CA">
        <w:rPr>
          <w:rFonts w:cs="Arial"/>
          <w:i w:val="0"/>
          <w:color w:val="000000"/>
        </w:rPr>
        <w:t xml:space="preserve">, namely sickness benefit, carer’s allowance (till 2008 it was allowance in care for a family member), maternity benefit, and pregnancy and maternity compensation benefit. Sickness insurance benefits are provided per calendar day of a given period of time. The sickness insurance of the self-employed without employees (own-account workers) is voluntary. </w:t>
      </w:r>
      <w:proofErr w:type="gramStart"/>
      <w:r w:rsidRPr="001B63CA">
        <w:rPr>
          <w:rFonts w:cs="Arial"/>
          <w:i w:val="0"/>
          <w:color w:val="000000"/>
        </w:rPr>
        <w:t>The self-employed without employees are entitled to two of the benefits only – the sickness benefit and the maternity benefit.</w:t>
      </w:r>
      <w:proofErr w:type="gramEnd"/>
      <w:r w:rsidRPr="001B63CA">
        <w:rPr>
          <w:rFonts w:cs="Arial"/>
          <w:i w:val="0"/>
          <w:color w:val="000000"/>
        </w:rPr>
        <w:t xml:space="preserve"> Job applicants are not sickness insured, but they are paid the maternity benefit from sickness insurance. Tables relating to sickness and pension insurance do not include data concerning the armed forces of the Ministry of Defence, Ministry of the Interior, and Ministry of Justice.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 </w:t>
      </w:r>
      <w:r w:rsidRPr="000E7C84">
        <w:rPr>
          <w:rFonts w:cs="Arial"/>
          <w:b/>
          <w:i w:val="0"/>
          <w:color w:val="000000"/>
        </w:rPr>
        <w:t>Foster care benefits</w:t>
      </w:r>
      <w:r w:rsidRPr="001B63CA">
        <w:rPr>
          <w:rFonts w:cs="Arial"/>
          <w:i w:val="0"/>
          <w:color w:val="000000"/>
        </w:rPr>
        <w:t xml:space="preserve"> have been regulated by a separate legal regulation since the beginning of 2013 and have not been included into state social benefits. They are used to contribute to needs related to care of a child, whose parents may not or does not want to care of and who is in foster care; since 2013 these benefits have included new established allowance at the foster care termination.</w:t>
      </w:r>
    </w:p>
    <w:p w:rsidR="00660B5C" w:rsidRPr="00360C75"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 care needed within the family. </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lastRenderedPageBreak/>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proofErr w:type="gramStart"/>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any undesirable combustion, in which people or animals were killed or injured or in which property or the environment were damaged.</w:t>
      </w:r>
      <w:proofErr w:type="gramEnd"/>
      <w:r w:rsidRPr="005C33DB">
        <w:rPr>
          <w:rFonts w:eastAsia="NimbusSanDEE-ReguItal"/>
          <w:iCs/>
          <w:sz w:val="18"/>
          <w:szCs w:val="18"/>
          <w:lang w:val="en-GB"/>
        </w:rPr>
        <w:t xml:space="preserve">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Sb,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proofErr w:type="gramStart"/>
      <w:r w:rsidRPr="005D69FA">
        <w:rPr>
          <w:color w:val="auto"/>
          <w:sz w:val="18"/>
          <w:szCs w:val="18"/>
          <w:lang w:val="en-GB"/>
        </w:rPr>
        <w:t>are</w:t>
      </w:r>
      <w:proofErr w:type="gramEnd"/>
      <w:r w:rsidRPr="005D69FA">
        <w:rPr>
          <w:color w:val="auto"/>
          <w:sz w:val="18"/>
          <w:szCs w:val="18"/>
          <w:lang w:val="en-GB"/>
        </w:rPr>
        <w:t xml:space="preserve"> held concurrently with elections to local councils or with elections to regional councils. Execution of the elections is also governed by the Act No 247/1995 Sb, on Elections to the Parliament of the Czech Republic. Electoral districts are made up (and regularly modified)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 xml:space="preserve">are held every four years. Execution of the elections is governed by the Act No 491/2001 Sb, on Local Council Elections, as amended. The electoral system is based on a majority principle; each voter has the same number of votes as there are valid candidates on the respective ballot. The number of seats in a local council is determined based on the current population size of the municipality.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Sb,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Hl. m. Praha</w:t>
      </w:r>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Sb,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 xml:space="preserve">Elections to the European Parliament </w:t>
      </w:r>
      <w:proofErr w:type="gramStart"/>
      <w:r w:rsidRPr="005D69FA">
        <w:rPr>
          <w:color w:val="auto"/>
          <w:sz w:val="18"/>
          <w:szCs w:val="18"/>
          <w:lang w:val="en-GB"/>
        </w:rPr>
        <w:t>take</w:t>
      </w:r>
      <w:proofErr w:type="gramEnd"/>
      <w:r w:rsidRPr="005D69FA">
        <w:rPr>
          <w:color w:val="auto"/>
          <w:sz w:val="18"/>
          <w:szCs w:val="18"/>
          <w:lang w:val="en-GB"/>
        </w:rPr>
        <w:t xml:space="preserve"> place concurrently in all Member States of the European Union (EU). In the Czech Republic, the execution of the elections is governed by the Act No 62/2003 Sb, on Elections to the European Parliament, as amended. Members of the European Parliament (MEPs) are elected for a five-year period; the territory of the Czech Republic makes up a single electoral district. The number of MEPs being elected is determined on the basis of the share of the population of the respective EU Member State in the population of the entire EU. The electoral system is based on a majority principle.</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w:t>
      </w:r>
      <w:r w:rsidRPr="005C33DB">
        <w:rPr>
          <w:color w:val="auto"/>
          <w:sz w:val="18"/>
          <w:szCs w:val="18"/>
          <w:lang w:val="en-GB"/>
        </w:rPr>
        <w:lastRenderedPageBreak/>
        <w:t xml:space="preserve">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7"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820E29" w:rsidRPr="00360C75" w:rsidRDefault="00820E29"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5D69FA" w:rsidRDefault="00660B5C" w:rsidP="00907A19">
      <w:pPr>
        <w:pStyle w:val="Default"/>
        <w:jc w:val="center"/>
        <w:rPr>
          <w:b/>
          <w:bCs/>
          <w:color w:val="auto"/>
          <w:sz w:val="23"/>
          <w:szCs w:val="23"/>
          <w:lang w:val="en-GB"/>
        </w:rPr>
      </w:pPr>
    </w:p>
    <w:p w:rsidR="00907A19" w:rsidRPr="005D69FA" w:rsidRDefault="00907A19" w:rsidP="00907A19">
      <w:pPr>
        <w:pStyle w:val="Default"/>
        <w:jc w:val="center"/>
        <w:rPr>
          <w:color w:val="auto"/>
          <w:sz w:val="23"/>
          <w:szCs w:val="23"/>
          <w:lang w:val="en-GB"/>
        </w:rPr>
      </w:pPr>
    </w:p>
    <w:p w:rsidR="002837A9" w:rsidRPr="005D69FA" w:rsidRDefault="002837A9" w:rsidP="00907A19">
      <w:pPr>
        <w:pStyle w:val="Default"/>
        <w:jc w:val="both"/>
        <w:rPr>
          <w:color w:val="auto"/>
          <w:sz w:val="18"/>
          <w:szCs w:val="18"/>
          <w:lang w:val="en-GB"/>
        </w:rPr>
      </w:pPr>
    </w:p>
    <w:sectPr w:rsidR="002837A9" w:rsidRPr="005D69FA" w:rsidSect="005A285F">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323E" w:rsidRDefault="00ED323E" w:rsidP="00A91C5B">
      <w:pPr>
        <w:spacing w:after="0" w:line="240" w:lineRule="auto"/>
      </w:pPr>
      <w:r>
        <w:separator/>
      </w:r>
    </w:p>
  </w:endnote>
  <w:endnote w:type="continuationSeparator" w:id="0">
    <w:p w:rsidR="00ED323E" w:rsidRDefault="00ED323E" w:rsidP="00A91C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NimbusSanDEE-ReguItal">
    <w:altName w:val="MS Mincho"/>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14266881"/>
      <w:docPartObj>
        <w:docPartGallery w:val="Page Numbers (Bottom of Page)"/>
        <w:docPartUnique/>
      </w:docPartObj>
    </w:sdtPr>
    <w:sdtContent>
      <w:p w:rsidR="00631C41" w:rsidRDefault="0007581D">
        <w:pPr>
          <w:pStyle w:val="Zpat"/>
          <w:jc w:val="center"/>
        </w:pPr>
        <w:r w:rsidRPr="00631C41">
          <w:rPr>
            <w:rFonts w:ascii="Arial" w:hAnsi="Arial"/>
            <w:sz w:val="20"/>
          </w:rPr>
          <w:fldChar w:fldCharType="begin"/>
        </w:r>
        <w:r w:rsidR="00631C41" w:rsidRPr="00631C41">
          <w:rPr>
            <w:rFonts w:ascii="Arial" w:hAnsi="Arial"/>
            <w:sz w:val="20"/>
          </w:rPr>
          <w:instrText>PAGE   \* MERGEFORMAT</w:instrText>
        </w:r>
        <w:r w:rsidRPr="00631C41">
          <w:rPr>
            <w:rFonts w:ascii="Arial" w:hAnsi="Arial"/>
            <w:sz w:val="20"/>
          </w:rPr>
          <w:fldChar w:fldCharType="separate"/>
        </w:r>
        <w:r w:rsidR="008940C0">
          <w:rPr>
            <w:rFonts w:ascii="Arial" w:hAnsi="Arial"/>
            <w:noProof/>
            <w:sz w:val="20"/>
          </w:rPr>
          <w:t>1</w:t>
        </w:r>
        <w:r w:rsidRPr="00631C41">
          <w:rPr>
            <w:rFonts w:ascii="Arial" w:hAnsi="Arial"/>
            <w:sz w:val="20"/>
          </w:rPr>
          <w:fldChar w:fldCharType="end"/>
        </w:r>
      </w:p>
    </w:sdtContent>
  </w:sdt>
  <w:p w:rsidR="00A91C5B" w:rsidRDefault="00A91C5B">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323E" w:rsidRDefault="00ED323E" w:rsidP="00A91C5B">
      <w:pPr>
        <w:spacing w:after="0" w:line="240" w:lineRule="auto"/>
      </w:pPr>
      <w:r>
        <w:separator/>
      </w:r>
    </w:p>
  </w:footnote>
  <w:footnote w:type="continuationSeparator" w:id="0">
    <w:p w:rsidR="00ED323E" w:rsidRDefault="00ED323E" w:rsidP="00A91C5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trackRevisions/>
  <w:defaultTabStop w:val="708"/>
  <w:hyphenationZone w:val="425"/>
  <w:characterSpacingControl w:val="doNotCompress"/>
  <w:footnotePr>
    <w:footnote w:id="-1"/>
    <w:footnote w:id="0"/>
  </w:footnotePr>
  <w:endnotePr>
    <w:endnote w:id="-1"/>
    <w:endnote w:id="0"/>
  </w:endnotePr>
  <w:compat/>
  <w:rsids>
    <w:rsidRoot w:val="00907A19"/>
    <w:rsid w:val="00006057"/>
    <w:rsid w:val="00012520"/>
    <w:rsid w:val="00017A7F"/>
    <w:rsid w:val="0002553F"/>
    <w:rsid w:val="00027B99"/>
    <w:rsid w:val="00034E4C"/>
    <w:rsid w:val="0003686E"/>
    <w:rsid w:val="00037B3F"/>
    <w:rsid w:val="00055BE8"/>
    <w:rsid w:val="00057D7D"/>
    <w:rsid w:val="00061DC3"/>
    <w:rsid w:val="000721C0"/>
    <w:rsid w:val="000746BE"/>
    <w:rsid w:val="0007581D"/>
    <w:rsid w:val="000B6432"/>
    <w:rsid w:val="000B79D0"/>
    <w:rsid w:val="000C528D"/>
    <w:rsid w:val="000D2627"/>
    <w:rsid w:val="000E609D"/>
    <w:rsid w:val="000F4DEB"/>
    <w:rsid w:val="001016E4"/>
    <w:rsid w:val="00102659"/>
    <w:rsid w:val="001059FB"/>
    <w:rsid w:val="00115C7E"/>
    <w:rsid w:val="001260DD"/>
    <w:rsid w:val="001345E2"/>
    <w:rsid w:val="00141E54"/>
    <w:rsid w:val="001574EE"/>
    <w:rsid w:val="001601BC"/>
    <w:rsid w:val="00163B07"/>
    <w:rsid w:val="00167C35"/>
    <w:rsid w:val="00174E0E"/>
    <w:rsid w:val="001815A3"/>
    <w:rsid w:val="00183BF8"/>
    <w:rsid w:val="001900EB"/>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6599"/>
    <w:rsid w:val="0021751D"/>
    <w:rsid w:val="0023565D"/>
    <w:rsid w:val="0024654C"/>
    <w:rsid w:val="00253FE8"/>
    <w:rsid w:val="00254864"/>
    <w:rsid w:val="002733D8"/>
    <w:rsid w:val="002755D7"/>
    <w:rsid w:val="002821E0"/>
    <w:rsid w:val="002837A9"/>
    <w:rsid w:val="00283933"/>
    <w:rsid w:val="00294B9F"/>
    <w:rsid w:val="002A0436"/>
    <w:rsid w:val="002B091C"/>
    <w:rsid w:val="002C16AF"/>
    <w:rsid w:val="002C360B"/>
    <w:rsid w:val="002C5871"/>
    <w:rsid w:val="002C61B2"/>
    <w:rsid w:val="002D15FA"/>
    <w:rsid w:val="002D16EC"/>
    <w:rsid w:val="002E0907"/>
    <w:rsid w:val="002F623F"/>
    <w:rsid w:val="00300837"/>
    <w:rsid w:val="00307B19"/>
    <w:rsid w:val="00311B4B"/>
    <w:rsid w:val="003177DC"/>
    <w:rsid w:val="00320960"/>
    <w:rsid w:val="00324E0A"/>
    <w:rsid w:val="003250BF"/>
    <w:rsid w:val="00325A91"/>
    <w:rsid w:val="00332628"/>
    <w:rsid w:val="003420C2"/>
    <w:rsid w:val="00343FD7"/>
    <w:rsid w:val="00352582"/>
    <w:rsid w:val="00360FA6"/>
    <w:rsid w:val="00364BE5"/>
    <w:rsid w:val="0036771F"/>
    <w:rsid w:val="0037145A"/>
    <w:rsid w:val="003739A1"/>
    <w:rsid w:val="003747B8"/>
    <w:rsid w:val="003751A1"/>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70809"/>
    <w:rsid w:val="004712E3"/>
    <w:rsid w:val="00472644"/>
    <w:rsid w:val="00485E22"/>
    <w:rsid w:val="00487858"/>
    <w:rsid w:val="0049401C"/>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2D4C"/>
    <w:rsid w:val="0050663A"/>
    <w:rsid w:val="00507EA0"/>
    <w:rsid w:val="00510AC0"/>
    <w:rsid w:val="00510D45"/>
    <w:rsid w:val="005135E5"/>
    <w:rsid w:val="00514144"/>
    <w:rsid w:val="005143D6"/>
    <w:rsid w:val="005253BD"/>
    <w:rsid w:val="00532536"/>
    <w:rsid w:val="00545E66"/>
    <w:rsid w:val="00553189"/>
    <w:rsid w:val="00554124"/>
    <w:rsid w:val="00561166"/>
    <w:rsid w:val="00563A4A"/>
    <w:rsid w:val="005661B9"/>
    <w:rsid w:val="005711AF"/>
    <w:rsid w:val="00575597"/>
    <w:rsid w:val="005809A6"/>
    <w:rsid w:val="00581147"/>
    <w:rsid w:val="00582714"/>
    <w:rsid w:val="00583159"/>
    <w:rsid w:val="005848EE"/>
    <w:rsid w:val="00587723"/>
    <w:rsid w:val="005959D0"/>
    <w:rsid w:val="005A4D0B"/>
    <w:rsid w:val="005C1D67"/>
    <w:rsid w:val="005C57F1"/>
    <w:rsid w:val="005D0BC1"/>
    <w:rsid w:val="005D0F93"/>
    <w:rsid w:val="005D4D4A"/>
    <w:rsid w:val="005D5DFC"/>
    <w:rsid w:val="005D62E4"/>
    <w:rsid w:val="005D69FA"/>
    <w:rsid w:val="005E2743"/>
    <w:rsid w:val="005F0DEE"/>
    <w:rsid w:val="005F2804"/>
    <w:rsid w:val="00605F05"/>
    <w:rsid w:val="006108B9"/>
    <w:rsid w:val="00621893"/>
    <w:rsid w:val="0062582D"/>
    <w:rsid w:val="00627D1B"/>
    <w:rsid w:val="00630070"/>
    <w:rsid w:val="00631C41"/>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C0E"/>
    <w:rsid w:val="006E34FC"/>
    <w:rsid w:val="006E52BB"/>
    <w:rsid w:val="006F2C4A"/>
    <w:rsid w:val="006F55BA"/>
    <w:rsid w:val="006F6DDB"/>
    <w:rsid w:val="00701573"/>
    <w:rsid w:val="00704A98"/>
    <w:rsid w:val="00705078"/>
    <w:rsid w:val="00706FE2"/>
    <w:rsid w:val="00710AB7"/>
    <w:rsid w:val="00712DDE"/>
    <w:rsid w:val="0071357E"/>
    <w:rsid w:val="00721A45"/>
    <w:rsid w:val="00723275"/>
    <w:rsid w:val="007235EC"/>
    <w:rsid w:val="00724F30"/>
    <w:rsid w:val="007278D0"/>
    <w:rsid w:val="00731040"/>
    <w:rsid w:val="0073309F"/>
    <w:rsid w:val="00735B5D"/>
    <w:rsid w:val="00747484"/>
    <w:rsid w:val="0074777C"/>
    <w:rsid w:val="0075796D"/>
    <w:rsid w:val="00761268"/>
    <w:rsid w:val="00762873"/>
    <w:rsid w:val="00766AC9"/>
    <w:rsid w:val="007704E0"/>
    <w:rsid w:val="00780745"/>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7AE6"/>
    <w:rsid w:val="00867F82"/>
    <w:rsid w:val="00870F3B"/>
    <w:rsid w:val="00887F16"/>
    <w:rsid w:val="00890D3C"/>
    <w:rsid w:val="00890FAC"/>
    <w:rsid w:val="00891B7C"/>
    <w:rsid w:val="00892044"/>
    <w:rsid w:val="008940C0"/>
    <w:rsid w:val="0089685A"/>
    <w:rsid w:val="008A2785"/>
    <w:rsid w:val="008B23A8"/>
    <w:rsid w:val="008B2DDF"/>
    <w:rsid w:val="008B2E0D"/>
    <w:rsid w:val="008B3283"/>
    <w:rsid w:val="008B49A8"/>
    <w:rsid w:val="008B5440"/>
    <w:rsid w:val="008B7DFC"/>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C02"/>
    <w:rsid w:val="00965574"/>
    <w:rsid w:val="009833D1"/>
    <w:rsid w:val="00985725"/>
    <w:rsid w:val="00985B18"/>
    <w:rsid w:val="00986738"/>
    <w:rsid w:val="00987290"/>
    <w:rsid w:val="009B022F"/>
    <w:rsid w:val="009B57C1"/>
    <w:rsid w:val="009C4A94"/>
    <w:rsid w:val="009C6A70"/>
    <w:rsid w:val="009D0871"/>
    <w:rsid w:val="009E1347"/>
    <w:rsid w:val="009E333C"/>
    <w:rsid w:val="009E39F9"/>
    <w:rsid w:val="009F7141"/>
    <w:rsid w:val="00A014B5"/>
    <w:rsid w:val="00A11CCD"/>
    <w:rsid w:val="00A13646"/>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C1E"/>
    <w:rsid w:val="00B632A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C02BE5"/>
    <w:rsid w:val="00C0409B"/>
    <w:rsid w:val="00C06278"/>
    <w:rsid w:val="00C064E9"/>
    <w:rsid w:val="00C06BF6"/>
    <w:rsid w:val="00C10D4A"/>
    <w:rsid w:val="00C11FEC"/>
    <w:rsid w:val="00C136A4"/>
    <w:rsid w:val="00C14083"/>
    <w:rsid w:val="00C21216"/>
    <w:rsid w:val="00C277BF"/>
    <w:rsid w:val="00C35991"/>
    <w:rsid w:val="00C40DA7"/>
    <w:rsid w:val="00C46AE3"/>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21D7"/>
    <w:rsid w:val="00CE237F"/>
    <w:rsid w:val="00CE6C4A"/>
    <w:rsid w:val="00CF73F5"/>
    <w:rsid w:val="00CF7C0E"/>
    <w:rsid w:val="00D008AC"/>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7CBC"/>
    <w:rsid w:val="00D91AA7"/>
    <w:rsid w:val="00DA0FE3"/>
    <w:rsid w:val="00DA1A93"/>
    <w:rsid w:val="00DA1E78"/>
    <w:rsid w:val="00DA26DA"/>
    <w:rsid w:val="00DA7225"/>
    <w:rsid w:val="00DA78C3"/>
    <w:rsid w:val="00DB0A13"/>
    <w:rsid w:val="00DC00FE"/>
    <w:rsid w:val="00DC638D"/>
    <w:rsid w:val="00DE4419"/>
    <w:rsid w:val="00DE511E"/>
    <w:rsid w:val="00E01B3E"/>
    <w:rsid w:val="00E01C5C"/>
    <w:rsid w:val="00E03498"/>
    <w:rsid w:val="00E078BC"/>
    <w:rsid w:val="00E128F4"/>
    <w:rsid w:val="00E209CE"/>
    <w:rsid w:val="00E21D28"/>
    <w:rsid w:val="00E430DD"/>
    <w:rsid w:val="00E5091B"/>
    <w:rsid w:val="00E55695"/>
    <w:rsid w:val="00E61949"/>
    <w:rsid w:val="00E73205"/>
    <w:rsid w:val="00E741EF"/>
    <w:rsid w:val="00E81FF4"/>
    <w:rsid w:val="00E84440"/>
    <w:rsid w:val="00E93E15"/>
    <w:rsid w:val="00EB3154"/>
    <w:rsid w:val="00EC1871"/>
    <w:rsid w:val="00EC35C6"/>
    <w:rsid w:val="00EC5C9D"/>
    <w:rsid w:val="00EC749C"/>
    <w:rsid w:val="00ED323E"/>
    <w:rsid w:val="00ED37A2"/>
    <w:rsid w:val="00ED4DEE"/>
    <w:rsid w:val="00EF2532"/>
    <w:rsid w:val="00F017E2"/>
    <w:rsid w:val="00F05943"/>
    <w:rsid w:val="00F11AE8"/>
    <w:rsid w:val="00F27C1F"/>
    <w:rsid w:val="00F31C77"/>
    <w:rsid w:val="00F3364B"/>
    <w:rsid w:val="00F36787"/>
    <w:rsid w:val="00F44781"/>
    <w:rsid w:val="00F50777"/>
    <w:rsid w:val="00F56E3E"/>
    <w:rsid w:val="00F61BEE"/>
    <w:rsid w:val="00F623DA"/>
    <w:rsid w:val="00F6362C"/>
    <w:rsid w:val="00F66FBE"/>
    <w:rsid w:val="00F677E4"/>
    <w:rsid w:val="00F7361B"/>
    <w:rsid w:val="00F7422E"/>
    <w:rsid w:val="00F77875"/>
    <w:rsid w:val="00F8046F"/>
    <w:rsid w:val="00F81155"/>
    <w:rsid w:val="00F82772"/>
    <w:rsid w:val="00F9289F"/>
    <w:rsid w:val="00F94BA0"/>
    <w:rsid w:val="00FA51B8"/>
    <w:rsid w:val="00FA5F6A"/>
    <w:rsid w:val="00FB0347"/>
    <w:rsid w:val="00FB14DF"/>
    <w:rsid w:val="00FB657B"/>
    <w:rsid w:val="00FC256A"/>
    <w:rsid w:val="00FD7BB8"/>
    <w:rsid w:val="00FE3212"/>
    <w:rsid w:val="00FE5F57"/>
    <w:rsid w:val="00FF0C5E"/>
    <w:rsid w:val="00FF1F5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65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260DD"/>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v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volby.cz/index_en.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14</Pages>
  <Words>9539</Words>
  <Characters>56281</Characters>
  <Application>Microsoft Office Word</Application>
  <DocSecurity>0</DocSecurity>
  <Lines>469</Lines>
  <Paragraphs>131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65689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aimova122</cp:lastModifiedBy>
  <cp:revision>4</cp:revision>
  <cp:lastPrinted>2018-01-05T08:57:00Z</cp:lastPrinted>
  <dcterms:created xsi:type="dcterms:W3CDTF">2018-01-18T13:47:00Z</dcterms:created>
  <dcterms:modified xsi:type="dcterms:W3CDTF">2018-01-18T15:35:00Z</dcterms:modified>
</cp:coreProperties>
</file>