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C4FFE" w14:textId="77777777" w:rsidR="00415939" w:rsidRPr="00D13A02" w:rsidRDefault="00415939" w:rsidP="00DE2655">
      <w:pPr>
        <w:pStyle w:val="Nadpis1"/>
        <w:rPr>
          <w:i/>
          <w:lang w:val="en-GB"/>
        </w:rPr>
      </w:pPr>
      <w:bookmarkStart w:id="0" w:name="_Toc444112497"/>
      <w:r w:rsidRPr="00D13A02">
        <w:rPr>
          <w:i/>
          <w:lang w:val="en-GB"/>
        </w:rPr>
        <w:t>Methodology</w:t>
      </w:r>
    </w:p>
    <w:p w14:paraId="76157BC4" w14:textId="77777777" w:rsidR="00506B19" w:rsidRDefault="00506B19" w:rsidP="00415939">
      <w:pPr>
        <w:pStyle w:val="Zkladntextodsazen"/>
        <w:spacing w:before="0" w:after="240" w:line="288" w:lineRule="auto"/>
        <w:ind w:firstLine="0"/>
        <w:rPr>
          <w:rFonts w:eastAsia="MS Gothic"/>
          <w:b/>
          <w:bCs/>
          <w:i/>
          <w:color w:val="009471"/>
          <w:sz w:val="32"/>
          <w:szCs w:val="28"/>
          <w:lang w:val="en-GB"/>
        </w:rPr>
      </w:pPr>
      <w:r w:rsidRPr="00506B19">
        <w:rPr>
          <w:rFonts w:eastAsia="MS Gothic"/>
          <w:b/>
          <w:bCs/>
          <w:i/>
          <w:color w:val="009471"/>
          <w:sz w:val="32"/>
          <w:szCs w:val="28"/>
          <w:lang w:val="en-GB"/>
        </w:rPr>
        <w:t>Regional Accounts for Agriculture</w:t>
      </w:r>
    </w:p>
    <w:bookmarkEnd w:id="0"/>
    <w:p w14:paraId="313A0CC3" w14:textId="77777777" w:rsidR="00506B19" w:rsidRDefault="00506B19" w:rsidP="00506B19">
      <w:pPr>
        <w:spacing w:before="120" w:after="120"/>
        <w:jc w:val="both"/>
        <w:rPr>
          <w:i/>
          <w:iCs/>
          <w:lang w:val="en-GB"/>
        </w:rPr>
      </w:pPr>
      <w:r w:rsidRPr="00506B19">
        <w:rPr>
          <w:b/>
          <w:i/>
          <w:iCs/>
          <w:lang w:val="en-GB"/>
        </w:rPr>
        <w:t>The Regional Accounts for Agriculture</w:t>
      </w:r>
      <w:r>
        <w:rPr>
          <w:i/>
          <w:iCs/>
          <w:lang w:val="en-GB"/>
        </w:rPr>
        <w:t xml:space="preserve"> (RAA) are a regional-level adaptation of the Economic Accounts for Agriculture (EAA). The agricultural industry in a region covers the units (agricultural holdings) engaged in agricultural activities on the regional territory.  Accounts for agriculture are compiled on the level NUTS 2 only from the year 2000 forwards for Eurostat and on the level NUTS 3 from the year 2003 forward for users in the Czech Republic. Data on the level NUTS 2 has not been published in the Czech Republic so far. This publication with data on the level NUTS 3 contains the basic part - the Production Account for separable countries. Data are mentioned at the current prices and in the constant prices 2000. </w:t>
      </w:r>
    </w:p>
    <w:p w14:paraId="1B08574E" w14:textId="77777777" w:rsidR="00506B19" w:rsidRDefault="00506B19" w:rsidP="00506B19">
      <w:pPr>
        <w:spacing w:before="120" w:after="120"/>
        <w:jc w:val="both"/>
        <w:rPr>
          <w:i/>
          <w:iCs/>
          <w:lang w:val="en-GB"/>
        </w:rPr>
      </w:pPr>
    </w:p>
    <w:p w14:paraId="2A0A033C" w14:textId="77777777" w:rsidR="00506B19" w:rsidRDefault="00506B19" w:rsidP="00506B19">
      <w:pPr>
        <w:spacing w:before="120" w:after="120"/>
        <w:jc w:val="both"/>
        <w:rPr>
          <w:i/>
          <w:iCs/>
          <w:lang w:val="en-GB"/>
        </w:rPr>
      </w:pPr>
      <w:r>
        <w:rPr>
          <w:b/>
          <w:bCs/>
          <w:i/>
          <w:iCs/>
          <w:lang w:val="en-GB"/>
        </w:rPr>
        <w:t>Output of agricultural activities</w:t>
      </w:r>
      <w:r>
        <w:rPr>
          <w:i/>
          <w:iCs/>
          <w:lang w:val="en-GB"/>
        </w:rPr>
        <w:t xml:space="preserve"> is in value statement and represents the whole final output of the agriculture sector.</w:t>
      </w:r>
    </w:p>
    <w:p w14:paraId="5D2ADB9A" w14:textId="77777777" w:rsidR="00506B19" w:rsidRDefault="00506B19" w:rsidP="00506B19">
      <w:pPr>
        <w:spacing w:before="120" w:after="120"/>
        <w:jc w:val="both"/>
        <w:rPr>
          <w:i/>
          <w:iCs/>
          <w:lang w:val="en-GB"/>
        </w:rPr>
      </w:pPr>
      <w:r>
        <w:rPr>
          <w:i/>
          <w:iCs/>
          <w:lang w:val="en-GB"/>
        </w:rPr>
        <w:t xml:space="preserve">The production account records transactions relating to the production process. It consists of available resources on one hand and uses of these resources on the other hand. The available resources include usable output and initial stocks. Uses are made up from intra-unit consumption, processing by producers, own final consumption, domestic sales to other agricultural units or outside of the industry, sales abroad, own-account produced fixed capital goods and final stocks. </w:t>
      </w:r>
    </w:p>
    <w:p w14:paraId="503795BC" w14:textId="77777777" w:rsidR="00506B19" w:rsidRPr="00506B19" w:rsidRDefault="00506B19" w:rsidP="00506B19">
      <w:pPr>
        <w:spacing w:before="120" w:after="120"/>
        <w:jc w:val="both"/>
        <w:rPr>
          <w:i/>
          <w:iCs/>
          <w:lang w:val="en-GB"/>
        </w:rPr>
      </w:pPr>
      <w:r w:rsidRPr="00506B19">
        <w:rPr>
          <w:i/>
          <w:iCs/>
          <w:lang w:val="en-GB"/>
        </w:rPr>
        <w:t>Since the purpose of the processing is to measure, describe and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should be recorded if it is above the minimum threshold used in the survey on the structure of agricultural holdings. It should, however, be pointed out that agricultural production for own final consumption by holders whose holdings are larger than threshold must be recorded.</w:t>
      </w:r>
    </w:p>
    <w:p w14:paraId="7F78319F" w14:textId="57DE44CD" w:rsidR="00506B19" w:rsidRDefault="00506B19" w:rsidP="00506B19">
      <w:pPr>
        <w:spacing w:before="120" w:after="120"/>
        <w:jc w:val="both"/>
        <w:rPr>
          <w:i/>
          <w:iCs/>
          <w:lang w:val="en-GB"/>
        </w:rPr>
      </w:pPr>
      <w:r>
        <w:rPr>
          <w:i/>
          <w:iCs/>
          <w:lang w:val="en-GB"/>
        </w:rPr>
        <w:t>The output is to be valued at the basic prices according to the Regulation (EC) No 138/2004. The basic price is the price receivable by the producers from the purchaser for a unit of a good or service produced as output plus any subsidy receivable on that unit as a consequence of its production or sale minus any tax payable on that unit as a consequence of its production or sale. The final version of regional accounts for the years 202</w:t>
      </w:r>
      <w:r w:rsidR="004F114A">
        <w:rPr>
          <w:i/>
          <w:iCs/>
          <w:lang w:val="en-GB"/>
        </w:rPr>
        <w:t>3</w:t>
      </w:r>
      <w:r w:rsidR="00BA339D">
        <w:rPr>
          <w:i/>
          <w:iCs/>
          <w:lang w:val="en-GB"/>
        </w:rPr>
        <w:t xml:space="preserve"> and 202</w:t>
      </w:r>
      <w:r w:rsidR="004F114A">
        <w:rPr>
          <w:i/>
          <w:iCs/>
          <w:lang w:val="en-GB"/>
        </w:rPr>
        <w:t>4</w:t>
      </w:r>
      <w:r>
        <w:rPr>
          <w:i/>
          <w:iCs/>
          <w:lang w:val="en-GB"/>
        </w:rPr>
        <w:t xml:space="preserve"> was compiled in this manner. The whole production account was expressed at the basic prices. Values in graphs has been expressed at basic current prices. </w:t>
      </w:r>
    </w:p>
    <w:p w14:paraId="4114A948" w14:textId="77777777" w:rsidR="00506B19" w:rsidRDefault="00506B19" w:rsidP="00506B19">
      <w:pPr>
        <w:spacing w:before="120" w:after="120"/>
        <w:jc w:val="both"/>
        <w:rPr>
          <w:i/>
          <w:iCs/>
          <w:lang w:val="en-GB"/>
        </w:rPr>
      </w:pPr>
      <w:r>
        <w:rPr>
          <w:i/>
          <w:iCs/>
          <w:lang w:val="en-GB"/>
        </w:rPr>
        <w:t xml:space="preserve">The ESA 2010 proposes two methods of compiling the RAA, the bottom-up and the top-down methods; these two methods may also be combined. The first one consists in collecting the data at the level of the units and then summing them to obtain the regional value for the different aggregates. The top-down method reconstructs the regional values by breaking down the national figure using an indicator, which reflects as closely as possible the regional distribution of the variable, in question. Both of these methods were used in our case (the first method for items 1 up to 13, the second method for items 15 and 17). </w:t>
      </w:r>
    </w:p>
    <w:p w14:paraId="50AF0732" w14:textId="3526DF42" w:rsidR="00506B19" w:rsidRDefault="00506B19" w:rsidP="00506B19">
      <w:pPr>
        <w:spacing w:before="120" w:after="120"/>
        <w:jc w:val="both"/>
        <w:rPr>
          <w:i/>
          <w:iCs/>
          <w:lang w:val="en-GB"/>
        </w:rPr>
      </w:pPr>
      <w:r>
        <w:rPr>
          <w:i/>
          <w:iCs/>
          <w:lang w:val="en-GB"/>
        </w:rPr>
        <w:t>On the basis of Eurostat decision (Working Group in November 2004) data for the latest year will not be sent as final but as preliminary. The EAA 202</w:t>
      </w:r>
      <w:r w:rsidR="004F114A">
        <w:rPr>
          <w:i/>
          <w:iCs/>
          <w:lang w:val="en-GB"/>
        </w:rPr>
        <w:t>4</w:t>
      </w:r>
      <w:r>
        <w:rPr>
          <w:i/>
          <w:iCs/>
          <w:lang w:val="en-GB"/>
        </w:rPr>
        <w:t xml:space="preserve"> contains preliminary data that is why RAA 202</w:t>
      </w:r>
      <w:r w:rsidR="004F114A">
        <w:rPr>
          <w:i/>
          <w:iCs/>
          <w:lang w:val="en-GB"/>
        </w:rPr>
        <w:t>4</w:t>
      </w:r>
      <w:r>
        <w:rPr>
          <w:i/>
          <w:iCs/>
          <w:lang w:val="en-GB"/>
        </w:rPr>
        <w:t xml:space="preserve"> data is presented as preliminary. Results for “Praha” are quoted together with district “</w:t>
      </w:r>
      <w:proofErr w:type="spellStart"/>
      <w:r>
        <w:rPr>
          <w:i/>
          <w:iCs/>
          <w:lang w:val="en-GB"/>
        </w:rPr>
        <w:t>Středočeský</w:t>
      </w:r>
      <w:proofErr w:type="spellEnd"/>
      <w:r>
        <w:rPr>
          <w:i/>
          <w:iCs/>
          <w:lang w:val="en-GB"/>
        </w:rPr>
        <w:t xml:space="preserve">”. </w:t>
      </w:r>
    </w:p>
    <w:p w14:paraId="65B3F369" w14:textId="77777777" w:rsidR="006B4B37" w:rsidRPr="00BA418B" w:rsidRDefault="00506B19" w:rsidP="00506B19">
      <w:pPr>
        <w:spacing w:before="120" w:after="120"/>
        <w:jc w:val="both"/>
        <w:rPr>
          <w:i/>
          <w:lang w:val="en-GB"/>
        </w:rPr>
      </w:pPr>
      <w:r>
        <w:rPr>
          <w:i/>
          <w:iCs/>
          <w:lang w:val="en-GB"/>
        </w:rPr>
        <w:t>There have been monitored the items: 04.2/2 “Ornamental plants and flowers”, 04.2/3 “Plantations”, 12.2/3” Other animal products” and especially the item 17.1. ”Processing of agricultural products”, that is a part of “Inseparable non –agricultural secondary activities” for the first time in 2003. The data were acquired from additional data sources and from the calculated results of Farm structural survey. These activities are closely linked to agricultural production but they are not monitored separately in accounting</w:t>
      </w:r>
      <w:r>
        <w:rPr>
          <w:i/>
          <w:iCs/>
          <w:lang w:val="en-US"/>
        </w:rPr>
        <w:t>;</w:t>
      </w:r>
      <w:r>
        <w:rPr>
          <w:i/>
          <w:iCs/>
          <w:lang w:val="en-GB"/>
        </w:rPr>
        <w:t xml:space="preserve"> they cannot be distinguished from the main agricultural activity</w:t>
      </w:r>
      <w:r>
        <w:rPr>
          <w:i/>
          <w:iCs/>
        </w:rPr>
        <w:t xml:space="preserve">. </w:t>
      </w:r>
      <w:r w:rsidRPr="00A91E6C">
        <w:rPr>
          <w:rFonts w:cs="Arial"/>
          <w:i/>
          <w:szCs w:val="20"/>
          <w:lang w:val="en"/>
        </w:rPr>
        <w:t>In both years under review, energy production from renewable sources was included in heading 17.2.</w:t>
      </w:r>
    </w:p>
    <w:sectPr w:rsidR="006B4B37" w:rsidRPr="00BA418B" w:rsidSect="006F5416">
      <w:headerReference w:type="even" r:id="rId11"/>
      <w:headerReference w:type="default" r:id="rId12"/>
      <w:footerReference w:type="even" r:id="rId13"/>
      <w:footerReference w:type="default" r:id="rId14"/>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A652B" w14:textId="77777777" w:rsidR="00B9606A" w:rsidRDefault="00B9606A" w:rsidP="00E71A58">
      <w:r>
        <w:separator/>
      </w:r>
    </w:p>
  </w:endnote>
  <w:endnote w:type="continuationSeparator" w:id="0">
    <w:p w14:paraId="0D86F5C8" w14:textId="77777777" w:rsidR="00B9606A" w:rsidRDefault="00B9606A"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C076" w14:textId="77777777" w:rsidR="007661E9" w:rsidRPr="00932443" w:rsidRDefault="0079585A" w:rsidP="00A418BC">
    <w:pPr>
      <w:pStyle w:val="Zpat"/>
      <w:rPr>
        <w:szCs w:val="16"/>
      </w:rPr>
    </w:pPr>
    <w:r>
      <w:rPr>
        <w:szCs w:val="16"/>
        <w:lang w:eastAsia="cs-CZ"/>
      </w:rPr>
      <w:drawing>
        <wp:anchor distT="0" distB="0" distL="114300" distR="114300" simplePos="0" relativeHeight="251658240" behindDoc="0" locked="0" layoutInCell="1" allowOverlap="1" wp14:anchorId="321761C8" wp14:editId="460EF246">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fldChar w:fldCharType="begin"/>
    </w:r>
    <w:r w:rsidR="005647BF" w:rsidRPr="00932443">
      <w:rPr>
        <w:szCs w:val="16"/>
      </w:rPr>
      <w:instrText>PAGE   \* MERGEFORMAT</w:instrText>
    </w:r>
    <w:r w:rsidR="005647BF" w:rsidRPr="00932443">
      <w:rPr>
        <w:szCs w:val="16"/>
      </w:rPr>
      <w:fldChar w:fldCharType="separate"/>
    </w:r>
    <w:r w:rsidR="00506B19">
      <w:rPr>
        <w:szCs w:val="16"/>
      </w:rPr>
      <w:t>2</w:t>
    </w:r>
    <w:r w:rsidR="005647BF" w:rsidRPr="00932443">
      <w:rPr>
        <w:szCs w:val="16"/>
      </w:rPr>
      <w:fldChar w:fldCharType="end"/>
    </w:r>
    <w:r w:rsidR="005647BF" w:rsidRPr="00932443">
      <w:rPr>
        <w:szCs w:val="16"/>
      </w:rPr>
      <w:tab/>
    </w:r>
    <w:r w:rsidR="006B4B37">
      <w:rPr>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F652" w14:textId="1ECC2F0B" w:rsidR="00B80EC6" w:rsidRPr="00932443" w:rsidRDefault="0079585A" w:rsidP="00A418BC">
    <w:pPr>
      <w:pStyle w:val="Zpat"/>
      <w:rPr>
        <w:szCs w:val="16"/>
      </w:rPr>
    </w:pPr>
    <w:r>
      <w:rPr>
        <w:szCs w:val="16"/>
        <w:lang w:eastAsia="cs-CZ"/>
      </w:rPr>
      <w:drawing>
        <wp:anchor distT="0" distB="0" distL="114300" distR="114300" simplePos="0" relativeHeight="251657216" behindDoc="0" locked="0" layoutInCell="1" allowOverlap="1" wp14:anchorId="46713F3F" wp14:editId="0194293C">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tab/>
    </w:r>
    <w:r w:rsidR="006B4B37">
      <w:rPr>
        <w:rStyle w:val="ZpatChar"/>
        <w:szCs w:val="16"/>
      </w:rPr>
      <w:t>202</w:t>
    </w:r>
    <w:r w:rsidR="004F114A">
      <w:rPr>
        <w:rStyle w:val="ZpatChar"/>
        <w:szCs w:val="16"/>
      </w:rPr>
      <w:t>5</w:t>
    </w:r>
    <w:r w:rsidR="005647BF" w:rsidRPr="00932443">
      <w:rPr>
        <w:szCs w:val="16"/>
      </w:rPr>
      <w:tab/>
    </w:r>
    <w:r w:rsidR="005647BF" w:rsidRPr="00932443">
      <w:rPr>
        <w:rStyle w:val="ZpatChar"/>
        <w:szCs w:val="16"/>
      </w:rPr>
      <w:fldChar w:fldCharType="begin"/>
    </w:r>
    <w:r w:rsidR="005647BF" w:rsidRPr="00932443">
      <w:rPr>
        <w:rStyle w:val="ZpatChar"/>
        <w:szCs w:val="16"/>
      </w:rPr>
      <w:instrText>PAGE   \* MERGEFORMAT</w:instrText>
    </w:r>
    <w:r w:rsidR="005647BF" w:rsidRPr="00932443">
      <w:rPr>
        <w:rStyle w:val="ZpatChar"/>
        <w:szCs w:val="16"/>
      </w:rPr>
      <w:fldChar w:fldCharType="separate"/>
    </w:r>
    <w:r w:rsidR="00BA339D">
      <w:rPr>
        <w:rStyle w:val="ZpatChar"/>
        <w:szCs w:val="16"/>
      </w:rPr>
      <w:t>1</w:t>
    </w:r>
    <w:r w:rsidR="005647BF"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51BB7" w14:textId="77777777" w:rsidR="00B9606A" w:rsidRDefault="00B9606A" w:rsidP="00E71A58">
      <w:r>
        <w:separator/>
      </w:r>
    </w:p>
  </w:footnote>
  <w:footnote w:type="continuationSeparator" w:id="0">
    <w:p w14:paraId="2CBE4753" w14:textId="77777777" w:rsidR="00B9606A" w:rsidRDefault="00B9606A"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7D97" w14:textId="77777777" w:rsidR="006B4B37" w:rsidRPr="002767A3" w:rsidRDefault="006B4B37" w:rsidP="006B4B37">
    <w:pPr>
      <w:pStyle w:val="Zhlav"/>
    </w:pPr>
    <w:r>
      <w:t xml:space="preserve">SOUHRNNÝ ZEMĚDĚLSKÝ ÚČET definitivní výsledky za rok 2022 a </w:t>
    </w:r>
    <w:proofErr w:type="spellStart"/>
    <w:r>
      <w:t>semidefinitivní</w:t>
    </w:r>
    <w:proofErr w:type="spellEnd"/>
    <w:r>
      <w:t xml:space="preserve"> výsledky roku 2023</w:t>
    </w:r>
  </w:p>
  <w:p w14:paraId="7C60F5F9" w14:textId="77777777" w:rsidR="006B4B37" w:rsidRPr="00415939" w:rsidRDefault="006B4B37" w:rsidP="006B4B37">
    <w:pPr>
      <w:pStyle w:val="Zhlav"/>
      <w:rPr>
        <w:i/>
      </w:rPr>
    </w:pPr>
    <w:r w:rsidRPr="00415939">
      <w:rPr>
        <w:i/>
      </w:rPr>
      <w:t xml:space="preserve">/ </w:t>
    </w:r>
    <w:r w:rsidRPr="00D13A02">
      <w:rPr>
        <w:i/>
        <w:lang w:val="en-GB"/>
      </w:rPr>
      <w:t>ECONOMIC ACCOUNTS FOR AGRICULTURE Definitive data 2022 and Semi-definitive Data 2023</w:t>
    </w:r>
  </w:p>
  <w:p w14:paraId="2EC955C8" w14:textId="77777777" w:rsidR="00515C74" w:rsidRPr="006B4B37" w:rsidRDefault="00515C74" w:rsidP="006B4B3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EF4C" w14:textId="70EC91FC" w:rsidR="00506B19" w:rsidRPr="002767A3" w:rsidRDefault="00506B19" w:rsidP="00506B19">
    <w:pPr>
      <w:pStyle w:val="Zhlav"/>
    </w:pPr>
    <w:r>
      <w:t xml:space="preserve">SOUHRNNÝ ZEMĚDĚLSKÝ ÚČET v jednotlivých </w:t>
    </w:r>
    <w:proofErr w:type="gramStart"/>
    <w:r>
      <w:t>krajích - definitivní</w:t>
    </w:r>
    <w:proofErr w:type="gramEnd"/>
    <w:r>
      <w:t xml:space="preserve"> výsledky za rok 202</w:t>
    </w:r>
    <w:r w:rsidR="004F114A">
      <w:t>3</w:t>
    </w:r>
    <w:r>
      <w:t xml:space="preserve"> a </w:t>
    </w:r>
    <w:proofErr w:type="spellStart"/>
    <w:r>
      <w:t>semidefinitivní</w:t>
    </w:r>
    <w:proofErr w:type="spellEnd"/>
    <w:r>
      <w:t xml:space="preserve"> výsledky roku 202</w:t>
    </w:r>
    <w:r w:rsidR="004F114A">
      <w:t>4</w:t>
    </w:r>
  </w:p>
  <w:p w14:paraId="5424EAFC" w14:textId="66233371" w:rsidR="00506B19" w:rsidRPr="00DE3020" w:rsidRDefault="00506B19" w:rsidP="00506B19">
    <w:pPr>
      <w:pStyle w:val="Zhlav"/>
    </w:pPr>
    <w:r>
      <w:t xml:space="preserve">/ ECONOMIC ACCOUNTS FOR </w:t>
    </w:r>
    <w:r w:rsidRPr="002978AA">
      <w:rPr>
        <w:lang w:val="en-GB"/>
      </w:rPr>
      <w:t xml:space="preserve">AGRICULTURE </w:t>
    </w:r>
    <w:proofErr w:type="gramStart"/>
    <w:r>
      <w:rPr>
        <w:lang w:val="en-GB"/>
      </w:rPr>
      <w:t xml:space="preserve">Regions - </w:t>
    </w:r>
    <w:r w:rsidRPr="002978AA">
      <w:rPr>
        <w:lang w:val="en-GB"/>
      </w:rPr>
      <w:t>Definitive</w:t>
    </w:r>
    <w:proofErr w:type="gramEnd"/>
    <w:r w:rsidRPr="002978AA">
      <w:rPr>
        <w:lang w:val="en-GB"/>
      </w:rPr>
      <w:t xml:space="preserve"> data 202</w:t>
    </w:r>
    <w:r w:rsidR="004F114A">
      <w:rPr>
        <w:lang w:val="en-GB"/>
      </w:rPr>
      <w:t>3</w:t>
    </w:r>
    <w:r w:rsidRPr="002978AA">
      <w:rPr>
        <w:lang w:val="en-GB"/>
      </w:rPr>
      <w:t xml:space="preserve"> and Semi-definitive Data 202</w:t>
    </w:r>
    <w:r w:rsidR="004F114A">
      <w:rPr>
        <w:lang w:val="en-GB"/>
      </w:rPr>
      <w:t>4</w:t>
    </w:r>
  </w:p>
  <w:p w14:paraId="27579E1D" w14:textId="77777777" w:rsidR="00B5752E" w:rsidRPr="00F9393D" w:rsidRDefault="00B5752E" w:rsidP="00F939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59992394">
    <w:abstractNumId w:val="11"/>
  </w:num>
  <w:num w:numId="2" w16cid:durableId="167016540">
    <w:abstractNumId w:val="8"/>
  </w:num>
  <w:num w:numId="3" w16cid:durableId="1636252070">
    <w:abstractNumId w:val="3"/>
  </w:num>
  <w:num w:numId="4" w16cid:durableId="848103988">
    <w:abstractNumId w:val="2"/>
  </w:num>
  <w:num w:numId="5" w16cid:durableId="1045058021">
    <w:abstractNumId w:val="1"/>
  </w:num>
  <w:num w:numId="6" w16cid:durableId="294603421">
    <w:abstractNumId w:val="0"/>
  </w:num>
  <w:num w:numId="7" w16cid:durableId="1590196019">
    <w:abstractNumId w:val="9"/>
  </w:num>
  <w:num w:numId="8" w16cid:durableId="1171791985">
    <w:abstractNumId w:val="7"/>
  </w:num>
  <w:num w:numId="9" w16cid:durableId="275137668">
    <w:abstractNumId w:val="6"/>
  </w:num>
  <w:num w:numId="10" w16cid:durableId="194932689">
    <w:abstractNumId w:val="5"/>
  </w:num>
  <w:num w:numId="11" w16cid:durableId="437483806">
    <w:abstractNumId w:val="4"/>
  </w:num>
  <w:num w:numId="12" w16cid:durableId="1103955836">
    <w:abstractNumId w:val="10"/>
  </w:num>
  <w:num w:numId="13" w16cid:durableId="5960625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763"/>
    <w:rsid w:val="0000209D"/>
    <w:rsid w:val="00004D5A"/>
    <w:rsid w:val="000056D5"/>
    <w:rsid w:val="0000767A"/>
    <w:rsid w:val="00010702"/>
    <w:rsid w:val="000234D6"/>
    <w:rsid w:val="00023D29"/>
    <w:rsid w:val="00026389"/>
    <w:rsid w:val="00031AE0"/>
    <w:rsid w:val="000322EF"/>
    <w:rsid w:val="00033FCD"/>
    <w:rsid w:val="00041CEC"/>
    <w:rsid w:val="0004694F"/>
    <w:rsid w:val="000522E4"/>
    <w:rsid w:val="000610E1"/>
    <w:rsid w:val="00062EC5"/>
    <w:rsid w:val="00062F22"/>
    <w:rsid w:val="000712B3"/>
    <w:rsid w:val="0008263E"/>
    <w:rsid w:val="00082C19"/>
    <w:rsid w:val="00085395"/>
    <w:rsid w:val="00087634"/>
    <w:rsid w:val="00087F2B"/>
    <w:rsid w:val="000974D1"/>
    <w:rsid w:val="0009799E"/>
    <w:rsid w:val="000A1183"/>
    <w:rsid w:val="000A256D"/>
    <w:rsid w:val="000A3A2C"/>
    <w:rsid w:val="000C3408"/>
    <w:rsid w:val="000C6AFD"/>
    <w:rsid w:val="000D5637"/>
    <w:rsid w:val="000E6FBD"/>
    <w:rsid w:val="00100F5C"/>
    <w:rsid w:val="00104C4C"/>
    <w:rsid w:val="0012192F"/>
    <w:rsid w:val="00125D69"/>
    <w:rsid w:val="001405FA"/>
    <w:rsid w:val="001425C3"/>
    <w:rsid w:val="0016256B"/>
    <w:rsid w:val="00163793"/>
    <w:rsid w:val="001706D6"/>
    <w:rsid w:val="001714F2"/>
    <w:rsid w:val="00184B08"/>
    <w:rsid w:val="00185010"/>
    <w:rsid w:val="001A552F"/>
    <w:rsid w:val="001B2CA9"/>
    <w:rsid w:val="001B3110"/>
    <w:rsid w:val="001B4729"/>
    <w:rsid w:val="001B6C09"/>
    <w:rsid w:val="001C05CD"/>
    <w:rsid w:val="001C400A"/>
    <w:rsid w:val="001D68B2"/>
    <w:rsid w:val="001F4597"/>
    <w:rsid w:val="002118B9"/>
    <w:rsid w:val="00217C5B"/>
    <w:rsid w:val="0022139E"/>
    <w:rsid w:val="002252E0"/>
    <w:rsid w:val="002255F6"/>
    <w:rsid w:val="00227850"/>
    <w:rsid w:val="00227A53"/>
    <w:rsid w:val="00230C6E"/>
    <w:rsid w:val="00236443"/>
    <w:rsid w:val="002436BA"/>
    <w:rsid w:val="00244A15"/>
    <w:rsid w:val="00247319"/>
    <w:rsid w:val="0024799E"/>
    <w:rsid w:val="00253C0F"/>
    <w:rsid w:val="00271465"/>
    <w:rsid w:val="00285412"/>
    <w:rsid w:val="002A16D4"/>
    <w:rsid w:val="002A230C"/>
    <w:rsid w:val="002C43BD"/>
    <w:rsid w:val="002C624A"/>
    <w:rsid w:val="002D0E59"/>
    <w:rsid w:val="002D73B4"/>
    <w:rsid w:val="002E02A1"/>
    <w:rsid w:val="002E4E4C"/>
    <w:rsid w:val="00304771"/>
    <w:rsid w:val="003052D4"/>
    <w:rsid w:val="00306C5B"/>
    <w:rsid w:val="00314D9F"/>
    <w:rsid w:val="003209D6"/>
    <w:rsid w:val="00321924"/>
    <w:rsid w:val="0032656E"/>
    <w:rsid w:val="003306DF"/>
    <w:rsid w:val="00332190"/>
    <w:rsid w:val="003350AC"/>
    <w:rsid w:val="00344668"/>
    <w:rsid w:val="003462D9"/>
    <w:rsid w:val="003469F5"/>
    <w:rsid w:val="00360C86"/>
    <w:rsid w:val="003657F3"/>
    <w:rsid w:val="003732DC"/>
    <w:rsid w:val="003818DC"/>
    <w:rsid w:val="00384327"/>
    <w:rsid w:val="00385D98"/>
    <w:rsid w:val="003A2B4D"/>
    <w:rsid w:val="003A478C"/>
    <w:rsid w:val="003A5525"/>
    <w:rsid w:val="003A6B38"/>
    <w:rsid w:val="003B5A32"/>
    <w:rsid w:val="003C3490"/>
    <w:rsid w:val="003D6920"/>
    <w:rsid w:val="003E4C91"/>
    <w:rsid w:val="003F313C"/>
    <w:rsid w:val="003F4B2C"/>
    <w:rsid w:val="003F551C"/>
    <w:rsid w:val="003F7D23"/>
    <w:rsid w:val="00407C13"/>
    <w:rsid w:val="00410638"/>
    <w:rsid w:val="00415939"/>
    <w:rsid w:val="00416F0B"/>
    <w:rsid w:val="00432A58"/>
    <w:rsid w:val="00434617"/>
    <w:rsid w:val="00440900"/>
    <w:rsid w:val="004441A0"/>
    <w:rsid w:val="00454A3F"/>
    <w:rsid w:val="00460FB3"/>
    <w:rsid w:val="00476240"/>
    <w:rsid w:val="00476439"/>
    <w:rsid w:val="0047735C"/>
    <w:rsid w:val="004776BC"/>
    <w:rsid w:val="0048139F"/>
    <w:rsid w:val="00481E40"/>
    <w:rsid w:val="00484ECE"/>
    <w:rsid w:val="004915CB"/>
    <w:rsid w:val="004924DC"/>
    <w:rsid w:val="004A14E4"/>
    <w:rsid w:val="004A3212"/>
    <w:rsid w:val="004A61C5"/>
    <w:rsid w:val="004A77DF"/>
    <w:rsid w:val="004B1417"/>
    <w:rsid w:val="004B55B7"/>
    <w:rsid w:val="004B6468"/>
    <w:rsid w:val="004C384C"/>
    <w:rsid w:val="004C3867"/>
    <w:rsid w:val="004C4CD0"/>
    <w:rsid w:val="004C70DC"/>
    <w:rsid w:val="004D0211"/>
    <w:rsid w:val="004D0794"/>
    <w:rsid w:val="004F06F5"/>
    <w:rsid w:val="004F114A"/>
    <w:rsid w:val="004F33A0"/>
    <w:rsid w:val="00506B19"/>
    <w:rsid w:val="005108C0"/>
    <w:rsid w:val="00511873"/>
    <w:rsid w:val="00512A2F"/>
    <w:rsid w:val="00513B7E"/>
    <w:rsid w:val="00515C74"/>
    <w:rsid w:val="0052007E"/>
    <w:rsid w:val="0052337A"/>
    <w:rsid w:val="00525137"/>
    <w:rsid w:val="005251DD"/>
    <w:rsid w:val="00532CE7"/>
    <w:rsid w:val="0053324C"/>
    <w:rsid w:val="00534A28"/>
    <w:rsid w:val="00541508"/>
    <w:rsid w:val="0055599F"/>
    <w:rsid w:val="00556D68"/>
    <w:rsid w:val="005647BF"/>
    <w:rsid w:val="0057364B"/>
    <w:rsid w:val="00574773"/>
    <w:rsid w:val="00583FFD"/>
    <w:rsid w:val="005911BE"/>
    <w:rsid w:val="00593152"/>
    <w:rsid w:val="005A10F2"/>
    <w:rsid w:val="005A21E0"/>
    <w:rsid w:val="005A28FF"/>
    <w:rsid w:val="005A3DF8"/>
    <w:rsid w:val="005A5549"/>
    <w:rsid w:val="005B121D"/>
    <w:rsid w:val="005C06ED"/>
    <w:rsid w:val="005C78C7"/>
    <w:rsid w:val="005D5802"/>
    <w:rsid w:val="005D7890"/>
    <w:rsid w:val="005E7C78"/>
    <w:rsid w:val="005F3EB1"/>
    <w:rsid w:val="005F5469"/>
    <w:rsid w:val="00604307"/>
    <w:rsid w:val="0060487F"/>
    <w:rsid w:val="00604EAD"/>
    <w:rsid w:val="006104FB"/>
    <w:rsid w:val="00612A2F"/>
    <w:rsid w:val="00616E05"/>
    <w:rsid w:val="00624093"/>
    <w:rsid w:val="006322D4"/>
    <w:rsid w:val="006404A7"/>
    <w:rsid w:val="006451E4"/>
    <w:rsid w:val="00645B33"/>
    <w:rsid w:val="006516CB"/>
    <w:rsid w:val="00657E87"/>
    <w:rsid w:val="006634CE"/>
    <w:rsid w:val="00664803"/>
    <w:rsid w:val="00665BA4"/>
    <w:rsid w:val="00667AF2"/>
    <w:rsid w:val="006710C9"/>
    <w:rsid w:val="00674D89"/>
    <w:rsid w:val="00675E37"/>
    <w:rsid w:val="0068174E"/>
    <w:rsid w:val="00681DCE"/>
    <w:rsid w:val="0068260E"/>
    <w:rsid w:val="00695BEF"/>
    <w:rsid w:val="006977F6"/>
    <w:rsid w:val="00697A13"/>
    <w:rsid w:val="006A109C"/>
    <w:rsid w:val="006B344A"/>
    <w:rsid w:val="006B4B37"/>
    <w:rsid w:val="006B78D8"/>
    <w:rsid w:val="006C113F"/>
    <w:rsid w:val="006C123E"/>
    <w:rsid w:val="006C56D4"/>
    <w:rsid w:val="006C6924"/>
    <w:rsid w:val="006C7CA6"/>
    <w:rsid w:val="006D3E8A"/>
    <w:rsid w:val="006D61F6"/>
    <w:rsid w:val="006E279A"/>
    <w:rsid w:val="006E313B"/>
    <w:rsid w:val="006F5416"/>
    <w:rsid w:val="006F6B1A"/>
    <w:rsid w:val="00706AD4"/>
    <w:rsid w:val="007140BE"/>
    <w:rsid w:val="007202BA"/>
    <w:rsid w:val="007211F5"/>
    <w:rsid w:val="00725BB5"/>
    <w:rsid w:val="00730AE8"/>
    <w:rsid w:val="00733131"/>
    <w:rsid w:val="00734624"/>
    <w:rsid w:val="00741493"/>
    <w:rsid w:val="00752180"/>
    <w:rsid w:val="00755202"/>
    <w:rsid w:val="00755D3A"/>
    <w:rsid w:val="007578D3"/>
    <w:rsid w:val="007609C6"/>
    <w:rsid w:val="0076175D"/>
    <w:rsid w:val="0076521E"/>
    <w:rsid w:val="007661E9"/>
    <w:rsid w:val="00776169"/>
    <w:rsid w:val="00776527"/>
    <w:rsid w:val="00780EF1"/>
    <w:rsid w:val="00790764"/>
    <w:rsid w:val="0079453C"/>
    <w:rsid w:val="00794677"/>
    <w:rsid w:val="0079585A"/>
    <w:rsid w:val="007B6689"/>
    <w:rsid w:val="007D40DF"/>
    <w:rsid w:val="007E7E61"/>
    <w:rsid w:val="007F0845"/>
    <w:rsid w:val="00807C82"/>
    <w:rsid w:val="00816905"/>
    <w:rsid w:val="00821FF6"/>
    <w:rsid w:val="00825C4D"/>
    <w:rsid w:val="0083143E"/>
    <w:rsid w:val="00831CDE"/>
    <w:rsid w:val="00834304"/>
    <w:rsid w:val="00834FAA"/>
    <w:rsid w:val="00836086"/>
    <w:rsid w:val="0084708F"/>
    <w:rsid w:val="008477C8"/>
    <w:rsid w:val="0085114D"/>
    <w:rsid w:val="00852217"/>
    <w:rsid w:val="00855408"/>
    <w:rsid w:val="00856D65"/>
    <w:rsid w:val="00861B41"/>
    <w:rsid w:val="00863434"/>
    <w:rsid w:val="00865E4C"/>
    <w:rsid w:val="0086642C"/>
    <w:rsid w:val="008701E4"/>
    <w:rsid w:val="00875A32"/>
    <w:rsid w:val="00876086"/>
    <w:rsid w:val="008767E4"/>
    <w:rsid w:val="008873D4"/>
    <w:rsid w:val="00893E85"/>
    <w:rsid w:val="00894031"/>
    <w:rsid w:val="008B7C02"/>
    <w:rsid w:val="008B7D2B"/>
    <w:rsid w:val="008C0049"/>
    <w:rsid w:val="008C0E88"/>
    <w:rsid w:val="008D02E1"/>
    <w:rsid w:val="008D1E6A"/>
    <w:rsid w:val="008D2A16"/>
    <w:rsid w:val="008E2C57"/>
    <w:rsid w:val="008E31FF"/>
    <w:rsid w:val="008E6F06"/>
    <w:rsid w:val="008F029B"/>
    <w:rsid w:val="008F3FC9"/>
    <w:rsid w:val="008F4536"/>
    <w:rsid w:val="008F585B"/>
    <w:rsid w:val="009003A8"/>
    <w:rsid w:val="00902500"/>
    <w:rsid w:val="00902EFF"/>
    <w:rsid w:val="00906401"/>
    <w:rsid w:val="0091155E"/>
    <w:rsid w:val="00912A92"/>
    <w:rsid w:val="0091728D"/>
    <w:rsid w:val="0092180B"/>
    <w:rsid w:val="00921F14"/>
    <w:rsid w:val="00924AC8"/>
    <w:rsid w:val="0092597A"/>
    <w:rsid w:val="00932443"/>
    <w:rsid w:val="00937AE2"/>
    <w:rsid w:val="0094427A"/>
    <w:rsid w:val="00973A2C"/>
    <w:rsid w:val="00974923"/>
    <w:rsid w:val="00980D3D"/>
    <w:rsid w:val="00987A30"/>
    <w:rsid w:val="00992CF3"/>
    <w:rsid w:val="00995A66"/>
    <w:rsid w:val="009968D6"/>
    <w:rsid w:val="009A1CAB"/>
    <w:rsid w:val="009A60D1"/>
    <w:rsid w:val="009B10A8"/>
    <w:rsid w:val="009B6FD3"/>
    <w:rsid w:val="009C1750"/>
    <w:rsid w:val="009C2E29"/>
    <w:rsid w:val="009C554B"/>
    <w:rsid w:val="009C719E"/>
    <w:rsid w:val="009D3ACD"/>
    <w:rsid w:val="009E5273"/>
    <w:rsid w:val="009E5DDB"/>
    <w:rsid w:val="009F4CA7"/>
    <w:rsid w:val="009F7A0A"/>
    <w:rsid w:val="00A10D66"/>
    <w:rsid w:val="00A14114"/>
    <w:rsid w:val="00A16413"/>
    <w:rsid w:val="00A23E43"/>
    <w:rsid w:val="00A30F65"/>
    <w:rsid w:val="00A418BC"/>
    <w:rsid w:val="00A46DE0"/>
    <w:rsid w:val="00A50D73"/>
    <w:rsid w:val="00A52CAD"/>
    <w:rsid w:val="00A53FC7"/>
    <w:rsid w:val="00A62CE1"/>
    <w:rsid w:val="00A6741E"/>
    <w:rsid w:val="00A75E40"/>
    <w:rsid w:val="00A77D1D"/>
    <w:rsid w:val="00A857C0"/>
    <w:rsid w:val="00AA2996"/>
    <w:rsid w:val="00AA52BF"/>
    <w:rsid w:val="00AA559A"/>
    <w:rsid w:val="00AB2AF1"/>
    <w:rsid w:val="00AD306C"/>
    <w:rsid w:val="00AE09B3"/>
    <w:rsid w:val="00AE1A83"/>
    <w:rsid w:val="00AF46DC"/>
    <w:rsid w:val="00B00913"/>
    <w:rsid w:val="00B01593"/>
    <w:rsid w:val="00B10A4D"/>
    <w:rsid w:val="00B17E71"/>
    <w:rsid w:val="00B17FDE"/>
    <w:rsid w:val="00B2379C"/>
    <w:rsid w:val="00B2687D"/>
    <w:rsid w:val="00B32DDB"/>
    <w:rsid w:val="00B34528"/>
    <w:rsid w:val="00B35250"/>
    <w:rsid w:val="00B3611A"/>
    <w:rsid w:val="00B402FC"/>
    <w:rsid w:val="00B46604"/>
    <w:rsid w:val="00B530CD"/>
    <w:rsid w:val="00B55F5E"/>
    <w:rsid w:val="00B572E3"/>
    <w:rsid w:val="00B5752E"/>
    <w:rsid w:val="00B63A11"/>
    <w:rsid w:val="00B64C24"/>
    <w:rsid w:val="00B6608F"/>
    <w:rsid w:val="00B679FB"/>
    <w:rsid w:val="00B76D1E"/>
    <w:rsid w:val="00B80EC6"/>
    <w:rsid w:val="00B86681"/>
    <w:rsid w:val="00B92D1D"/>
    <w:rsid w:val="00B938C5"/>
    <w:rsid w:val="00B95940"/>
    <w:rsid w:val="00B9606A"/>
    <w:rsid w:val="00BA339D"/>
    <w:rsid w:val="00BA418B"/>
    <w:rsid w:val="00BB46F3"/>
    <w:rsid w:val="00BB4CB1"/>
    <w:rsid w:val="00BB4F98"/>
    <w:rsid w:val="00BC7154"/>
    <w:rsid w:val="00BD366B"/>
    <w:rsid w:val="00BD6D50"/>
    <w:rsid w:val="00BE18B9"/>
    <w:rsid w:val="00BE2495"/>
    <w:rsid w:val="00BF1578"/>
    <w:rsid w:val="00C21F94"/>
    <w:rsid w:val="00C27913"/>
    <w:rsid w:val="00C33B68"/>
    <w:rsid w:val="00C36A79"/>
    <w:rsid w:val="00C405D4"/>
    <w:rsid w:val="00C4513B"/>
    <w:rsid w:val="00C54697"/>
    <w:rsid w:val="00C56BB4"/>
    <w:rsid w:val="00C631AB"/>
    <w:rsid w:val="00C73885"/>
    <w:rsid w:val="00C747B1"/>
    <w:rsid w:val="00C82191"/>
    <w:rsid w:val="00C90CF4"/>
    <w:rsid w:val="00C92EB6"/>
    <w:rsid w:val="00C93389"/>
    <w:rsid w:val="00CB4930"/>
    <w:rsid w:val="00CC2E7D"/>
    <w:rsid w:val="00CD10A5"/>
    <w:rsid w:val="00CD2076"/>
    <w:rsid w:val="00CD77D4"/>
    <w:rsid w:val="00CE670B"/>
    <w:rsid w:val="00CF51EC"/>
    <w:rsid w:val="00CF73AE"/>
    <w:rsid w:val="00D040DD"/>
    <w:rsid w:val="00D07BA7"/>
    <w:rsid w:val="00D13986"/>
    <w:rsid w:val="00D13A02"/>
    <w:rsid w:val="00D235B7"/>
    <w:rsid w:val="00D25F28"/>
    <w:rsid w:val="00D27973"/>
    <w:rsid w:val="00D50F46"/>
    <w:rsid w:val="00D55763"/>
    <w:rsid w:val="00D66223"/>
    <w:rsid w:val="00D8084C"/>
    <w:rsid w:val="00DA7C0C"/>
    <w:rsid w:val="00DB2EC8"/>
    <w:rsid w:val="00DB55DD"/>
    <w:rsid w:val="00DC5B3B"/>
    <w:rsid w:val="00DD129F"/>
    <w:rsid w:val="00DE2655"/>
    <w:rsid w:val="00DF42FF"/>
    <w:rsid w:val="00E01C0E"/>
    <w:rsid w:val="00E03F9A"/>
    <w:rsid w:val="00E04694"/>
    <w:rsid w:val="00E12B1E"/>
    <w:rsid w:val="00E17262"/>
    <w:rsid w:val="00E253A2"/>
    <w:rsid w:val="00E3309D"/>
    <w:rsid w:val="00E3475B"/>
    <w:rsid w:val="00E50156"/>
    <w:rsid w:val="00E53470"/>
    <w:rsid w:val="00E539F6"/>
    <w:rsid w:val="00E6519D"/>
    <w:rsid w:val="00E67696"/>
    <w:rsid w:val="00E714B0"/>
    <w:rsid w:val="00E71A58"/>
    <w:rsid w:val="00E72A7A"/>
    <w:rsid w:val="00E75C94"/>
    <w:rsid w:val="00E93820"/>
    <w:rsid w:val="00EA0C68"/>
    <w:rsid w:val="00EA32BC"/>
    <w:rsid w:val="00EB3701"/>
    <w:rsid w:val="00EB4511"/>
    <w:rsid w:val="00EC03D7"/>
    <w:rsid w:val="00ED62C6"/>
    <w:rsid w:val="00ED64C1"/>
    <w:rsid w:val="00EE3446"/>
    <w:rsid w:val="00EE3E78"/>
    <w:rsid w:val="00EE4B1B"/>
    <w:rsid w:val="00EF1357"/>
    <w:rsid w:val="00EF150D"/>
    <w:rsid w:val="00EF1F5A"/>
    <w:rsid w:val="00EF47BF"/>
    <w:rsid w:val="00F04811"/>
    <w:rsid w:val="00F0488C"/>
    <w:rsid w:val="00F10F11"/>
    <w:rsid w:val="00F15AAA"/>
    <w:rsid w:val="00F15BEF"/>
    <w:rsid w:val="00F24407"/>
    <w:rsid w:val="00F24FAA"/>
    <w:rsid w:val="00F3364D"/>
    <w:rsid w:val="00F437CC"/>
    <w:rsid w:val="00F47067"/>
    <w:rsid w:val="00F525EB"/>
    <w:rsid w:val="00F63DDE"/>
    <w:rsid w:val="00F63FB7"/>
    <w:rsid w:val="00F649D2"/>
    <w:rsid w:val="00F6602B"/>
    <w:rsid w:val="00F73A0C"/>
    <w:rsid w:val="00F756DB"/>
    <w:rsid w:val="00F85066"/>
    <w:rsid w:val="00F9393D"/>
    <w:rsid w:val="00FA5D4D"/>
    <w:rsid w:val="00FB0EE2"/>
    <w:rsid w:val="00FB542E"/>
    <w:rsid w:val="00FC0E5F"/>
    <w:rsid w:val="00FC1A95"/>
    <w:rsid w:val="00FC56DE"/>
    <w:rsid w:val="00FC684B"/>
    <w:rsid w:val="00FD3265"/>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6033F479"/>
  <w15:docId w15:val="{6634BF6A-D44E-482A-9B54-0320D83F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7202BA"/>
    <w:pPr>
      <w:keepNext/>
      <w:keepLines/>
      <w:spacing w:after="100" w:line="288" w:lineRule="auto"/>
      <w:contextualSpacing/>
      <w:outlineLvl w:val="0"/>
    </w:pPr>
    <w:rPr>
      <w:rFonts w:ascii="Arial" w:eastAsia="MS Gothic" w:hAnsi="Arial"/>
      <w:b/>
      <w:bCs/>
      <w:color w:val="009471"/>
      <w:sz w:val="32"/>
      <w:szCs w:val="28"/>
      <w:lang w:eastAsia="cs-CZ"/>
    </w:rPr>
  </w:style>
  <w:style w:type="paragraph" w:styleId="Nadpis2">
    <w:name w:val="heading 2"/>
    <w:next w:val="Normln"/>
    <w:link w:val="Nadpis2Char"/>
    <w:uiPriority w:val="9"/>
    <w:qFormat/>
    <w:rsid w:val="007202BA"/>
    <w:pPr>
      <w:keepNext/>
      <w:keepLines/>
      <w:spacing w:line="288" w:lineRule="auto"/>
      <w:outlineLvl w:val="1"/>
    </w:pPr>
    <w:rPr>
      <w:rFonts w:ascii="Arial" w:eastAsia="MS Gothic" w:hAnsi="Arial"/>
      <w:b/>
      <w:bCs/>
      <w:color w:val="009471"/>
      <w:sz w:val="28"/>
      <w:szCs w:val="26"/>
      <w:lang w:eastAsia="cs-CZ"/>
    </w:rPr>
  </w:style>
  <w:style w:type="paragraph" w:styleId="Nadpis3">
    <w:name w:val="heading 3"/>
    <w:next w:val="Normln"/>
    <w:link w:val="Nadpis3Char"/>
    <w:uiPriority w:val="9"/>
    <w:qFormat/>
    <w:rsid w:val="007202BA"/>
    <w:pPr>
      <w:keepNext/>
      <w:keepLines/>
      <w:spacing w:line="288" w:lineRule="auto"/>
      <w:outlineLvl w:val="2"/>
    </w:pPr>
    <w:rPr>
      <w:rFonts w:ascii="Arial" w:eastAsia="MS Gothic" w:hAnsi="Arial"/>
      <w:b/>
      <w:bCs/>
      <w:color w:val="009471"/>
      <w:sz w:val="24"/>
      <w:szCs w:val="24"/>
      <w:lang w:eastAsia="cs-CZ"/>
    </w:rPr>
  </w:style>
  <w:style w:type="paragraph" w:styleId="Nadpis4">
    <w:name w:val="heading 4"/>
    <w:next w:val="Normln"/>
    <w:link w:val="Nadpis4Char"/>
    <w:uiPriority w:val="9"/>
    <w:qFormat/>
    <w:rsid w:val="007202BA"/>
    <w:pPr>
      <w:keepNext/>
      <w:keepLines/>
      <w:spacing w:line="288" w:lineRule="auto"/>
      <w:outlineLvl w:val="3"/>
    </w:pPr>
    <w:rPr>
      <w:rFonts w:ascii="Arial" w:eastAsia="MS Gothic" w:hAnsi="Arial"/>
      <w:b/>
      <w:bCs/>
      <w:iCs/>
      <w:color w:val="009471"/>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202BA"/>
    <w:rPr>
      <w:rFonts w:ascii="Arial" w:eastAsia="MS Gothic" w:hAnsi="Arial"/>
      <w:b/>
      <w:bCs/>
      <w:color w:val="009471"/>
      <w:sz w:val="32"/>
      <w:szCs w:val="28"/>
      <w:lang w:eastAsia="cs-CZ"/>
    </w:rPr>
  </w:style>
  <w:style w:type="character" w:customStyle="1" w:styleId="Nadpis2Char">
    <w:name w:val="Nadpis 2 Char"/>
    <w:link w:val="Nadpis2"/>
    <w:uiPriority w:val="9"/>
    <w:rsid w:val="007202BA"/>
    <w:rPr>
      <w:rFonts w:ascii="Arial" w:eastAsia="MS Gothic" w:hAnsi="Arial"/>
      <w:b/>
      <w:bCs/>
      <w:color w:val="009471"/>
      <w:sz w:val="28"/>
      <w:szCs w:val="26"/>
      <w:lang w:eastAsia="cs-CZ"/>
    </w:rPr>
  </w:style>
  <w:style w:type="character" w:customStyle="1" w:styleId="Nadpis3Char">
    <w:name w:val="Nadpis 3 Char"/>
    <w:link w:val="Nadpis3"/>
    <w:uiPriority w:val="9"/>
    <w:rsid w:val="007202BA"/>
    <w:rPr>
      <w:rFonts w:ascii="Arial" w:eastAsia="MS Gothic" w:hAnsi="Arial"/>
      <w:b/>
      <w:bCs/>
      <w:color w:val="009471"/>
      <w:sz w:val="24"/>
      <w:szCs w:val="24"/>
      <w:lang w:eastAsia="cs-CZ"/>
    </w:rPr>
  </w:style>
  <w:style w:type="character" w:customStyle="1" w:styleId="Nadpis4Char">
    <w:name w:val="Nadpis 4 Char"/>
    <w:link w:val="Nadpis4"/>
    <w:uiPriority w:val="9"/>
    <w:rsid w:val="007202BA"/>
    <w:rPr>
      <w:rFonts w:ascii="Arial" w:eastAsia="MS Gothic" w:hAnsi="Arial"/>
      <w:b/>
      <w:bCs/>
      <w:iCs/>
      <w:color w:val="009471"/>
      <w:szCs w:val="24"/>
      <w:lang w:eastAsia="cs-CZ"/>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B3611A"/>
    <w:pPr>
      <w:spacing w:after="80" w:line="288" w:lineRule="auto"/>
    </w:pPr>
    <w:rPr>
      <w:rFonts w:ascii="Arial" w:eastAsia="Times New Roman" w:hAnsi="Arial"/>
      <w:b/>
      <w:color w:val="009471"/>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416F0B"/>
    <w:pPr>
      <w:shd w:val="clear" w:color="auto" w:fill="E3F1EC"/>
      <w:spacing w:before="240" w:after="240" w:line="288" w:lineRule="auto"/>
      <w:ind w:left="709"/>
      <w:contextualSpacing/>
    </w:pPr>
    <w:rPr>
      <w:rFonts w:ascii="Arial" w:hAnsi="Arial" w:cs="Arial"/>
      <w:lang w:eastAsia="cs-CZ"/>
    </w:rPr>
  </w:style>
  <w:style w:type="paragraph" w:customStyle="1" w:styleId="Box2">
    <w:name w:val="Box 2"/>
    <w:qFormat/>
    <w:rsid w:val="007202BA"/>
    <w:pPr>
      <w:spacing w:before="240" w:after="240" w:line="288" w:lineRule="auto"/>
      <w:ind w:left="709"/>
      <w:contextualSpacing/>
    </w:pPr>
    <w:rPr>
      <w:rFonts w:ascii="Arial" w:hAnsi="Arial" w:cs="Arial"/>
      <w:color w:val="009471"/>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B3611A"/>
    <w:pPr>
      <w:spacing w:after="40"/>
      <w:contextualSpacing/>
    </w:pPr>
    <w:rPr>
      <w:b/>
      <w:caps/>
      <w:color w:val="000000" w:themeColor="text1"/>
      <w:sz w:val="24"/>
    </w:rPr>
  </w:style>
  <w:style w:type="paragraph" w:customStyle="1" w:styleId="TLKontakty">
    <w:name w:val="TL Kontakty"/>
    <w:qFormat/>
    <w:rsid w:val="00B3611A"/>
    <w:pPr>
      <w:spacing w:after="160" w:line="259" w:lineRule="auto"/>
      <w:contextualSpacing/>
    </w:pPr>
    <w:rPr>
      <w:rFonts w:ascii="Arial" w:eastAsia="Times New Roman" w:hAnsi="Arial"/>
      <w:b/>
      <w:color w:val="009471"/>
      <w:lang w:eastAsia="cs-CZ"/>
    </w:rPr>
  </w:style>
  <w:style w:type="paragraph" w:styleId="Nzev">
    <w:name w:val="Title"/>
    <w:link w:val="NzevChar"/>
    <w:uiPriority w:val="10"/>
    <w:qFormat/>
    <w:rsid w:val="00B3611A"/>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B3611A"/>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B3611A"/>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B3611A"/>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Odkazintenzivn">
    <w:name w:val="Intense Reference"/>
    <w:basedOn w:val="Standardnpsmoodstavce"/>
    <w:uiPriority w:val="32"/>
    <w:qFormat/>
    <w:rsid w:val="00B3611A"/>
    <w:rPr>
      <w:b/>
      <w:bCs/>
      <w:smallCaps/>
      <w:color w:val="000000" w:themeColor="text1"/>
      <w:spacing w:val="5"/>
    </w:rPr>
  </w:style>
  <w:style w:type="character" w:styleId="Zdraznnintenzivn">
    <w:name w:val="Intense Emphasis"/>
    <w:basedOn w:val="Standardnpsmoodstavce"/>
    <w:uiPriority w:val="21"/>
    <w:qFormat/>
    <w:rsid w:val="00B3611A"/>
    <w:rPr>
      <w:i/>
      <w:iCs/>
      <w:color w:val="000000" w:themeColor="text1"/>
    </w:rPr>
  </w:style>
  <w:style w:type="paragraph" w:styleId="Zkladntextodsazen">
    <w:name w:val="Body Text Indent"/>
    <w:basedOn w:val="Normln"/>
    <w:link w:val="ZkladntextodsazenChar"/>
    <w:semiHidden/>
    <w:rsid w:val="006B4B37"/>
    <w:pPr>
      <w:overflowPunct w:val="0"/>
      <w:autoSpaceDE w:val="0"/>
      <w:autoSpaceDN w:val="0"/>
      <w:adjustRightInd w:val="0"/>
      <w:spacing w:before="120" w:after="120" w:line="240" w:lineRule="auto"/>
      <w:ind w:firstLine="426"/>
      <w:jc w:val="both"/>
      <w:textAlignment w:val="baseline"/>
    </w:pPr>
    <w:rPr>
      <w:szCs w:val="20"/>
    </w:rPr>
  </w:style>
  <w:style w:type="character" w:customStyle="1" w:styleId="ZkladntextodsazenChar">
    <w:name w:val="Základní text odsazený Char"/>
    <w:basedOn w:val="Standardnpsmoodstavce"/>
    <w:link w:val="Zkladntextodsazen"/>
    <w:semiHidden/>
    <w:rsid w:val="006B4B37"/>
    <w:rPr>
      <w:rFonts w:ascii="Arial" w:eastAsia="Times New Roman" w:hAnsi="Arial"/>
      <w:lang w:eastAsia="cs-CZ"/>
    </w:rPr>
  </w:style>
  <w:style w:type="paragraph" w:styleId="Zkladntextodsazen2">
    <w:name w:val="Body Text Indent 2"/>
    <w:basedOn w:val="Normln"/>
    <w:link w:val="Zkladntextodsazen2Char"/>
    <w:semiHidden/>
    <w:rsid w:val="006B4B37"/>
    <w:pPr>
      <w:spacing w:before="120" w:after="120" w:line="240" w:lineRule="auto"/>
      <w:ind w:firstLine="284"/>
      <w:jc w:val="both"/>
    </w:pPr>
  </w:style>
  <w:style w:type="character" w:customStyle="1" w:styleId="Zkladntextodsazen2Char">
    <w:name w:val="Základní text odsazený 2 Char"/>
    <w:basedOn w:val="Standardnpsmoodstavce"/>
    <w:link w:val="Zkladntextodsazen2"/>
    <w:semiHidden/>
    <w:rsid w:val="006B4B37"/>
    <w:rPr>
      <w:rFonts w:ascii="Arial" w:eastAsia="Times New Roman" w:hAnsi="Arial"/>
      <w:szCs w:val="24"/>
      <w:lang w:eastAsia="cs-CZ"/>
    </w:rPr>
  </w:style>
  <w:style w:type="paragraph" w:styleId="Zkladntext2">
    <w:name w:val="Body Text 2"/>
    <w:basedOn w:val="Normln"/>
    <w:link w:val="Zkladntext2Char"/>
    <w:semiHidden/>
    <w:rsid w:val="006B4B37"/>
    <w:pPr>
      <w:spacing w:before="120" w:after="120" w:line="240" w:lineRule="auto"/>
      <w:jc w:val="both"/>
    </w:pPr>
  </w:style>
  <w:style w:type="character" w:customStyle="1" w:styleId="Zkladntext2Char">
    <w:name w:val="Základní text 2 Char"/>
    <w:basedOn w:val="Standardnpsmoodstavce"/>
    <w:link w:val="Zkladntext2"/>
    <w:semiHidden/>
    <w:rsid w:val="006B4B37"/>
    <w:rPr>
      <w:rFonts w:ascii="Arial" w:eastAsia="Times New Roman" w:hAnsi="Arial"/>
      <w:szCs w:val="24"/>
      <w:lang w:eastAsia="cs-CZ"/>
    </w:rPr>
  </w:style>
  <w:style w:type="paragraph" w:styleId="Zkladntext">
    <w:name w:val="Body Text"/>
    <w:basedOn w:val="Normln"/>
    <w:link w:val="ZkladntextChar"/>
    <w:uiPriority w:val="99"/>
    <w:semiHidden/>
    <w:unhideWhenUsed/>
    <w:rsid w:val="006B4B37"/>
    <w:pPr>
      <w:overflowPunct w:val="0"/>
      <w:autoSpaceDE w:val="0"/>
      <w:autoSpaceDN w:val="0"/>
      <w:adjustRightInd w:val="0"/>
      <w:spacing w:after="120" w:line="240" w:lineRule="auto"/>
      <w:textAlignment w:val="baseline"/>
    </w:pPr>
    <w:rPr>
      <w:rFonts w:ascii="Times New Roman" w:hAnsi="Times New Roman"/>
      <w:szCs w:val="20"/>
    </w:rPr>
  </w:style>
  <w:style w:type="character" w:customStyle="1" w:styleId="ZkladntextChar">
    <w:name w:val="Základní text Char"/>
    <w:basedOn w:val="Standardnpsmoodstavce"/>
    <w:link w:val="Zkladntext"/>
    <w:uiPriority w:val="99"/>
    <w:semiHidden/>
    <w:rsid w:val="006B4B37"/>
    <w:rPr>
      <w:rFonts w:ascii="Times New Roman" w:eastAsia="Times New Roman" w:hAnsi="Times New Roman"/>
      <w:lang w:eastAsia="cs-CZ"/>
    </w:rPr>
  </w:style>
  <w:style w:type="paragraph" w:styleId="Zkladntext3">
    <w:name w:val="Body Text 3"/>
    <w:basedOn w:val="Normln"/>
    <w:link w:val="Zkladntext3Char"/>
    <w:uiPriority w:val="99"/>
    <w:unhideWhenUsed/>
    <w:rsid w:val="006B4B37"/>
    <w:pPr>
      <w:overflowPunct w:val="0"/>
      <w:autoSpaceDE w:val="0"/>
      <w:autoSpaceDN w:val="0"/>
      <w:adjustRightInd w:val="0"/>
      <w:spacing w:after="120" w:line="240" w:lineRule="auto"/>
      <w:textAlignment w:val="baseline"/>
    </w:pPr>
    <w:rPr>
      <w:rFonts w:ascii="Times New Roman" w:hAnsi="Times New Roman"/>
      <w:sz w:val="16"/>
      <w:szCs w:val="16"/>
    </w:rPr>
  </w:style>
  <w:style w:type="character" w:customStyle="1" w:styleId="Zkladntext3Char">
    <w:name w:val="Základní text 3 Char"/>
    <w:basedOn w:val="Standardnpsmoodstavce"/>
    <w:link w:val="Zkladntext3"/>
    <w:uiPriority w:val="99"/>
    <w:rsid w:val="006B4B37"/>
    <w:rPr>
      <w:rFonts w:ascii="Times New Roman" w:eastAsia="Times New Roman" w:hAnsi="Times New Roman"/>
      <w:sz w:val="16"/>
      <w:szCs w:val="16"/>
      <w:lang w:eastAsia="cs-CZ"/>
    </w:rPr>
  </w:style>
  <w:style w:type="paragraph" w:styleId="Zkladntextodsazen3">
    <w:name w:val="Body Text Indent 3"/>
    <w:basedOn w:val="Normln"/>
    <w:link w:val="Zkladntextodsazen3Char"/>
    <w:uiPriority w:val="99"/>
    <w:semiHidden/>
    <w:unhideWhenUsed/>
    <w:rsid w:val="006B4B37"/>
    <w:pPr>
      <w:overflowPunct w:val="0"/>
      <w:autoSpaceDE w:val="0"/>
      <w:autoSpaceDN w:val="0"/>
      <w:adjustRightInd w:val="0"/>
      <w:spacing w:after="120" w:line="240" w:lineRule="auto"/>
      <w:ind w:left="283"/>
      <w:textAlignment w:val="baseline"/>
    </w:pPr>
    <w:rPr>
      <w:rFonts w:ascii="Times New Roman" w:hAnsi="Times New Roman"/>
      <w:sz w:val="16"/>
      <w:szCs w:val="16"/>
    </w:rPr>
  </w:style>
  <w:style w:type="character" w:customStyle="1" w:styleId="Zkladntextodsazen3Char">
    <w:name w:val="Základní text odsazený 3 Char"/>
    <w:basedOn w:val="Standardnpsmoodstavce"/>
    <w:link w:val="Zkladntextodsazen3"/>
    <w:uiPriority w:val="99"/>
    <w:semiHidden/>
    <w:rsid w:val="006B4B37"/>
    <w:rPr>
      <w:rFonts w:ascii="Times New Roman" w:eastAsia="Times New Roman" w:hAnsi="Times New Roman"/>
      <w:sz w:val="16"/>
      <w:szCs w:val="16"/>
      <w:lang w:eastAsia="cs-CZ"/>
    </w:rPr>
  </w:style>
  <w:style w:type="paragraph" w:styleId="Odstavecseseznamem">
    <w:name w:val="List Paragraph"/>
    <w:basedOn w:val="Normln"/>
    <w:uiPriority w:val="34"/>
    <w:rsid w:val="00E34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849949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337683782">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istorieverze xmlns="8675fb2b-b414-4bad-b4c4-d9349268b5a1" xsi:nil="true"/>
    <Verzeform xmlns="8675fb2b-b414-4bad-b4c4-d9349268b5a1">v1.0</Verzeform>
    <Forma xmlns="8675fb2b-b414-4bad-b4c4-d9349268b5a1">
      <Value>Elektronická</Value>
    </Forma>
    <Vazbanaproces xmlns="8675fb2b-b414-4bad-b4c4-d9349268b5a1" xsi:nil="true"/>
    <Gestor xmlns="8675fb2b-b414-4bad-b4c4-d9349268b5a1">
      <UserInfo>
        <DisplayName>Novotný Michal</DisplayName>
        <AccountId>24</AccountId>
        <AccountType/>
      </UserInfo>
    </Gestor>
    <Form_c xmlns="8675fb2b-b414-4bad-b4c4-d9349268b5a1">443</Form_c>
    <NazevForm xmlns="8675fb2b-b414-4bad-b4c4-d9349268b5a1">Publikace CZ barevná - hospodářská odvětví</NazevForm>
    <UcinnostOdForm xmlns="8675fb2b-b414-4bad-b4c4-d9349268b5a1">2024-06-18T22:00:00+00:00</UcinnostOdForm>
    <DomenaForm xmlns="8675fb2b-b414-4bad-b4c4-d9349268b5a1">
      <Value>P4 Komunikace a propagace</Value>
    </DomenaForm>
    <PredpisForm xmlns="8675fb2b-b414-4bad-b4c4-d9349268b5a1">Manuál značky a jednotného vizuálního stylu Českého statistického úřadu (č.2/2024)</PredpisForm>
    <UstanoveniForm xmlns="8675fb2b-b414-4bad-b4c4-d9349268b5a1" xsi:nil="true"/>
    <PoznForm xmlns="8675fb2b-b414-4bad-b4c4-d9349268b5a1" xsi:nil="true"/>
    <Oznaceni xmlns="8675fb2b-b414-4bad-b4c4-d9349268b5a1" xsi:nil="true"/>
    <UcinnostDoForm xmlns="8675fb2b-b414-4bad-b4c4-d9349268b5a1" xsi:nil="true"/>
    <Platnost xmlns="8675fb2b-b414-4bad-b4c4-d9349268b5a1">true</Platnost>
    <Odkaz xmlns="8675fb2b-b414-4bad-b4c4-d9349268b5a1">
      <Url xsi:nil="true"/>
      <Description xsi:nil="true"/>
    </Odkaz>
    <TaxCatchAll xmlns="406a38fe-c53c-4047-b0f8-c641386931ae" xsi:nil="true"/>
    <lcf76f155ced4ddcb4097134ff3c332f xmlns="8675fb2b-b414-4bad-b4c4-d9349268b5a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49235dd285db149611ba0ad3ef70ad08">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a93907e7ddce75859c6ca4616d139022"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H1. Koordinace a správa metodiky"/>
                    <xsd:enumeration value="H2. Posouzení požadavků"/>
                    <xsd:enumeration value="H3. Specifikace úlohy"/>
                    <xsd:enumeration value="H4. Příprava zpracování"/>
                    <xsd:enumeration value="H5. Sběr dat"/>
                    <xsd:enumeration value="H6. Statistické zpracování"/>
                    <xsd:enumeration value="H7. Analýza a tvorba výstupů"/>
                    <xsd:enumeration value="H8. Diseminace"/>
                    <xsd:enumeration value="H9. Evaluace"/>
                    <xsd:enumeration value="H10. Zpracování voleb"/>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17C02-2A1C-4865-B445-BEE36455B994}">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2.xml><?xml version="1.0" encoding="utf-8"?>
<ds:datastoreItem xmlns:ds="http://schemas.openxmlformats.org/officeDocument/2006/customXml" ds:itemID="{C1422A55-CEA9-480C-B27B-21CB6A48CE16}">
  <ds:schemaRefs>
    <ds:schemaRef ds:uri="http://schemas.microsoft.com/sharepoint/v3/contenttype/forms"/>
  </ds:schemaRefs>
</ds:datastoreItem>
</file>

<file path=customXml/itemProps3.xml><?xml version="1.0" encoding="utf-8"?>
<ds:datastoreItem xmlns:ds="http://schemas.openxmlformats.org/officeDocument/2006/customXml" ds:itemID="{3FBC8E7B-62ED-473E-A6BF-536B03CA8B93}">
  <ds:schemaRefs>
    <ds:schemaRef ds:uri="http://schemas.openxmlformats.org/officeDocument/2006/bibliography"/>
  </ds:schemaRefs>
</ds:datastoreItem>
</file>

<file path=customXml/itemProps4.xml><?xml version="1.0" encoding="utf-8"?>
<ds:datastoreItem xmlns:ds="http://schemas.openxmlformats.org/officeDocument/2006/customXml" ds:itemID="{C9139D5E-AFB6-4B68-A8C2-3C8FF5CC8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614</Words>
  <Characters>3629</Characters>
  <Application>Microsoft Office Word</Application>
  <DocSecurity>0</DocSecurity>
  <Lines>30</Lines>
  <Paragraphs>8</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Manager/>
  <Company>CSU</Company>
  <LinksUpToDate>false</LinksUpToDate>
  <CharactersWithSpaces>4235</CharactersWithSpaces>
  <SharedDoc>false</SharedDoc>
  <HyperlinkBase/>
  <HLinks>
    <vt:vector size="18" baseType="variant">
      <vt:variant>
        <vt:i4>7602181</vt:i4>
      </vt:variant>
      <vt:variant>
        <vt:i4>11092</vt:i4>
      </vt:variant>
      <vt:variant>
        <vt:i4>1025</vt:i4>
      </vt:variant>
      <vt:variant>
        <vt:i4>1</vt:i4>
      </vt:variant>
      <vt:variant>
        <vt:lpwstr>msoFAAF</vt:lpwstr>
      </vt:variant>
      <vt:variant>
        <vt:lpwstr/>
      </vt:variant>
      <vt:variant>
        <vt:i4>7995509</vt:i4>
      </vt:variant>
      <vt:variant>
        <vt:i4>-1</vt:i4>
      </vt:variant>
      <vt:variant>
        <vt:i4>2058</vt:i4>
      </vt:variant>
      <vt:variant>
        <vt:i4>1</vt:i4>
      </vt:variant>
      <vt:variant>
        <vt:lpwstr>CSU RGB CZ logo-02</vt:lpwstr>
      </vt:variant>
      <vt:variant>
        <vt:lpwstr/>
      </vt:variant>
      <vt:variant>
        <vt:i4>7929973</vt:i4>
      </vt:variant>
      <vt:variant>
        <vt:i4>-1</vt:i4>
      </vt:variant>
      <vt:variant>
        <vt:i4>2059</vt:i4>
      </vt:variant>
      <vt:variant>
        <vt:i4>1</vt:i4>
      </vt:variant>
      <vt:variant>
        <vt:lpwstr>CSU RGB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Romana</dc:creator>
  <cp:keywords/>
  <dc:description/>
  <cp:lastModifiedBy>Málková Helena</cp:lastModifiedBy>
  <cp:revision>13</cp:revision>
  <cp:lastPrinted>2014-07-17T14:07:00Z</cp:lastPrinted>
  <dcterms:created xsi:type="dcterms:W3CDTF">2024-09-19T07:54:00Z</dcterms:created>
  <dcterms:modified xsi:type="dcterms:W3CDTF">2025-11-20T13:24:00Z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Názevformuláře">
    <vt:lpwstr>Publikace CZ barevné - ekonomika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2017-08-14T07:00:00Z</vt:filetime>
  </property>
  <property fmtid="{D5CDD505-2E9C-101B-9397-08002B2CF9AE}" pid="8" name="Označení">
    <vt:lpwstr>Form_c438</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