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F3" w:rsidRPr="00945329" w:rsidRDefault="003770A0" w:rsidP="005C7437">
      <w:pPr>
        <w:pStyle w:val="Nzev"/>
      </w:pPr>
      <w:r w:rsidRPr="00945329">
        <w:t>Dokumentace datové sady</w:t>
      </w:r>
      <w:r w:rsidR="005C7437" w:rsidRPr="00945329">
        <w:t xml:space="preserve"> (DS)</w:t>
      </w:r>
    </w:p>
    <w:p w:rsidR="005C7437" w:rsidRPr="00DA448A" w:rsidRDefault="00DA448A" w:rsidP="005C7437">
      <w:pPr>
        <w:pStyle w:val="Nzev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(Aktualizováno ke dni 2</w:t>
      </w:r>
      <w:r w:rsidR="00DC66C5">
        <w:rPr>
          <w:b w:val="0"/>
          <w:sz w:val="22"/>
          <w:szCs w:val="22"/>
        </w:rPr>
        <w:t>4</w:t>
      </w:r>
      <w:bookmarkStart w:id="0" w:name="_GoBack"/>
      <w:bookmarkEnd w:id="0"/>
      <w:r>
        <w:rPr>
          <w:b w:val="0"/>
          <w:sz w:val="22"/>
          <w:szCs w:val="22"/>
        </w:rPr>
        <w:t>. 3. 2023)</w:t>
      </w:r>
    </w:p>
    <w:p w:rsidR="003770A0" w:rsidRPr="00945329" w:rsidRDefault="003770A0" w:rsidP="00222387">
      <w:r w:rsidRPr="00945329">
        <w:rPr>
          <w:rStyle w:val="Nadpis2Char"/>
          <w:color w:val="auto"/>
        </w:rPr>
        <w:t>Název DS:</w:t>
      </w:r>
      <w:r w:rsidRPr="00945329">
        <w:t xml:space="preserve"> </w:t>
      </w:r>
    </w:p>
    <w:p w:rsidR="00785F03" w:rsidRPr="00DA448A" w:rsidRDefault="009E33EF" w:rsidP="00222387">
      <w:pPr>
        <w:pStyle w:val="Nadpis2"/>
        <w:rPr>
          <w:rStyle w:val="content"/>
          <w:rFonts w:eastAsiaTheme="minorHAnsi" w:cstheme="minorBidi"/>
          <w:bCs w:val="0"/>
          <w:i/>
          <w:color w:val="auto"/>
          <w:sz w:val="28"/>
          <w:szCs w:val="28"/>
          <w:u w:val="single"/>
        </w:rPr>
      </w:pPr>
      <w:r w:rsidRPr="00DA448A">
        <w:rPr>
          <w:rStyle w:val="content"/>
          <w:rFonts w:eastAsiaTheme="minorHAnsi" w:cstheme="minorBidi"/>
          <w:bCs w:val="0"/>
          <w:i/>
          <w:color w:val="auto"/>
          <w:sz w:val="28"/>
          <w:szCs w:val="28"/>
          <w:u w:val="single"/>
        </w:rPr>
        <w:t>Ukazatele výzkumu a vývoje podle krajů</w:t>
      </w:r>
    </w:p>
    <w:p w:rsidR="00785F03" w:rsidRPr="00945329" w:rsidRDefault="00785F03" w:rsidP="00222387">
      <w:pPr>
        <w:pStyle w:val="Nadpis2"/>
        <w:rPr>
          <w:rStyle w:val="content"/>
          <w:rFonts w:eastAsiaTheme="minorHAnsi" w:cstheme="minorBidi"/>
          <w:bCs w:val="0"/>
          <w:i/>
          <w:color w:val="auto"/>
          <w:szCs w:val="24"/>
        </w:rPr>
      </w:pPr>
    </w:p>
    <w:p w:rsidR="003770A0" w:rsidRPr="00945329" w:rsidRDefault="003770A0" w:rsidP="00222387">
      <w:pPr>
        <w:pStyle w:val="Nadpis2"/>
        <w:rPr>
          <w:color w:val="auto"/>
        </w:rPr>
      </w:pPr>
      <w:r w:rsidRPr="00945329">
        <w:rPr>
          <w:color w:val="auto"/>
        </w:rPr>
        <w:t>Popis datové sady:</w:t>
      </w:r>
    </w:p>
    <w:p w:rsidR="007758FA" w:rsidRPr="00945329" w:rsidRDefault="00785F03" w:rsidP="00347443">
      <w:r w:rsidRPr="00945329">
        <w:t>Datová sada obsahuje časovou řadu s</w:t>
      </w:r>
      <w:r w:rsidR="009E33EF" w:rsidRPr="00945329">
        <w:t xml:space="preserve"> vybranými ukazateli výzkumu a vývoje </w:t>
      </w:r>
      <w:r w:rsidR="008272CB" w:rsidRPr="00945329">
        <w:t>(</w:t>
      </w:r>
      <w:proofErr w:type="spellStart"/>
      <w:r w:rsidR="008272CB" w:rsidRPr="00945329">
        <w:t>VaV</w:t>
      </w:r>
      <w:proofErr w:type="spellEnd"/>
      <w:r w:rsidR="008272CB" w:rsidRPr="00945329">
        <w:t xml:space="preserve">), zejména s počtem pracovišť, </w:t>
      </w:r>
      <w:r w:rsidR="000656B1" w:rsidRPr="00945329">
        <w:t>pracovníků</w:t>
      </w:r>
      <w:r w:rsidR="008272CB" w:rsidRPr="00945329">
        <w:t xml:space="preserve"> a výdajů včetně zdrojů financování v České republice a</w:t>
      </w:r>
      <w:r w:rsidR="009E33EF" w:rsidRPr="00945329">
        <w:t> krajích České republiky od roku 2005.</w:t>
      </w:r>
      <w:r w:rsidRPr="00945329">
        <w:t>.</w:t>
      </w:r>
    </w:p>
    <w:p w:rsidR="008C1410" w:rsidRPr="00945329" w:rsidRDefault="008C1410" w:rsidP="00347443">
      <w:pPr>
        <w:rPr>
          <w:i/>
        </w:rPr>
      </w:pPr>
    </w:p>
    <w:p w:rsidR="005B027B" w:rsidRPr="00945329" w:rsidRDefault="005B027B" w:rsidP="00347443">
      <w:pPr>
        <w:rPr>
          <w:i/>
        </w:rPr>
      </w:pPr>
      <w:r w:rsidRPr="00945329">
        <w:rPr>
          <w:i/>
        </w:rPr>
        <w:t>Metodick</w:t>
      </w:r>
      <w:r w:rsidR="00573AFB" w:rsidRPr="00945329">
        <w:rPr>
          <w:i/>
        </w:rPr>
        <w:t>é</w:t>
      </w:r>
      <w:r w:rsidRPr="00945329">
        <w:rPr>
          <w:i/>
        </w:rPr>
        <w:t xml:space="preserve"> poznámk</w:t>
      </w:r>
      <w:r w:rsidR="00573AFB" w:rsidRPr="00945329">
        <w:rPr>
          <w:i/>
        </w:rPr>
        <w:t>y</w:t>
      </w:r>
    </w:p>
    <w:p w:rsidR="00695ED1" w:rsidRPr="00945329" w:rsidRDefault="00695ED1" w:rsidP="00D15B1A">
      <w:pPr>
        <w:rPr>
          <w:rFonts w:ascii="Calibri" w:eastAsia="Times New Roman" w:hAnsi="Calibri" w:cs="Times New Roman"/>
          <w:b/>
          <w:sz w:val="22"/>
          <w:lang w:eastAsia="cs-CZ"/>
        </w:rPr>
      </w:pPr>
      <w:bookmarkStart w:id="1" w:name="OLE_LINK10"/>
      <w:r w:rsidRPr="00945329">
        <w:rPr>
          <w:rFonts w:ascii="Calibri" w:eastAsia="Times New Roman" w:hAnsi="Calibri" w:cs="Times New Roman"/>
          <w:b/>
          <w:sz w:val="22"/>
          <w:lang w:eastAsia="cs-CZ"/>
        </w:rPr>
        <w:t xml:space="preserve">Pracoviště výzkumu a </w:t>
      </w:r>
      <w:r w:rsidR="000656B1" w:rsidRPr="00945329">
        <w:rPr>
          <w:rFonts w:ascii="Calibri" w:eastAsia="Times New Roman" w:hAnsi="Calibri" w:cs="Times New Roman"/>
          <w:b/>
          <w:sz w:val="22"/>
          <w:lang w:eastAsia="cs-CZ"/>
        </w:rPr>
        <w:t>vývoje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66"/>
      </w:tblGrid>
      <w:tr w:rsidR="00224E29" w:rsidRPr="00945329" w:rsidTr="00224E29">
        <w:trPr>
          <w:tblCellSpacing w:w="0" w:type="dxa"/>
        </w:trPr>
        <w:tc>
          <w:tcPr>
            <w:tcW w:w="0" w:type="auto"/>
            <w:vAlign w:val="center"/>
            <w:hideMark/>
          </w:tcPr>
          <w:p w:rsidR="00224E29" w:rsidRPr="00945329" w:rsidRDefault="00224E29" w:rsidP="00D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24E29" w:rsidRPr="00945329" w:rsidRDefault="00224E29" w:rsidP="00D1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5329">
              <w:rPr>
                <w:rFonts w:cs="Arial"/>
                <w:bCs/>
                <w:szCs w:val="18"/>
              </w:rPr>
              <w:t>Pracoviště výzkumu a vývoje (</w:t>
            </w:r>
            <w:proofErr w:type="spellStart"/>
            <w:r w:rsidRPr="00945329">
              <w:rPr>
                <w:rFonts w:cs="Arial"/>
                <w:bCs/>
                <w:szCs w:val="18"/>
              </w:rPr>
              <w:t>VaV</w:t>
            </w:r>
            <w:proofErr w:type="spellEnd"/>
            <w:r w:rsidRPr="00945329">
              <w:rPr>
                <w:rFonts w:cs="Arial"/>
                <w:bCs/>
                <w:szCs w:val="18"/>
              </w:rPr>
              <w:t xml:space="preserve">) je zpravodajskou jednotkou šetření VTR 5-01. Pracoviště </w:t>
            </w:r>
            <w:proofErr w:type="spellStart"/>
            <w:r w:rsidRPr="00945329">
              <w:rPr>
                <w:rFonts w:cs="Arial"/>
                <w:bCs/>
                <w:szCs w:val="18"/>
              </w:rPr>
              <w:t>VaV</w:t>
            </w:r>
            <w:proofErr w:type="spellEnd"/>
            <w:r w:rsidRPr="00945329">
              <w:rPr>
                <w:rFonts w:cs="Arial"/>
                <w:bCs/>
                <w:szCs w:val="18"/>
              </w:rPr>
              <w:t xml:space="preserve"> náleží ekonomickým subjektům jejichž hlavní nebo vedlejší ekonomickou činností je </w:t>
            </w:r>
            <w:proofErr w:type="spellStart"/>
            <w:r w:rsidRPr="00945329">
              <w:rPr>
                <w:rFonts w:cs="Arial"/>
                <w:bCs/>
                <w:szCs w:val="18"/>
              </w:rPr>
              <w:t>VaV</w:t>
            </w:r>
            <w:proofErr w:type="spellEnd"/>
            <w:r w:rsidRPr="00945329">
              <w:rPr>
                <w:rFonts w:cs="Arial"/>
                <w:bCs/>
                <w:szCs w:val="18"/>
              </w:rPr>
              <w:t>.</w:t>
            </w:r>
          </w:p>
        </w:tc>
      </w:tr>
    </w:tbl>
    <w:p w:rsidR="00224E29" w:rsidRPr="00945329" w:rsidRDefault="00224E29" w:rsidP="00D15B1A">
      <w:pPr>
        <w:rPr>
          <w:rFonts w:ascii="Calibri" w:eastAsia="Times New Roman" w:hAnsi="Calibri" w:cs="Times New Roman"/>
          <w:b/>
          <w:sz w:val="22"/>
          <w:lang w:eastAsia="cs-CZ"/>
        </w:rPr>
      </w:pPr>
    </w:p>
    <w:p w:rsidR="00695ED1" w:rsidRPr="00945329" w:rsidRDefault="000656B1" w:rsidP="00D15B1A">
      <w:pPr>
        <w:rPr>
          <w:rFonts w:ascii="Calibri" w:eastAsia="Times New Roman" w:hAnsi="Calibri" w:cs="Times New Roman"/>
          <w:b/>
          <w:sz w:val="22"/>
          <w:lang w:eastAsia="cs-CZ"/>
        </w:rPr>
      </w:pPr>
      <w:r w:rsidRPr="00945329">
        <w:rPr>
          <w:rFonts w:ascii="Calibri" w:eastAsia="Times New Roman" w:hAnsi="Calibri" w:cs="Times New Roman"/>
          <w:b/>
          <w:sz w:val="22"/>
          <w:lang w:eastAsia="cs-CZ"/>
        </w:rPr>
        <w:t>Pracovníc</w:t>
      </w:r>
      <w:r w:rsidR="00695ED1" w:rsidRPr="00945329">
        <w:rPr>
          <w:rFonts w:ascii="Calibri" w:eastAsia="Times New Roman" w:hAnsi="Calibri" w:cs="Times New Roman"/>
          <w:b/>
          <w:sz w:val="22"/>
          <w:lang w:eastAsia="cs-CZ"/>
        </w:rPr>
        <w:t xml:space="preserve">i </w:t>
      </w:r>
      <w:r w:rsidRPr="00945329">
        <w:rPr>
          <w:rFonts w:ascii="Calibri" w:eastAsia="Times New Roman" w:hAnsi="Calibri" w:cs="Times New Roman"/>
          <w:b/>
          <w:sz w:val="22"/>
          <w:lang w:eastAsia="cs-CZ"/>
        </w:rPr>
        <w:t xml:space="preserve">ve </w:t>
      </w:r>
      <w:r w:rsidR="00695ED1" w:rsidRPr="00945329">
        <w:rPr>
          <w:rFonts w:ascii="Calibri" w:eastAsia="Times New Roman" w:hAnsi="Calibri" w:cs="Times New Roman"/>
          <w:b/>
          <w:sz w:val="22"/>
          <w:lang w:eastAsia="cs-CZ"/>
        </w:rPr>
        <w:t xml:space="preserve">výzkumu a </w:t>
      </w:r>
      <w:r w:rsidRPr="00945329">
        <w:rPr>
          <w:rFonts w:ascii="Calibri" w:eastAsia="Times New Roman" w:hAnsi="Calibri" w:cs="Times New Roman"/>
          <w:b/>
          <w:sz w:val="22"/>
          <w:lang w:eastAsia="cs-CZ"/>
        </w:rPr>
        <w:t>vývoji</w:t>
      </w:r>
      <w:r w:rsidR="00695ED1" w:rsidRPr="00945329">
        <w:rPr>
          <w:rFonts w:ascii="Calibri" w:eastAsia="Times New Roman" w:hAnsi="Calibri" w:cs="Times New Roman"/>
          <w:b/>
          <w:sz w:val="22"/>
          <w:lang w:eastAsia="cs-CZ"/>
        </w:rPr>
        <w:t xml:space="preserve"> (fyzické a přepočtené osoby)</w:t>
      </w:r>
    </w:p>
    <w:p w:rsidR="00695ED1" w:rsidRPr="00945329" w:rsidRDefault="00695ED1" w:rsidP="00D15B1A">
      <w:pPr>
        <w:spacing w:after="60" w:line="288" w:lineRule="auto"/>
        <w:rPr>
          <w:rFonts w:cs="Arial"/>
          <w:szCs w:val="18"/>
        </w:rPr>
      </w:pPr>
      <w:r w:rsidRPr="00945329">
        <w:rPr>
          <w:rFonts w:cs="Arial"/>
          <w:bCs/>
          <w:szCs w:val="18"/>
        </w:rPr>
        <w:t xml:space="preserve">Zaměstnané osoby pracující ve výzkumu a vývoji (dále jen </w:t>
      </w:r>
      <w:r w:rsidR="000656B1" w:rsidRPr="00945329">
        <w:rPr>
          <w:rFonts w:cs="Arial"/>
          <w:bCs/>
          <w:szCs w:val="18"/>
        </w:rPr>
        <w:t>pracovníc</w:t>
      </w:r>
      <w:r w:rsidRPr="00945329">
        <w:rPr>
          <w:rFonts w:cs="Arial"/>
          <w:bCs/>
          <w:szCs w:val="18"/>
        </w:rPr>
        <w:t xml:space="preserve">i </w:t>
      </w:r>
      <w:r w:rsidR="000656B1" w:rsidRPr="00945329">
        <w:rPr>
          <w:rFonts w:cs="Arial"/>
          <w:bCs/>
          <w:szCs w:val="18"/>
        </w:rPr>
        <w:t xml:space="preserve">ve </w:t>
      </w:r>
      <w:proofErr w:type="spellStart"/>
      <w:r w:rsidRPr="00945329">
        <w:rPr>
          <w:rFonts w:cs="Arial"/>
          <w:bCs/>
          <w:szCs w:val="18"/>
        </w:rPr>
        <w:t>VaV</w:t>
      </w:r>
      <w:proofErr w:type="spellEnd"/>
      <w:r w:rsidRPr="00945329">
        <w:rPr>
          <w:rFonts w:cs="Arial"/>
          <w:bCs/>
          <w:szCs w:val="18"/>
        </w:rPr>
        <w:t xml:space="preserve">) </w:t>
      </w:r>
      <w:r w:rsidRPr="00945329">
        <w:rPr>
          <w:rFonts w:cs="Arial"/>
          <w:szCs w:val="18"/>
        </w:rPr>
        <w:t xml:space="preserve">jsou nejen výzkumní pracovníci, kteří provádějí přímo </w:t>
      </w:r>
      <w:proofErr w:type="spellStart"/>
      <w:r w:rsidRPr="00945329">
        <w:rPr>
          <w:rFonts w:cs="Arial"/>
          <w:szCs w:val="18"/>
        </w:rPr>
        <w:t>VaV</w:t>
      </w:r>
      <w:proofErr w:type="spellEnd"/>
      <w:r w:rsidRPr="00945329">
        <w:rPr>
          <w:rFonts w:cs="Arial"/>
          <w:szCs w:val="18"/>
        </w:rPr>
        <w:t xml:space="preserve">, ale také pomocní, techničtí, odborní, administrativní a jiní pracovníci pracující na pracovištích </w:t>
      </w:r>
      <w:proofErr w:type="spellStart"/>
      <w:r w:rsidRPr="00945329">
        <w:rPr>
          <w:rFonts w:cs="Arial"/>
          <w:szCs w:val="18"/>
        </w:rPr>
        <w:t>VaV</w:t>
      </w:r>
      <w:proofErr w:type="spellEnd"/>
      <w:r w:rsidRPr="00945329">
        <w:rPr>
          <w:rFonts w:cs="Arial"/>
          <w:szCs w:val="18"/>
        </w:rPr>
        <w:t xml:space="preserve"> v jednotlivých zpravodajských jednotkách, kteří obstarávají přímé služby pro tato pracoviště. </w:t>
      </w:r>
    </w:p>
    <w:p w:rsidR="00695ED1" w:rsidRPr="00945329" w:rsidRDefault="00695ED1" w:rsidP="00D15B1A">
      <w:pPr>
        <w:spacing w:after="60" w:line="288" w:lineRule="auto"/>
        <w:rPr>
          <w:rFonts w:cs="Arial"/>
          <w:szCs w:val="18"/>
        </w:rPr>
      </w:pPr>
      <w:r w:rsidRPr="00945329">
        <w:rPr>
          <w:rFonts w:cs="Arial"/>
          <w:szCs w:val="18"/>
        </w:rPr>
        <w:t xml:space="preserve">Mezi </w:t>
      </w:r>
      <w:r w:rsidR="000656B1" w:rsidRPr="00945329">
        <w:rPr>
          <w:rFonts w:cs="Arial"/>
          <w:szCs w:val="18"/>
        </w:rPr>
        <w:t>pracovníky ve</w:t>
      </w:r>
      <w:r w:rsidRPr="00945329">
        <w:rPr>
          <w:rFonts w:cs="Arial"/>
          <w:szCs w:val="18"/>
        </w:rPr>
        <w:t xml:space="preserve"> </w:t>
      </w:r>
      <w:proofErr w:type="spellStart"/>
      <w:r w:rsidRPr="00945329">
        <w:rPr>
          <w:rFonts w:cs="Arial"/>
          <w:szCs w:val="18"/>
        </w:rPr>
        <w:t>VaV</w:t>
      </w:r>
      <w:proofErr w:type="spellEnd"/>
      <w:r w:rsidRPr="00945329">
        <w:rPr>
          <w:rFonts w:cs="Arial"/>
          <w:szCs w:val="18"/>
        </w:rPr>
        <w:t xml:space="preserve"> nepatří jednotlivci provádějící pro příslušné pracoviště </w:t>
      </w:r>
      <w:proofErr w:type="spellStart"/>
      <w:r w:rsidRPr="00945329">
        <w:rPr>
          <w:rFonts w:cs="Arial"/>
          <w:szCs w:val="18"/>
        </w:rPr>
        <w:t>VaV</w:t>
      </w:r>
      <w:proofErr w:type="spellEnd"/>
      <w:r w:rsidRPr="00945329">
        <w:rPr>
          <w:rFonts w:cs="Arial"/>
          <w:szCs w:val="18"/>
        </w:rPr>
        <w:t xml:space="preserve"> nepřímé služby, kterými jsou např. provoz závodní jídelny, bezpečnostní služba, úklid nebo ostraha.</w:t>
      </w:r>
    </w:p>
    <w:p w:rsidR="00695ED1" w:rsidRPr="00945329" w:rsidRDefault="00695ED1" w:rsidP="00D15B1A">
      <w:pPr>
        <w:spacing w:after="360" w:line="288" w:lineRule="auto"/>
        <w:rPr>
          <w:rFonts w:cs="Arial"/>
          <w:szCs w:val="18"/>
        </w:rPr>
      </w:pPr>
      <w:r w:rsidRPr="00945329">
        <w:rPr>
          <w:rFonts w:cs="Arial"/>
          <w:iCs/>
          <w:szCs w:val="16"/>
        </w:rPr>
        <w:t>Poznámka: Kategorie zaměstnanci zahrnuje všechny osoby ve věku od 15 let, které jsou placeny v zaměstnání. Formální vazbou k zaměstnání se rozumí především pracovní poměr, dohoda o provedení práce a o pracovní činnosti.</w:t>
      </w:r>
    </w:p>
    <w:p w:rsidR="00695ED1" w:rsidRPr="00945329" w:rsidRDefault="00695ED1" w:rsidP="00D15B1A">
      <w:pPr>
        <w:spacing w:after="60" w:line="288" w:lineRule="auto"/>
        <w:rPr>
          <w:rFonts w:cs="Arial"/>
          <w:szCs w:val="20"/>
        </w:rPr>
      </w:pPr>
      <w:r w:rsidRPr="00945329">
        <w:rPr>
          <w:rFonts w:cs="Arial"/>
          <w:b/>
          <w:szCs w:val="20"/>
        </w:rPr>
        <w:t>Fyzické osoby:</w:t>
      </w:r>
      <w:r w:rsidRPr="00945329">
        <w:rPr>
          <w:rFonts w:cs="Arial"/>
          <w:szCs w:val="20"/>
        </w:rPr>
        <w:t xml:space="preserve"> tento ukazatel vypovídá o evidenčním počtu osob, plně či částečně aktivních ve </w:t>
      </w:r>
      <w:proofErr w:type="spellStart"/>
      <w:r w:rsidRPr="00945329">
        <w:rPr>
          <w:rFonts w:cs="Arial"/>
          <w:szCs w:val="20"/>
        </w:rPr>
        <w:t>VaV</w:t>
      </w:r>
      <w:proofErr w:type="spellEnd"/>
      <w:r w:rsidRPr="00945329">
        <w:rPr>
          <w:rFonts w:cs="Arial"/>
          <w:szCs w:val="20"/>
        </w:rPr>
        <w:t xml:space="preserve"> činnostech, zaměstnaných na základě hlavního nebo vedlejšího pracovního poměru ke konci příslušného roku v subjektech, kde se provádí </w:t>
      </w:r>
      <w:proofErr w:type="spellStart"/>
      <w:r w:rsidRPr="00945329">
        <w:rPr>
          <w:rFonts w:cs="Arial"/>
          <w:szCs w:val="20"/>
        </w:rPr>
        <w:t>VaV</w:t>
      </w:r>
      <w:proofErr w:type="spellEnd"/>
      <w:r w:rsidRPr="00945329">
        <w:rPr>
          <w:rFonts w:cs="Arial"/>
          <w:szCs w:val="20"/>
        </w:rPr>
        <w:t>.</w:t>
      </w:r>
      <w:r w:rsidRPr="00945329">
        <w:rPr>
          <w:szCs w:val="20"/>
        </w:rPr>
        <w:t xml:space="preserve"> </w:t>
      </w:r>
    </w:p>
    <w:p w:rsidR="00695ED1" w:rsidRPr="00945329" w:rsidRDefault="00695ED1" w:rsidP="00D15B1A">
      <w:pPr>
        <w:tabs>
          <w:tab w:val="num" w:pos="284"/>
        </w:tabs>
        <w:spacing w:after="60" w:line="288" w:lineRule="auto"/>
        <w:rPr>
          <w:szCs w:val="20"/>
        </w:rPr>
      </w:pPr>
      <w:r w:rsidRPr="00945329">
        <w:rPr>
          <w:szCs w:val="20"/>
        </w:rPr>
        <w:t xml:space="preserve">Poznámka: Především ve vysokoškolském a částečně i ve vládním sektoru má velké množství osob pracujících ve </w:t>
      </w:r>
      <w:proofErr w:type="spellStart"/>
      <w:r w:rsidRPr="00945329">
        <w:rPr>
          <w:szCs w:val="20"/>
        </w:rPr>
        <w:t>VaV</w:t>
      </w:r>
      <w:proofErr w:type="spellEnd"/>
      <w:r w:rsidRPr="00945329">
        <w:rPr>
          <w:szCs w:val="20"/>
        </w:rPr>
        <w:t xml:space="preserve">, zvláště výzkumných pracovníků, pracovní úvazek ve více subjektech zároveň. Z tohoto důvodu je v těchto sektorech tento ukazatel nadhodnocený a nevypovídá tak o skutečném počtu osob pracujících ve </w:t>
      </w:r>
      <w:proofErr w:type="spellStart"/>
      <w:r w:rsidRPr="00945329">
        <w:rPr>
          <w:szCs w:val="20"/>
        </w:rPr>
        <w:t>VaV</w:t>
      </w:r>
      <w:proofErr w:type="spellEnd"/>
      <w:r w:rsidRPr="00945329">
        <w:rPr>
          <w:szCs w:val="20"/>
        </w:rPr>
        <w:t xml:space="preserve">, ale spíše o počtu pracovních úvazků osob provádějících </w:t>
      </w:r>
      <w:proofErr w:type="spellStart"/>
      <w:r w:rsidRPr="00945329">
        <w:rPr>
          <w:szCs w:val="20"/>
        </w:rPr>
        <w:t>VaV</w:t>
      </w:r>
      <w:proofErr w:type="spellEnd"/>
      <w:r w:rsidRPr="00945329">
        <w:rPr>
          <w:szCs w:val="20"/>
        </w:rPr>
        <w:t xml:space="preserve"> ke konci sledovaného roku. Jak pro národní, tak i mezinárodní srovnání se proto doporučuje používat níže uvedený ukazatel o přepočteném počtu osob ve </w:t>
      </w:r>
      <w:proofErr w:type="spellStart"/>
      <w:r w:rsidRPr="00945329">
        <w:rPr>
          <w:szCs w:val="20"/>
        </w:rPr>
        <w:t>VaV</w:t>
      </w:r>
      <w:proofErr w:type="spellEnd"/>
      <w:r w:rsidRPr="00945329">
        <w:rPr>
          <w:szCs w:val="20"/>
        </w:rPr>
        <w:t xml:space="preserve"> (FTE).</w:t>
      </w:r>
    </w:p>
    <w:p w:rsidR="00695ED1" w:rsidRPr="00945329" w:rsidRDefault="00695ED1" w:rsidP="00D15B1A">
      <w:pPr>
        <w:spacing w:after="60" w:line="288" w:lineRule="auto"/>
        <w:rPr>
          <w:i/>
          <w:szCs w:val="20"/>
        </w:rPr>
      </w:pPr>
      <w:r w:rsidRPr="00945329">
        <w:rPr>
          <w:rFonts w:cs="Arial"/>
          <w:b/>
          <w:szCs w:val="20"/>
        </w:rPr>
        <w:t xml:space="preserve">Přepočtené osoby </w:t>
      </w:r>
      <w:r w:rsidRPr="00945329">
        <w:rPr>
          <w:rFonts w:cs="Arial"/>
          <w:szCs w:val="20"/>
        </w:rPr>
        <w:t xml:space="preserve">(FTE - Full </w:t>
      </w:r>
      <w:proofErr w:type="spellStart"/>
      <w:r w:rsidRPr="00945329">
        <w:rPr>
          <w:rFonts w:cs="Arial"/>
          <w:szCs w:val="20"/>
        </w:rPr>
        <w:t>Time</w:t>
      </w:r>
      <w:proofErr w:type="spellEnd"/>
      <w:r w:rsidRPr="00945329">
        <w:rPr>
          <w:rFonts w:cs="Arial"/>
          <w:szCs w:val="20"/>
        </w:rPr>
        <w:t xml:space="preserve"> </w:t>
      </w:r>
      <w:proofErr w:type="spellStart"/>
      <w:r w:rsidRPr="00945329">
        <w:rPr>
          <w:rFonts w:cs="Arial"/>
          <w:szCs w:val="20"/>
        </w:rPr>
        <w:t>Equivalent</w:t>
      </w:r>
      <w:proofErr w:type="spellEnd"/>
      <w:r w:rsidRPr="00945329">
        <w:rPr>
          <w:rFonts w:cs="Arial"/>
          <w:szCs w:val="20"/>
        </w:rPr>
        <w:t xml:space="preserve">): tento ukazatel vystihuje skutečnou dobu věnovanou </w:t>
      </w:r>
      <w:proofErr w:type="spellStart"/>
      <w:r w:rsidRPr="00945329">
        <w:rPr>
          <w:rFonts w:cs="Arial"/>
          <w:szCs w:val="20"/>
        </w:rPr>
        <w:t>VaV</w:t>
      </w:r>
      <w:proofErr w:type="spellEnd"/>
      <w:r w:rsidRPr="00945329">
        <w:rPr>
          <w:rFonts w:cs="Arial"/>
          <w:szCs w:val="20"/>
        </w:rPr>
        <w:t xml:space="preserve">. Jeden FTE je roven jednomu roku práce na plný pracovní úvazek zaměstnance, který se plně věnuje </w:t>
      </w:r>
      <w:proofErr w:type="spellStart"/>
      <w:r w:rsidRPr="00945329">
        <w:rPr>
          <w:rFonts w:cs="Arial"/>
          <w:szCs w:val="20"/>
        </w:rPr>
        <w:t>VaV</w:t>
      </w:r>
      <w:proofErr w:type="spellEnd"/>
      <w:r w:rsidRPr="00945329">
        <w:rPr>
          <w:rFonts w:cs="Arial"/>
          <w:szCs w:val="20"/>
        </w:rPr>
        <w:t xml:space="preserve"> činnosti. Tento ukazatel je významný především u zaměstnanců </w:t>
      </w:r>
      <w:proofErr w:type="spellStart"/>
      <w:r w:rsidRPr="00945329">
        <w:rPr>
          <w:rFonts w:cs="Arial"/>
          <w:szCs w:val="20"/>
        </w:rPr>
        <w:t>VaV</w:t>
      </w:r>
      <w:proofErr w:type="spellEnd"/>
      <w:r w:rsidRPr="00945329">
        <w:rPr>
          <w:rFonts w:cs="Arial"/>
          <w:szCs w:val="20"/>
        </w:rPr>
        <w:t xml:space="preserve">, jejichž pracovní náplň se skládá i z jiných činností než </w:t>
      </w:r>
      <w:proofErr w:type="spellStart"/>
      <w:r w:rsidRPr="00945329">
        <w:rPr>
          <w:rFonts w:cs="Arial"/>
          <w:szCs w:val="20"/>
        </w:rPr>
        <w:t>VaV</w:t>
      </w:r>
      <w:proofErr w:type="spellEnd"/>
      <w:r w:rsidRPr="00945329">
        <w:rPr>
          <w:rFonts w:cs="Arial"/>
          <w:szCs w:val="20"/>
        </w:rPr>
        <w:t xml:space="preserve"> (např. akademičtí pracovníci), neboť započítává pouze tu část jejich pracovní doby, po kterou se věnují </w:t>
      </w:r>
      <w:proofErr w:type="spellStart"/>
      <w:r w:rsidRPr="00945329">
        <w:rPr>
          <w:rFonts w:cs="Arial"/>
          <w:szCs w:val="20"/>
        </w:rPr>
        <w:t>VaV</w:t>
      </w:r>
      <w:proofErr w:type="spellEnd"/>
      <w:r w:rsidRPr="00945329">
        <w:rPr>
          <w:rFonts w:cs="Arial"/>
          <w:szCs w:val="20"/>
        </w:rPr>
        <w:t>.</w:t>
      </w:r>
      <w:r w:rsidRPr="00945329">
        <w:rPr>
          <w:i/>
          <w:szCs w:val="20"/>
        </w:rPr>
        <w:t xml:space="preserve"> </w:t>
      </w:r>
    </w:p>
    <w:p w:rsidR="00695ED1" w:rsidRPr="00945329" w:rsidRDefault="00695ED1" w:rsidP="00D15B1A">
      <w:pPr>
        <w:rPr>
          <w:rFonts w:ascii="Calibri" w:eastAsia="Times New Roman" w:hAnsi="Calibri" w:cs="Times New Roman"/>
          <w:sz w:val="22"/>
          <w:lang w:eastAsia="cs-CZ"/>
        </w:rPr>
      </w:pPr>
    </w:p>
    <w:p w:rsidR="00695ED1" w:rsidRPr="00945329" w:rsidRDefault="00695ED1" w:rsidP="00D15B1A">
      <w:pPr>
        <w:rPr>
          <w:rFonts w:ascii="Calibri" w:eastAsia="Times New Roman" w:hAnsi="Calibri" w:cs="Times New Roman"/>
          <w:b/>
          <w:sz w:val="22"/>
          <w:lang w:eastAsia="cs-CZ"/>
        </w:rPr>
      </w:pPr>
      <w:r w:rsidRPr="00945329">
        <w:rPr>
          <w:rFonts w:ascii="Calibri" w:eastAsia="Times New Roman" w:hAnsi="Calibri" w:cs="Times New Roman"/>
          <w:b/>
          <w:sz w:val="22"/>
          <w:lang w:eastAsia="cs-CZ"/>
        </w:rPr>
        <w:t>Výzkumní pracovníci (fyzické a přepočtené osoby)</w:t>
      </w:r>
    </w:p>
    <w:p w:rsidR="00774F53" w:rsidRPr="00945329" w:rsidRDefault="00226726" w:rsidP="00D15B1A">
      <w:pPr>
        <w:spacing w:after="60" w:line="288" w:lineRule="auto"/>
        <w:rPr>
          <w:rFonts w:cs="Arial"/>
          <w:szCs w:val="18"/>
        </w:rPr>
      </w:pPr>
      <w:r w:rsidRPr="00945329">
        <w:rPr>
          <w:rFonts w:cs="Arial"/>
          <w:szCs w:val="20"/>
        </w:rPr>
        <w:t xml:space="preserve">Jednou z kategorií </w:t>
      </w:r>
      <w:r w:rsidR="000656B1" w:rsidRPr="00945329">
        <w:rPr>
          <w:rFonts w:cs="Arial"/>
          <w:szCs w:val="20"/>
        </w:rPr>
        <w:t>pracovníků ve</w:t>
      </w:r>
      <w:r w:rsidRPr="00945329">
        <w:rPr>
          <w:rFonts w:cs="Arial"/>
          <w:szCs w:val="20"/>
        </w:rPr>
        <w:t xml:space="preserve"> </w:t>
      </w:r>
      <w:proofErr w:type="spellStart"/>
      <w:r w:rsidRPr="00945329">
        <w:rPr>
          <w:rFonts w:cs="Arial"/>
          <w:szCs w:val="20"/>
        </w:rPr>
        <w:t>VaV</w:t>
      </w:r>
      <w:proofErr w:type="spellEnd"/>
      <w:r w:rsidRPr="00945329">
        <w:rPr>
          <w:rFonts w:cs="Arial"/>
          <w:szCs w:val="20"/>
        </w:rPr>
        <w:t xml:space="preserve"> jsou v</w:t>
      </w:r>
      <w:r w:rsidR="00774F53" w:rsidRPr="00945329">
        <w:rPr>
          <w:rFonts w:cs="Arial"/>
          <w:szCs w:val="20"/>
        </w:rPr>
        <w:t xml:space="preserve">ýzkumní pracovníci, kteří vytvářejí nové či rozšiřují stávající znalosti, a to zpravidla tím, že řídí a/nebo provádí činnosti, které zahrnují koncepci nebo tvorbu nových znalostí, výrobků, procesů, metod a systémů, aplikují vědecké koncepty a teorie. </w:t>
      </w:r>
    </w:p>
    <w:p w:rsidR="00774F53" w:rsidRPr="00945329" w:rsidRDefault="00774F53" w:rsidP="00D15B1A">
      <w:pPr>
        <w:spacing w:after="60" w:line="288" w:lineRule="auto"/>
        <w:rPr>
          <w:rFonts w:cs="Arial"/>
          <w:szCs w:val="18"/>
        </w:rPr>
      </w:pPr>
      <w:r w:rsidRPr="00945329">
        <w:rPr>
          <w:rFonts w:cs="Arial"/>
          <w:szCs w:val="20"/>
        </w:rPr>
        <w:t xml:space="preserve">Jedná se převážně o </w:t>
      </w:r>
      <w:r w:rsidR="000656B1" w:rsidRPr="00945329">
        <w:rPr>
          <w:rFonts w:cs="Arial"/>
          <w:szCs w:val="20"/>
        </w:rPr>
        <w:t>pracovníky</w:t>
      </w:r>
      <w:r w:rsidRPr="00945329">
        <w:rPr>
          <w:rFonts w:cs="Arial"/>
          <w:szCs w:val="20"/>
        </w:rPr>
        <w:t xml:space="preserve">, kteří jsou podle klasifikace zaměstnání (CZ-ISCO) zařazeni do hlavní třídy 2 (Specialisté). </w:t>
      </w:r>
      <w:r w:rsidRPr="00945329">
        <w:rPr>
          <w:rFonts w:cs="Arial"/>
          <w:szCs w:val="18"/>
        </w:rPr>
        <w:t xml:space="preserve">Mezi výzkumné pracovníky patří i studenti Ph.D. (doktorandi), pokud jsou zaměstnanci sledované organizace a zabývají se </w:t>
      </w:r>
      <w:proofErr w:type="spellStart"/>
      <w:r w:rsidRPr="00945329">
        <w:rPr>
          <w:rFonts w:cs="Arial"/>
          <w:szCs w:val="18"/>
        </w:rPr>
        <w:t>VaV</w:t>
      </w:r>
      <w:proofErr w:type="spellEnd"/>
      <w:r w:rsidRPr="00945329">
        <w:rPr>
          <w:rFonts w:cs="Arial"/>
          <w:szCs w:val="18"/>
        </w:rPr>
        <w:t xml:space="preserve"> činností.</w:t>
      </w:r>
    </w:p>
    <w:p w:rsidR="00774F53" w:rsidRPr="00945329" w:rsidRDefault="00774F53" w:rsidP="00D15B1A">
      <w:pPr>
        <w:spacing w:after="60" w:line="288" w:lineRule="auto"/>
        <w:rPr>
          <w:rFonts w:cs="Arial"/>
          <w:szCs w:val="18"/>
        </w:rPr>
      </w:pPr>
      <w:r w:rsidRPr="00945329">
        <w:rPr>
          <w:rFonts w:cs="Arial"/>
          <w:szCs w:val="18"/>
        </w:rPr>
        <w:t xml:space="preserve">Náplň práce výzkumných pracovníků obvykle zahrnuje provádění </w:t>
      </w:r>
      <w:proofErr w:type="spellStart"/>
      <w:r w:rsidRPr="00945329">
        <w:rPr>
          <w:rFonts w:cs="Arial"/>
          <w:szCs w:val="18"/>
        </w:rPr>
        <w:t>VaV</w:t>
      </w:r>
      <w:proofErr w:type="spellEnd"/>
      <w:r w:rsidRPr="00945329">
        <w:rPr>
          <w:rFonts w:cs="Arial"/>
          <w:szCs w:val="18"/>
        </w:rPr>
        <w:t xml:space="preserve"> včetně řízení nebo dohledu nad těmito činnostmi (např. řízení výzkumu postgraduálních studentů); rozšiřování a využití vědeckých poznatků získaných při studiu jednotlivých vědních oborů; sběr, zpracování, analyzování a interpretování vědeckých prací a zpráv.</w:t>
      </w:r>
    </w:p>
    <w:p w:rsidR="00774F53" w:rsidRPr="00945329" w:rsidRDefault="00774F53" w:rsidP="00D15B1A">
      <w:pPr>
        <w:rPr>
          <w:rFonts w:ascii="Calibri" w:eastAsia="Times New Roman" w:hAnsi="Calibri" w:cs="Times New Roman"/>
          <w:b/>
          <w:sz w:val="22"/>
          <w:lang w:eastAsia="cs-CZ"/>
        </w:rPr>
      </w:pPr>
    </w:p>
    <w:p w:rsidR="00695ED1" w:rsidRPr="00945329" w:rsidRDefault="00695ED1" w:rsidP="00D15B1A">
      <w:pPr>
        <w:rPr>
          <w:rFonts w:ascii="Calibri" w:eastAsia="Times New Roman" w:hAnsi="Calibri" w:cs="Times New Roman"/>
          <w:b/>
          <w:sz w:val="22"/>
          <w:lang w:eastAsia="cs-CZ"/>
        </w:rPr>
      </w:pPr>
      <w:r w:rsidRPr="00945329">
        <w:rPr>
          <w:rFonts w:ascii="Calibri" w:eastAsia="Times New Roman" w:hAnsi="Calibri" w:cs="Times New Roman"/>
          <w:b/>
          <w:sz w:val="22"/>
          <w:lang w:eastAsia="cs-CZ"/>
        </w:rPr>
        <w:t xml:space="preserve">Výdaje na výzkum a </w:t>
      </w:r>
      <w:r w:rsidR="000656B1" w:rsidRPr="00945329">
        <w:rPr>
          <w:rFonts w:ascii="Calibri" w:eastAsia="Times New Roman" w:hAnsi="Calibri" w:cs="Times New Roman"/>
          <w:b/>
          <w:sz w:val="22"/>
          <w:lang w:eastAsia="cs-CZ"/>
        </w:rPr>
        <w:t>vývoj</w:t>
      </w:r>
    </w:p>
    <w:p w:rsidR="00A37E21" w:rsidRPr="00945329" w:rsidRDefault="00A37E21" w:rsidP="00D15B1A">
      <w:pPr>
        <w:spacing w:line="288" w:lineRule="auto"/>
        <w:rPr>
          <w:rFonts w:cs="Arial"/>
          <w:szCs w:val="16"/>
        </w:rPr>
      </w:pPr>
      <w:r w:rsidRPr="00945329">
        <w:rPr>
          <w:rFonts w:cs="Arial"/>
          <w:bCs/>
          <w:szCs w:val="16"/>
        </w:rPr>
        <w:t xml:space="preserve">Výdaje na </w:t>
      </w:r>
      <w:proofErr w:type="spellStart"/>
      <w:r w:rsidRPr="00945329">
        <w:rPr>
          <w:rFonts w:cs="Arial"/>
          <w:bCs/>
          <w:szCs w:val="16"/>
        </w:rPr>
        <w:t>VaV</w:t>
      </w:r>
      <w:proofErr w:type="spellEnd"/>
      <w:r w:rsidRPr="00945329">
        <w:rPr>
          <w:rFonts w:cs="Arial"/>
          <w:b/>
          <w:bCs/>
          <w:szCs w:val="16"/>
        </w:rPr>
        <w:t xml:space="preserve"> </w:t>
      </w:r>
      <w:r w:rsidRPr="00945329">
        <w:rPr>
          <w:rFonts w:cs="Arial"/>
          <w:bCs/>
          <w:szCs w:val="16"/>
        </w:rPr>
        <w:t>zahrnují</w:t>
      </w:r>
      <w:r w:rsidRPr="00945329">
        <w:rPr>
          <w:rFonts w:cs="Arial"/>
          <w:szCs w:val="16"/>
        </w:rPr>
        <w:t xml:space="preserve"> veškeré </w:t>
      </w:r>
      <w:r w:rsidRPr="00945329">
        <w:rPr>
          <w:rFonts w:cs="Arial"/>
          <w:b/>
          <w:szCs w:val="16"/>
        </w:rPr>
        <w:t>běžné</w:t>
      </w:r>
      <w:r w:rsidRPr="00945329">
        <w:rPr>
          <w:rFonts w:cs="Arial"/>
          <w:szCs w:val="16"/>
        </w:rPr>
        <w:t xml:space="preserve"> (mzdové a ostatní neinvestiční náklady) a </w:t>
      </w:r>
      <w:r w:rsidRPr="00945329">
        <w:rPr>
          <w:rFonts w:cs="Arial"/>
          <w:b/>
          <w:szCs w:val="16"/>
        </w:rPr>
        <w:t xml:space="preserve">kapitálové </w:t>
      </w:r>
      <w:r w:rsidRPr="00945329">
        <w:rPr>
          <w:rFonts w:cs="Arial"/>
          <w:szCs w:val="16"/>
        </w:rPr>
        <w:t xml:space="preserve">(investiční) výdaje vynaložené v průběhu sledovaného roku na </w:t>
      </w:r>
      <w:proofErr w:type="spellStart"/>
      <w:r w:rsidRPr="00945329">
        <w:rPr>
          <w:rFonts w:cs="Arial"/>
          <w:szCs w:val="16"/>
        </w:rPr>
        <w:t>VaV</w:t>
      </w:r>
      <w:proofErr w:type="spellEnd"/>
      <w:r w:rsidRPr="00945329">
        <w:rPr>
          <w:rFonts w:cs="Arial"/>
          <w:szCs w:val="16"/>
        </w:rPr>
        <w:t xml:space="preserve"> činnost provedenou na území sledovaného státu, a to bez ohledu na zdroj nebo způsob jejich financování. </w:t>
      </w:r>
    </w:p>
    <w:p w:rsidR="00A37E21" w:rsidRPr="00945329" w:rsidRDefault="00A37E21" w:rsidP="00D15B1A">
      <w:pPr>
        <w:spacing w:line="288" w:lineRule="auto"/>
        <w:rPr>
          <w:rFonts w:cs="Arial"/>
          <w:szCs w:val="16"/>
        </w:rPr>
      </w:pPr>
      <w:r w:rsidRPr="00945329">
        <w:rPr>
          <w:rFonts w:cs="Arial"/>
          <w:szCs w:val="16"/>
        </w:rPr>
        <w:t>Poznámka: D</w:t>
      </w:r>
      <w:r w:rsidRPr="00945329">
        <w:rPr>
          <w:rFonts w:cs="Arial"/>
          <w:szCs w:val="20"/>
        </w:rPr>
        <w:t xml:space="preserve">o sledovaných (vnitřních) výdajů na </w:t>
      </w:r>
      <w:proofErr w:type="spellStart"/>
      <w:r w:rsidRPr="00945329">
        <w:rPr>
          <w:rFonts w:cs="Arial"/>
          <w:szCs w:val="20"/>
        </w:rPr>
        <w:t>VaV</w:t>
      </w:r>
      <w:proofErr w:type="spellEnd"/>
      <w:r w:rsidRPr="00945329">
        <w:rPr>
          <w:rFonts w:cs="Arial"/>
          <w:szCs w:val="20"/>
        </w:rPr>
        <w:t xml:space="preserve"> nepatří tzv. vnější (</w:t>
      </w:r>
      <w:proofErr w:type="spellStart"/>
      <w:r w:rsidRPr="00945329">
        <w:rPr>
          <w:rFonts w:cs="Arial"/>
          <w:szCs w:val="20"/>
        </w:rPr>
        <w:t>extramural</w:t>
      </w:r>
      <w:proofErr w:type="spellEnd"/>
      <w:r w:rsidRPr="00945329">
        <w:rPr>
          <w:rFonts w:cs="Arial"/>
          <w:szCs w:val="20"/>
        </w:rPr>
        <w:t>) v</w:t>
      </w:r>
      <w:r w:rsidRPr="00945329">
        <w:rPr>
          <w:rFonts w:cs="Arial"/>
          <w:szCs w:val="16"/>
        </w:rPr>
        <w:t xml:space="preserve">ýdaje vynaložené na </w:t>
      </w:r>
      <w:proofErr w:type="spellStart"/>
      <w:r w:rsidRPr="00945329">
        <w:rPr>
          <w:rFonts w:cs="Arial"/>
          <w:szCs w:val="16"/>
        </w:rPr>
        <w:t>VaV</w:t>
      </w:r>
      <w:proofErr w:type="spellEnd"/>
      <w:r w:rsidRPr="00945329">
        <w:rPr>
          <w:rFonts w:cs="Arial"/>
          <w:szCs w:val="16"/>
        </w:rPr>
        <w:t xml:space="preserve"> provedený mimo sledovaný subjekt, sektor nebo stát. Do vnitřních výdajů na </w:t>
      </w:r>
      <w:proofErr w:type="spellStart"/>
      <w:r w:rsidRPr="00945329">
        <w:rPr>
          <w:rFonts w:cs="Arial"/>
          <w:szCs w:val="16"/>
        </w:rPr>
        <w:t>VaV</w:t>
      </w:r>
      <w:proofErr w:type="spellEnd"/>
      <w:r w:rsidRPr="00945329">
        <w:rPr>
          <w:rFonts w:cs="Arial"/>
          <w:szCs w:val="16"/>
        </w:rPr>
        <w:t xml:space="preserve"> tak nepatří výdaje vynaložené za nákup </w:t>
      </w:r>
      <w:r w:rsidRPr="00945329">
        <w:rPr>
          <w:rFonts w:cs="Arial"/>
          <w:szCs w:val="20"/>
        </w:rPr>
        <w:t xml:space="preserve">služeb </w:t>
      </w:r>
      <w:proofErr w:type="spellStart"/>
      <w:r w:rsidRPr="00945329">
        <w:rPr>
          <w:rFonts w:cs="Arial"/>
          <w:szCs w:val="20"/>
        </w:rPr>
        <w:t>VaV</w:t>
      </w:r>
      <w:proofErr w:type="spellEnd"/>
      <w:r w:rsidRPr="00945329">
        <w:rPr>
          <w:rFonts w:cs="Arial"/>
          <w:szCs w:val="20"/>
        </w:rPr>
        <w:t xml:space="preserve"> od jiného subjektu</w:t>
      </w:r>
      <w:r w:rsidR="00226726" w:rsidRPr="00945329">
        <w:rPr>
          <w:rFonts w:cs="Arial"/>
          <w:szCs w:val="20"/>
        </w:rPr>
        <w:t xml:space="preserve">, </w:t>
      </w:r>
      <w:r w:rsidRPr="00945329">
        <w:rPr>
          <w:rFonts w:cs="Arial"/>
          <w:szCs w:val="20"/>
        </w:rPr>
        <w:t xml:space="preserve">prostředky převedené ostatním spoluřešitelům v rámci společného </w:t>
      </w:r>
      <w:proofErr w:type="spellStart"/>
      <w:r w:rsidRPr="00945329">
        <w:rPr>
          <w:rFonts w:cs="Arial"/>
          <w:szCs w:val="20"/>
        </w:rPr>
        <w:t>VaV</w:t>
      </w:r>
      <w:proofErr w:type="spellEnd"/>
      <w:r w:rsidRPr="00945329">
        <w:rPr>
          <w:rFonts w:cs="Arial"/>
          <w:szCs w:val="20"/>
        </w:rPr>
        <w:t xml:space="preserve"> projektu nebo dotace či příspěvky (finanční transfery) na prováděný </w:t>
      </w:r>
      <w:proofErr w:type="spellStart"/>
      <w:r w:rsidRPr="00945329">
        <w:rPr>
          <w:rFonts w:cs="Arial"/>
          <w:szCs w:val="20"/>
        </w:rPr>
        <w:t>VaV</w:t>
      </w:r>
      <w:proofErr w:type="spellEnd"/>
      <w:r w:rsidRPr="00945329">
        <w:rPr>
          <w:rFonts w:cs="Arial"/>
          <w:szCs w:val="20"/>
        </w:rPr>
        <w:t xml:space="preserve"> třetím subjektem.</w:t>
      </w:r>
      <w:r w:rsidRPr="00945329">
        <w:rPr>
          <w:rFonts w:cs="Arial"/>
          <w:szCs w:val="16"/>
        </w:rPr>
        <w:t xml:space="preserve"> Národní a mezinárodní účetní standardy jako např. IFRS nebo US GAAP používané ekonomickými subjekty obvykle neodlišují mezi výše uvedenými koncepty vnitřních a vnějších výdajů na </w:t>
      </w:r>
      <w:proofErr w:type="spellStart"/>
      <w:r w:rsidRPr="00945329">
        <w:rPr>
          <w:rFonts w:cs="Arial"/>
          <w:szCs w:val="16"/>
        </w:rPr>
        <w:t>VaV</w:t>
      </w:r>
      <w:proofErr w:type="spellEnd"/>
      <w:r w:rsidRPr="00945329">
        <w:rPr>
          <w:rFonts w:cs="Arial"/>
          <w:szCs w:val="16"/>
        </w:rPr>
        <w:t xml:space="preserve">. </w:t>
      </w:r>
    </w:p>
    <w:p w:rsidR="00A37E21" w:rsidRPr="00945329" w:rsidRDefault="00A37E21" w:rsidP="00D15B1A">
      <w:pPr>
        <w:spacing w:line="288" w:lineRule="auto"/>
        <w:rPr>
          <w:rFonts w:cs="Arial"/>
          <w:szCs w:val="20"/>
        </w:rPr>
      </w:pPr>
      <w:r w:rsidRPr="00945329">
        <w:rPr>
          <w:rFonts w:cs="Arial"/>
          <w:szCs w:val="20"/>
        </w:rPr>
        <w:t xml:space="preserve">Celkové výdaje na </w:t>
      </w:r>
      <w:proofErr w:type="spellStart"/>
      <w:r w:rsidRPr="00945329">
        <w:rPr>
          <w:rFonts w:cs="Arial"/>
          <w:szCs w:val="20"/>
        </w:rPr>
        <w:t>VaV</w:t>
      </w:r>
      <w:proofErr w:type="spellEnd"/>
      <w:r w:rsidRPr="00945329">
        <w:rPr>
          <w:rFonts w:cs="Arial"/>
          <w:szCs w:val="20"/>
        </w:rPr>
        <w:t xml:space="preserve"> v daném státě jsou statisticky sledovány pomocí ukazatele tzv. hrubých domácích vnitřních výdajů na </w:t>
      </w:r>
      <w:proofErr w:type="spellStart"/>
      <w:r w:rsidRPr="00945329">
        <w:rPr>
          <w:rFonts w:cs="Arial"/>
          <w:szCs w:val="20"/>
        </w:rPr>
        <w:t>VaV</w:t>
      </w:r>
      <w:proofErr w:type="spellEnd"/>
      <w:r w:rsidRPr="00945329">
        <w:rPr>
          <w:rFonts w:cs="Arial"/>
          <w:szCs w:val="20"/>
        </w:rPr>
        <w:t xml:space="preserve">, který je označován anglickou zkratkou GERD (Gross </w:t>
      </w:r>
      <w:proofErr w:type="spellStart"/>
      <w:r w:rsidRPr="00945329">
        <w:rPr>
          <w:rFonts w:cs="Arial"/>
          <w:szCs w:val="20"/>
        </w:rPr>
        <w:t>Domestic</w:t>
      </w:r>
      <w:proofErr w:type="spellEnd"/>
      <w:r w:rsidRPr="00945329">
        <w:rPr>
          <w:rFonts w:cs="Arial"/>
          <w:szCs w:val="20"/>
        </w:rPr>
        <w:t xml:space="preserve"> </w:t>
      </w:r>
      <w:proofErr w:type="spellStart"/>
      <w:r w:rsidRPr="00945329">
        <w:rPr>
          <w:rFonts w:cs="Arial"/>
          <w:szCs w:val="20"/>
        </w:rPr>
        <w:t>Expenditure</w:t>
      </w:r>
      <w:proofErr w:type="spellEnd"/>
      <w:r w:rsidRPr="00945329">
        <w:rPr>
          <w:rFonts w:cs="Arial"/>
          <w:szCs w:val="20"/>
        </w:rPr>
        <w:t xml:space="preserve"> on R&amp;D). Tento ukazatel zahrnuje veškeré neinvestiční a investiční výdaje vynaložené ve sledovaném roce na </w:t>
      </w:r>
      <w:proofErr w:type="spellStart"/>
      <w:r w:rsidRPr="00945329">
        <w:rPr>
          <w:rFonts w:cs="Arial"/>
          <w:szCs w:val="20"/>
        </w:rPr>
        <w:t>VaV</w:t>
      </w:r>
      <w:proofErr w:type="spellEnd"/>
      <w:r w:rsidRPr="00945329">
        <w:rPr>
          <w:rFonts w:cs="Arial"/>
          <w:szCs w:val="20"/>
        </w:rPr>
        <w:t xml:space="preserve"> prováděný na území daného státu, a to bez ohledu na zdroj a způsob jejich financování. </w:t>
      </w:r>
    </w:p>
    <w:p w:rsidR="00A37E21" w:rsidRPr="00945329" w:rsidRDefault="00A37E21" w:rsidP="00D15B1A">
      <w:pPr>
        <w:spacing w:line="288" w:lineRule="auto"/>
        <w:rPr>
          <w:rFonts w:cs="Arial"/>
          <w:szCs w:val="16"/>
        </w:rPr>
      </w:pPr>
      <w:r w:rsidRPr="00945329">
        <w:rPr>
          <w:rFonts w:cs="Arial"/>
          <w:szCs w:val="16"/>
        </w:rPr>
        <w:t xml:space="preserve">Celkové výdaje za provedený </w:t>
      </w:r>
      <w:proofErr w:type="spellStart"/>
      <w:r w:rsidRPr="00945329">
        <w:rPr>
          <w:rFonts w:cs="Arial"/>
          <w:szCs w:val="16"/>
        </w:rPr>
        <w:t>VaV</w:t>
      </w:r>
      <w:proofErr w:type="spellEnd"/>
      <w:r w:rsidRPr="00945329">
        <w:rPr>
          <w:rFonts w:cs="Arial"/>
          <w:szCs w:val="16"/>
        </w:rPr>
        <w:t xml:space="preserve"> se stanovují jednak prostřednictvím podrobné evidence jednotlivých výdajových položek za provedený </w:t>
      </w:r>
      <w:proofErr w:type="spellStart"/>
      <w:r w:rsidRPr="00945329">
        <w:rPr>
          <w:rFonts w:cs="Arial"/>
          <w:szCs w:val="16"/>
        </w:rPr>
        <w:t>VaV</w:t>
      </w:r>
      <w:proofErr w:type="spellEnd"/>
      <w:r w:rsidRPr="00945329">
        <w:rPr>
          <w:rFonts w:cs="Arial"/>
          <w:szCs w:val="16"/>
        </w:rPr>
        <w:t xml:space="preserve"> ve sledovaných subjektech (kapitola 2.5.3), a jednak pomocí podrobné evidence jednotlivých zdrojů použitých na financování provedeného </w:t>
      </w:r>
      <w:proofErr w:type="spellStart"/>
      <w:r w:rsidRPr="00945329">
        <w:rPr>
          <w:rFonts w:cs="Arial"/>
          <w:szCs w:val="16"/>
        </w:rPr>
        <w:t>VaV</w:t>
      </w:r>
      <w:proofErr w:type="spellEnd"/>
      <w:r w:rsidRPr="00945329">
        <w:rPr>
          <w:rFonts w:cs="Arial"/>
          <w:szCs w:val="16"/>
        </w:rPr>
        <w:t xml:space="preserve"> ve sledovaných subjektech (kapitola 2.5.4).</w:t>
      </w:r>
    </w:p>
    <w:p w:rsidR="008272CB" w:rsidRPr="00945329" w:rsidRDefault="008272CB" w:rsidP="00D15B1A">
      <w:pPr>
        <w:spacing w:line="288" w:lineRule="auto"/>
        <w:rPr>
          <w:rFonts w:cs="Arial"/>
          <w:szCs w:val="20"/>
        </w:rPr>
      </w:pPr>
      <w:r w:rsidRPr="00945329">
        <w:rPr>
          <w:rFonts w:cs="Arial"/>
          <w:b/>
          <w:szCs w:val="20"/>
        </w:rPr>
        <w:t xml:space="preserve">Hlavní zdroje financování </w:t>
      </w:r>
      <w:proofErr w:type="spellStart"/>
      <w:r w:rsidRPr="00945329">
        <w:rPr>
          <w:rFonts w:cs="Arial"/>
          <w:b/>
          <w:szCs w:val="20"/>
        </w:rPr>
        <w:t>VaV</w:t>
      </w:r>
      <w:proofErr w:type="spellEnd"/>
      <w:r w:rsidRPr="00945329">
        <w:rPr>
          <w:rFonts w:cs="Arial"/>
          <w:szCs w:val="20"/>
        </w:rPr>
        <w:t>:</w:t>
      </w:r>
    </w:p>
    <w:p w:rsidR="008272CB" w:rsidRPr="00945329" w:rsidRDefault="008272CB" w:rsidP="00D15B1A">
      <w:pPr>
        <w:numPr>
          <w:ilvl w:val="0"/>
          <w:numId w:val="8"/>
        </w:numPr>
        <w:tabs>
          <w:tab w:val="clear" w:pos="720"/>
          <w:tab w:val="num" w:pos="-132"/>
        </w:tabs>
        <w:spacing w:after="60" w:line="288" w:lineRule="auto"/>
        <w:ind w:left="349" w:hanging="357"/>
        <w:rPr>
          <w:b/>
          <w:szCs w:val="20"/>
        </w:rPr>
      </w:pPr>
      <w:r w:rsidRPr="00945329">
        <w:rPr>
          <w:b/>
          <w:szCs w:val="20"/>
        </w:rPr>
        <w:t>Výzkum a vývoj financovaný podnikatelskými subjekty – p</w:t>
      </w:r>
      <w:r w:rsidRPr="00945329">
        <w:rPr>
          <w:b/>
          <w:bCs/>
          <w:szCs w:val="20"/>
        </w:rPr>
        <w:t>odni</w:t>
      </w:r>
      <w:r w:rsidR="000656B1" w:rsidRPr="00945329">
        <w:rPr>
          <w:b/>
          <w:bCs/>
          <w:szCs w:val="20"/>
        </w:rPr>
        <w:t>kov</w:t>
      </w:r>
      <w:r w:rsidRPr="00945329">
        <w:rPr>
          <w:b/>
          <w:bCs/>
          <w:szCs w:val="20"/>
        </w:rPr>
        <w:t>é (soukromé) zdroje.</w:t>
      </w:r>
    </w:p>
    <w:p w:rsidR="008272CB" w:rsidRPr="00945329" w:rsidRDefault="008272CB" w:rsidP="00D15B1A">
      <w:pPr>
        <w:spacing w:after="60" w:line="288" w:lineRule="auto"/>
        <w:ind w:left="349"/>
        <w:rPr>
          <w:szCs w:val="20"/>
        </w:rPr>
      </w:pPr>
      <w:r w:rsidRPr="00945329">
        <w:rPr>
          <w:bCs/>
          <w:szCs w:val="20"/>
        </w:rPr>
        <w:t>Tyto zdroje</w:t>
      </w:r>
      <w:r w:rsidRPr="00945329">
        <w:rPr>
          <w:szCs w:val="20"/>
        </w:rPr>
        <w:t xml:space="preserve"> tvoří především interní zdroje vzniklé z podnikatelské činnosti sledovaných podniků následně investované do vlastní </w:t>
      </w:r>
      <w:proofErr w:type="spellStart"/>
      <w:r w:rsidRPr="00945329">
        <w:rPr>
          <w:szCs w:val="20"/>
        </w:rPr>
        <w:t>VaV</w:t>
      </w:r>
      <w:proofErr w:type="spellEnd"/>
      <w:r w:rsidRPr="00945329">
        <w:rPr>
          <w:szCs w:val="20"/>
        </w:rPr>
        <w:t xml:space="preserve"> činnosti. Kromě interních zdrojů patří mezi podnik</w:t>
      </w:r>
      <w:r w:rsidR="000656B1" w:rsidRPr="00945329">
        <w:rPr>
          <w:szCs w:val="20"/>
        </w:rPr>
        <w:t>ov</w:t>
      </w:r>
      <w:r w:rsidRPr="00945329">
        <w:rPr>
          <w:szCs w:val="20"/>
        </w:rPr>
        <w:t xml:space="preserve">é zdroje i následující externí zdroje získané od jiných podnikatelských subjektů a použité na financování vlastního provedeného </w:t>
      </w:r>
      <w:proofErr w:type="spellStart"/>
      <w:r w:rsidRPr="00945329">
        <w:rPr>
          <w:szCs w:val="20"/>
        </w:rPr>
        <w:t>VaV</w:t>
      </w:r>
      <w:proofErr w:type="spellEnd"/>
      <w:r w:rsidRPr="00945329">
        <w:rPr>
          <w:szCs w:val="20"/>
        </w:rPr>
        <w:t>:</w:t>
      </w:r>
    </w:p>
    <w:p w:rsidR="008272CB" w:rsidRPr="00945329" w:rsidRDefault="008272CB" w:rsidP="00D15B1A">
      <w:pPr>
        <w:numPr>
          <w:ilvl w:val="0"/>
          <w:numId w:val="8"/>
        </w:numPr>
        <w:spacing w:after="60" w:line="288" w:lineRule="auto"/>
        <w:ind w:hanging="357"/>
        <w:rPr>
          <w:szCs w:val="20"/>
        </w:rPr>
      </w:pPr>
      <w:r w:rsidRPr="00945329">
        <w:rPr>
          <w:szCs w:val="20"/>
        </w:rPr>
        <w:t xml:space="preserve">příjmy z prodeje služeb </w:t>
      </w:r>
      <w:proofErr w:type="spellStart"/>
      <w:r w:rsidRPr="00945329">
        <w:rPr>
          <w:szCs w:val="20"/>
        </w:rPr>
        <w:t>VaV</w:t>
      </w:r>
      <w:proofErr w:type="spellEnd"/>
      <w:r w:rsidRPr="00945329">
        <w:rPr>
          <w:szCs w:val="20"/>
        </w:rPr>
        <w:t xml:space="preserve"> prováděného na zakázku pro jiný tuzemský nebo zahraniční podnik,</w:t>
      </w:r>
    </w:p>
    <w:p w:rsidR="008272CB" w:rsidRPr="00945329" w:rsidRDefault="008272CB" w:rsidP="00D15B1A">
      <w:pPr>
        <w:numPr>
          <w:ilvl w:val="0"/>
          <w:numId w:val="8"/>
        </w:numPr>
        <w:spacing w:line="288" w:lineRule="auto"/>
        <w:rPr>
          <w:szCs w:val="20"/>
        </w:rPr>
      </w:pPr>
      <w:r w:rsidRPr="00945329">
        <w:rPr>
          <w:szCs w:val="20"/>
        </w:rPr>
        <w:t xml:space="preserve">finanční transfery (dotace či příspěvky na prováděnou </w:t>
      </w:r>
      <w:proofErr w:type="spellStart"/>
      <w:r w:rsidRPr="00945329">
        <w:rPr>
          <w:szCs w:val="20"/>
        </w:rPr>
        <w:t>VaV</w:t>
      </w:r>
      <w:proofErr w:type="spellEnd"/>
      <w:r w:rsidRPr="00945329">
        <w:rPr>
          <w:szCs w:val="20"/>
        </w:rPr>
        <w:t xml:space="preserve"> činnost) přijaté od tuzemských nebo zahraničních podniků působících nejčastěji v rámci stejné skupiny podniků.</w:t>
      </w:r>
    </w:p>
    <w:p w:rsidR="008272CB" w:rsidRPr="00945329" w:rsidRDefault="008272CB" w:rsidP="00D15B1A">
      <w:pPr>
        <w:spacing w:line="288" w:lineRule="auto"/>
        <w:ind w:left="360"/>
        <w:rPr>
          <w:iCs/>
          <w:szCs w:val="20"/>
        </w:rPr>
      </w:pPr>
      <w:r w:rsidRPr="00945329">
        <w:rPr>
          <w:szCs w:val="20"/>
        </w:rPr>
        <w:t>Poznámka: Výše uvedené typy externích podnik</w:t>
      </w:r>
      <w:r w:rsidR="000656B1" w:rsidRPr="00945329">
        <w:rPr>
          <w:szCs w:val="20"/>
        </w:rPr>
        <w:t>ov</w:t>
      </w:r>
      <w:r w:rsidRPr="00945329">
        <w:rPr>
          <w:szCs w:val="20"/>
        </w:rPr>
        <w:t>ých zdrojů sleduje ČSÚ v členění podle toho, zda jde o podnik</w:t>
      </w:r>
      <w:r w:rsidR="000656B1" w:rsidRPr="00945329">
        <w:rPr>
          <w:szCs w:val="20"/>
        </w:rPr>
        <w:t>ov</w:t>
      </w:r>
      <w:r w:rsidRPr="00945329">
        <w:rPr>
          <w:szCs w:val="20"/>
        </w:rPr>
        <w:t xml:space="preserve">é zdroje zahraniční nebo tuzemské. Jelikož pro podniky provádějící </w:t>
      </w:r>
      <w:proofErr w:type="spellStart"/>
      <w:r w:rsidRPr="00945329">
        <w:rPr>
          <w:szCs w:val="20"/>
        </w:rPr>
        <w:t>VaV</w:t>
      </w:r>
      <w:proofErr w:type="spellEnd"/>
      <w:r w:rsidRPr="00945329">
        <w:rPr>
          <w:szCs w:val="20"/>
        </w:rPr>
        <w:t xml:space="preserve"> není vždy snadné rozlišit tyto externí zdroje od výše uvedených interních zdrojů, doporučuje se při interpretaci údajů zjištěných v rámci šetření VTR 5-01 vycházet v tomto případě z celkových podnik</w:t>
      </w:r>
      <w:r w:rsidR="000656B1" w:rsidRPr="00945329">
        <w:rPr>
          <w:szCs w:val="20"/>
        </w:rPr>
        <w:t>ov</w:t>
      </w:r>
      <w:r w:rsidRPr="00945329">
        <w:rPr>
          <w:szCs w:val="20"/>
        </w:rPr>
        <w:t>ých zdrojů, tj. jak tuzemských (domácích/z ČR), tak i zahraničních.</w:t>
      </w:r>
    </w:p>
    <w:p w:rsidR="008272CB" w:rsidRPr="00945329" w:rsidRDefault="008272CB" w:rsidP="00D15B1A">
      <w:pPr>
        <w:rPr>
          <w:rFonts w:ascii="Calibri" w:eastAsia="Times New Roman" w:hAnsi="Calibri" w:cs="Times New Roman"/>
          <w:sz w:val="22"/>
          <w:lang w:eastAsia="cs-CZ"/>
        </w:rPr>
      </w:pPr>
    </w:p>
    <w:p w:rsidR="008272CB" w:rsidRPr="00945329" w:rsidRDefault="008272CB" w:rsidP="00D15B1A">
      <w:pPr>
        <w:numPr>
          <w:ilvl w:val="0"/>
          <w:numId w:val="8"/>
        </w:numPr>
        <w:tabs>
          <w:tab w:val="clear" w:pos="720"/>
        </w:tabs>
        <w:spacing w:line="288" w:lineRule="auto"/>
        <w:ind w:left="284"/>
        <w:rPr>
          <w:szCs w:val="20"/>
        </w:rPr>
      </w:pPr>
      <w:r w:rsidRPr="00945329">
        <w:rPr>
          <w:b/>
          <w:szCs w:val="20"/>
        </w:rPr>
        <w:t xml:space="preserve">Výzkum a vývoj financovaný státem – veřejné </w:t>
      </w:r>
      <w:r w:rsidR="000656B1" w:rsidRPr="00945329">
        <w:rPr>
          <w:b/>
          <w:szCs w:val="20"/>
        </w:rPr>
        <w:t>domácí zdroje</w:t>
      </w:r>
    </w:p>
    <w:p w:rsidR="008272CB" w:rsidRPr="00945329" w:rsidRDefault="008272CB" w:rsidP="00D15B1A">
      <w:pPr>
        <w:spacing w:line="288" w:lineRule="auto"/>
        <w:ind w:left="284"/>
        <w:rPr>
          <w:szCs w:val="20"/>
        </w:rPr>
      </w:pPr>
      <w:r w:rsidRPr="00945329">
        <w:rPr>
          <w:szCs w:val="20"/>
        </w:rPr>
        <w:t xml:space="preserve">Tyto zdroje tvoří veškeré finanční prostředky (běžné i kapitálové) ze státního rozpočtu ČR, rozpočtů krajů a měst poskytnuté jako institucionální nebo účelová podpora za provedený </w:t>
      </w:r>
      <w:proofErr w:type="spellStart"/>
      <w:r w:rsidRPr="00945329">
        <w:rPr>
          <w:szCs w:val="20"/>
        </w:rPr>
        <w:t>VaV</w:t>
      </w:r>
      <w:proofErr w:type="spellEnd"/>
      <w:r w:rsidRPr="00945329">
        <w:rPr>
          <w:szCs w:val="20"/>
        </w:rPr>
        <w:t xml:space="preserve"> ve sledovaném roce na území ČR. Tyto finanční zdroje jsou rozdělovány prostřednictvím jednotlivých rozpočtových kapitol poskytovatelů této podpory (Ministerstvo školství, mládeže a tělovýchovy, Ministerstvo průmyslu a obchodu, Ministerstvo zdravotnictví, Ministerstvo zemědělství, Ministerstvo obrany, Ministerstvo kultury, Ministerstvo vnitra, Akademie věd ČR, Grantová agentura ČR a Technologická agentura ČR).</w:t>
      </w:r>
    </w:p>
    <w:p w:rsidR="008272CB" w:rsidRPr="00945329" w:rsidRDefault="008272CB" w:rsidP="00D15B1A">
      <w:pPr>
        <w:spacing w:line="288" w:lineRule="auto"/>
        <w:ind w:left="284"/>
        <w:rPr>
          <w:rFonts w:cs="Arial"/>
          <w:szCs w:val="20"/>
        </w:rPr>
      </w:pPr>
      <w:r w:rsidRPr="00945329">
        <w:rPr>
          <w:rFonts w:cs="Arial"/>
          <w:szCs w:val="20"/>
        </w:rPr>
        <w:t xml:space="preserve">Poznámka </w:t>
      </w:r>
      <w:proofErr w:type="gramStart"/>
      <w:r w:rsidRPr="00945329">
        <w:rPr>
          <w:rFonts w:cs="Arial"/>
          <w:szCs w:val="20"/>
        </w:rPr>
        <w:t>č. 1:</w:t>
      </w:r>
      <w:proofErr w:type="gramEnd"/>
      <w:r w:rsidRPr="00945329">
        <w:rPr>
          <w:rFonts w:cs="Arial"/>
          <w:szCs w:val="20"/>
        </w:rPr>
        <w:t xml:space="preserve"> Do veřejných </w:t>
      </w:r>
      <w:r w:rsidR="000656B1" w:rsidRPr="00945329">
        <w:rPr>
          <w:rFonts w:cs="Arial"/>
          <w:szCs w:val="20"/>
        </w:rPr>
        <w:t>domácích zdrojů</w:t>
      </w:r>
      <w:r w:rsidRPr="00945329">
        <w:rPr>
          <w:rFonts w:cs="Arial"/>
          <w:szCs w:val="20"/>
        </w:rPr>
        <w:t xml:space="preserve"> musí být započtena i ta část finančních prostředků, která byla poskytnuta ze státního rozpočtu ČR v rámci spolufinancování operačních a rámcových výzkumných programů EU. Naopak prostředky ze státního rozpočtu ČR použité na předfinancování těchto projektů jsou z veřejných </w:t>
      </w:r>
      <w:r w:rsidR="000656B1" w:rsidRPr="00945329">
        <w:rPr>
          <w:rFonts w:cs="Arial"/>
          <w:szCs w:val="20"/>
        </w:rPr>
        <w:t xml:space="preserve">domácích zdrojů </w:t>
      </w:r>
      <w:r w:rsidRPr="00945329">
        <w:rPr>
          <w:rFonts w:cs="Arial"/>
          <w:szCs w:val="20"/>
        </w:rPr>
        <w:t xml:space="preserve">vyloučeny (jsou zahrnuty v zahraničních veřejných zdrojích). </w:t>
      </w:r>
    </w:p>
    <w:p w:rsidR="008272CB" w:rsidRPr="00945329" w:rsidRDefault="008272CB" w:rsidP="00D15B1A">
      <w:pPr>
        <w:spacing w:line="288" w:lineRule="auto"/>
        <w:ind w:left="284"/>
        <w:rPr>
          <w:rFonts w:cs="Arial"/>
          <w:szCs w:val="20"/>
        </w:rPr>
      </w:pPr>
      <w:r w:rsidRPr="00945329">
        <w:rPr>
          <w:rFonts w:cs="Arial"/>
          <w:szCs w:val="20"/>
        </w:rPr>
        <w:t xml:space="preserve">Součástí veřejných </w:t>
      </w:r>
      <w:r w:rsidR="000656B1" w:rsidRPr="00945329">
        <w:rPr>
          <w:rFonts w:cs="Arial"/>
          <w:szCs w:val="20"/>
        </w:rPr>
        <w:t xml:space="preserve">domácích </w:t>
      </w:r>
      <w:r w:rsidRPr="00945329">
        <w:rPr>
          <w:rFonts w:cs="Arial"/>
          <w:szCs w:val="20"/>
        </w:rPr>
        <w:t xml:space="preserve">zdrojů jsou i příjmy získané např. vysokými školami prostřednictvím podniků, ale pocházející původně z veřejných zdrojů. Jde především o případy, kdy VŠ nebo veřejná výzkumná instituce nevystupuje v roli hlavního příjemce, ale člena řešitelského konsorcia v rámci společného </w:t>
      </w:r>
      <w:proofErr w:type="spellStart"/>
      <w:r w:rsidRPr="00945329">
        <w:rPr>
          <w:rFonts w:cs="Arial"/>
          <w:szCs w:val="20"/>
        </w:rPr>
        <w:t>VaV</w:t>
      </w:r>
      <w:proofErr w:type="spellEnd"/>
      <w:r w:rsidRPr="00945329">
        <w:rPr>
          <w:rFonts w:cs="Arial"/>
          <w:szCs w:val="20"/>
        </w:rPr>
        <w:t xml:space="preserve"> projektu financovaného z veřejných zdrojů a finanční prostředky na tento společný projekt získá prostřednictvím hlavního řešitele.</w:t>
      </w:r>
    </w:p>
    <w:p w:rsidR="008272CB" w:rsidRPr="00945329" w:rsidRDefault="008272CB" w:rsidP="00D15B1A">
      <w:pPr>
        <w:spacing w:after="0" w:line="288" w:lineRule="auto"/>
        <w:ind w:left="284"/>
        <w:rPr>
          <w:i/>
        </w:rPr>
      </w:pPr>
      <w:r w:rsidRPr="00945329">
        <w:rPr>
          <w:rFonts w:cs="Arial"/>
          <w:szCs w:val="20"/>
        </w:rPr>
        <w:t xml:space="preserve">Poznámka </w:t>
      </w:r>
      <w:proofErr w:type="gramStart"/>
      <w:r w:rsidRPr="00945329">
        <w:rPr>
          <w:rFonts w:cs="Arial"/>
          <w:szCs w:val="20"/>
        </w:rPr>
        <w:t>č. 2:</w:t>
      </w:r>
      <w:proofErr w:type="gramEnd"/>
      <w:r w:rsidRPr="00945329">
        <w:rPr>
          <w:rFonts w:cs="Arial"/>
          <w:szCs w:val="20"/>
        </w:rPr>
        <w:t xml:space="preserve"> Do veřejných</w:t>
      </w:r>
      <w:r w:rsidR="000656B1" w:rsidRPr="00945329">
        <w:rPr>
          <w:rFonts w:cs="Arial"/>
          <w:szCs w:val="20"/>
        </w:rPr>
        <w:t xml:space="preserve"> domácích zdrojů </w:t>
      </w:r>
      <w:r w:rsidRPr="00945329">
        <w:rPr>
          <w:rFonts w:cs="Arial"/>
          <w:szCs w:val="20"/>
        </w:rPr>
        <w:t xml:space="preserve">není zahrnuta nepřímá (daňová) podpora </w:t>
      </w:r>
      <w:proofErr w:type="spellStart"/>
      <w:r w:rsidRPr="00945329">
        <w:rPr>
          <w:rFonts w:cs="Arial"/>
          <w:szCs w:val="20"/>
        </w:rPr>
        <w:t>VaV</w:t>
      </w:r>
      <w:proofErr w:type="spellEnd"/>
      <w:r w:rsidRPr="00945329">
        <w:rPr>
          <w:rFonts w:cs="Arial"/>
          <w:szCs w:val="20"/>
        </w:rPr>
        <w:t xml:space="preserve"> prováděného v podnikatelském sektoru, kterou sleduje ČSÚ v rámci samostatné statistické úlohy od roku 2007. </w:t>
      </w:r>
    </w:p>
    <w:p w:rsidR="008272CB" w:rsidRPr="00945329" w:rsidRDefault="008272CB" w:rsidP="00D15B1A">
      <w:pPr>
        <w:spacing w:line="288" w:lineRule="auto"/>
        <w:ind w:left="284"/>
        <w:rPr>
          <w:i/>
        </w:rPr>
      </w:pPr>
    </w:p>
    <w:p w:rsidR="008272CB" w:rsidRPr="00945329" w:rsidRDefault="008272CB" w:rsidP="00D15B1A">
      <w:pPr>
        <w:spacing w:line="288" w:lineRule="auto"/>
        <w:ind w:left="284"/>
        <w:rPr>
          <w:rFonts w:cs="Arial"/>
          <w:szCs w:val="20"/>
        </w:rPr>
      </w:pPr>
      <w:r w:rsidRPr="00945329">
        <w:rPr>
          <w:rFonts w:cs="Arial"/>
          <w:szCs w:val="20"/>
        </w:rPr>
        <w:t xml:space="preserve">Upozornění: Údaje o financování </w:t>
      </w:r>
      <w:proofErr w:type="spellStart"/>
      <w:r w:rsidRPr="00945329">
        <w:rPr>
          <w:rFonts w:cs="Arial"/>
          <w:szCs w:val="20"/>
        </w:rPr>
        <w:t>VaV</w:t>
      </w:r>
      <w:proofErr w:type="spellEnd"/>
      <w:r w:rsidRPr="00945329">
        <w:rPr>
          <w:rFonts w:cs="Arial"/>
          <w:szCs w:val="20"/>
        </w:rPr>
        <w:t xml:space="preserve"> z</w:t>
      </w:r>
      <w:r w:rsidR="000656B1" w:rsidRPr="00945329">
        <w:rPr>
          <w:rFonts w:cs="Arial"/>
          <w:szCs w:val="20"/>
        </w:rPr>
        <w:t> </w:t>
      </w:r>
      <w:r w:rsidRPr="00945329">
        <w:rPr>
          <w:rFonts w:cs="Arial"/>
          <w:szCs w:val="20"/>
        </w:rPr>
        <w:t>veřejných</w:t>
      </w:r>
      <w:r w:rsidR="000656B1" w:rsidRPr="00945329">
        <w:rPr>
          <w:rFonts w:cs="Arial"/>
          <w:szCs w:val="20"/>
        </w:rPr>
        <w:t xml:space="preserve"> domácích</w:t>
      </w:r>
      <w:r w:rsidRPr="00945329">
        <w:rPr>
          <w:rFonts w:cs="Arial"/>
          <w:szCs w:val="20"/>
        </w:rPr>
        <w:t xml:space="preserve"> zdrojů zjištěné v rámci šetření VTR 5-01 se z metodických důvodů nemohou zcela shodovat s údaji o financování </w:t>
      </w:r>
      <w:proofErr w:type="spellStart"/>
      <w:r w:rsidRPr="00945329">
        <w:rPr>
          <w:rFonts w:cs="Arial"/>
          <w:szCs w:val="20"/>
        </w:rPr>
        <w:t>VaV</w:t>
      </w:r>
      <w:proofErr w:type="spellEnd"/>
      <w:r w:rsidRPr="00945329">
        <w:rPr>
          <w:rFonts w:cs="Arial"/>
          <w:szCs w:val="20"/>
        </w:rPr>
        <w:t xml:space="preserve"> ze státního rozpočtu ČR získanými z administrativních zdrojů například v rámci statistiky státních rozpočtových výdajů na výzkum a vývoj (anglický název: </w:t>
      </w:r>
      <w:proofErr w:type="spellStart"/>
      <w:r w:rsidRPr="00945329">
        <w:rPr>
          <w:rFonts w:cs="Arial"/>
          <w:szCs w:val="20"/>
        </w:rPr>
        <w:t>Government</w:t>
      </w:r>
      <w:proofErr w:type="spellEnd"/>
      <w:r w:rsidRPr="00945329">
        <w:rPr>
          <w:rFonts w:cs="Arial"/>
          <w:szCs w:val="20"/>
        </w:rPr>
        <w:t xml:space="preserve"> Budget </w:t>
      </w:r>
      <w:proofErr w:type="spellStart"/>
      <w:r w:rsidRPr="00945329">
        <w:rPr>
          <w:rFonts w:cs="Arial"/>
          <w:szCs w:val="20"/>
        </w:rPr>
        <w:t>Appropriations</w:t>
      </w:r>
      <w:proofErr w:type="spellEnd"/>
      <w:r w:rsidRPr="00945329">
        <w:rPr>
          <w:rFonts w:cs="Arial"/>
          <w:szCs w:val="20"/>
        </w:rPr>
        <w:t xml:space="preserve"> </w:t>
      </w:r>
      <w:proofErr w:type="spellStart"/>
      <w:r w:rsidRPr="00945329">
        <w:rPr>
          <w:rFonts w:cs="Arial"/>
          <w:szCs w:val="20"/>
        </w:rPr>
        <w:t>for</w:t>
      </w:r>
      <w:proofErr w:type="spellEnd"/>
      <w:r w:rsidRPr="00945329">
        <w:rPr>
          <w:rFonts w:cs="Arial"/>
          <w:szCs w:val="20"/>
        </w:rPr>
        <w:t xml:space="preserve"> </w:t>
      </w:r>
      <w:proofErr w:type="spellStart"/>
      <w:r w:rsidRPr="00945329">
        <w:rPr>
          <w:rFonts w:cs="Arial"/>
          <w:szCs w:val="20"/>
        </w:rPr>
        <w:t>Research</w:t>
      </w:r>
      <w:proofErr w:type="spellEnd"/>
      <w:r w:rsidRPr="00945329">
        <w:rPr>
          <w:rFonts w:cs="Arial"/>
          <w:szCs w:val="20"/>
        </w:rPr>
        <w:t xml:space="preserve"> and </w:t>
      </w:r>
      <w:proofErr w:type="spellStart"/>
      <w:r w:rsidRPr="00945329">
        <w:rPr>
          <w:rFonts w:cs="Arial"/>
          <w:szCs w:val="20"/>
        </w:rPr>
        <w:t>Development</w:t>
      </w:r>
      <w:proofErr w:type="spellEnd"/>
      <w:r w:rsidRPr="00945329">
        <w:rPr>
          <w:rFonts w:cs="Arial"/>
          <w:szCs w:val="20"/>
        </w:rPr>
        <w:t xml:space="preserve"> – GBARD). </w:t>
      </w:r>
    </w:p>
    <w:p w:rsidR="008272CB" w:rsidRPr="00945329" w:rsidRDefault="008272CB" w:rsidP="00D15B1A">
      <w:pPr>
        <w:spacing w:after="0" w:line="288" w:lineRule="auto"/>
        <w:ind w:left="284"/>
        <w:rPr>
          <w:rFonts w:cs="Arial"/>
          <w:szCs w:val="20"/>
        </w:rPr>
      </w:pPr>
      <w:r w:rsidRPr="00945329">
        <w:rPr>
          <w:rFonts w:cs="Arial"/>
          <w:szCs w:val="20"/>
        </w:rPr>
        <w:t xml:space="preserve">Tato statistika poskytuje údaje o přímé veřejné podpoře </w:t>
      </w:r>
      <w:proofErr w:type="spellStart"/>
      <w:r w:rsidRPr="00945329">
        <w:rPr>
          <w:rFonts w:cs="Arial"/>
          <w:szCs w:val="20"/>
        </w:rPr>
        <w:t>VaV</w:t>
      </w:r>
      <w:proofErr w:type="spellEnd"/>
      <w:r w:rsidRPr="00945329">
        <w:rPr>
          <w:rFonts w:cs="Arial"/>
          <w:szCs w:val="20"/>
        </w:rPr>
        <w:t xml:space="preserve"> v členění podle tzv. socioekonomických cílů.</w:t>
      </w:r>
      <w:r w:rsidRPr="00945329">
        <w:t xml:space="preserve"> </w:t>
      </w:r>
      <w:r w:rsidRPr="00945329">
        <w:rPr>
          <w:rFonts w:cs="Arial"/>
          <w:szCs w:val="20"/>
        </w:rPr>
        <w:t>Na rozdíl od statistického šetření o výzkumu a vývoji (VTR 5-01) zaměřeného na ekonomické subjekty provádějící výzkum a vývoj, poskytuje statistika GBARD odlišný pohled, a to z hlediska poskytovatelů finančních prostředků.</w:t>
      </w:r>
    </w:p>
    <w:p w:rsidR="008272CB" w:rsidRPr="00945329" w:rsidRDefault="008272CB" w:rsidP="00D15B1A">
      <w:pPr>
        <w:spacing w:after="0" w:line="288" w:lineRule="auto"/>
        <w:ind w:left="284"/>
        <w:rPr>
          <w:rFonts w:cs="Arial"/>
          <w:i/>
          <w:szCs w:val="20"/>
        </w:rPr>
      </w:pPr>
      <w:r w:rsidRPr="00945329">
        <w:rPr>
          <w:rFonts w:cs="Arial"/>
          <w:i/>
          <w:szCs w:val="20"/>
        </w:rPr>
        <w:t xml:space="preserve"> </w:t>
      </w:r>
    </w:p>
    <w:p w:rsidR="008272CB" w:rsidRPr="00945329" w:rsidRDefault="008272CB" w:rsidP="00D15B1A">
      <w:pPr>
        <w:numPr>
          <w:ilvl w:val="0"/>
          <w:numId w:val="8"/>
        </w:numPr>
        <w:tabs>
          <w:tab w:val="clear" w:pos="720"/>
        </w:tabs>
        <w:spacing w:line="288" w:lineRule="auto"/>
        <w:ind w:left="284"/>
        <w:rPr>
          <w:szCs w:val="20"/>
        </w:rPr>
      </w:pPr>
      <w:r w:rsidRPr="00945329">
        <w:rPr>
          <w:b/>
          <w:szCs w:val="20"/>
        </w:rPr>
        <w:t>Výzkum a vývoj financovaný ze zahraničí veřejnými subjekty – veřejné zahraniční zdroje</w:t>
      </w:r>
      <w:r w:rsidRPr="00945329">
        <w:rPr>
          <w:szCs w:val="20"/>
        </w:rPr>
        <w:t xml:space="preserve"> </w:t>
      </w:r>
    </w:p>
    <w:p w:rsidR="008272CB" w:rsidRPr="00945329" w:rsidRDefault="008272CB" w:rsidP="00D15B1A">
      <w:pPr>
        <w:spacing w:line="288" w:lineRule="auto"/>
        <w:ind w:left="284"/>
        <w:rPr>
          <w:szCs w:val="20"/>
        </w:rPr>
      </w:pPr>
      <w:r w:rsidRPr="00945329">
        <w:rPr>
          <w:szCs w:val="20"/>
        </w:rPr>
        <w:t xml:space="preserve">Veřejné zahraniční zdroje tvoří v případě České republiky především příjmy ze strukturálních fondů EU použité na financování prováděného </w:t>
      </w:r>
      <w:proofErr w:type="spellStart"/>
      <w:r w:rsidRPr="00945329">
        <w:rPr>
          <w:szCs w:val="20"/>
        </w:rPr>
        <w:t>VaV</w:t>
      </w:r>
      <w:proofErr w:type="spellEnd"/>
      <w:r w:rsidRPr="00945329">
        <w:rPr>
          <w:szCs w:val="20"/>
        </w:rPr>
        <w:t xml:space="preserve"> ve sledovaných subjektech prostřednictvím jednotlivých operačních programů, ostatní zdroje z rozpočtu EU (jde především o výzkumné rámcové programy) a zdroje z mezinárodních, vládních a veřejných organizací mimo EU (CERN, ILL, ESA, NATO, OECD, OSN, WHO, Norské fondy/EHP aj.). </w:t>
      </w:r>
    </w:p>
    <w:p w:rsidR="008272CB" w:rsidRPr="00945329" w:rsidRDefault="008272CB" w:rsidP="00D15B1A">
      <w:pPr>
        <w:spacing w:after="60" w:line="288" w:lineRule="auto"/>
        <w:ind w:left="284"/>
        <w:rPr>
          <w:iCs/>
          <w:szCs w:val="20"/>
        </w:rPr>
      </w:pPr>
    </w:p>
    <w:p w:rsidR="008272CB" w:rsidRPr="00945329" w:rsidRDefault="008272CB" w:rsidP="00D15B1A">
      <w:pPr>
        <w:numPr>
          <w:ilvl w:val="0"/>
          <w:numId w:val="8"/>
        </w:numPr>
        <w:tabs>
          <w:tab w:val="clear" w:pos="720"/>
        </w:tabs>
        <w:spacing w:line="288" w:lineRule="auto"/>
        <w:ind w:left="284"/>
        <w:rPr>
          <w:szCs w:val="20"/>
        </w:rPr>
      </w:pPr>
      <w:r w:rsidRPr="00945329">
        <w:rPr>
          <w:szCs w:val="20"/>
        </w:rPr>
        <w:t xml:space="preserve">Kromě výše uvedených hlavních zdrojů se na financování </w:t>
      </w:r>
      <w:proofErr w:type="spellStart"/>
      <w:r w:rsidRPr="00945329">
        <w:rPr>
          <w:szCs w:val="20"/>
        </w:rPr>
        <w:t>VaV</w:t>
      </w:r>
      <w:proofErr w:type="spellEnd"/>
      <w:r w:rsidRPr="00945329">
        <w:rPr>
          <w:szCs w:val="20"/>
        </w:rPr>
        <w:t xml:space="preserve"> podílejí i ostatní národní zdroje, které tvoří vlastní příjmy vysokých škol a soukromých neziskových institucí nepocházející ze státního rozpočtu, podnikatelského sektoru nebo ze zahraničí. Tyto zdroje jsou v rámci celkových výdajů na </w:t>
      </w:r>
      <w:proofErr w:type="spellStart"/>
      <w:r w:rsidRPr="00945329">
        <w:rPr>
          <w:szCs w:val="20"/>
        </w:rPr>
        <w:t>VaV</w:t>
      </w:r>
      <w:proofErr w:type="spellEnd"/>
      <w:r w:rsidRPr="00945329">
        <w:rPr>
          <w:szCs w:val="20"/>
        </w:rPr>
        <w:t xml:space="preserve"> u nás zanedbatelné. V roce 2017 činily dohromady 1 mld. Kč. V případě vysokých škol jde především o poplatky jednotlivých studentů, předplatné časopisů, příjmy z publikační činnosti.</w:t>
      </w:r>
    </w:p>
    <w:p w:rsidR="008272CB" w:rsidRPr="00945329" w:rsidRDefault="008272CB" w:rsidP="00D15B1A">
      <w:pPr>
        <w:rPr>
          <w:rFonts w:ascii="Calibri" w:eastAsia="Times New Roman" w:hAnsi="Calibri" w:cs="Times New Roman"/>
          <w:sz w:val="22"/>
          <w:lang w:eastAsia="cs-CZ"/>
        </w:rPr>
      </w:pPr>
    </w:p>
    <w:p w:rsidR="002A4C8D" w:rsidRPr="00945329" w:rsidRDefault="002A4C8D" w:rsidP="00D15B1A">
      <w:pPr>
        <w:rPr>
          <w:rFonts w:eastAsia="Times New Roman" w:cs="Arial"/>
          <w:i/>
          <w:szCs w:val="20"/>
          <w:lang w:eastAsia="cs-CZ"/>
        </w:rPr>
      </w:pPr>
      <w:r w:rsidRPr="00945329">
        <w:rPr>
          <w:rFonts w:eastAsia="Times New Roman" w:cs="Arial"/>
          <w:i/>
          <w:szCs w:val="20"/>
          <w:lang w:eastAsia="cs-CZ"/>
        </w:rPr>
        <w:t xml:space="preserve">Další informace viz např. metodika k publikaci Ukazatele výzkumu a vývoje </w:t>
      </w:r>
    </w:p>
    <w:p w:rsidR="002A4C8D" w:rsidRPr="00945329" w:rsidRDefault="00DC66C5" w:rsidP="00D15B1A">
      <w:pPr>
        <w:rPr>
          <w:rFonts w:eastAsia="Times New Roman" w:cs="Arial"/>
          <w:b/>
          <w:szCs w:val="20"/>
          <w:lang w:eastAsia="cs-CZ"/>
        </w:rPr>
      </w:pPr>
      <w:hyperlink r:id="rId5" w:history="1">
        <w:r w:rsidR="002A4C8D" w:rsidRPr="00945329">
          <w:rPr>
            <w:rStyle w:val="Hypertextovodkaz"/>
            <w:rFonts w:eastAsia="Times New Roman" w:cs="Arial"/>
            <w:color w:val="auto"/>
            <w:szCs w:val="20"/>
            <w:lang w:eastAsia="cs-CZ"/>
          </w:rPr>
          <w:t>https://www.czso.cz/documents/10180/61508124/21100218m.pdf/d09ec94c-20cf-489e-8fca-99472c17e9a1?version=1.1</w:t>
        </w:r>
      </w:hyperlink>
    </w:p>
    <w:p w:rsidR="008272CB" w:rsidRPr="00945329" w:rsidRDefault="008272CB" w:rsidP="00D15B1A">
      <w:pPr>
        <w:rPr>
          <w:rFonts w:ascii="Calibri" w:eastAsia="Times New Roman" w:hAnsi="Calibri" w:cs="Times New Roman"/>
          <w:sz w:val="22"/>
          <w:lang w:eastAsia="cs-CZ"/>
        </w:rPr>
      </w:pPr>
    </w:p>
    <w:p w:rsidR="007375CD" w:rsidRPr="00945329" w:rsidRDefault="00A37E21" w:rsidP="00D15B1A">
      <w:pPr>
        <w:rPr>
          <w:i/>
        </w:rPr>
      </w:pPr>
      <w:r w:rsidRPr="00945329">
        <w:rPr>
          <w:rFonts w:ascii="Calibri" w:eastAsia="Times New Roman" w:hAnsi="Calibri" w:cs="Times New Roman"/>
          <w:sz w:val="22"/>
          <w:lang w:eastAsia="cs-CZ"/>
        </w:rPr>
        <w:t xml:space="preserve"> </w:t>
      </w:r>
      <w:r w:rsidR="007375CD" w:rsidRPr="00945329">
        <w:rPr>
          <w:i/>
        </w:rPr>
        <w:t>Zdroj dat:</w:t>
      </w:r>
    </w:p>
    <w:bookmarkEnd w:id="1"/>
    <w:p w:rsidR="00224E29" w:rsidRPr="00945329" w:rsidRDefault="00224E29" w:rsidP="00D15B1A">
      <w:pPr>
        <w:rPr>
          <w:rFonts w:cs="Arial"/>
          <w:szCs w:val="20"/>
        </w:rPr>
      </w:pPr>
      <w:r w:rsidRPr="00945329">
        <w:rPr>
          <w:rFonts w:cs="Arial"/>
          <w:szCs w:val="20"/>
        </w:rPr>
        <w:t xml:space="preserve">Roční šetření o výzkumu a vývoji VTR 5-01. Zpravodajskými jednotkami jsou všechny právnické a fyzické osoby (ekonomické subjekty) provádějící výzkum a vývoj (dále jen </w:t>
      </w:r>
      <w:proofErr w:type="spellStart"/>
      <w:r w:rsidRPr="00945329">
        <w:rPr>
          <w:rFonts w:cs="Arial"/>
          <w:szCs w:val="20"/>
        </w:rPr>
        <w:t>VaV</w:t>
      </w:r>
      <w:proofErr w:type="spellEnd"/>
      <w:r w:rsidRPr="00945329">
        <w:rPr>
          <w:rFonts w:cs="Arial"/>
          <w:szCs w:val="20"/>
        </w:rPr>
        <w:t xml:space="preserve">) na území ČR jako svoji hlavní nebo vedlejší ekonomickou činnost bez ohledu na počet jejich zaměstnanců, sektor nebo odvětví, ve kterém působí. </w:t>
      </w:r>
    </w:p>
    <w:p w:rsidR="00A37E21" w:rsidRPr="00945329" w:rsidRDefault="00A37E21" w:rsidP="00D15B1A"/>
    <w:p w:rsidR="007375CD" w:rsidRPr="00945329" w:rsidRDefault="007375CD" w:rsidP="00D15B1A">
      <w:pPr>
        <w:rPr>
          <w:i/>
        </w:rPr>
      </w:pPr>
      <w:r w:rsidRPr="00945329">
        <w:rPr>
          <w:i/>
        </w:rPr>
        <w:t>Datová sada:</w:t>
      </w:r>
    </w:p>
    <w:p w:rsidR="008C1410" w:rsidRPr="00945329" w:rsidRDefault="008C1410" w:rsidP="00D15B1A">
      <w:pPr>
        <w:spacing w:after="0"/>
      </w:pPr>
      <w:r w:rsidRPr="00945329">
        <w:t>Datová sada obsahuje údaj</w:t>
      </w:r>
      <w:r w:rsidR="002A4C8D" w:rsidRPr="00945329">
        <w:t>e</w:t>
      </w:r>
      <w:r w:rsidRPr="00945329">
        <w:t xml:space="preserve"> obsažen</w:t>
      </w:r>
      <w:r w:rsidR="002A4C8D" w:rsidRPr="00945329">
        <w:t>é</w:t>
      </w:r>
      <w:r w:rsidRPr="00945329">
        <w:t xml:space="preserve"> v tabulce veřejné databáze</w:t>
      </w:r>
    </w:p>
    <w:p w:rsidR="002A4C8D" w:rsidRPr="00945329" w:rsidRDefault="00DC66C5" w:rsidP="00D15B1A">
      <w:pPr>
        <w:spacing w:after="0"/>
      </w:pPr>
      <w:hyperlink r:id="rId6" w:history="1">
        <w:r w:rsidR="002A4C8D" w:rsidRPr="00945329">
          <w:rPr>
            <w:rStyle w:val="Hypertextovodkaz"/>
            <w:color w:val="auto"/>
          </w:rPr>
          <w:t>https://vdb.czso.cz/vdbvo2/faces/cs/index.jsf?page=vystup-objekt-parametry&amp;sp=A&amp;pvokc=&amp;pvo=VAV02&amp;katalog=30851&amp;z=T</w:t>
        </w:r>
      </w:hyperlink>
    </w:p>
    <w:p w:rsidR="00E14781" w:rsidRPr="00945329" w:rsidRDefault="00E14781" w:rsidP="00D15B1A">
      <w:pPr>
        <w:spacing w:after="0"/>
      </w:pPr>
    </w:p>
    <w:p w:rsidR="00E14781" w:rsidRPr="00945329" w:rsidRDefault="00E14781" w:rsidP="00E14781">
      <w:pPr>
        <w:pStyle w:val="Nadpis2"/>
        <w:rPr>
          <w:color w:val="auto"/>
        </w:rPr>
      </w:pPr>
      <w:r w:rsidRPr="00945329">
        <w:rPr>
          <w:color w:val="auto"/>
        </w:rPr>
        <w:t>Struktura dat:</w:t>
      </w:r>
    </w:p>
    <w:p w:rsidR="00E14781" w:rsidRPr="00945329" w:rsidRDefault="00E14781" w:rsidP="00E14781">
      <w:r w:rsidRPr="00945329">
        <w:t>Datovou sadu představuje CSV soubor, jednotlivé položky (tvořící sloupce) jsou zprava i zleva ohraničeny znakem " (uvozovky), oddělovačem položek je čárka, oddělovačem desetinné části tečka.</w:t>
      </w:r>
    </w:p>
    <w:p w:rsidR="00E14781" w:rsidRPr="00945329" w:rsidRDefault="00E14781" w:rsidP="00E14781">
      <w:r w:rsidRPr="00945329">
        <w:t xml:space="preserve">Každý statistický údaj tvoří jeden řádek souboru, zjištěná hodnota je ve sloupci </w:t>
      </w:r>
      <w:r w:rsidRPr="00945329">
        <w:rPr>
          <w:i/>
        </w:rPr>
        <w:t>hodnota</w:t>
      </w:r>
      <w:r w:rsidRPr="00945329">
        <w:t>.</w:t>
      </w:r>
    </w:p>
    <w:p w:rsidR="00E14781" w:rsidRPr="00945329" w:rsidRDefault="00E14781" w:rsidP="00E14781">
      <w:r w:rsidRPr="00945329">
        <w:t xml:space="preserve">Statistický údaj je definován z hlediska věcného (statistická proměnná=ukazatel a třídění dle druhu hospodářského zvířete), časového (referenční období) a územního (území).  </w:t>
      </w:r>
    </w:p>
    <w:tbl>
      <w:tblPr>
        <w:tblW w:w="9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2879"/>
        <w:gridCol w:w="4597"/>
      </w:tblGrid>
      <w:tr w:rsidR="00945329" w:rsidRPr="00945329" w:rsidTr="00C43AD0">
        <w:trPr>
          <w:cantSplit/>
          <w:trHeight w:val="300"/>
          <w:tblHeader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781" w:rsidRPr="00945329" w:rsidRDefault="00E14781" w:rsidP="00C43AD0">
            <w:pPr>
              <w:rPr>
                <w:lang w:eastAsia="cs-CZ"/>
              </w:rPr>
            </w:pPr>
            <w:r w:rsidRPr="00945329">
              <w:rPr>
                <w:lang w:eastAsia="cs-CZ"/>
              </w:rPr>
              <w:t>SLOUPEC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81" w:rsidRPr="00945329" w:rsidRDefault="00E14781" w:rsidP="00C43AD0">
            <w:pPr>
              <w:rPr>
                <w:lang w:eastAsia="cs-CZ"/>
              </w:rPr>
            </w:pPr>
            <w:r w:rsidRPr="00945329">
              <w:rPr>
                <w:lang w:eastAsia="cs-CZ"/>
              </w:rPr>
              <w:t>VYZNAM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81" w:rsidRPr="00945329" w:rsidRDefault="00E14781" w:rsidP="00C43AD0">
            <w:pPr>
              <w:rPr>
                <w:lang w:eastAsia="cs-CZ"/>
              </w:rPr>
            </w:pPr>
            <w:r w:rsidRPr="00945329">
              <w:rPr>
                <w:lang w:eastAsia="cs-CZ"/>
              </w:rPr>
              <w:t>POZNAMKA</w:t>
            </w:r>
          </w:p>
        </w:tc>
      </w:tr>
      <w:tr w:rsidR="00945329" w:rsidRPr="00945329" w:rsidTr="00C43AD0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781" w:rsidRPr="00945329" w:rsidRDefault="00E14781" w:rsidP="00C43AD0">
            <w:pPr>
              <w:rPr>
                <w:lang w:eastAsia="cs-CZ"/>
              </w:rPr>
            </w:pPr>
            <w:proofErr w:type="spellStart"/>
            <w:r w:rsidRPr="00945329">
              <w:rPr>
                <w:lang w:eastAsia="cs-CZ"/>
              </w:rPr>
              <w:t>idhod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81" w:rsidRPr="00945329" w:rsidRDefault="00E14781" w:rsidP="00C43AD0">
            <w:pPr>
              <w:rPr>
                <w:lang w:eastAsia="cs-CZ"/>
              </w:rPr>
            </w:pPr>
            <w:r w:rsidRPr="00945329">
              <w:rPr>
                <w:lang w:eastAsia="cs-CZ"/>
              </w:rPr>
              <w:t>unikátní identifikátor údaje Veřejné databáze ČSÚ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81" w:rsidRPr="00945329" w:rsidRDefault="00E14781" w:rsidP="00C43AD0">
            <w:pPr>
              <w:rPr>
                <w:lang w:eastAsia="cs-CZ"/>
              </w:rPr>
            </w:pPr>
            <w:r w:rsidRPr="00945329">
              <w:rPr>
                <w:lang w:eastAsia="cs-CZ"/>
              </w:rPr>
              <w:t xml:space="preserve">využije se v případě dotazu ke konkrétnímu údaji </w:t>
            </w:r>
          </w:p>
        </w:tc>
      </w:tr>
      <w:tr w:rsidR="00945329" w:rsidRPr="00945329" w:rsidTr="00C43AD0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781" w:rsidRPr="00945329" w:rsidRDefault="00E14781" w:rsidP="00C43AD0">
            <w:pPr>
              <w:rPr>
                <w:lang w:eastAsia="cs-CZ"/>
              </w:rPr>
            </w:pPr>
            <w:r w:rsidRPr="00945329">
              <w:rPr>
                <w:lang w:eastAsia="cs-CZ"/>
              </w:rPr>
              <w:t>hodnota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81" w:rsidRPr="00945329" w:rsidRDefault="00E14781" w:rsidP="00C43AD0">
            <w:pPr>
              <w:rPr>
                <w:lang w:eastAsia="cs-CZ"/>
              </w:rPr>
            </w:pPr>
            <w:r w:rsidRPr="00945329">
              <w:rPr>
                <w:lang w:eastAsia="cs-CZ"/>
              </w:rPr>
              <w:t xml:space="preserve">zjištěná hodnota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81" w:rsidRPr="00945329" w:rsidRDefault="00E14781" w:rsidP="00C43AD0">
            <w:pPr>
              <w:rPr>
                <w:lang w:eastAsia="cs-CZ"/>
              </w:rPr>
            </w:pPr>
            <w:r w:rsidRPr="00945329">
              <w:rPr>
                <w:lang w:eastAsia="cs-CZ"/>
              </w:rPr>
              <w:t>v numerickém formátu</w:t>
            </w:r>
          </w:p>
          <w:p w:rsidR="00E14781" w:rsidRPr="00945329" w:rsidRDefault="00E14781" w:rsidP="00C43AD0">
            <w:pPr>
              <w:rPr>
                <w:lang w:eastAsia="cs-CZ"/>
              </w:rPr>
            </w:pPr>
            <w:r w:rsidRPr="00945329">
              <w:rPr>
                <w:lang w:eastAsia="cs-CZ"/>
              </w:rPr>
              <w:t xml:space="preserve"> </w:t>
            </w:r>
          </w:p>
        </w:tc>
      </w:tr>
      <w:tr w:rsidR="00945329" w:rsidRPr="00945329" w:rsidTr="00C43AD0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781" w:rsidRPr="00945329" w:rsidRDefault="00E14781" w:rsidP="00C43AD0">
            <w:pPr>
              <w:rPr>
                <w:lang w:eastAsia="cs-CZ"/>
              </w:rPr>
            </w:pPr>
            <w:proofErr w:type="spellStart"/>
            <w:r w:rsidRPr="00945329">
              <w:rPr>
                <w:lang w:eastAsia="cs-CZ"/>
              </w:rPr>
              <w:t>duvernost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81" w:rsidRPr="00945329" w:rsidRDefault="00E14781" w:rsidP="00C43AD0">
            <w:pPr>
              <w:rPr>
                <w:lang w:eastAsia="cs-CZ"/>
              </w:rPr>
            </w:pPr>
            <w:r w:rsidRPr="00945329">
              <w:rPr>
                <w:lang w:eastAsia="cs-CZ"/>
              </w:rPr>
              <w:t>text atributu údaje z hlediska důvěrnosti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81" w:rsidRPr="00945329" w:rsidRDefault="00E14781" w:rsidP="00C43AD0">
            <w:pPr>
              <w:rPr>
                <w:lang w:eastAsia="cs-CZ"/>
              </w:rPr>
            </w:pPr>
          </w:p>
        </w:tc>
      </w:tr>
      <w:tr w:rsidR="00945329" w:rsidRPr="00945329" w:rsidTr="00C43AD0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781" w:rsidRPr="00945329" w:rsidRDefault="00E14781" w:rsidP="00C43AD0">
            <w:pPr>
              <w:rPr>
                <w:lang w:eastAsia="cs-CZ"/>
              </w:rPr>
            </w:pPr>
            <w:proofErr w:type="spellStart"/>
            <w:r w:rsidRPr="00945329">
              <w:rPr>
                <w:lang w:eastAsia="cs-CZ"/>
              </w:rPr>
              <w:t>stapro_kod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81" w:rsidRPr="00945329" w:rsidRDefault="00E14781" w:rsidP="00C43AD0">
            <w:pPr>
              <w:rPr>
                <w:lang w:eastAsia="cs-CZ"/>
              </w:rPr>
            </w:pPr>
            <w:r w:rsidRPr="00945329">
              <w:rPr>
                <w:lang w:eastAsia="cs-CZ"/>
              </w:rPr>
              <w:t xml:space="preserve">kód statistické proměnné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81" w:rsidRPr="00945329" w:rsidRDefault="00E14781" w:rsidP="00C43AD0">
            <w:pPr>
              <w:rPr>
                <w:lang w:eastAsia="cs-CZ"/>
              </w:rPr>
            </w:pPr>
            <w:r w:rsidRPr="00945329">
              <w:rPr>
                <w:lang w:eastAsia="cs-CZ"/>
              </w:rPr>
              <w:t>ze systému SMS UKAZ</w:t>
            </w:r>
          </w:p>
        </w:tc>
      </w:tr>
      <w:tr w:rsidR="00945329" w:rsidRPr="00945329" w:rsidTr="00C43AD0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781" w:rsidRPr="00945329" w:rsidRDefault="002A4C8D" w:rsidP="002A4C8D">
            <w:pPr>
              <w:rPr>
                <w:lang w:eastAsia="cs-CZ"/>
              </w:rPr>
            </w:pPr>
            <w:proofErr w:type="spellStart"/>
            <w:r w:rsidRPr="00945329">
              <w:rPr>
                <w:lang w:eastAsia="cs-CZ"/>
              </w:rPr>
              <w:t>elpro</w:t>
            </w:r>
            <w:r w:rsidR="00E14781" w:rsidRPr="00945329">
              <w:rPr>
                <w:lang w:eastAsia="cs-CZ"/>
              </w:rPr>
              <w:t>_</w:t>
            </w:r>
            <w:r w:rsidRPr="00945329">
              <w:rPr>
                <w:lang w:eastAsia="cs-CZ"/>
              </w:rPr>
              <w:t>id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81" w:rsidRPr="00945329" w:rsidRDefault="002A4C8D" w:rsidP="00C43AD0">
            <w:pPr>
              <w:rPr>
                <w:lang w:eastAsia="cs-CZ"/>
              </w:rPr>
            </w:pPr>
            <w:r w:rsidRPr="00945329">
              <w:rPr>
                <w:lang w:eastAsia="cs-CZ"/>
              </w:rPr>
              <w:t xml:space="preserve">id kombinace elementárních proměnných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81" w:rsidRPr="00945329" w:rsidRDefault="002A4C8D" w:rsidP="00C43AD0">
            <w:pPr>
              <w:rPr>
                <w:lang w:eastAsia="cs-CZ"/>
              </w:rPr>
            </w:pPr>
            <w:r w:rsidRPr="00945329">
              <w:rPr>
                <w:lang w:eastAsia="cs-CZ"/>
              </w:rPr>
              <w:t>vyjadřuje upřesnění statistické proměnné z věcného hlediska</w:t>
            </w:r>
          </w:p>
        </w:tc>
      </w:tr>
      <w:tr w:rsidR="00945329" w:rsidRPr="00945329" w:rsidTr="00C43AD0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781" w:rsidRPr="00945329" w:rsidRDefault="00E14781" w:rsidP="00C43AD0">
            <w:pPr>
              <w:rPr>
                <w:lang w:eastAsia="cs-CZ"/>
              </w:rPr>
            </w:pPr>
            <w:proofErr w:type="spellStart"/>
            <w:r w:rsidRPr="00945329">
              <w:rPr>
                <w:lang w:eastAsia="cs-CZ"/>
              </w:rPr>
              <w:t>mj_cis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81" w:rsidRPr="00945329" w:rsidRDefault="00E14781" w:rsidP="00C43AD0">
            <w:pPr>
              <w:rPr>
                <w:lang w:eastAsia="cs-CZ"/>
              </w:rPr>
            </w:pPr>
            <w:r w:rsidRPr="00945329">
              <w:rPr>
                <w:lang w:eastAsia="cs-CZ"/>
              </w:rPr>
              <w:t>kód číselníku pro měřicí jednotky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81" w:rsidRPr="00945329" w:rsidRDefault="00E14781" w:rsidP="00C43AD0">
            <w:pPr>
              <w:rPr>
                <w:lang w:eastAsia="cs-CZ"/>
              </w:rPr>
            </w:pPr>
            <w:r w:rsidRPr="00945329">
              <w:rPr>
                <w:lang w:eastAsia="cs-CZ"/>
              </w:rPr>
              <w:t>v datové sadě číselník 78</w:t>
            </w:r>
          </w:p>
        </w:tc>
      </w:tr>
      <w:tr w:rsidR="00945329" w:rsidRPr="00945329" w:rsidTr="00C43AD0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781" w:rsidRPr="00945329" w:rsidRDefault="00E14781" w:rsidP="00C43AD0">
            <w:pPr>
              <w:rPr>
                <w:lang w:eastAsia="cs-CZ"/>
              </w:rPr>
            </w:pPr>
            <w:proofErr w:type="spellStart"/>
            <w:r w:rsidRPr="00945329">
              <w:rPr>
                <w:lang w:eastAsia="cs-CZ"/>
              </w:rPr>
              <w:t>mj_kod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81" w:rsidRPr="00945329" w:rsidRDefault="00E14781" w:rsidP="00C43AD0">
            <w:pPr>
              <w:rPr>
                <w:lang w:eastAsia="cs-CZ"/>
              </w:rPr>
            </w:pPr>
            <w:r w:rsidRPr="00945329">
              <w:rPr>
                <w:lang w:eastAsia="cs-CZ"/>
              </w:rPr>
              <w:t>kód položky číselníku pro měřicí jednotky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81" w:rsidRPr="00945329" w:rsidRDefault="00E14781" w:rsidP="00C43AD0">
            <w:pPr>
              <w:spacing w:after="0"/>
              <w:rPr>
                <w:lang w:eastAsia="cs-CZ"/>
              </w:rPr>
            </w:pPr>
            <w:r w:rsidRPr="00945329">
              <w:rPr>
                <w:lang w:eastAsia="cs-CZ"/>
              </w:rPr>
              <w:t>v datové sadě  kód</w:t>
            </w:r>
          </w:p>
          <w:p w:rsidR="00E14781" w:rsidRPr="00945329" w:rsidRDefault="001F3F19" w:rsidP="00C43AD0">
            <w:pPr>
              <w:spacing w:after="0"/>
              <w:rPr>
                <w:lang w:eastAsia="cs-CZ"/>
              </w:rPr>
            </w:pPr>
            <w:r w:rsidRPr="00945329">
              <w:rPr>
                <w:lang w:eastAsia="cs-CZ"/>
              </w:rPr>
              <w:t>00</w:t>
            </w:r>
            <w:r w:rsidR="00E14781" w:rsidRPr="00945329">
              <w:rPr>
                <w:lang w:eastAsia="cs-CZ"/>
              </w:rPr>
              <w:t>206 (milion korun českých)</w:t>
            </w:r>
          </w:p>
          <w:p w:rsidR="00E14781" w:rsidRPr="00945329" w:rsidRDefault="00E14781" w:rsidP="00C43AD0">
            <w:pPr>
              <w:spacing w:after="0"/>
              <w:rPr>
                <w:lang w:eastAsia="cs-CZ"/>
              </w:rPr>
            </w:pPr>
            <w:r w:rsidRPr="00945329">
              <w:rPr>
                <w:lang w:eastAsia="cs-CZ"/>
              </w:rPr>
              <w:t>99998 (četnostní jednotka),</w:t>
            </w:r>
          </w:p>
          <w:p w:rsidR="00E14781" w:rsidRPr="00945329" w:rsidRDefault="00E14781" w:rsidP="00C43AD0">
            <w:pPr>
              <w:spacing w:after="0"/>
              <w:rPr>
                <w:lang w:eastAsia="cs-CZ"/>
              </w:rPr>
            </w:pPr>
            <w:r w:rsidRPr="00945329">
              <w:rPr>
                <w:lang w:eastAsia="cs-CZ"/>
              </w:rPr>
              <w:t>80400 (osoba)</w:t>
            </w:r>
          </w:p>
        </w:tc>
      </w:tr>
      <w:tr w:rsidR="00945329" w:rsidRPr="00945329" w:rsidTr="00C43AD0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781" w:rsidRPr="00945329" w:rsidRDefault="00E14781" w:rsidP="00C43AD0">
            <w:pPr>
              <w:rPr>
                <w:lang w:eastAsia="cs-CZ"/>
              </w:rPr>
            </w:pPr>
            <w:r w:rsidRPr="00945329">
              <w:rPr>
                <w:lang w:eastAsia="cs-CZ"/>
              </w:rPr>
              <w:t>rok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81" w:rsidRPr="00945329" w:rsidRDefault="00E14781" w:rsidP="00C43AD0">
            <w:pPr>
              <w:rPr>
                <w:lang w:eastAsia="cs-CZ"/>
              </w:rPr>
            </w:pPr>
            <w:r w:rsidRPr="00945329">
              <w:rPr>
                <w:lang w:eastAsia="cs-CZ"/>
              </w:rPr>
              <w:t>rok referenčního období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81" w:rsidRPr="00945329" w:rsidRDefault="00E14781" w:rsidP="00C43AD0">
            <w:pPr>
              <w:rPr>
                <w:lang w:eastAsia="cs-CZ"/>
              </w:rPr>
            </w:pPr>
            <w:r w:rsidRPr="00945329">
              <w:rPr>
                <w:lang w:eastAsia="cs-CZ"/>
              </w:rPr>
              <w:t>ve formátu RRRR</w:t>
            </w:r>
          </w:p>
        </w:tc>
      </w:tr>
      <w:tr w:rsidR="00945329" w:rsidRPr="00945329" w:rsidTr="00C43AD0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781" w:rsidRPr="00945329" w:rsidRDefault="00E14781" w:rsidP="00C43AD0">
            <w:pPr>
              <w:rPr>
                <w:lang w:eastAsia="cs-CZ"/>
              </w:rPr>
            </w:pPr>
            <w:proofErr w:type="spellStart"/>
            <w:r w:rsidRPr="00945329">
              <w:rPr>
                <w:lang w:eastAsia="cs-CZ"/>
              </w:rPr>
              <w:t>uzemi_cis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81" w:rsidRPr="00945329" w:rsidRDefault="00E14781" w:rsidP="00C43AD0">
            <w:pPr>
              <w:rPr>
                <w:lang w:eastAsia="cs-CZ"/>
              </w:rPr>
            </w:pPr>
            <w:r w:rsidRPr="00945329">
              <w:rPr>
                <w:lang w:eastAsia="cs-CZ"/>
              </w:rPr>
              <w:t xml:space="preserve">kód číselníku pro referenční území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81" w:rsidRPr="00945329" w:rsidRDefault="00E14781" w:rsidP="00C43AD0">
            <w:pPr>
              <w:spacing w:after="0"/>
              <w:rPr>
                <w:lang w:eastAsia="cs-CZ"/>
              </w:rPr>
            </w:pPr>
            <w:r w:rsidRPr="00945329">
              <w:rPr>
                <w:lang w:eastAsia="cs-CZ"/>
              </w:rPr>
              <w:t>97 Česká republika, 100 kraje</w:t>
            </w:r>
          </w:p>
          <w:p w:rsidR="00E14781" w:rsidRPr="00945329" w:rsidRDefault="00E14781" w:rsidP="00C43AD0">
            <w:pPr>
              <w:spacing w:after="0"/>
              <w:rPr>
                <w:lang w:eastAsia="cs-CZ"/>
              </w:rPr>
            </w:pPr>
          </w:p>
        </w:tc>
      </w:tr>
      <w:tr w:rsidR="00945329" w:rsidRPr="00945329" w:rsidTr="00C43AD0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781" w:rsidRPr="00945329" w:rsidRDefault="00E14781" w:rsidP="00C43AD0">
            <w:pPr>
              <w:rPr>
                <w:lang w:eastAsia="cs-CZ"/>
              </w:rPr>
            </w:pPr>
            <w:proofErr w:type="spellStart"/>
            <w:r w:rsidRPr="00945329">
              <w:rPr>
                <w:lang w:eastAsia="cs-CZ"/>
              </w:rPr>
              <w:t>uzemi_kod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81" w:rsidRPr="00945329" w:rsidRDefault="00E14781" w:rsidP="00C43AD0">
            <w:pPr>
              <w:rPr>
                <w:lang w:eastAsia="cs-CZ"/>
              </w:rPr>
            </w:pPr>
            <w:r w:rsidRPr="00945329">
              <w:rPr>
                <w:lang w:eastAsia="cs-CZ"/>
              </w:rPr>
              <w:t xml:space="preserve">kód položky číselníku pro referenční území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81" w:rsidRPr="00945329" w:rsidRDefault="00E14781" w:rsidP="00C43AD0">
            <w:pPr>
              <w:spacing w:after="0"/>
              <w:rPr>
                <w:lang w:eastAsia="cs-CZ"/>
              </w:rPr>
            </w:pPr>
          </w:p>
        </w:tc>
      </w:tr>
      <w:tr w:rsidR="00945329" w:rsidRPr="00945329" w:rsidTr="00C43AD0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781" w:rsidRPr="00945329" w:rsidRDefault="00E14781" w:rsidP="00C43AD0">
            <w:pPr>
              <w:rPr>
                <w:lang w:eastAsia="cs-CZ"/>
              </w:rPr>
            </w:pPr>
            <w:proofErr w:type="spellStart"/>
            <w:r w:rsidRPr="00945329">
              <w:rPr>
                <w:lang w:eastAsia="cs-CZ"/>
              </w:rPr>
              <w:t>ukazatel_text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81" w:rsidRPr="00945329" w:rsidRDefault="001F3F19" w:rsidP="00C43AD0">
            <w:pPr>
              <w:rPr>
                <w:lang w:eastAsia="cs-CZ"/>
              </w:rPr>
            </w:pPr>
            <w:r w:rsidRPr="00945329">
              <w:rPr>
                <w:lang w:eastAsia="cs-CZ"/>
              </w:rPr>
              <w:t>text ukazatele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81" w:rsidRPr="00945329" w:rsidRDefault="001F3F19" w:rsidP="001F3F19">
            <w:pPr>
              <w:spacing w:after="0"/>
              <w:rPr>
                <w:lang w:eastAsia="cs-CZ"/>
              </w:rPr>
            </w:pPr>
            <w:r w:rsidRPr="00945329">
              <w:rPr>
                <w:lang w:eastAsia="cs-CZ"/>
              </w:rPr>
              <w:t>ukazatel v této datové sadě odpovídá kombinaci statistické proměnné a věcného upřesnění (</w:t>
            </w:r>
            <w:proofErr w:type="spellStart"/>
            <w:r w:rsidRPr="00945329">
              <w:rPr>
                <w:lang w:eastAsia="cs-CZ"/>
              </w:rPr>
              <w:t>elpro_id</w:t>
            </w:r>
            <w:proofErr w:type="spellEnd"/>
            <w:r w:rsidRPr="00945329">
              <w:rPr>
                <w:lang w:eastAsia="cs-CZ"/>
              </w:rPr>
              <w:t>)</w:t>
            </w:r>
          </w:p>
        </w:tc>
      </w:tr>
      <w:tr w:rsidR="00945329" w:rsidRPr="00945329" w:rsidTr="00C43AD0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781" w:rsidRPr="00945329" w:rsidRDefault="00E14781" w:rsidP="00C43AD0">
            <w:pPr>
              <w:rPr>
                <w:lang w:eastAsia="cs-CZ"/>
              </w:rPr>
            </w:pPr>
            <w:proofErr w:type="spellStart"/>
            <w:r w:rsidRPr="00945329">
              <w:rPr>
                <w:lang w:eastAsia="cs-CZ"/>
              </w:rPr>
              <w:t>mj_txt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81" w:rsidRPr="00945329" w:rsidRDefault="001F3F19" w:rsidP="00C43AD0">
            <w:pPr>
              <w:rPr>
                <w:lang w:eastAsia="cs-CZ"/>
              </w:rPr>
            </w:pPr>
            <w:r w:rsidRPr="00945329">
              <w:rPr>
                <w:lang w:eastAsia="cs-CZ"/>
              </w:rPr>
              <w:t>text položky číselníku pro měřicí jednotky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81" w:rsidRPr="00945329" w:rsidRDefault="00E14781" w:rsidP="00C43AD0">
            <w:pPr>
              <w:rPr>
                <w:lang w:eastAsia="cs-CZ"/>
              </w:rPr>
            </w:pPr>
          </w:p>
        </w:tc>
      </w:tr>
      <w:tr w:rsidR="00E14781" w:rsidRPr="00945329" w:rsidTr="00C43AD0">
        <w:trPr>
          <w:cantSplit/>
          <w:trHeight w:val="30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781" w:rsidRPr="00945329" w:rsidRDefault="00E14781" w:rsidP="00C43AD0">
            <w:pPr>
              <w:rPr>
                <w:lang w:eastAsia="cs-CZ"/>
              </w:rPr>
            </w:pPr>
            <w:proofErr w:type="spellStart"/>
            <w:r w:rsidRPr="00945329">
              <w:rPr>
                <w:lang w:eastAsia="cs-CZ"/>
              </w:rPr>
              <w:t>uzemi_txt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81" w:rsidRPr="00945329" w:rsidRDefault="00E14781" w:rsidP="00C43AD0">
            <w:pPr>
              <w:rPr>
                <w:lang w:eastAsia="cs-CZ"/>
              </w:rPr>
            </w:pPr>
            <w:r w:rsidRPr="00945329">
              <w:rPr>
                <w:lang w:eastAsia="cs-CZ"/>
              </w:rPr>
              <w:t xml:space="preserve">text </w:t>
            </w:r>
            <w:r w:rsidR="001F3F19" w:rsidRPr="00945329">
              <w:rPr>
                <w:lang w:eastAsia="cs-CZ"/>
              </w:rPr>
              <w:t xml:space="preserve">položky číselníku </w:t>
            </w:r>
            <w:r w:rsidRPr="00945329">
              <w:rPr>
                <w:lang w:eastAsia="cs-CZ"/>
              </w:rPr>
              <w:t>pro referenční území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81" w:rsidRPr="00945329" w:rsidRDefault="00E14781" w:rsidP="00C43AD0">
            <w:pPr>
              <w:rPr>
                <w:lang w:eastAsia="cs-CZ"/>
              </w:rPr>
            </w:pPr>
          </w:p>
        </w:tc>
      </w:tr>
    </w:tbl>
    <w:p w:rsidR="00E14781" w:rsidRPr="00945329" w:rsidRDefault="00E14781" w:rsidP="00E14781"/>
    <w:p w:rsidR="00E14781" w:rsidRPr="00945329" w:rsidRDefault="00E14781" w:rsidP="00E14781">
      <w:pPr>
        <w:pStyle w:val="Nadpis2"/>
        <w:rPr>
          <w:color w:val="auto"/>
        </w:rPr>
      </w:pPr>
      <w:r w:rsidRPr="00945329">
        <w:rPr>
          <w:color w:val="auto"/>
        </w:rPr>
        <w:t>Použité číselníky a referenční údaje:</w:t>
      </w:r>
    </w:p>
    <w:p w:rsidR="00E14781" w:rsidRPr="00945329" w:rsidRDefault="00E14781" w:rsidP="00E14781"/>
    <w:p w:rsidR="00E14781" w:rsidRPr="00945329" w:rsidRDefault="00E14781" w:rsidP="00E14781">
      <w:r w:rsidRPr="00945329">
        <w:t xml:space="preserve">Pro identifikaci (definování) každého statistického údaje se využívá Statistický metainformační systém ČSÚ (SMS), a to subsystém SMS-UKAZ (statistické proměnné) a SMS-KLAS (statistické číselníky a klasifikace). </w:t>
      </w:r>
    </w:p>
    <w:p w:rsidR="00E14781" w:rsidRPr="00945329" w:rsidRDefault="00E14781" w:rsidP="00E14781">
      <w:r w:rsidRPr="00945329">
        <w:t>V datové sadě se vyskytují:</w:t>
      </w:r>
    </w:p>
    <w:p w:rsidR="001F3F19" w:rsidRPr="00945329" w:rsidRDefault="001F3F19" w:rsidP="00E14781">
      <w:pPr>
        <w:rPr>
          <w:b/>
        </w:rPr>
      </w:pPr>
      <w:r w:rsidRPr="00945329">
        <w:rPr>
          <w:b/>
        </w:rPr>
        <w:t>Ukazatele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115"/>
        <w:gridCol w:w="1984"/>
        <w:gridCol w:w="1276"/>
        <w:gridCol w:w="1134"/>
      </w:tblGrid>
      <w:tr w:rsidR="00945329" w:rsidRPr="00945329" w:rsidTr="001F3F19">
        <w:trPr>
          <w:trHeight w:val="25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proofErr w:type="spellStart"/>
            <w:proofErr w:type="gramStart"/>
            <w:r w:rsidRPr="00945329">
              <w:rPr>
                <w:rFonts w:eastAsia="Times New Roman" w:cs="Arial"/>
                <w:szCs w:val="20"/>
                <w:lang w:eastAsia="cs-CZ"/>
              </w:rPr>
              <w:t>poř.č</w:t>
            </w:r>
            <w:proofErr w:type="spellEnd"/>
            <w:r w:rsidRPr="00945329">
              <w:rPr>
                <w:rFonts w:eastAsia="Times New Roman" w:cs="Arial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4115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proofErr w:type="spellStart"/>
            <w:r w:rsidRPr="00945329">
              <w:rPr>
                <w:rFonts w:eastAsia="Times New Roman" w:cs="Arial"/>
                <w:b/>
                <w:bCs/>
                <w:szCs w:val="20"/>
                <w:lang w:eastAsia="cs-CZ"/>
              </w:rPr>
              <w:t>ukazatel_txt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proofErr w:type="spellStart"/>
            <w:r w:rsidRPr="00945329">
              <w:rPr>
                <w:rFonts w:eastAsia="Times New Roman" w:cs="Arial"/>
                <w:b/>
                <w:bCs/>
                <w:szCs w:val="20"/>
                <w:lang w:eastAsia="cs-CZ"/>
              </w:rPr>
              <w:t>mj_txt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proofErr w:type="spellStart"/>
            <w:r w:rsidRPr="00945329">
              <w:rPr>
                <w:rFonts w:eastAsia="Times New Roman" w:cs="Arial"/>
                <w:b/>
                <w:bCs/>
                <w:szCs w:val="20"/>
                <w:lang w:eastAsia="cs-CZ"/>
              </w:rPr>
              <w:t>stapro_kod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proofErr w:type="spellStart"/>
            <w:r w:rsidRPr="00945329">
              <w:rPr>
                <w:rFonts w:eastAsia="Times New Roman" w:cs="Arial"/>
                <w:b/>
                <w:bCs/>
                <w:szCs w:val="20"/>
                <w:lang w:eastAsia="cs-CZ"/>
              </w:rPr>
              <w:t>elpro_id</w:t>
            </w:r>
            <w:proofErr w:type="spellEnd"/>
          </w:p>
        </w:tc>
      </w:tr>
      <w:tr w:rsidR="00945329" w:rsidRPr="00945329" w:rsidTr="001F3F19">
        <w:trPr>
          <w:trHeight w:val="25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  <w:tc>
          <w:tcPr>
            <w:tcW w:w="4115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Pracoviště výzkumu a vědy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četnostní jednotka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7770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8</w:t>
            </w:r>
          </w:p>
        </w:tc>
      </w:tr>
      <w:tr w:rsidR="00945329" w:rsidRPr="00945329" w:rsidTr="001F3F19">
        <w:trPr>
          <w:trHeight w:val="25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2</w:t>
            </w:r>
          </w:p>
        </w:tc>
        <w:tc>
          <w:tcPr>
            <w:tcW w:w="4115" w:type="dxa"/>
            <w:shd w:val="clear" w:color="auto" w:fill="auto"/>
            <w:noWrap/>
            <w:vAlign w:val="bottom"/>
            <w:hideMark/>
          </w:tcPr>
          <w:p w:rsidR="001F3F19" w:rsidRPr="00945329" w:rsidRDefault="008E3FA4" w:rsidP="001F3F19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Pracovní</w:t>
            </w:r>
            <w:r w:rsidR="001F3F19" w:rsidRPr="00945329">
              <w:rPr>
                <w:rFonts w:eastAsia="Times New Roman" w:cs="Arial"/>
                <w:szCs w:val="20"/>
                <w:lang w:eastAsia="cs-CZ"/>
              </w:rPr>
              <w:t xml:space="preserve">ci </w:t>
            </w:r>
            <w:r w:rsidRPr="00945329">
              <w:rPr>
                <w:rFonts w:eastAsia="Times New Roman" w:cs="Arial"/>
                <w:szCs w:val="20"/>
                <w:lang w:eastAsia="cs-CZ"/>
              </w:rPr>
              <w:t xml:space="preserve">ve </w:t>
            </w:r>
            <w:r w:rsidR="001F3F19" w:rsidRPr="00945329">
              <w:rPr>
                <w:rFonts w:eastAsia="Times New Roman" w:cs="Arial"/>
                <w:szCs w:val="20"/>
                <w:lang w:eastAsia="cs-CZ"/>
              </w:rPr>
              <w:t>VaV (fyzické osoby k 31.12)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osoba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322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1345880</w:t>
            </w:r>
          </w:p>
        </w:tc>
      </w:tr>
      <w:tr w:rsidR="00945329" w:rsidRPr="00945329" w:rsidTr="001F3F19">
        <w:trPr>
          <w:trHeight w:val="25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3</w:t>
            </w:r>
          </w:p>
        </w:tc>
        <w:tc>
          <w:tcPr>
            <w:tcW w:w="4115" w:type="dxa"/>
            <w:shd w:val="clear" w:color="auto" w:fill="auto"/>
            <w:noWrap/>
            <w:vAlign w:val="bottom"/>
            <w:hideMark/>
          </w:tcPr>
          <w:p w:rsidR="001F3F19" w:rsidRPr="00945329" w:rsidRDefault="008E3FA4" w:rsidP="001F3F19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Pracovníci ve</w:t>
            </w:r>
            <w:r w:rsidR="001F3F19" w:rsidRPr="00945329">
              <w:rPr>
                <w:rFonts w:eastAsia="Times New Roman" w:cs="Arial"/>
                <w:szCs w:val="20"/>
                <w:lang w:eastAsia="cs-CZ"/>
              </w:rPr>
              <w:t xml:space="preserve"> VaV (přepočtené osoby)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osoba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322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1345934</w:t>
            </w:r>
          </w:p>
        </w:tc>
      </w:tr>
      <w:tr w:rsidR="00945329" w:rsidRPr="00945329" w:rsidTr="001F3F19">
        <w:trPr>
          <w:trHeight w:val="25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4</w:t>
            </w:r>
          </w:p>
        </w:tc>
        <w:tc>
          <w:tcPr>
            <w:tcW w:w="4115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Výzkumní pracovníci (fyzické osoby k 31.12.)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osoba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322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1336103</w:t>
            </w:r>
          </w:p>
        </w:tc>
      </w:tr>
      <w:tr w:rsidR="00945329" w:rsidRPr="00945329" w:rsidTr="001F3F19">
        <w:trPr>
          <w:trHeight w:val="25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5</w:t>
            </w:r>
          </w:p>
        </w:tc>
        <w:tc>
          <w:tcPr>
            <w:tcW w:w="4115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Výzkumní pracovníci (přepočtené osoby)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osoba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322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1345933</w:t>
            </w:r>
          </w:p>
        </w:tc>
      </w:tr>
      <w:tr w:rsidR="00945329" w:rsidRPr="00945329" w:rsidTr="001F3F19">
        <w:trPr>
          <w:trHeight w:val="25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6</w:t>
            </w:r>
          </w:p>
        </w:tc>
        <w:tc>
          <w:tcPr>
            <w:tcW w:w="4115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Výdaje na výzkum a vědu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milion korun českých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2927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8</w:t>
            </w:r>
          </w:p>
        </w:tc>
      </w:tr>
      <w:tr w:rsidR="00945329" w:rsidRPr="00945329" w:rsidTr="001F3F19">
        <w:trPr>
          <w:trHeight w:val="25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7</w:t>
            </w:r>
          </w:p>
        </w:tc>
        <w:tc>
          <w:tcPr>
            <w:tcW w:w="4115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Běžné výdaje na výzkum a vědu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milion korun českých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2927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10022630</w:t>
            </w:r>
          </w:p>
        </w:tc>
      </w:tr>
      <w:tr w:rsidR="00945329" w:rsidRPr="00945329" w:rsidTr="001F3F19">
        <w:trPr>
          <w:trHeight w:val="25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8</w:t>
            </w:r>
          </w:p>
        </w:tc>
        <w:tc>
          <w:tcPr>
            <w:tcW w:w="4115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Investiční výdaje na výzkum a vědu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milion korun českých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1509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10022592</w:t>
            </w:r>
          </w:p>
        </w:tc>
      </w:tr>
      <w:tr w:rsidR="00945329" w:rsidRPr="00945329" w:rsidTr="001F3F19">
        <w:trPr>
          <w:trHeight w:val="25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9</w:t>
            </w:r>
          </w:p>
        </w:tc>
        <w:tc>
          <w:tcPr>
            <w:tcW w:w="4115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8E3FA4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Výdaje na VaV financované z podnik</w:t>
            </w:r>
            <w:r w:rsidR="008E3FA4" w:rsidRPr="00945329">
              <w:rPr>
                <w:rFonts w:eastAsia="Times New Roman" w:cs="Arial"/>
                <w:szCs w:val="20"/>
                <w:lang w:eastAsia="cs-CZ"/>
              </w:rPr>
              <w:t>ov</w:t>
            </w:r>
            <w:r w:rsidRPr="00945329">
              <w:rPr>
                <w:rFonts w:eastAsia="Times New Roman" w:cs="Arial"/>
                <w:szCs w:val="20"/>
                <w:lang w:eastAsia="cs-CZ"/>
              </w:rPr>
              <w:t>ých zdrojů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milion korun českých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2927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10022558</w:t>
            </w:r>
          </w:p>
        </w:tc>
      </w:tr>
      <w:tr w:rsidR="00945329" w:rsidRPr="00945329" w:rsidTr="001F3F19">
        <w:trPr>
          <w:trHeight w:val="25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10</w:t>
            </w:r>
          </w:p>
        </w:tc>
        <w:tc>
          <w:tcPr>
            <w:tcW w:w="4115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8E3FA4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 xml:space="preserve">Výdaje na VaV financované z veřejných </w:t>
            </w:r>
            <w:r w:rsidR="008E3FA4" w:rsidRPr="00945329">
              <w:rPr>
                <w:rFonts w:eastAsia="Times New Roman" w:cs="Arial"/>
                <w:szCs w:val="20"/>
                <w:lang w:eastAsia="cs-CZ"/>
              </w:rPr>
              <w:t>domácích zdrojů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milion korun českých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2927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1722843</w:t>
            </w:r>
          </w:p>
        </w:tc>
      </w:tr>
      <w:tr w:rsidR="001F3F19" w:rsidRPr="00945329" w:rsidTr="001F3F19">
        <w:trPr>
          <w:trHeight w:val="25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11</w:t>
            </w:r>
          </w:p>
        </w:tc>
        <w:tc>
          <w:tcPr>
            <w:tcW w:w="4115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8E3FA4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 xml:space="preserve">Výdaje na VaV financované z veřejných </w:t>
            </w:r>
            <w:r w:rsidR="008E3FA4" w:rsidRPr="00945329">
              <w:rPr>
                <w:rFonts w:eastAsia="Times New Roman" w:cs="Arial"/>
                <w:szCs w:val="20"/>
                <w:lang w:eastAsia="cs-CZ"/>
              </w:rPr>
              <w:t>zahraničních zdrojů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milion korun českých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2927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3F19" w:rsidRPr="00945329" w:rsidRDefault="001F3F19" w:rsidP="001F3F19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10013204</w:t>
            </w:r>
          </w:p>
        </w:tc>
      </w:tr>
    </w:tbl>
    <w:p w:rsidR="001F3F19" w:rsidRPr="00945329" w:rsidRDefault="001F3F19" w:rsidP="00E14781">
      <w:pPr>
        <w:rPr>
          <w:b/>
        </w:rPr>
      </w:pPr>
    </w:p>
    <w:p w:rsidR="001F3F19" w:rsidRPr="00945329" w:rsidRDefault="001F3F19" w:rsidP="00E14781">
      <w:pPr>
        <w:rPr>
          <w:b/>
        </w:rPr>
      </w:pPr>
    </w:p>
    <w:p w:rsidR="00E14781" w:rsidRPr="00945329" w:rsidRDefault="00E14781" w:rsidP="00E14781">
      <w:r w:rsidRPr="00945329">
        <w:rPr>
          <w:b/>
        </w:rPr>
        <w:t>Seznam statistických proměnných</w:t>
      </w:r>
      <w:r w:rsidRPr="00945329">
        <w:t xml:space="preserve"> - </w:t>
      </w:r>
      <w:hyperlink r:id="rId7" w:history="1">
        <w:r w:rsidRPr="00945329">
          <w:rPr>
            <w:rStyle w:val="Hypertextovodkaz"/>
            <w:color w:val="auto"/>
          </w:rPr>
          <w:t>https://www.czso.cz/csu/czso/statisticke-promenne-ukazatele</w:t>
        </w:r>
      </w:hyperlink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8146"/>
      </w:tblGrid>
      <w:tr w:rsidR="00945329" w:rsidRPr="00945329" w:rsidTr="00D15B1A">
        <w:trPr>
          <w:trHeight w:val="24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14781" w:rsidRPr="00945329" w:rsidRDefault="00E14781" w:rsidP="00C43AD0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945329">
              <w:rPr>
                <w:rFonts w:eastAsia="Times New Roman" w:cs="Arial"/>
                <w:b/>
                <w:bCs/>
                <w:szCs w:val="20"/>
                <w:lang w:eastAsia="cs-CZ"/>
              </w:rPr>
              <w:t>Kód</w:t>
            </w:r>
          </w:p>
        </w:tc>
        <w:tc>
          <w:tcPr>
            <w:tcW w:w="8146" w:type="dxa"/>
            <w:shd w:val="clear" w:color="auto" w:fill="auto"/>
            <w:noWrap/>
            <w:vAlign w:val="bottom"/>
            <w:hideMark/>
          </w:tcPr>
          <w:p w:rsidR="00E14781" w:rsidRPr="00945329" w:rsidRDefault="00E14781" w:rsidP="00C43AD0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945329">
              <w:rPr>
                <w:rFonts w:eastAsia="Times New Roman" w:cs="Arial"/>
                <w:b/>
                <w:bCs/>
                <w:szCs w:val="20"/>
                <w:lang w:eastAsia="cs-CZ"/>
              </w:rPr>
              <w:t>TEXT</w:t>
            </w:r>
          </w:p>
        </w:tc>
      </w:tr>
      <w:tr w:rsidR="00945329" w:rsidRPr="00945329" w:rsidTr="00D15B1A">
        <w:trPr>
          <w:trHeight w:val="240"/>
        </w:trPr>
        <w:tc>
          <w:tcPr>
            <w:tcW w:w="780" w:type="dxa"/>
            <w:shd w:val="clear" w:color="auto" w:fill="auto"/>
            <w:noWrap/>
          </w:tcPr>
          <w:p w:rsidR="00E14781" w:rsidRPr="00945329" w:rsidRDefault="00E14781" w:rsidP="00C43AD0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322</w:t>
            </w:r>
          </w:p>
        </w:tc>
        <w:tc>
          <w:tcPr>
            <w:tcW w:w="8146" w:type="dxa"/>
            <w:shd w:val="clear" w:color="auto" w:fill="auto"/>
            <w:noWrap/>
          </w:tcPr>
          <w:p w:rsidR="00E14781" w:rsidRPr="00945329" w:rsidRDefault="00E14781" w:rsidP="00D15B1A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Zaměstnané osoby</w:t>
            </w:r>
          </w:p>
        </w:tc>
      </w:tr>
      <w:tr w:rsidR="00945329" w:rsidRPr="00945329" w:rsidTr="00D15B1A">
        <w:trPr>
          <w:trHeight w:val="240"/>
        </w:trPr>
        <w:tc>
          <w:tcPr>
            <w:tcW w:w="780" w:type="dxa"/>
            <w:shd w:val="clear" w:color="auto" w:fill="auto"/>
            <w:noWrap/>
          </w:tcPr>
          <w:p w:rsidR="00E14781" w:rsidRPr="00945329" w:rsidRDefault="00E14781" w:rsidP="00C43AD0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1509</w:t>
            </w:r>
          </w:p>
        </w:tc>
        <w:tc>
          <w:tcPr>
            <w:tcW w:w="8146" w:type="dxa"/>
            <w:shd w:val="clear" w:color="auto" w:fill="auto"/>
            <w:noWrap/>
          </w:tcPr>
          <w:p w:rsidR="00E14781" w:rsidRPr="00945329" w:rsidRDefault="00E14781" w:rsidP="00C43AD0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cs="Arial"/>
                <w:szCs w:val="20"/>
              </w:rPr>
              <w:t>Pořízení dlouhodobého nehmotného a hmotného majetku</w:t>
            </w:r>
          </w:p>
        </w:tc>
      </w:tr>
      <w:tr w:rsidR="00945329" w:rsidRPr="00945329" w:rsidTr="00D15B1A">
        <w:trPr>
          <w:trHeight w:val="240"/>
        </w:trPr>
        <w:tc>
          <w:tcPr>
            <w:tcW w:w="780" w:type="dxa"/>
            <w:shd w:val="clear" w:color="auto" w:fill="auto"/>
            <w:noWrap/>
          </w:tcPr>
          <w:p w:rsidR="00E14781" w:rsidRPr="00945329" w:rsidRDefault="00E14781" w:rsidP="00C43AD0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2927</w:t>
            </w:r>
          </w:p>
        </w:tc>
        <w:tc>
          <w:tcPr>
            <w:tcW w:w="8146" w:type="dxa"/>
            <w:shd w:val="clear" w:color="auto" w:fill="auto"/>
            <w:noWrap/>
          </w:tcPr>
          <w:p w:rsidR="00E14781" w:rsidRPr="00945329" w:rsidRDefault="00E14781" w:rsidP="00C43AD0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cs="Arial"/>
                <w:szCs w:val="20"/>
              </w:rPr>
              <w:t>Výdaje na výzkum a vývoj bez nákupů služeb výzkumu a vývoje od jiných subjektů</w:t>
            </w:r>
          </w:p>
        </w:tc>
      </w:tr>
      <w:tr w:rsidR="00E14781" w:rsidRPr="00945329" w:rsidTr="00D15B1A">
        <w:trPr>
          <w:trHeight w:val="240"/>
        </w:trPr>
        <w:tc>
          <w:tcPr>
            <w:tcW w:w="780" w:type="dxa"/>
            <w:shd w:val="clear" w:color="auto" w:fill="auto"/>
            <w:noWrap/>
          </w:tcPr>
          <w:p w:rsidR="00E14781" w:rsidRPr="00945329" w:rsidRDefault="00E14781" w:rsidP="00C43AD0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7770</w:t>
            </w:r>
          </w:p>
        </w:tc>
        <w:tc>
          <w:tcPr>
            <w:tcW w:w="8146" w:type="dxa"/>
            <w:shd w:val="clear" w:color="auto" w:fill="auto"/>
            <w:noWrap/>
          </w:tcPr>
          <w:p w:rsidR="00E14781" w:rsidRPr="00945329" w:rsidRDefault="00D15B1A" w:rsidP="00C43AD0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Počet pracovišť výzkumu a vývoje</w:t>
            </w:r>
          </w:p>
        </w:tc>
      </w:tr>
    </w:tbl>
    <w:p w:rsidR="00E14781" w:rsidRPr="00945329" w:rsidRDefault="00E14781" w:rsidP="00E14781">
      <w:pPr>
        <w:rPr>
          <w:b/>
        </w:rPr>
      </w:pPr>
    </w:p>
    <w:p w:rsidR="001F3F19" w:rsidRPr="00945329" w:rsidRDefault="001F3F19" w:rsidP="00E14781">
      <w:pPr>
        <w:rPr>
          <w:b/>
        </w:rPr>
      </w:pPr>
    </w:p>
    <w:p w:rsidR="00E14781" w:rsidRPr="00945329" w:rsidRDefault="00E14781" w:rsidP="00E14781">
      <w:r w:rsidRPr="00945329">
        <w:rPr>
          <w:b/>
        </w:rPr>
        <w:t xml:space="preserve">Číselník pro měřicí jednotky - </w:t>
      </w:r>
      <w:r w:rsidRPr="00945329">
        <w:t>kódy číselníků ČSÚ 78</w:t>
      </w:r>
    </w:p>
    <w:p w:rsidR="00DA448A" w:rsidRDefault="00DA448A" w:rsidP="00DA448A">
      <w:r>
        <w:t xml:space="preserve">CSV: </w:t>
      </w:r>
      <w:hyperlink r:id="rId8" w:history="1">
        <w:r w:rsidRPr="000F4240">
          <w:rPr>
            <w:rStyle w:val="Hypertextovodkaz"/>
          </w:rPr>
          <w:t>https://apl.czso.cz/iSMS/do_cis_export?kodcis=78&amp;typdat=0&amp;cisjaz=203&amp;format=2</w:t>
        </w:r>
      </w:hyperlink>
      <w:r>
        <w:t xml:space="preserve"> </w:t>
      </w:r>
    </w:p>
    <w:p w:rsidR="00DA448A" w:rsidRPr="00070FB5" w:rsidRDefault="00DA448A" w:rsidP="00DA448A">
      <w:r>
        <w:t xml:space="preserve">XML: </w:t>
      </w:r>
      <w:hyperlink r:id="rId9" w:history="1">
        <w:r w:rsidR="00693DE0" w:rsidRPr="000F4240">
          <w:rPr>
            <w:rStyle w:val="Hypertextovodkaz"/>
          </w:rPr>
          <w:t>https://apl.czso.cz/iSMS/do_cis_export?kodcis=78&amp;typdat=0&amp;cisjaz=203&amp;format=0</w:t>
        </w:r>
      </w:hyperlink>
      <w:r>
        <w:t xml:space="preserve"> </w:t>
      </w:r>
    </w:p>
    <w:p w:rsidR="00DA448A" w:rsidRPr="00945329" w:rsidRDefault="00DA448A" w:rsidP="00E14781"/>
    <w:p w:rsidR="00E14781" w:rsidRPr="00945329" w:rsidRDefault="00E14781" w:rsidP="00E14781">
      <w:pPr>
        <w:rPr>
          <w:b/>
        </w:rPr>
      </w:pPr>
    </w:p>
    <w:tbl>
      <w:tblPr>
        <w:tblW w:w="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280"/>
      </w:tblGrid>
      <w:tr w:rsidR="00945329" w:rsidRPr="00945329" w:rsidTr="00C43AD0">
        <w:trPr>
          <w:trHeight w:val="24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14781" w:rsidRPr="00945329" w:rsidRDefault="00E14781" w:rsidP="00C43AD0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945329">
              <w:rPr>
                <w:rFonts w:eastAsia="Times New Roman" w:cs="Arial"/>
                <w:b/>
                <w:bCs/>
                <w:szCs w:val="20"/>
                <w:lang w:eastAsia="cs-CZ"/>
              </w:rPr>
              <w:t>Kód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E14781" w:rsidRPr="00945329" w:rsidRDefault="00E14781" w:rsidP="00C43AD0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945329">
              <w:rPr>
                <w:rFonts w:eastAsia="Times New Roman" w:cs="Arial"/>
                <w:b/>
                <w:bCs/>
                <w:szCs w:val="20"/>
                <w:lang w:eastAsia="cs-CZ"/>
              </w:rPr>
              <w:t>TEXT</w:t>
            </w:r>
          </w:p>
        </w:tc>
      </w:tr>
      <w:tr w:rsidR="00945329" w:rsidRPr="00945329" w:rsidTr="00C43AD0">
        <w:trPr>
          <w:trHeight w:val="240"/>
        </w:trPr>
        <w:tc>
          <w:tcPr>
            <w:tcW w:w="780" w:type="dxa"/>
            <w:shd w:val="clear" w:color="auto" w:fill="auto"/>
            <w:noWrap/>
            <w:vAlign w:val="bottom"/>
          </w:tcPr>
          <w:p w:rsidR="00E14781" w:rsidRPr="00945329" w:rsidRDefault="00E14781" w:rsidP="00C43AD0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206</w:t>
            </w:r>
          </w:p>
        </w:tc>
        <w:tc>
          <w:tcPr>
            <w:tcW w:w="4280" w:type="dxa"/>
            <w:shd w:val="clear" w:color="auto" w:fill="auto"/>
            <w:noWrap/>
            <w:vAlign w:val="center"/>
          </w:tcPr>
          <w:p w:rsidR="00E14781" w:rsidRPr="00945329" w:rsidRDefault="00E14781" w:rsidP="00C43AD0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Milion korun českých</w:t>
            </w:r>
          </w:p>
        </w:tc>
      </w:tr>
      <w:tr w:rsidR="00945329" w:rsidRPr="00945329" w:rsidTr="00C43AD0">
        <w:trPr>
          <w:trHeight w:val="240"/>
        </w:trPr>
        <w:tc>
          <w:tcPr>
            <w:tcW w:w="780" w:type="dxa"/>
            <w:shd w:val="clear" w:color="auto" w:fill="auto"/>
            <w:noWrap/>
            <w:vAlign w:val="bottom"/>
          </w:tcPr>
          <w:p w:rsidR="00E14781" w:rsidRPr="00945329" w:rsidRDefault="00E14781" w:rsidP="00C43AD0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80400</w:t>
            </w:r>
          </w:p>
        </w:tc>
        <w:tc>
          <w:tcPr>
            <w:tcW w:w="4280" w:type="dxa"/>
            <w:shd w:val="clear" w:color="auto" w:fill="auto"/>
            <w:noWrap/>
            <w:vAlign w:val="center"/>
          </w:tcPr>
          <w:p w:rsidR="00E14781" w:rsidRPr="00945329" w:rsidRDefault="00E14781" w:rsidP="00C43AD0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Osoba</w:t>
            </w:r>
          </w:p>
        </w:tc>
      </w:tr>
      <w:tr w:rsidR="00E14781" w:rsidRPr="00945329" w:rsidTr="00C43AD0">
        <w:trPr>
          <w:trHeight w:val="240"/>
        </w:trPr>
        <w:tc>
          <w:tcPr>
            <w:tcW w:w="780" w:type="dxa"/>
            <w:shd w:val="clear" w:color="auto" w:fill="auto"/>
            <w:noWrap/>
            <w:vAlign w:val="bottom"/>
          </w:tcPr>
          <w:p w:rsidR="00E14781" w:rsidRPr="00945329" w:rsidRDefault="00E14781" w:rsidP="00C43AD0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99998</w:t>
            </w:r>
          </w:p>
        </w:tc>
        <w:tc>
          <w:tcPr>
            <w:tcW w:w="4280" w:type="dxa"/>
            <w:shd w:val="clear" w:color="auto" w:fill="auto"/>
            <w:noWrap/>
            <w:vAlign w:val="center"/>
          </w:tcPr>
          <w:p w:rsidR="00E14781" w:rsidRPr="00945329" w:rsidRDefault="00E14781" w:rsidP="00C43AD0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Četnostní jednotka</w:t>
            </w:r>
          </w:p>
        </w:tc>
      </w:tr>
    </w:tbl>
    <w:p w:rsidR="00E14781" w:rsidRPr="00945329" w:rsidRDefault="00E14781" w:rsidP="00E14781">
      <w:pPr>
        <w:rPr>
          <w:b/>
        </w:rPr>
      </w:pPr>
    </w:p>
    <w:p w:rsidR="00E14781" w:rsidRPr="00945329" w:rsidRDefault="00E14781" w:rsidP="00E14781">
      <w:r w:rsidRPr="00945329">
        <w:br/>
      </w:r>
      <w:r w:rsidRPr="00945329">
        <w:rPr>
          <w:b/>
        </w:rPr>
        <w:t xml:space="preserve">Číselníky území – </w:t>
      </w:r>
      <w:r w:rsidRPr="00945329">
        <w:t xml:space="preserve">kódy číselníku ČSÚ 97 </w:t>
      </w:r>
      <w:r w:rsidR="00DA448A">
        <w:t xml:space="preserve">(Česká republika) </w:t>
      </w:r>
      <w:r w:rsidRPr="00945329">
        <w:t>a 100</w:t>
      </w:r>
      <w:r w:rsidR="00DA448A">
        <w:t xml:space="preserve"> (kraje ČR)</w:t>
      </w:r>
    </w:p>
    <w:p w:rsidR="00DA448A" w:rsidRDefault="00DA448A" w:rsidP="00DA448A">
      <w:r>
        <w:t xml:space="preserve">CSV: </w:t>
      </w:r>
      <w:hyperlink r:id="rId10" w:history="1">
        <w:r w:rsidRPr="000F4240">
          <w:rPr>
            <w:rStyle w:val="Hypertextovodkaz"/>
          </w:rPr>
          <w:t>https://apl.czso.cz/iSMS/do_cis_export?kodcis=97&amp;typdat=0&amp;cisjaz=203&amp;format=2</w:t>
        </w:r>
      </w:hyperlink>
      <w:r>
        <w:t xml:space="preserve"> </w:t>
      </w:r>
    </w:p>
    <w:p w:rsidR="00DA448A" w:rsidRPr="00070FB5" w:rsidRDefault="00DA448A" w:rsidP="00DA448A">
      <w:r>
        <w:t xml:space="preserve">XML: </w:t>
      </w:r>
      <w:hyperlink r:id="rId11" w:history="1">
        <w:r w:rsidRPr="000F4240">
          <w:rPr>
            <w:rStyle w:val="Hypertextovodkaz"/>
          </w:rPr>
          <w:t>https://apl.czso.cz/iSMS/do_cis_export?kodcis=97&amp;typdat=0&amp;cisjaz=203&amp;format=0</w:t>
        </w:r>
      </w:hyperlink>
      <w:r>
        <w:t xml:space="preserve"> </w:t>
      </w:r>
    </w:p>
    <w:p w:rsidR="00DA448A" w:rsidRDefault="00DA448A" w:rsidP="00DA448A">
      <w:r>
        <w:t xml:space="preserve">CSV: </w:t>
      </w:r>
      <w:hyperlink r:id="rId12" w:history="1">
        <w:r w:rsidRPr="000E62C1">
          <w:rPr>
            <w:rStyle w:val="Hypertextovodkaz"/>
          </w:rPr>
          <w:t>https://apl.czso.cz/iSMS/do_cis_export?kodcis=100&amp;typdat=0&amp;cisjaz=203&amp;format=2</w:t>
        </w:r>
      </w:hyperlink>
      <w:r>
        <w:t xml:space="preserve"> </w:t>
      </w:r>
    </w:p>
    <w:p w:rsidR="00DA448A" w:rsidRPr="00070FB5" w:rsidRDefault="00DA448A" w:rsidP="00DA448A">
      <w:r>
        <w:t xml:space="preserve">XML: </w:t>
      </w:r>
      <w:hyperlink r:id="rId13" w:history="1">
        <w:r w:rsidRPr="000E62C1">
          <w:rPr>
            <w:rStyle w:val="Hypertextovodkaz"/>
          </w:rPr>
          <w:t>https://apl.czso.cz/iSMS/do_cis_export?kodcis=100&amp;typdat=0&amp;cisjaz=203&amp;format=0</w:t>
        </w:r>
      </w:hyperlink>
      <w:r>
        <w:t xml:space="preserve"> </w:t>
      </w:r>
    </w:p>
    <w:p w:rsidR="00DA448A" w:rsidRPr="00945329" w:rsidRDefault="00DA448A" w:rsidP="00E14781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1489"/>
        <w:gridCol w:w="6671"/>
      </w:tblGrid>
      <w:tr w:rsidR="00945329" w:rsidRPr="00945329" w:rsidTr="00D15B1A">
        <w:trPr>
          <w:trHeight w:val="2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81" w:rsidRPr="00945329" w:rsidRDefault="00E14781" w:rsidP="00C43AD0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945329">
              <w:rPr>
                <w:rFonts w:eastAsia="Times New Roman" w:cs="Arial"/>
                <w:b/>
                <w:bCs/>
                <w:szCs w:val="20"/>
                <w:lang w:eastAsia="cs-CZ"/>
              </w:rPr>
              <w:t>Číselník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81" w:rsidRPr="00945329" w:rsidRDefault="00E14781" w:rsidP="00D15B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945329">
              <w:rPr>
                <w:rFonts w:eastAsia="Times New Roman" w:cs="Arial"/>
                <w:b/>
                <w:bCs/>
                <w:szCs w:val="20"/>
                <w:lang w:eastAsia="cs-CZ"/>
              </w:rPr>
              <w:t xml:space="preserve">Kód 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81" w:rsidRPr="00945329" w:rsidRDefault="00E14781" w:rsidP="00D15B1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945329">
              <w:rPr>
                <w:rFonts w:eastAsia="Times New Roman" w:cs="Arial"/>
                <w:b/>
                <w:bCs/>
                <w:szCs w:val="20"/>
                <w:lang w:eastAsia="cs-CZ"/>
              </w:rPr>
              <w:t xml:space="preserve">Text </w:t>
            </w:r>
          </w:p>
        </w:tc>
      </w:tr>
      <w:tr w:rsidR="00945329" w:rsidRPr="00945329" w:rsidTr="00D15B1A">
        <w:trPr>
          <w:trHeight w:val="24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781" w:rsidRPr="00945329" w:rsidRDefault="00E14781" w:rsidP="00C43AD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 xml:space="preserve">   97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781" w:rsidRPr="00945329" w:rsidRDefault="00E14781" w:rsidP="00C43AD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 xml:space="preserve">     19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781" w:rsidRPr="00945329" w:rsidRDefault="00E14781" w:rsidP="00C43AD0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Česká republika</w:t>
            </w:r>
          </w:p>
        </w:tc>
      </w:tr>
      <w:tr w:rsidR="00945329" w:rsidRPr="00945329" w:rsidTr="00D15B1A">
        <w:trPr>
          <w:trHeight w:val="24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781" w:rsidRPr="00945329" w:rsidRDefault="00E14781" w:rsidP="00C43AD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781" w:rsidRPr="00945329" w:rsidRDefault="00E14781" w:rsidP="00C43AD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3018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781" w:rsidRPr="00945329" w:rsidRDefault="00E14781" w:rsidP="00C43AD0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Hlavní město Praha</w:t>
            </w:r>
          </w:p>
        </w:tc>
      </w:tr>
      <w:tr w:rsidR="00945329" w:rsidRPr="00945329" w:rsidTr="00D15B1A">
        <w:trPr>
          <w:trHeight w:val="24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781" w:rsidRPr="00945329" w:rsidRDefault="00E14781" w:rsidP="00C43AD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781" w:rsidRPr="00945329" w:rsidRDefault="00E14781" w:rsidP="00C43AD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3026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781" w:rsidRPr="00945329" w:rsidRDefault="00E14781" w:rsidP="00C43AD0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Středočeský kraj</w:t>
            </w:r>
          </w:p>
        </w:tc>
      </w:tr>
      <w:tr w:rsidR="00945329" w:rsidRPr="00945329" w:rsidTr="00D15B1A">
        <w:trPr>
          <w:trHeight w:val="24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781" w:rsidRPr="00945329" w:rsidRDefault="00E14781" w:rsidP="00C43AD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781" w:rsidRPr="00945329" w:rsidRDefault="00E14781" w:rsidP="00C43AD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3034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781" w:rsidRPr="00945329" w:rsidRDefault="00E14781" w:rsidP="00C43AD0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Jihočeský kraj</w:t>
            </w:r>
          </w:p>
        </w:tc>
      </w:tr>
      <w:tr w:rsidR="00945329" w:rsidRPr="00945329" w:rsidTr="00D15B1A">
        <w:trPr>
          <w:trHeight w:val="24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781" w:rsidRPr="00945329" w:rsidRDefault="00E14781" w:rsidP="00C43AD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781" w:rsidRPr="00945329" w:rsidRDefault="00E14781" w:rsidP="00C43AD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3042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781" w:rsidRPr="00945329" w:rsidRDefault="00E14781" w:rsidP="00C43AD0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Plzeňský kraj</w:t>
            </w:r>
          </w:p>
        </w:tc>
      </w:tr>
      <w:tr w:rsidR="00945329" w:rsidRPr="00945329" w:rsidTr="00D15B1A">
        <w:trPr>
          <w:trHeight w:val="24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781" w:rsidRPr="00945329" w:rsidRDefault="00E14781" w:rsidP="00C43AD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781" w:rsidRPr="00945329" w:rsidRDefault="00E14781" w:rsidP="00C43AD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3051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781" w:rsidRPr="00945329" w:rsidRDefault="00E14781" w:rsidP="00C43AD0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Karlovarský kraj</w:t>
            </w:r>
          </w:p>
        </w:tc>
      </w:tr>
      <w:tr w:rsidR="00945329" w:rsidRPr="00945329" w:rsidTr="00D15B1A">
        <w:trPr>
          <w:trHeight w:val="2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781" w:rsidRPr="00945329" w:rsidRDefault="00E14781" w:rsidP="00C43AD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781" w:rsidRPr="00945329" w:rsidRDefault="00E14781" w:rsidP="00C43AD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3069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781" w:rsidRPr="00945329" w:rsidRDefault="00E14781" w:rsidP="00C43AD0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Ústecký kraj</w:t>
            </w:r>
          </w:p>
        </w:tc>
      </w:tr>
      <w:tr w:rsidR="00945329" w:rsidRPr="00945329" w:rsidTr="00D15B1A">
        <w:trPr>
          <w:trHeight w:val="2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781" w:rsidRPr="00945329" w:rsidRDefault="00E14781" w:rsidP="00C43AD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781" w:rsidRPr="00945329" w:rsidRDefault="00E14781" w:rsidP="00C43AD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3077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781" w:rsidRPr="00945329" w:rsidRDefault="00E14781" w:rsidP="00C43AD0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Liberecký kraj</w:t>
            </w:r>
          </w:p>
        </w:tc>
      </w:tr>
      <w:tr w:rsidR="00945329" w:rsidRPr="00945329" w:rsidTr="00D15B1A">
        <w:trPr>
          <w:trHeight w:val="24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781" w:rsidRPr="00945329" w:rsidRDefault="00E14781" w:rsidP="00C43AD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781" w:rsidRPr="00945329" w:rsidRDefault="00E14781" w:rsidP="00C43AD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3085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781" w:rsidRPr="00945329" w:rsidRDefault="00E14781" w:rsidP="00C43AD0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Královéhradecký kraj</w:t>
            </w:r>
          </w:p>
        </w:tc>
      </w:tr>
      <w:tr w:rsidR="00945329" w:rsidRPr="00945329" w:rsidTr="00D15B1A">
        <w:trPr>
          <w:trHeight w:val="24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781" w:rsidRPr="00945329" w:rsidRDefault="00E14781" w:rsidP="00C43AD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781" w:rsidRPr="00945329" w:rsidRDefault="00E14781" w:rsidP="00C43AD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3093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781" w:rsidRPr="00945329" w:rsidRDefault="00E14781" w:rsidP="00C43AD0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Pardubický kraj</w:t>
            </w:r>
          </w:p>
        </w:tc>
      </w:tr>
      <w:tr w:rsidR="00945329" w:rsidRPr="00945329" w:rsidTr="00D15B1A">
        <w:trPr>
          <w:trHeight w:val="2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781" w:rsidRPr="00945329" w:rsidRDefault="00E14781" w:rsidP="00C43AD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781" w:rsidRPr="00945329" w:rsidRDefault="00E14781" w:rsidP="00C43AD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3107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781" w:rsidRPr="00945329" w:rsidRDefault="00E14781" w:rsidP="00C43AD0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Kraj Vysočina</w:t>
            </w:r>
          </w:p>
        </w:tc>
      </w:tr>
      <w:tr w:rsidR="00945329" w:rsidRPr="00945329" w:rsidTr="00D15B1A">
        <w:trPr>
          <w:trHeight w:val="2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781" w:rsidRPr="00945329" w:rsidRDefault="00E14781" w:rsidP="00C43AD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781" w:rsidRPr="00945329" w:rsidRDefault="00E14781" w:rsidP="00C43AD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3115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781" w:rsidRPr="00945329" w:rsidRDefault="00E14781" w:rsidP="00C43AD0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Jihomoravský kraj</w:t>
            </w:r>
          </w:p>
        </w:tc>
      </w:tr>
      <w:tr w:rsidR="00945329" w:rsidRPr="00945329" w:rsidTr="00D15B1A">
        <w:trPr>
          <w:trHeight w:val="2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781" w:rsidRPr="00945329" w:rsidRDefault="00E14781" w:rsidP="00C43AD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781" w:rsidRPr="00945329" w:rsidRDefault="00E14781" w:rsidP="00C43AD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3123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781" w:rsidRPr="00945329" w:rsidRDefault="00E14781" w:rsidP="00C43AD0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Olomoucký kraj</w:t>
            </w:r>
          </w:p>
        </w:tc>
      </w:tr>
      <w:tr w:rsidR="00945329" w:rsidRPr="00945329" w:rsidTr="00D15B1A">
        <w:trPr>
          <w:trHeight w:val="24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781" w:rsidRPr="00945329" w:rsidRDefault="00E14781" w:rsidP="00C43AD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781" w:rsidRPr="00945329" w:rsidRDefault="00E14781" w:rsidP="00C43AD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3131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781" w:rsidRPr="00945329" w:rsidRDefault="00E14781" w:rsidP="00C43AD0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Zlínský kraj</w:t>
            </w:r>
          </w:p>
        </w:tc>
      </w:tr>
      <w:tr w:rsidR="00E14781" w:rsidRPr="00945329" w:rsidTr="00D15B1A">
        <w:trPr>
          <w:trHeight w:val="24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781" w:rsidRPr="00945329" w:rsidRDefault="00E14781" w:rsidP="00C43AD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781" w:rsidRPr="00945329" w:rsidRDefault="00D15B1A" w:rsidP="00D15B1A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 xml:space="preserve">        </w:t>
            </w:r>
            <w:r w:rsidR="00E14781" w:rsidRPr="00945329">
              <w:rPr>
                <w:rFonts w:eastAsia="Times New Roman" w:cs="Arial"/>
                <w:szCs w:val="20"/>
                <w:lang w:eastAsia="cs-CZ"/>
              </w:rPr>
              <w:t>3140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781" w:rsidRPr="00945329" w:rsidRDefault="00E14781" w:rsidP="00C43AD0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45329">
              <w:rPr>
                <w:rFonts w:eastAsia="Times New Roman" w:cs="Arial"/>
                <w:szCs w:val="20"/>
                <w:lang w:eastAsia="cs-CZ"/>
              </w:rPr>
              <w:t>Moravskoslezský kraj</w:t>
            </w:r>
          </w:p>
        </w:tc>
      </w:tr>
    </w:tbl>
    <w:p w:rsidR="00E14781" w:rsidRPr="00945329" w:rsidRDefault="00E14781" w:rsidP="00E14781"/>
    <w:p w:rsidR="00E14781" w:rsidRPr="00945329" w:rsidRDefault="00E14781" w:rsidP="00E14781">
      <w:pPr>
        <w:rPr>
          <w:rFonts w:eastAsia="Times New Roman" w:cs="Arial"/>
          <w:szCs w:val="20"/>
          <w:lang w:eastAsia="cs-CZ"/>
        </w:rPr>
      </w:pPr>
    </w:p>
    <w:p w:rsidR="00E14781" w:rsidRPr="00945329" w:rsidRDefault="00E14781" w:rsidP="00E14781">
      <w:pPr>
        <w:rPr>
          <w:rFonts w:eastAsia="Times New Roman" w:cs="Arial"/>
          <w:b/>
          <w:szCs w:val="20"/>
          <w:lang w:eastAsia="cs-CZ"/>
        </w:rPr>
      </w:pPr>
      <w:r w:rsidRPr="00945329">
        <w:rPr>
          <w:rFonts w:eastAsia="Times New Roman" w:cs="Arial"/>
          <w:b/>
          <w:szCs w:val="20"/>
          <w:lang w:eastAsia="cs-CZ"/>
        </w:rPr>
        <w:t>Časové vymezení</w:t>
      </w:r>
    </w:p>
    <w:p w:rsidR="00E14781" w:rsidRPr="00945329" w:rsidRDefault="00E14781" w:rsidP="00E14781">
      <w:pPr>
        <w:rPr>
          <w:rFonts w:eastAsia="Times New Roman" w:cs="Arial"/>
          <w:szCs w:val="20"/>
          <w:lang w:eastAsia="cs-CZ"/>
        </w:rPr>
      </w:pPr>
      <w:r w:rsidRPr="00945329">
        <w:rPr>
          <w:rFonts w:eastAsia="Times New Roman" w:cs="Arial"/>
          <w:szCs w:val="20"/>
          <w:lang w:eastAsia="cs-CZ"/>
        </w:rPr>
        <w:t>Datové sada obsahuje roční časovou řadu od roku 2005.</w:t>
      </w:r>
    </w:p>
    <w:p w:rsidR="005C7437" w:rsidRPr="00945329" w:rsidRDefault="005C7437" w:rsidP="00E14781">
      <w:pPr>
        <w:spacing w:after="0"/>
        <w:rPr>
          <w:rFonts w:eastAsia="Times New Roman" w:cs="Arial"/>
          <w:szCs w:val="20"/>
          <w:lang w:eastAsia="cs-CZ"/>
        </w:rPr>
      </w:pPr>
    </w:p>
    <w:sectPr w:rsidR="005C7437" w:rsidRPr="00945329" w:rsidSect="00526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006F"/>
    <w:multiLevelType w:val="hybridMultilevel"/>
    <w:tmpl w:val="97202E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F3195D"/>
    <w:multiLevelType w:val="hybridMultilevel"/>
    <w:tmpl w:val="9C0614C2"/>
    <w:lvl w:ilvl="0" w:tplc="23B65252">
      <w:start w:val="1"/>
      <w:numFmt w:val="decimal"/>
      <w:pStyle w:val="Nadpis3"/>
      <w:lvlText w:val="(%1)"/>
      <w:lvlJc w:val="left"/>
      <w:pPr>
        <w:ind w:left="1353" w:hanging="360"/>
      </w:pPr>
      <w:rPr>
        <w:rFonts w:hint="default"/>
        <w:b w:val="0"/>
      </w:rPr>
    </w:lvl>
    <w:lvl w:ilvl="1" w:tplc="9624560A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F70DC"/>
    <w:multiLevelType w:val="hybridMultilevel"/>
    <w:tmpl w:val="F8C07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E5E58"/>
    <w:multiLevelType w:val="hybridMultilevel"/>
    <w:tmpl w:val="F6D60BC4"/>
    <w:lvl w:ilvl="0" w:tplc="B1300B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2D40DC"/>
    <w:multiLevelType w:val="hybridMultilevel"/>
    <w:tmpl w:val="50DA4C62"/>
    <w:lvl w:ilvl="0" w:tplc="EE4446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39"/>
        </w:tabs>
        <w:ind w:left="73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9"/>
        </w:tabs>
        <w:ind w:left="14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9"/>
        </w:tabs>
        <w:ind w:left="21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9"/>
        </w:tabs>
        <w:ind w:left="289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9"/>
        </w:tabs>
        <w:ind w:left="36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9"/>
        </w:tabs>
        <w:ind w:left="43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9"/>
        </w:tabs>
        <w:ind w:left="505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9"/>
        </w:tabs>
        <w:ind w:left="5779" w:hanging="360"/>
      </w:pPr>
      <w:rPr>
        <w:rFonts w:ascii="Wingdings" w:hAnsi="Wingdings" w:hint="default"/>
      </w:rPr>
    </w:lvl>
  </w:abstractNum>
  <w:abstractNum w:abstractNumId="5" w15:restartNumberingAfterBreak="0">
    <w:nsid w:val="46CA7B95"/>
    <w:multiLevelType w:val="hybridMultilevel"/>
    <w:tmpl w:val="DF241660"/>
    <w:lvl w:ilvl="0" w:tplc="61EC18DA">
      <w:start w:val="9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8099D"/>
    <w:multiLevelType w:val="hybridMultilevel"/>
    <w:tmpl w:val="F5FECEDA"/>
    <w:lvl w:ilvl="0" w:tplc="37A062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E0DF8"/>
    <w:multiLevelType w:val="hybridMultilevel"/>
    <w:tmpl w:val="7C8A2B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0"/>
    <w:rsid w:val="000061BC"/>
    <w:rsid w:val="000332CD"/>
    <w:rsid w:val="00042D17"/>
    <w:rsid w:val="000656B1"/>
    <w:rsid w:val="0007050D"/>
    <w:rsid w:val="00070FB5"/>
    <w:rsid w:val="00073CE0"/>
    <w:rsid w:val="00081F0F"/>
    <w:rsid w:val="000937FA"/>
    <w:rsid w:val="00095B05"/>
    <w:rsid w:val="000A6AD0"/>
    <w:rsid w:val="000A6EBA"/>
    <w:rsid w:val="000B26A0"/>
    <w:rsid w:val="000E337C"/>
    <w:rsid w:val="000E69C3"/>
    <w:rsid w:val="000F1496"/>
    <w:rsid w:val="00116DCD"/>
    <w:rsid w:val="0012010F"/>
    <w:rsid w:val="00121D45"/>
    <w:rsid w:val="0013212B"/>
    <w:rsid w:val="00132299"/>
    <w:rsid w:val="00144245"/>
    <w:rsid w:val="001447CB"/>
    <w:rsid w:val="001534F7"/>
    <w:rsid w:val="00161AC3"/>
    <w:rsid w:val="00165CAE"/>
    <w:rsid w:val="00171CAB"/>
    <w:rsid w:val="00181E34"/>
    <w:rsid w:val="001A26B6"/>
    <w:rsid w:val="001E68D8"/>
    <w:rsid w:val="001F3F19"/>
    <w:rsid w:val="00217962"/>
    <w:rsid w:val="00222387"/>
    <w:rsid w:val="00224E29"/>
    <w:rsid w:val="00226726"/>
    <w:rsid w:val="00234DA4"/>
    <w:rsid w:val="00243D92"/>
    <w:rsid w:val="00245404"/>
    <w:rsid w:val="002531AE"/>
    <w:rsid w:val="002859E9"/>
    <w:rsid w:val="002A48A8"/>
    <w:rsid w:val="002A4C8D"/>
    <w:rsid w:val="002C0F19"/>
    <w:rsid w:val="002D67DB"/>
    <w:rsid w:val="002E3368"/>
    <w:rsid w:val="002F489F"/>
    <w:rsid w:val="00315D58"/>
    <w:rsid w:val="003259D9"/>
    <w:rsid w:val="00341F73"/>
    <w:rsid w:val="003423FF"/>
    <w:rsid w:val="003469AC"/>
    <w:rsid w:val="00347443"/>
    <w:rsid w:val="00364813"/>
    <w:rsid w:val="0036583C"/>
    <w:rsid w:val="0036737E"/>
    <w:rsid w:val="003721AA"/>
    <w:rsid w:val="003727F5"/>
    <w:rsid w:val="003770A0"/>
    <w:rsid w:val="0038666E"/>
    <w:rsid w:val="0039075C"/>
    <w:rsid w:val="003926D8"/>
    <w:rsid w:val="003A0180"/>
    <w:rsid w:val="003A349C"/>
    <w:rsid w:val="003B1722"/>
    <w:rsid w:val="003C5C3A"/>
    <w:rsid w:val="003C6D65"/>
    <w:rsid w:val="003E0ED7"/>
    <w:rsid w:val="003E6E17"/>
    <w:rsid w:val="00402DC4"/>
    <w:rsid w:val="00406C34"/>
    <w:rsid w:val="0041591F"/>
    <w:rsid w:val="00422C98"/>
    <w:rsid w:val="00427BC7"/>
    <w:rsid w:val="00450DA9"/>
    <w:rsid w:val="004836C2"/>
    <w:rsid w:val="004B0410"/>
    <w:rsid w:val="004C3390"/>
    <w:rsid w:val="004D2487"/>
    <w:rsid w:val="004E387A"/>
    <w:rsid w:val="004E47F3"/>
    <w:rsid w:val="004F0EAA"/>
    <w:rsid w:val="005159A3"/>
    <w:rsid w:val="0051797F"/>
    <w:rsid w:val="00526A21"/>
    <w:rsid w:val="00531E53"/>
    <w:rsid w:val="00542373"/>
    <w:rsid w:val="00546947"/>
    <w:rsid w:val="0054732E"/>
    <w:rsid w:val="00571178"/>
    <w:rsid w:val="00572282"/>
    <w:rsid w:val="00573AFB"/>
    <w:rsid w:val="0058334C"/>
    <w:rsid w:val="00590094"/>
    <w:rsid w:val="00596E44"/>
    <w:rsid w:val="005B027B"/>
    <w:rsid w:val="005C7437"/>
    <w:rsid w:val="005E2C3C"/>
    <w:rsid w:val="005F1D35"/>
    <w:rsid w:val="005F668F"/>
    <w:rsid w:val="00603920"/>
    <w:rsid w:val="006169C4"/>
    <w:rsid w:val="006269C0"/>
    <w:rsid w:val="006318CA"/>
    <w:rsid w:val="006505BC"/>
    <w:rsid w:val="00653991"/>
    <w:rsid w:val="00660918"/>
    <w:rsid w:val="00693DE0"/>
    <w:rsid w:val="00695ED1"/>
    <w:rsid w:val="006D74AF"/>
    <w:rsid w:val="00703CDC"/>
    <w:rsid w:val="007139E0"/>
    <w:rsid w:val="00715CE1"/>
    <w:rsid w:val="00717798"/>
    <w:rsid w:val="00717972"/>
    <w:rsid w:val="007262B0"/>
    <w:rsid w:val="007375CD"/>
    <w:rsid w:val="00757006"/>
    <w:rsid w:val="00774F53"/>
    <w:rsid w:val="007758FA"/>
    <w:rsid w:val="007840EF"/>
    <w:rsid w:val="00785F03"/>
    <w:rsid w:val="007916E1"/>
    <w:rsid w:val="00797474"/>
    <w:rsid w:val="007A2B29"/>
    <w:rsid w:val="007A530E"/>
    <w:rsid w:val="007C216F"/>
    <w:rsid w:val="007D4FFA"/>
    <w:rsid w:val="007E3C0B"/>
    <w:rsid w:val="00804D77"/>
    <w:rsid w:val="008207F9"/>
    <w:rsid w:val="008272CB"/>
    <w:rsid w:val="00860F26"/>
    <w:rsid w:val="00885388"/>
    <w:rsid w:val="008954BC"/>
    <w:rsid w:val="008A0E64"/>
    <w:rsid w:val="008A20ED"/>
    <w:rsid w:val="008A4DB6"/>
    <w:rsid w:val="008B34F6"/>
    <w:rsid w:val="008C1410"/>
    <w:rsid w:val="008C7634"/>
    <w:rsid w:val="008C7F12"/>
    <w:rsid w:val="008D1F77"/>
    <w:rsid w:val="008E3FA4"/>
    <w:rsid w:val="008E54F2"/>
    <w:rsid w:val="0090334E"/>
    <w:rsid w:val="00910156"/>
    <w:rsid w:val="00911D3A"/>
    <w:rsid w:val="0093692B"/>
    <w:rsid w:val="00945329"/>
    <w:rsid w:val="00981B0F"/>
    <w:rsid w:val="009822E1"/>
    <w:rsid w:val="00982C59"/>
    <w:rsid w:val="009838D7"/>
    <w:rsid w:val="00985A6F"/>
    <w:rsid w:val="009865F4"/>
    <w:rsid w:val="009A25B7"/>
    <w:rsid w:val="009B0681"/>
    <w:rsid w:val="009E33EF"/>
    <w:rsid w:val="009F0AD8"/>
    <w:rsid w:val="00A03367"/>
    <w:rsid w:val="00A27F72"/>
    <w:rsid w:val="00A33984"/>
    <w:rsid w:val="00A37E21"/>
    <w:rsid w:val="00A52551"/>
    <w:rsid w:val="00A526A8"/>
    <w:rsid w:val="00A61EDF"/>
    <w:rsid w:val="00A80936"/>
    <w:rsid w:val="00A827FD"/>
    <w:rsid w:val="00A91124"/>
    <w:rsid w:val="00A94779"/>
    <w:rsid w:val="00AA48AC"/>
    <w:rsid w:val="00AB403B"/>
    <w:rsid w:val="00AB7509"/>
    <w:rsid w:val="00AD4724"/>
    <w:rsid w:val="00AE194B"/>
    <w:rsid w:val="00AF4668"/>
    <w:rsid w:val="00B0619A"/>
    <w:rsid w:val="00B0690B"/>
    <w:rsid w:val="00B156F2"/>
    <w:rsid w:val="00B45212"/>
    <w:rsid w:val="00B46285"/>
    <w:rsid w:val="00B66990"/>
    <w:rsid w:val="00B746FA"/>
    <w:rsid w:val="00B83956"/>
    <w:rsid w:val="00B92279"/>
    <w:rsid w:val="00B977A3"/>
    <w:rsid w:val="00BB766E"/>
    <w:rsid w:val="00BC463E"/>
    <w:rsid w:val="00BD50F4"/>
    <w:rsid w:val="00BE27A1"/>
    <w:rsid w:val="00BE5F60"/>
    <w:rsid w:val="00BF45F9"/>
    <w:rsid w:val="00BF7870"/>
    <w:rsid w:val="00C01E5A"/>
    <w:rsid w:val="00C07477"/>
    <w:rsid w:val="00C1144A"/>
    <w:rsid w:val="00C157CF"/>
    <w:rsid w:val="00C21754"/>
    <w:rsid w:val="00C27DAA"/>
    <w:rsid w:val="00C4565C"/>
    <w:rsid w:val="00C6271C"/>
    <w:rsid w:val="00C71A7A"/>
    <w:rsid w:val="00C748F3"/>
    <w:rsid w:val="00C74D82"/>
    <w:rsid w:val="00C77E64"/>
    <w:rsid w:val="00C94754"/>
    <w:rsid w:val="00CC53FE"/>
    <w:rsid w:val="00D0539F"/>
    <w:rsid w:val="00D061C7"/>
    <w:rsid w:val="00D10FFF"/>
    <w:rsid w:val="00D127CC"/>
    <w:rsid w:val="00D14E44"/>
    <w:rsid w:val="00D15B1A"/>
    <w:rsid w:val="00D25471"/>
    <w:rsid w:val="00D27DC4"/>
    <w:rsid w:val="00D3539F"/>
    <w:rsid w:val="00D357F9"/>
    <w:rsid w:val="00D43D0A"/>
    <w:rsid w:val="00D46F79"/>
    <w:rsid w:val="00D539D1"/>
    <w:rsid w:val="00D93B5B"/>
    <w:rsid w:val="00DA448A"/>
    <w:rsid w:val="00DA59DF"/>
    <w:rsid w:val="00DA719B"/>
    <w:rsid w:val="00DB007F"/>
    <w:rsid w:val="00DB5582"/>
    <w:rsid w:val="00DC0910"/>
    <w:rsid w:val="00DC66C5"/>
    <w:rsid w:val="00DD012A"/>
    <w:rsid w:val="00DD0F9B"/>
    <w:rsid w:val="00DE426C"/>
    <w:rsid w:val="00E0106C"/>
    <w:rsid w:val="00E01834"/>
    <w:rsid w:val="00E122F7"/>
    <w:rsid w:val="00E13299"/>
    <w:rsid w:val="00E14781"/>
    <w:rsid w:val="00E20F6F"/>
    <w:rsid w:val="00E3444D"/>
    <w:rsid w:val="00E367E6"/>
    <w:rsid w:val="00E43F85"/>
    <w:rsid w:val="00E86CCB"/>
    <w:rsid w:val="00EA2195"/>
    <w:rsid w:val="00EC14FF"/>
    <w:rsid w:val="00EC4A30"/>
    <w:rsid w:val="00EC7B56"/>
    <w:rsid w:val="00EE1ED0"/>
    <w:rsid w:val="00EE78D1"/>
    <w:rsid w:val="00EE7F8E"/>
    <w:rsid w:val="00EF74C8"/>
    <w:rsid w:val="00F031C7"/>
    <w:rsid w:val="00F265E2"/>
    <w:rsid w:val="00F3019C"/>
    <w:rsid w:val="00F60953"/>
    <w:rsid w:val="00F6352B"/>
    <w:rsid w:val="00F85410"/>
    <w:rsid w:val="00F867E4"/>
    <w:rsid w:val="00FD0C71"/>
    <w:rsid w:val="00FE115C"/>
    <w:rsid w:val="00FE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61D8"/>
  <w15:docId w15:val="{931AC9B5-4771-4526-B393-30186B7A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FFFFFF" w:themeColor="background1"/>
        <w:sz w:val="28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2387"/>
    <w:pPr>
      <w:spacing w:after="120"/>
      <w:jc w:val="both"/>
    </w:pPr>
    <w:rPr>
      <w:color w:val="auto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27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3770A0"/>
    <w:pPr>
      <w:keepNext/>
      <w:keepLines/>
      <w:spacing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427BC7"/>
    <w:pPr>
      <w:numPr>
        <w:numId w:val="1"/>
      </w:numPr>
      <w:contextualSpacing w:val="0"/>
      <w:outlineLvl w:val="2"/>
    </w:pPr>
    <w:rPr>
      <w:rFonts w:cs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7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770A0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27BC7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27BC7"/>
    <w:pPr>
      <w:ind w:left="720"/>
      <w:contextualSpacing/>
    </w:pPr>
  </w:style>
  <w:style w:type="paragraph" w:styleId="Nzev">
    <w:name w:val="Title"/>
    <w:basedOn w:val="Normln"/>
    <w:link w:val="NzevChar"/>
    <w:qFormat/>
    <w:rsid w:val="005C7437"/>
    <w:pPr>
      <w:spacing w:after="0" w:line="240" w:lineRule="auto"/>
      <w:jc w:val="center"/>
    </w:pPr>
    <w:rPr>
      <w:rFonts w:eastAsia="Times New Roman" w:cs="Arial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5C7437"/>
    <w:rPr>
      <w:rFonts w:eastAsia="Times New Roman" w:cs="Arial"/>
      <w:b/>
      <w:bCs/>
      <w:color w:val="auto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427BC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1797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70FB5"/>
    <w:rPr>
      <w:color w:val="800080" w:themeColor="followedHyperlink"/>
      <w:u w:val="single"/>
    </w:rPr>
  </w:style>
  <w:style w:type="character" w:customStyle="1" w:styleId="spelle">
    <w:name w:val="spelle"/>
    <w:basedOn w:val="Standardnpsmoodstavce"/>
    <w:rsid w:val="00E13299"/>
  </w:style>
  <w:style w:type="paragraph" w:styleId="Bezmezer">
    <w:name w:val="No Spacing"/>
    <w:basedOn w:val="Normln"/>
    <w:uiPriority w:val="1"/>
    <w:qFormat/>
    <w:rsid w:val="00E13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eouttxt">
    <w:name w:val="iceouttxt"/>
    <w:basedOn w:val="Standardnpsmoodstavce"/>
    <w:rsid w:val="0039075C"/>
  </w:style>
  <w:style w:type="paragraph" w:styleId="Zkladntext">
    <w:name w:val="Body Text"/>
    <w:basedOn w:val="Normln"/>
    <w:link w:val="ZkladntextChar"/>
    <w:uiPriority w:val="99"/>
    <w:semiHidden/>
    <w:unhideWhenUsed/>
    <w:rsid w:val="00715C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5CE1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4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26C"/>
    <w:rPr>
      <w:rFonts w:ascii="Segoe UI" w:hAnsi="Segoe UI" w:cs="Segoe UI"/>
      <w:color w:val="auto"/>
      <w:sz w:val="18"/>
      <w:szCs w:val="18"/>
    </w:rPr>
  </w:style>
  <w:style w:type="character" w:customStyle="1" w:styleId="content">
    <w:name w:val="content"/>
    <w:basedOn w:val="Standardnpsmoodstavce"/>
    <w:rsid w:val="00B977A3"/>
  </w:style>
  <w:style w:type="paragraph" w:styleId="Zkladntext2">
    <w:name w:val="Body Text 2"/>
    <w:basedOn w:val="Normln"/>
    <w:link w:val="Zkladntext2Char"/>
    <w:uiPriority w:val="99"/>
    <w:semiHidden/>
    <w:unhideWhenUsed/>
    <w:rsid w:val="004D248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D2487"/>
    <w:rPr>
      <w:color w:val="auto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A6EB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A6EBA"/>
    <w:rPr>
      <w:color w:val="auto"/>
      <w:sz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375CD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375CD"/>
    <w:rPr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.czso.cz/iSMS/do_cis_export?kodcis=78&amp;typdat=0&amp;cisjaz=203&amp;format=2" TargetMode="External"/><Relationship Id="rId13" Type="http://schemas.openxmlformats.org/officeDocument/2006/relationships/hyperlink" Target="https://apl.czso.cz/iSMS/do_cis_export?kodcis=100&amp;typdat=0&amp;cisjaz=203&amp;format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statisticke-promenne-ukazatele" TargetMode="External"/><Relationship Id="rId12" Type="http://schemas.openxmlformats.org/officeDocument/2006/relationships/hyperlink" Target="https://apl.czso.cz/iSMS/do_cis_export?kodcis=100&amp;typdat=0&amp;cisjaz=203&amp;format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db.czso.cz/vdbvo2/faces/cs/index.jsf?page=vystup-objekt-parametry&amp;sp=A&amp;pvokc=&amp;pvo=VAV02&amp;katalog=30851&amp;z=T" TargetMode="External"/><Relationship Id="rId11" Type="http://schemas.openxmlformats.org/officeDocument/2006/relationships/hyperlink" Target="https://apl.czso.cz/iSMS/do_cis_export?kodcis=97&amp;typdat=0&amp;cisjaz=203&amp;format=0" TargetMode="External"/><Relationship Id="rId5" Type="http://schemas.openxmlformats.org/officeDocument/2006/relationships/hyperlink" Target="https://www.czso.cz/documents/10180/61508124/21100218m.pdf/d09ec94c-20cf-489e-8fca-99472c17e9a1?version=1.1%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pl.czso.cz/iSMS/do_cis_export?kodcis=97&amp;typdat=0&amp;cisjaz=203&amp;format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l.czso.cz/iSMS/do_cis_export?kodcis=78&amp;typdat=0&amp;cisjaz=203&amp;format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2231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Durník</dc:creator>
  <cp:lastModifiedBy>Šimek Jan</cp:lastModifiedBy>
  <cp:revision>6</cp:revision>
  <cp:lastPrinted>2019-04-26T07:32:00Z</cp:lastPrinted>
  <dcterms:created xsi:type="dcterms:W3CDTF">2023-03-21T08:59:00Z</dcterms:created>
  <dcterms:modified xsi:type="dcterms:W3CDTF">2023-03-23T09:21:00Z</dcterms:modified>
</cp:coreProperties>
</file>