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26" w:rsidRPr="002C3F58" w:rsidRDefault="00090B26" w:rsidP="00090B26">
      <w:pPr>
        <w:pStyle w:val="Nadpis1"/>
      </w:pPr>
      <w:bookmarkStart w:id="0" w:name="_Toc444112496"/>
      <w:bookmarkStart w:id="1" w:name="_Toc525303523"/>
      <w:bookmarkStart w:id="2" w:name="_GoBack"/>
      <w:bookmarkEnd w:id="2"/>
      <w:r w:rsidRPr="002C3F58">
        <w:t>Kapitola B Domácnosti a ICT</w:t>
      </w:r>
      <w:bookmarkEnd w:id="1"/>
    </w:p>
    <w:p w:rsidR="00090B26" w:rsidRPr="002C3F58" w:rsidRDefault="00090B26" w:rsidP="00090B26">
      <w:pPr>
        <w:pStyle w:val="Zkladntext"/>
        <w:spacing w:before="0" w:after="80" w:line="264" w:lineRule="auto"/>
        <w:rPr>
          <w:i/>
          <w:sz w:val="20"/>
        </w:rPr>
      </w:pPr>
      <w:r w:rsidRPr="002C3F58">
        <w:rPr>
          <w:i/>
          <w:sz w:val="20"/>
        </w:rPr>
        <w:t>V posledních letech jsme svědky výrazných změn ve využívání informačních a komunikačních technologií (dále jen ICT) nejen v Čechách, ale i v zahraničí. Jde především o přechod od nepřenosných zařízení, jako je stolní počítač či pevná telefonní linka, směrem k přenosným a mobilním zařízením a připojením. Zatímco podíl domácností vybavených počítačem již nijak dramaticky neroste, počet domácností, které mají ICT zařízení hned několik, se zvyšuje. Mění se i charakter využívání těchto digitálních zařízení, a to od</w:t>
      </w:r>
      <w:r w:rsidR="009171D1">
        <w:rPr>
          <w:i/>
          <w:sz w:val="20"/>
        </w:rPr>
        <w:t> </w:t>
      </w:r>
      <w:r w:rsidRPr="002C3F58">
        <w:rPr>
          <w:i/>
          <w:sz w:val="20"/>
        </w:rPr>
        <w:t>společného k individuálnímu.</w:t>
      </w:r>
    </w:p>
    <w:p w:rsidR="00090B26" w:rsidRPr="002C3F58" w:rsidRDefault="00090B26" w:rsidP="00090B26">
      <w:pPr>
        <w:pStyle w:val="Zkladntext"/>
        <w:spacing w:before="0" w:after="80" w:line="264" w:lineRule="auto"/>
        <w:rPr>
          <w:i/>
          <w:sz w:val="20"/>
        </w:rPr>
      </w:pPr>
      <w:r w:rsidRPr="002C3F58">
        <w:rPr>
          <w:i/>
          <w:sz w:val="20"/>
        </w:rPr>
        <w:t>Český statistický úřad tyto změny dlouhodobě zaznamenává prostřednictvím ročního evropského šetření o informačních technologiích v domácnostech</w:t>
      </w:r>
      <w:r w:rsidRPr="002C3F58">
        <w:rPr>
          <w:rStyle w:val="Znakapoznpodarou"/>
          <w:i/>
          <w:sz w:val="20"/>
        </w:rPr>
        <w:footnoteReference w:id="1"/>
      </w:r>
      <w:r w:rsidRPr="002C3F58">
        <w:rPr>
          <w:i/>
          <w:sz w:val="20"/>
        </w:rPr>
        <w:t>. Výsledky z tohoto šetření o rozšíření vybraných digitálních technologií do českých a evropských domácností poskytují zajímavé údaje, především sledujeme-li jednotlivé typy domácností. Potvrzují, jak obrovské mohou být rozdíly mezi domácnostmi s dětmi a bez dětí, domácnostmi mladší generace a těch v důchodovém věku anebo mezi domácnostmi z různých příjmových skupin.</w:t>
      </w:r>
      <w:r w:rsidRPr="002C3F58">
        <w:t xml:space="preserve"> </w:t>
      </w:r>
      <w:r w:rsidRPr="002C3F58">
        <w:rPr>
          <w:i/>
          <w:sz w:val="20"/>
        </w:rPr>
        <w:t>Věk, vzdělání a finanční situace domácností totiž hraje zásadní roli ve vybavenosti informačními technologiemi. Některé z těchto rozdílů se postupem času v České republice stírají a záleží spíš na tom, zda členové domácnosti považují ICT technologie a internet za užitečné či nikoli a zda jsou ochotní se s nimi učit pracovat.</w:t>
      </w:r>
    </w:p>
    <w:p w:rsidR="00090B26" w:rsidRPr="00090B26" w:rsidRDefault="00090B26" w:rsidP="00090B26">
      <w:pPr>
        <w:pStyle w:val="Nadpis2"/>
        <w:spacing w:before="240" w:after="120" w:line="264" w:lineRule="auto"/>
        <w:rPr>
          <w:szCs w:val="28"/>
        </w:rPr>
      </w:pPr>
      <w:bookmarkStart w:id="3" w:name="_Toc525303524"/>
      <w:r w:rsidRPr="00090B26">
        <w:rPr>
          <w:szCs w:val="28"/>
        </w:rPr>
        <w:t>B. 1 Domácnosti a telefon</w:t>
      </w:r>
      <w:bookmarkEnd w:id="3"/>
    </w:p>
    <w:p w:rsidR="00090B26" w:rsidRPr="002C3F58" w:rsidRDefault="00090B26" w:rsidP="00090B26">
      <w:pPr>
        <w:pStyle w:val="Zkladntext"/>
        <w:spacing w:before="0" w:after="80" w:line="264" w:lineRule="auto"/>
        <w:rPr>
          <w:i/>
          <w:sz w:val="20"/>
        </w:rPr>
      </w:pPr>
      <w:r w:rsidRPr="002C3F58">
        <w:rPr>
          <w:i/>
          <w:sz w:val="20"/>
        </w:rPr>
        <w:t>Přístup k telefonu</w:t>
      </w:r>
      <w:r w:rsidRPr="002C3F58">
        <w:rPr>
          <w:rStyle w:val="Znakapoznpodarou"/>
          <w:i/>
          <w:sz w:val="20"/>
        </w:rPr>
        <w:footnoteReference w:id="2"/>
      </w:r>
      <w:r w:rsidRPr="002C3F58">
        <w:rPr>
          <w:i/>
          <w:sz w:val="20"/>
        </w:rPr>
        <w:t xml:space="preserve"> mají v současnosti, až na pár výjimek, již všechny domácnosti v České republice. Na rozdíl od minulosti, kdy se používala hlavně pevná linka, dnes se ve všech domácnostech používá především mobilní telefon. Zatímco české domácnosti vyměnily pevné linky za mobilní telefony, v Evropě mají běžně oba typy zařízení.</w:t>
      </w:r>
    </w:p>
    <w:p w:rsidR="00090B26" w:rsidRPr="002C3F58" w:rsidRDefault="00090B26" w:rsidP="00090B26">
      <w:pPr>
        <w:pStyle w:val="Nadpis3"/>
        <w:spacing w:before="240" w:after="120" w:line="264" w:lineRule="auto"/>
      </w:pPr>
      <w:bookmarkStart w:id="4" w:name="_Toc525303525"/>
      <w:r w:rsidRPr="002C3F58">
        <w:t>Domácnosti s pevnou telefonní linkou</w:t>
      </w:r>
      <w:bookmarkEnd w:id="4"/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5" w:name="_Toc524332511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Podíl domácností v Česku s pevnou telefonní linkou</w:t>
      </w:r>
      <w:bookmarkEnd w:id="5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</w:rPr>
      </w:pPr>
      <w:r w:rsidRPr="002C3F58">
        <w:rPr>
          <w:noProof/>
        </w:rPr>
        <w:drawing>
          <wp:inline distT="0" distB="0" distL="0" distR="0" wp14:anchorId="2216C217" wp14:editId="5E20B1BD">
            <wp:extent cx="6115050" cy="2333625"/>
            <wp:effectExtent l="0" t="0" r="0" b="0"/>
            <wp:docPr id="39" name="Graf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0B26" w:rsidRPr="002C3F58" w:rsidRDefault="00090B26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Cs/>
          <w:sz w:val="20"/>
          <w:szCs w:val="20"/>
        </w:rPr>
        <w:lastRenderedPageBreak/>
        <w:t xml:space="preserve">Již od roku 2000 klesá v Česku podíl domácností s </w:t>
      </w:r>
      <w:r w:rsidRPr="002C3F58">
        <w:rPr>
          <w:b/>
          <w:bCs/>
          <w:sz w:val="20"/>
          <w:szCs w:val="20"/>
        </w:rPr>
        <w:t>pevnou telefonní linkou</w:t>
      </w:r>
      <w:r w:rsidRPr="002C3F58">
        <w:rPr>
          <w:bCs/>
          <w:sz w:val="20"/>
          <w:szCs w:val="20"/>
        </w:rPr>
        <w:t>. Na konci roku 2016 používalo pevný telefon jen necelých 14 % domácností, přitom ještě v roce 2000 byly pevné linky součástí tří čtvrtin českých domácností.</w:t>
      </w:r>
    </w:p>
    <w:p w:rsidR="00090B26" w:rsidRPr="002C3F58" w:rsidRDefault="00090B26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Cs/>
          <w:sz w:val="20"/>
          <w:szCs w:val="20"/>
        </w:rPr>
        <w:t xml:space="preserve">Pevnou linku mají v současnosti nejčastěji domácnosti </w:t>
      </w:r>
      <w:r w:rsidRPr="002C3F58">
        <w:rPr>
          <w:b/>
          <w:bCs/>
          <w:sz w:val="20"/>
          <w:szCs w:val="20"/>
        </w:rPr>
        <w:t xml:space="preserve">důchodců </w:t>
      </w:r>
      <w:r w:rsidRPr="002C3F58">
        <w:rPr>
          <w:bCs/>
          <w:sz w:val="20"/>
          <w:szCs w:val="20"/>
        </w:rPr>
        <w:t>‒ v roce 2016 jich byla pětina. V </w:t>
      </w:r>
      <w:r w:rsidRPr="002C3F58">
        <w:rPr>
          <w:b/>
          <w:bCs/>
          <w:sz w:val="20"/>
          <w:szCs w:val="20"/>
        </w:rPr>
        <w:t>“mladých“</w:t>
      </w:r>
      <w:r w:rsidRPr="002C3F58">
        <w:rPr>
          <w:bCs/>
          <w:sz w:val="20"/>
          <w:szCs w:val="20"/>
        </w:rPr>
        <w:t xml:space="preserve"> rodinách je přítomnost pevné telefonní linky spíše výjimkou. V roce 2016 mělo pevný telefon jen 1,5 % domácností s osobou v čele do 29 let.</w:t>
      </w:r>
    </w:p>
    <w:p w:rsidR="00090B26" w:rsidRPr="002C3F58" w:rsidRDefault="00090B26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Cs/>
          <w:sz w:val="20"/>
          <w:szCs w:val="20"/>
        </w:rPr>
        <w:t xml:space="preserve">Mezi </w:t>
      </w:r>
      <w:r w:rsidRPr="002C3F58">
        <w:rPr>
          <w:b/>
          <w:bCs/>
          <w:sz w:val="20"/>
          <w:szCs w:val="20"/>
        </w:rPr>
        <w:t>zeměmi EU</w:t>
      </w:r>
      <w:r w:rsidRPr="002C3F58">
        <w:rPr>
          <w:bCs/>
          <w:sz w:val="20"/>
          <w:szCs w:val="20"/>
        </w:rPr>
        <w:t xml:space="preserve"> patří Česku poslední příčka ohledně podílu domácností s pevnou telefonní linkou. V roce 2015 – novější data pro mezinárodní srovnání nejsou k dispozici – pouze 13 % domácností uvedlo, že doma používá pro hlasové služby pevnou telefonní linku. Obdobný podíl (14 %) byl zaznamenán i ve Finsku.</w:t>
      </w:r>
    </w:p>
    <w:p w:rsidR="00090B26" w:rsidRPr="002C3F58" w:rsidRDefault="00090B26" w:rsidP="004B2A0F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/>
          <w:bCs/>
          <w:sz w:val="20"/>
          <w:szCs w:val="20"/>
        </w:rPr>
        <w:t>Průměr EU28</w:t>
      </w:r>
      <w:r w:rsidRPr="002C3F58">
        <w:rPr>
          <w:bCs/>
          <w:sz w:val="20"/>
          <w:szCs w:val="20"/>
        </w:rPr>
        <w:t xml:space="preserve"> naproti tomu dosahoval stále relativně vysoké hodnoty (65 %) způsobené velmi vysokým procentem domácností vybavených pevnou linkou v největších zemích EU: v Německu 85 %, ve Francii 81 % a ve Velké Británii 78 %. Vůbec nejvyšší hodnota však by</w:t>
      </w:r>
      <w:r w:rsidR="004B2A0F">
        <w:rPr>
          <w:bCs/>
          <w:sz w:val="20"/>
          <w:szCs w:val="20"/>
        </w:rPr>
        <w:t>la zaznamenána na Maltě (93 %).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6" w:name="_Toc524332512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2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Domácnosti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zemích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EU s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pevnou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telefonní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linkou</w:t>
      </w:r>
      <w:proofErr w:type="spellEnd"/>
      <w:r w:rsidRPr="001B7B0A">
        <w:rPr>
          <w:color w:val="FFFFFF" w:themeColor="background1"/>
          <w:sz w:val="4"/>
          <w:szCs w:val="4"/>
        </w:rPr>
        <w:t xml:space="preserve"> v roce 2015</w:t>
      </w:r>
      <w:bookmarkEnd w:id="6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</w:rPr>
      </w:pPr>
      <w:r w:rsidRPr="002C3F58">
        <w:rPr>
          <w:noProof/>
        </w:rPr>
        <w:drawing>
          <wp:inline distT="0" distB="0" distL="0" distR="0" wp14:anchorId="274F8125" wp14:editId="301A27FB">
            <wp:extent cx="5972400" cy="3182400"/>
            <wp:effectExtent l="0" t="0" r="0" b="0"/>
            <wp:docPr id="40" name="Graf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0B26" w:rsidRPr="002C3F58" w:rsidRDefault="00090B26" w:rsidP="004B2A0F">
      <w:pPr>
        <w:pStyle w:val="Nadpis3"/>
        <w:spacing w:before="120" w:after="240" w:line="264" w:lineRule="auto"/>
      </w:pPr>
      <w:bookmarkStart w:id="7" w:name="_Toc525303526"/>
      <w:r w:rsidRPr="002C3F58">
        <w:t>Domácnosti s mobilním telefonem</w:t>
      </w:r>
      <w:bookmarkEnd w:id="7"/>
    </w:p>
    <w:p w:rsidR="00E607E7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bCs/>
          <w:sz w:val="20"/>
          <w:szCs w:val="20"/>
        </w:rPr>
      </w:pPr>
      <w:r w:rsidRPr="00E607E7">
        <w:rPr>
          <w:bCs/>
          <w:sz w:val="20"/>
          <w:szCs w:val="20"/>
        </w:rPr>
        <w:t xml:space="preserve">Nejrozšířenější informační technologií v českých domácnostech je v posledních letech bezesporu </w:t>
      </w:r>
      <w:r w:rsidRPr="00E607E7">
        <w:rPr>
          <w:b/>
          <w:bCs/>
          <w:sz w:val="20"/>
          <w:szCs w:val="20"/>
        </w:rPr>
        <w:t>mobilní telefon</w:t>
      </w:r>
      <w:r w:rsidRPr="00E607E7">
        <w:rPr>
          <w:bCs/>
          <w:sz w:val="20"/>
          <w:szCs w:val="20"/>
        </w:rPr>
        <w:t>. V roce 2016 měly doma mobilní telefon téměř všechny české domácnosti (99 %), zatímco v roce 2000 jich byla jen třetina.</w:t>
      </w:r>
    </w:p>
    <w:p w:rsidR="00090B26" w:rsidRPr="00E607E7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bCs/>
          <w:sz w:val="20"/>
          <w:szCs w:val="20"/>
        </w:rPr>
      </w:pPr>
      <w:r w:rsidRPr="00E607E7">
        <w:rPr>
          <w:b/>
          <w:bCs/>
          <w:sz w:val="20"/>
          <w:szCs w:val="20"/>
        </w:rPr>
        <w:t>Počet mobilních telefonů</w:t>
      </w:r>
      <w:r w:rsidRPr="00E607E7">
        <w:rPr>
          <w:bCs/>
          <w:sz w:val="20"/>
          <w:szCs w:val="20"/>
        </w:rPr>
        <w:t xml:space="preserve"> používaných v českých domácnostech dosáhl v roce 2016 v průměru jednoho přístroje na každého člena domácnosti staršího 6 let (0,99). Před jedenácti lety ‒ v roce 20</w:t>
      </w:r>
      <w:r w:rsidR="00EB6DB2">
        <w:rPr>
          <w:bCs/>
          <w:sz w:val="20"/>
          <w:szCs w:val="20"/>
        </w:rPr>
        <w:t>05</w:t>
      </w:r>
      <w:r w:rsidR="00E607E7">
        <w:rPr>
          <w:bCs/>
          <w:sz w:val="20"/>
          <w:szCs w:val="20"/>
        </w:rPr>
        <w:t xml:space="preserve"> ‒ se jednalo o 0,64 telefonu.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bCs/>
          <w:sz w:val="20"/>
          <w:szCs w:val="20"/>
        </w:rPr>
      </w:pPr>
      <w:r w:rsidRPr="002C3F58">
        <w:rPr>
          <w:bCs/>
          <w:sz w:val="20"/>
          <w:szCs w:val="20"/>
        </w:rPr>
        <w:t xml:space="preserve">Rozdíl ve </w:t>
      </w:r>
      <w:r w:rsidRPr="002C3F58">
        <w:rPr>
          <w:b/>
          <w:bCs/>
          <w:sz w:val="20"/>
          <w:szCs w:val="20"/>
        </w:rPr>
        <w:t>vybavenosti mobilními telefony</w:t>
      </w:r>
      <w:r w:rsidRPr="002C3F58">
        <w:rPr>
          <w:bCs/>
          <w:sz w:val="20"/>
          <w:szCs w:val="20"/>
        </w:rPr>
        <w:t xml:space="preserve"> zaznamenáváme u různých příjmových kategorií domácností. Jestliže v domácnostech s nejvyššími příjmy (pátý příjmový </w:t>
      </w:r>
      <w:proofErr w:type="spellStart"/>
      <w:r w:rsidRPr="002C3F58">
        <w:rPr>
          <w:bCs/>
          <w:sz w:val="20"/>
          <w:szCs w:val="20"/>
        </w:rPr>
        <w:t>kvintil</w:t>
      </w:r>
      <w:proofErr w:type="spellEnd"/>
      <w:r w:rsidRPr="002C3F58">
        <w:rPr>
          <w:bCs/>
          <w:sz w:val="20"/>
          <w:szCs w:val="20"/>
        </w:rPr>
        <w:t xml:space="preserve">) připadlo v roce 2016 na jednoho jejího člena staršího 6 let 1,16 mobilního telefonu, tak u domácností s nejnižšími příjmy (první příjmový </w:t>
      </w:r>
      <w:proofErr w:type="spellStart"/>
      <w:r w:rsidRPr="002C3F58">
        <w:rPr>
          <w:bCs/>
          <w:sz w:val="20"/>
          <w:szCs w:val="20"/>
        </w:rPr>
        <w:t>kvintil</w:t>
      </w:r>
      <w:proofErr w:type="spellEnd"/>
      <w:r w:rsidRPr="002C3F58">
        <w:rPr>
          <w:bCs/>
          <w:sz w:val="20"/>
          <w:szCs w:val="20"/>
        </w:rPr>
        <w:t>) to bylo 0,88 mobilního telefonu.</w:t>
      </w:r>
    </w:p>
    <w:p w:rsidR="007745AC" w:rsidRDefault="007745AC" w:rsidP="007745AC">
      <w:pPr>
        <w:pStyle w:val="Titulek"/>
        <w:keepNext/>
        <w:jc w:val="both"/>
        <w:sectPr w:rsidR="007745AC" w:rsidSect="009440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134" w:right="1134" w:bottom="1418" w:left="1134" w:header="680" w:footer="680" w:gutter="0"/>
          <w:pgNumType w:start="17"/>
          <w:cols w:space="708"/>
          <w:docGrid w:linePitch="360"/>
        </w:sectPr>
      </w:pP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8" w:name="_Toc524332513"/>
      <w:r w:rsidRPr="001B7B0A">
        <w:rPr>
          <w:color w:val="FFFFFF" w:themeColor="background1"/>
          <w:sz w:val="4"/>
          <w:szCs w:val="4"/>
        </w:rPr>
        <w:lastRenderedPageBreak/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3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Vybavenost domácností v Česku telefonem</w:t>
      </w:r>
      <w:bookmarkEnd w:id="8"/>
    </w:p>
    <w:p w:rsidR="007745AC" w:rsidRDefault="00090B26" w:rsidP="00090B26">
      <w:pPr>
        <w:pStyle w:val="Zkladntext"/>
        <w:spacing w:before="0" w:after="120" w:line="288" w:lineRule="auto"/>
      </w:pPr>
      <w:r w:rsidRPr="002C3F58">
        <w:rPr>
          <w:noProof/>
        </w:rPr>
        <w:drawing>
          <wp:inline distT="0" distB="0" distL="0" distR="0" wp14:anchorId="767CA338" wp14:editId="268E8FC9">
            <wp:extent cx="3060000" cy="2520000"/>
            <wp:effectExtent l="0" t="0" r="7620" b="13970"/>
            <wp:docPr id="41" name="Graf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9" w:name="_Toc524332514"/>
      <w:r w:rsidRPr="001B7B0A">
        <w:rPr>
          <w:color w:val="FFFFFF" w:themeColor="background1"/>
          <w:sz w:val="4"/>
          <w:szCs w:val="4"/>
        </w:rPr>
        <w:lastRenderedPageBreak/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4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Počet mobilních telefonů na 1 člena domácností v Česku</w:t>
      </w:r>
      <w:bookmarkEnd w:id="9"/>
    </w:p>
    <w:p w:rsidR="00090B26" w:rsidRPr="002C3F58" w:rsidRDefault="00090B26" w:rsidP="00090B26">
      <w:pPr>
        <w:pStyle w:val="Zkladntext"/>
        <w:spacing w:before="0" w:after="120" w:line="288" w:lineRule="auto"/>
        <w:rPr>
          <w:i/>
          <w:color w:val="009BB4"/>
          <w:sz w:val="22"/>
        </w:rPr>
      </w:pPr>
      <w:r w:rsidRPr="002C3F58">
        <w:rPr>
          <w:noProof/>
        </w:rPr>
        <w:drawing>
          <wp:inline distT="0" distB="0" distL="0" distR="0" wp14:anchorId="462ECFFC" wp14:editId="0CEDD8B5">
            <wp:extent cx="3024000" cy="2520000"/>
            <wp:effectExtent l="0" t="0" r="5080" b="0"/>
            <wp:docPr id="42" name="Graf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745AC" w:rsidRDefault="007745AC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bCs/>
          <w:sz w:val="20"/>
          <w:szCs w:val="20"/>
        </w:rPr>
        <w:sectPr w:rsidR="007745AC" w:rsidSect="007745AC">
          <w:type w:val="continuous"/>
          <w:pgSz w:w="11906" w:h="16838" w:code="9"/>
          <w:pgMar w:top="1134" w:right="1134" w:bottom="1418" w:left="1134" w:header="680" w:footer="680" w:gutter="0"/>
          <w:cols w:num="2" w:space="708"/>
          <w:docGrid w:linePitch="360"/>
        </w:sectPr>
      </w:pP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bCs/>
          <w:sz w:val="20"/>
          <w:szCs w:val="20"/>
        </w:rPr>
      </w:pPr>
      <w:r w:rsidRPr="002C3F58">
        <w:rPr>
          <w:bCs/>
          <w:sz w:val="20"/>
          <w:szCs w:val="20"/>
        </w:rPr>
        <w:lastRenderedPageBreak/>
        <w:t xml:space="preserve">Česká republika patří společně s Finskem mezi dva státy EU s nejvyšším podílem domácností, které mají doma přístup </w:t>
      </w:r>
      <w:r w:rsidRPr="002C3F58">
        <w:rPr>
          <w:b/>
          <w:bCs/>
          <w:sz w:val="20"/>
          <w:szCs w:val="20"/>
        </w:rPr>
        <w:t>pouze k mobilnímu telefonu</w:t>
      </w:r>
      <w:r w:rsidRPr="002C3F58">
        <w:rPr>
          <w:bCs/>
          <w:sz w:val="20"/>
          <w:szCs w:val="20"/>
        </w:rPr>
        <w:t>, tj. nemají doma pevný telefon, ale pouze mobilní. V</w:t>
      </w:r>
      <w:r w:rsidR="009171D1">
        <w:rPr>
          <w:bCs/>
          <w:sz w:val="20"/>
          <w:szCs w:val="20"/>
        </w:rPr>
        <w:t> </w:t>
      </w:r>
      <w:r w:rsidRPr="002C3F58">
        <w:rPr>
          <w:bCs/>
          <w:sz w:val="20"/>
          <w:szCs w:val="20"/>
        </w:rPr>
        <w:t>roce</w:t>
      </w:r>
      <w:r w:rsidR="009171D1">
        <w:rPr>
          <w:bCs/>
          <w:sz w:val="20"/>
          <w:szCs w:val="20"/>
        </w:rPr>
        <w:t> </w:t>
      </w:r>
      <w:r w:rsidRPr="002C3F58">
        <w:rPr>
          <w:bCs/>
          <w:sz w:val="20"/>
          <w:szCs w:val="20"/>
        </w:rPr>
        <w:t>2015 takových domácností v případě České republiky bylo 84 %, v případě Finska dokonce 87 %. Průměr za EU28 dosáh</w:t>
      </w:r>
      <w:r w:rsidR="00E607E7">
        <w:rPr>
          <w:bCs/>
          <w:sz w:val="20"/>
          <w:szCs w:val="20"/>
        </w:rPr>
        <w:t>l ve stejném roce hodnoty 33 %.</w:t>
      </w:r>
    </w:p>
    <w:p w:rsidR="00090B26" w:rsidRPr="002C3F58" w:rsidRDefault="00090B26" w:rsidP="00E607E7">
      <w:pPr>
        <w:pStyle w:val="Nadpis3"/>
        <w:spacing w:before="240" w:after="120" w:line="264" w:lineRule="auto"/>
      </w:pPr>
      <w:bookmarkStart w:id="10" w:name="_Toc525303527"/>
      <w:r w:rsidRPr="002C3F58">
        <w:t>Výdaje domácností za telekomunikační služby</w:t>
      </w:r>
      <w:bookmarkEnd w:id="10"/>
    </w:p>
    <w:p w:rsidR="00090B26" w:rsidRPr="002C3F58" w:rsidRDefault="00090B26" w:rsidP="00E607E7">
      <w:pPr>
        <w:pStyle w:val="Zkladntext"/>
        <w:spacing w:before="0" w:after="80" w:line="264" w:lineRule="auto"/>
        <w:rPr>
          <w:i/>
          <w:sz w:val="20"/>
        </w:rPr>
      </w:pPr>
      <w:r w:rsidRPr="002C3F58">
        <w:rPr>
          <w:i/>
          <w:sz w:val="20"/>
        </w:rPr>
        <w:t xml:space="preserve">S rozšířením mobilních telefonů se mezi lety 1995 až 2005 také výrazně zvýšil podíl výdajů domácností za telekomunikační služby na jejich celkových výdajích. Následně ale nárůst i přes další rozšiřování mobilních telefonů výrazně zpomalil a v posledních letech v Česku i EU dokonce klesá. I tak ale Češi vydávají </w:t>
      </w:r>
      <w:r w:rsidR="00EB6DB2" w:rsidRPr="00EB6DB2">
        <w:rPr>
          <w:i/>
          <w:sz w:val="20"/>
        </w:rPr>
        <w:t xml:space="preserve">podobně jako občané všech novějších členských států Unie </w:t>
      </w:r>
      <w:r w:rsidRPr="002C3F58">
        <w:rPr>
          <w:i/>
          <w:sz w:val="20"/>
        </w:rPr>
        <w:t>za telekomunikační služby vyšší podíl svých celkových výdajů, než je průměr EU.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Cs/>
          <w:sz w:val="20"/>
          <w:szCs w:val="20"/>
        </w:rPr>
        <w:t xml:space="preserve">V roce 2016 vynaložily domácnosti v Česku </w:t>
      </w:r>
      <w:r w:rsidRPr="002C3F58">
        <w:rPr>
          <w:b/>
          <w:bCs/>
          <w:sz w:val="20"/>
          <w:szCs w:val="20"/>
        </w:rPr>
        <w:t>za telekomunikační služby celkem</w:t>
      </w:r>
      <w:r w:rsidRPr="002C3F58">
        <w:rPr>
          <w:rStyle w:val="Znakapoznpodarou"/>
          <w:b/>
          <w:bCs/>
          <w:sz w:val="20"/>
          <w:szCs w:val="20"/>
        </w:rPr>
        <w:footnoteReference w:id="3"/>
      </w:r>
      <w:r w:rsidRPr="002C3F58">
        <w:rPr>
          <w:bCs/>
          <w:sz w:val="20"/>
          <w:szCs w:val="20"/>
        </w:rPr>
        <w:t xml:space="preserve"> téměř 60 miliard Kč. Tyto výdaje tvořily 2,5 % z celkových výdajů domácností – před deseti lety (v roce 2006) to byla 3 % a naopak před dvaceti lety to bylo pouze 1,5 %.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1" w:name="_Toc524332515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5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Výdaje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domácností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Česku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za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telekomunikační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služby</w:t>
      </w:r>
      <w:bookmarkEnd w:id="11"/>
      <w:proofErr w:type="spellEnd"/>
      <w:r w:rsidRPr="001B7B0A">
        <w:rPr>
          <w:color w:val="FFFFFF" w:themeColor="background1"/>
          <w:sz w:val="4"/>
          <w:szCs w:val="4"/>
        </w:rPr>
        <w:t xml:space="preserve"> 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2" w:name="_Toc524332516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6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Výdaje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domácností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r w:rsidRPr="001B7B0A">
        <w:rPr>
          <w:color w:val="FFFFFF" w:themeColor="background1"/>
          <w:sz w:val="4"/>
          <w:szCs w:val="4"/>
        </w:rPr>
        <w:t xml:space="preserve">v Česku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za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vybrané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typy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telekomunikačních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služeb</w:t>
      </w:r>
      <w:bookmarkEnd w:id="12"/>
      <w:proofErr w:type="spellEnd"/>
    </w:p>
    <w:p w:rsidR="00090B26" w:rsidRPr="002C3F58" w:rsidRDefault="00090B26" w:rsidP="001B7B0A">
      <w:pPr>
        <w:pStyle w:val="Zkladntext"/>
        <w:spacing w:before="0" w:after="120" w:line="288" w:lineRule="auto"/>
        <w:rPr>
          <w:b/>
          <w:szCs w:val="20"/>
        </w:rPr>
      </w:pPr>
      <w:r w:rsidRPr="002C3F58">
        <w:rPr>
          <w:noProof/>
        </w:rPr>
        <w:drawing>
          <wp:inline distT="0" distB="0" distL="0" distR="0" wp14:anchorId="1B9F4949" wp14:editId="48CB2B78">
            <wp:extent cx="3060000" cy="2520000"/>
            <wp:effectExtent l="0" t="0" r="7620" b="0"/>
            <wp:docPr id="43" name="Graf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2C3F58">
        <w:rPr>
          <w:noProof/>
        </w:rPr>
        <w:drawing>
          <wp:inline distT="0" distB="0" distL="0" distR="0" wp14:anchorId="354F6C0B" wp14:editId="42F0A67B">
            <wp:extent cx="3024000" cy="2520000"/>
            <wp:effectExtent l="0" t="0" r="5080" b="0"/>
            <wp:docPr id="44" name="Graf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/>
          <w:sz w:val="20"/>
          <w:szCs w:val="20"/>
        </w:rPr>
        <w:lastRenderedPageBreak/>
        <w:t>Na jednoho člena domácnosti</w:t>
      </w:r>
      <w:r w:rsidRPr="002C3F58">
        <w:rPr>
          <w:rStyle w:val="Znakapoznpodarou"/>
          <w:sz w:val="20"/>
          <w:szCs w:val="20"/>
        </w:rPr>
        <w:footnoteReference w:id="4"/>
      </w:r>
      <w:r w:rsidRPr="002C3F58">
        <w:rPr>
          <w:b/>
          <w:sz w:val="20"/>
          <w:szCs w:val="20"/>
        </w:rPr>
        <w:t xml:space="preserve"> </w:t>
      </w:r>
      <w:r w:rsidRPr="002C3F58">
        <w:rPr>
          <w:sz w:val="20"/>
          <w:szCs w:val="20"/>
        </w:rPr>
        <w:t xml:space="preserve">bylo v roce 2016 za telekomunikační služby zaplaceno v průměru 4,7 tisíc korun s tím, že v domácnostech s nejvyššími příjmy (pátý příjmový </w:t>
      </w:r>
      <w:proofErr w:type="spellStart"/>
      <w:r w:rsidRPr="002C3F58">
        <w:rPr>
          <w:sz w:val="20"/>
          <w:szCs w:val="20"/>
        </w:rPr>
        <w:t>kvintil</w:t>
      </w:r>
      <w:proofErr w:type="spellEnd"/>
      <w:r w:rsidRPr="002C3F58">
        <w:rPr>
          <w:sz w:val="20"/>
          <w:szCs w:val="20"/>
        </w:rPr>
        <w:t>) dosáhl tento výdaj cca</w:t>
      </w:r>
      <w:r w:rsidR="00080DC7">
        <w:rPr>
          <w:sz w:val="20"/>
          <w:szCs w:val="20"/>
        </w:rPr>
        <w:t> </w:t>
      </w:r>
      <w:r w:rsidRPr="002C3F58">
        <w:rPr>
          <w:sz w:val="20"/>
          <w:szCs w:val="20"/>
        </w:rPr>
        <w:t xml:space="preserve">6,3 tisíc korun a v domácnostech s příjmy nejnižšími (první příjmový </w:t>
      </w:r>
      <w:proofErr w:type="spellStart"/>
      <w:r w:rsidRPr="002C3F58">
        <w:rPr>
          <w:sz w:val="20"/>
          <w:szCs w:val="20"/>
        </w:rPr>
        <w:t>kvintil</w:t>
      </w:r>
      <w:proofErr w:type="spellEnd"/>
      <w:r w:rsidRPr="002C3F58">
        <w:rPr>
          <w:sz w:val="20"/>
          <w:szCs w:val="20"/>
        </w:rPr>
        <w:t xml:space="preserve">) 3,7 tisíc korun.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Od začátku nového desetiletí dochází v Česku k poklesu spotřebních výdajů domácností za telekomunikační služby </w:t>
      </w:r>
      <w:r w:rsidRPr="002C3F58">
        <w:rPr>
          <w:b/>
          <w:sz w:val="20"/>
          <w:szCs w:val="20"/>
        </w:rPr>
        <w:t>připadajících na 1 jejího člena</w:t>
      </w:r>
      <w:r w:rsidRPr="002C3F58">
        <w:rPr>
          <w:sz w:val="20"/>
          <w:szCs w:val="20"/>
        </w:rPr>
        <w:t>, a to z 5 tisíc v roce 2010 na výše zmíněných 4,7 tisíc Kč v roce 2016.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I když domácnosti s nejnižšími příjmy utratí ročně v průměru na jednoho člena domácnosti za telekomunikační služby o cca 2,5 tisíce korun méně než domácnosti s příjmem nejvyšším, zaujímají tyto výdaje na jejich </w:t>
      </w:r>
      <w:r w:rsidRPr="002C3F58">
        <w:rPr>
          <w:b/>
          <w:sz w:val="20"/>
          <w:szCs w:val="20"/>
        </w:rPr>
        <w:t>celkových spotřebních výdajích</w:t>
      </w:r>
      <w:r w:rsidRPr="002C3F58">
        <w:rPr>
          <w:sz w:val="20"/>
          <w:szCs w:val="20"/>
        </w:rPr>
        <w:t xml:space="preserve"> vyšší podíl (4,4 % vs. 3,2 % v roce 2016).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Cs/>
          <w:sz w:val="20"/>
          <w:szCs w:val="20"/>
        </w:rPr>
        <w:t xml:space="preserve">Nejvíce domácnosti utrácejí </w:t>
      </w:r>
      <w:r w:rsidRPr="002C3F58">
        <w:rPr>
          <w:b/>
          <w:bCs/>
          <w:sz w:val="20"/>
          <w:szCs w:val="20"/>
        </w:rPr>
        <w:t>za provoz mobilního telefonu</w:t>
      </w:r>
      <w:r w:rsidRPr="002C3F58">
        <w:rPr>
          <w:bCs/>
          <w:sz w:val="20"/>
          <w:szCs w:val="20"/>
        </w:rPr>
        <w:t xml:space="preserve"> (67 % celkových výdajů domácností za telekomunikační služby – údaj za rok 2016). Další, ale už méně významnou položkou, jsou výdaje za </w:t>
      </w:r>
      <w:r w:rsidRPr="002C3F58">
        <w:rPr>
          <w:b/>
          <w:bCs/>
          <w:sz w:val="20"/>
          <w:szCs w:val="20"/>
        </w:rPr>
        <w:t>internetové připojení</w:t>
      </w:r>
      <w:r w:rsidRPr="002C3F58">
        <w:rPr>
          <w:bCs/>
          <w:sz w:val="20"/>
          <w:szCs w:val="20"/>
        </w:rPr>
        <w:t xml:space="preserve"> (29 %), které však v čase rostou. Ve srovnání se situací před 10 lety utrácí české domácnosti podstatně </w:t>
      </w:r>
      <w:r w:rsidRPr="002C3F58">
        <w:rPr>
          <w:b/>
          <w:bCs/>
          <w:sz w:val="20"/>
          <w:szCs w:val="20"/>
        </w:rPr>
        <w:t>méně za provoz pevného telefonu.</w:t>
      </w:r>
      <w:r w:rsidRPr="002C3F58">
        <w:rPr>
          <w:sz w:val="20"/>
          <w:szCs w:val="20"/>
        </w:rPr>
        <w:t xml:space="preserve"> Zatímco v roce 1995 byla téměř celá částka, kterou domácnosti utratily za telekomunikační služby, vydána na </w:t>
      </w:r>
      <w:r w:rsidRPr="002C3F58">
        <w:rPr>
          <w:b/>
          <w:sz w:val="20"/>
          <w:szCs w:val="20"/>
        </w:rPr>
        <w:t>provoz pevných telefonních linek</w:t>
      </w:r>
      <w:r w:rsidRPr="002C3F58">
        <w:rPr>
          <w:sz w:val="20"/>
          <w:szCs w:val="20"/>
        </w:rPr>
        <w:t>, tak v roce 2010 šlo jen o deset procent a v roce 2016 již jen o 4 %.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3" w:name="_Toc524332517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7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Podíl telekomunikačních služeb na celkových výdajích domácností </w:t>
      </w:r>
      <w:r w:rsidRPr="001B7B0A">
        <w:rPr>
          <w:color w:val="FFFFFF" w:themeColor="background1"/>
          <w:sz w:val="4"/>
          <w:szCs w:val="4"/>
          <w:lang w:val="en-US"/>
        </w:rPr>
        <w:t xml:space="preserve">v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zemích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EU</w:t>
      </w:r>
      <w:bookmarkEnd w:id="13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</w:rPr>
      </w:pPr>
      <w:r w:rsidRPr="002C3F58">
        <w:rPr>
          <w:noProof/>
        </w:rPr>
        <w:drawing>
          <wp:inline distT="0" distB="0" distL="0" distR="0" wp14:anchorId="252F9746" wp14:editId="2DCB230F">
            <wp:extent cx="5972810" cy="3182400"/>
            <wp:effectExtent l="0" t="0" r="0" b="0"/>
            <wp:docPr id="45" name="Graf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90B26" w:rsidRPr="002C3F58" w:rsidRDefault="00090B26" w:rsidP="00E607E7">
      <w:pPr>
        <w:pStyle w:val="Zkladntext"/>
        <w:numPr>
          <w:ilvl w:val="0"/>
          <w:numId w:val="16"/>
        </w:numPr>
        <w:spacing w:before="0" w:after="80" w:line="264" w:lineRule="auto"/>
        <w:ind w:left="357" w:hanging="357"/>
        <w:rPr>
          <w:sz w:val="20"/>
          <w:szCs w:val="20"/>
        </w:rPr>
      </w:pPr>
      <w:r w:rsidRPr="002C3F58">
        <w:rPr>
          <w:bCs/>
          <w:sz w:val="20"/>
          <w:szCs w:val="20"/>
        </w:rPr>
        <w:t>Od roku 2002 je podíl telekomunikačních služeb na celkových výdajích domácností v Česku vyšší</w:t>
      </w:r>
      <w:r>
        <w:rPr>
          <w:bCs/>
          <w:sz w:val="20"/>
          <w:szCs w:val="20"/>
        </w:rPr>
        <w:t>,</w:t>
      </w:r>
      <w:r w:rsidRPr="002C3F58">
        <w:rPr>
          <w:bCs/>
          <w:sz w:val="20"/>
          <w:szCs w:val="20"/>
        </w:rPr>
        <w:t xml:space="preserve"> než je průměr za země EU. V roce 2016 dosáhl průměr EU hodnoty 2,1 %, v Česku pak 2,5 %. </w:t>
      </w:r>
      <w:r w:rsidRPr="002C3F58">
        <w:rPr>
          <w:b/>
          <w:bCs/>
          <w:sz w:val="20"/>
          <w:szCs w:val="20"/>
        </w:rPr>
        <w:t>Nejvyšší podíl</w:t>
      </w:r>
      <w:r w:rsidRPr="002C3F58">
        <w:rPr>
          <w:bCs/>
          <w:sz w:val="20"/>
          <w:szCs w:val="20"/>
        </w:rPr>
        <w:t xml:space="preserve"> těchto výdajů mají domácnosti v Řecku (4,3 %) v Rumunsku (4,0 %), Bulharsku (3,6 %), Maďarsku (3,6 %) a na Slovensku (3,1 %), </w:t>
      </w:r>
      <w:r w:rsidRPr="002C3F58">
        <w:rPr>
          <w:b/>
          <w:bCs/>
          <w:sz w:val="20"/>
          <w:szCs w:val="20"/>
        </w:rPr>
        <w:t xml:space="preserve">nejnižší </w:t>
      </w:r>
      <w:r w:rsidRPr="002C3F58">
        <w:rPr>
          <w:bCs/>
          <w:sz w:val="20"/>
          <w:szCs w:val="20"/>
        </w:rPr>
        <w:t xml:space="preserve">naproti tomu domácnosti v Lucembursku a v Rakousku (shodný podíl 1,4 % na celkových výdajích domácností). </w:t>
      </w:r>
    </w:p>
    <w:p w:rsidR="00090B26" w:rsidRPr="002C3F58" w:rsidRDefault="00090B26" w:rsidP="00090B26">
      <w:pPr>
        <w:spacing w:line="240" w:lineRule="auto"/>
        <w:rPr>
          <w:bCs/>
          <w:szCs w:val="20"/>
        </w:rPr>
      </w:pPr>
      <w:r w:rsidRPr="002C3F58">
        <w:rPr>
          <w:bCs/>
          <w:szCs w:val="20"/>
        </w:rPr>
        <w:br w:type="page"/>
      </w:r>
    </w:p>
    <w:p w:rsidR="00090B26" w:rsidRPr="002C3F58" w:rsidRDefault="00090B26" w:rsidP="00E607E7">
      <w:pPr>
        <w:pStyle w:val="Nadpis2"/>
        <w:spacing w:before="240" w:after="120" w:line="264" w:lineRule="auto"/>
      </w:pPr>
      <w:bookmarkStart w:id="14" w:name="_Toc525303528"/>
      <w:r w:rsidRPr="002C3F58">
        <w:lastRenderedPageBreak/>
        <w:t>B. 2 Domácnosti a počítač</w:t>
      </w:r>
      <w:bookmarkEnd w:id="14"/>
    </w:p>
    <w:p w:rsidR="00090B26" w:rsidRPr="002C3F58" w:rsidRDefault="00090B26" w:rsidP="00E607E7">
      <w:pPr>
        <w:pStyle w:val="Zkladntext"/>
        <w:spacing w:before="0" w:after="80" w:line="264" w:lineRule="auto"/>
        <w:rPr>
          <w:i/>
          <w:sz w:val="20"/>
        </w:rPr>
      </w:pPr>
      <w:r w:rsidRPr="002C3F58">
        <w:rPr>
          <w:i/>
          <w:sz w:val="20"/>
        </w:rPr>
        <w:t>V devadesátých letech minulého století nebylo pro české domácnosti obvyklé vlastnit osobní počítač, a i na začátku nového tisíciletí byl počítač v našich domácnostech spíše výjimkou.</w:t>
      </w:r>
      <w:r w:rsidRPr="002C3F58" w:rsidDel="00DE531D">
        <w:rPr>
          <w:i/>
          <w:sz w:val="20"/>
        </w:rPr>
        <w:t xml:space="preserve"> </w:t>
      </w:r>
      <w:r w:rsidRPr="002C3F58">
        <w:rPr>
          <w:i/>
          <w:sz w:val="20"/>
        </w:rPr>
        <w:t xml:space="preserve">Od roku 2005 ale jejich počet rychle narůstá a v současné době počítač mají, stejně jako televizi či jinou spotřební elektroniku, již téměř všechny domácnosti, které toto vybavení doma mít chtějí či umějí používat. </w:t>
      </w:r>
    </w:p>
    <w:p w:rsidR="00090B26" w:rsidRPr="002C3F58" w:rsidRDefault="00090B26" w:rsidP="00E607E7">
      <w:pPr>
        <w:pStyle w:val="Nadpis3"/>
        <w:spacing w:before="240" w:after="120" w:line="264" w:lineRule="auto"/>
      </w:pPr>
      <w:bookmarkStart w:id="15" w:name="_Toc525303529"/>
      <w:r w:rsidRPr="002C3F58">
        <w:t>Přístup domácností k počítači</w:t>
      </w:r>
      <w:bookmarkEnd w:id="15"/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  <w:lang w:val="en-US"/>
        </w:rPr>
      </w:pPr>
      <w:bookmarkStart w:id="16" w:name="_Toc524332518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8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Domácnosti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Česku</w:t>
      </w:r>
      <w:proofErr w:type="spellEnd"/>
      <w:r w:rsidRPr="001B7B0A">
        <w:rPr>
          <w:color w:val="FFFFFF" w:themeColor="background1"/>
          <w:sz w:val="4"/>
          <w:szCs w:val="4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mající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doma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počítač</w:t>
      </w:r>
      <w:bookmarkEnd w:id="16"/>
      <w:proofErr w:type="spellEnd"/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7" w:name="_Toc524332519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9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Domácnosti v Česku podle typu používaného počítače</w:t>
      </w:r>
      <w:bookmarkEnd w:id="17"/>
    </w:p>
    <w:p w:rsidR="00090B26" w:rsidRPr="00E607E7" w:rsidRDefault="00090B26" w:rsidP="00090B26">
      <w:pPr>
        <w:pStyle w:val="Zkladntext"/>
        <w:spacing w:before="0" w:after="120" w:line="288" w:lineRule="auto"/>
        <w:rPr>
          <w:b/>
          <w:i/>
          <w:sz w:val="20"/>
        </w:rPr>
      </w:pPr>
      <w:r w:rsidRPr="002C3F58">
        <w:rPr>
          <w:noProof/>
        </w:rPr>
        <w:drawing>
          <wp:inline distT="0" distB="0" distL="0" distR="0" wp14:anchorId="650CCCFD" wp14:editId="3720FE3F">
            <wp:extent cx="3019246" cy="2613803"/>
            <wp:effectExtent l="0" t="0" r="0" b="0"/>
            <wp:docPr id="46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2C3F58">
        <w:rPr>
          <w:noProof/>
        </w:rPr>
        <w:drawing>
          <wp:inline distT="0" distB="0" distL="0" distR="0" wp14:anchorId="07C685CA" wp14:editId="6607541F">
            <wp:extent cx="3060000" cy="2556000"/>
            <wp:effectExtent l="0" t="0" r="7620" b="15875"/>
            <wp:docPr id="47" name="Graf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bCs/>
          <w:sz w:val="20"/>
          <w:szCs w:val="20"/>
        </w:rPr>
      </w:pPr>
      <w:r w:rsidRPr="002C3F58">
        <w:rPr>
          <w:bCs/>
          <w:sz w:val="20"/>
          <w:szCs w:val="20"/>
        </w:rPr>
        <w:t xml:space="preserve">Od roku 2005 v Česku rychle narůstá počet </w:t>
      </w:r>
      <w:r w:rsidRPr="002C3F58">
        <w:rPr>
          <w:b/>
          <w:bCs/>
          <w:sz w:val="20"/>
          <w:szCs w:val="20"/>
        </w:rPr>
        <w:t>domácností s počítačem</w:t>
      </w:r>
      <w:r w:rsidRPr="002C3F58">
        <w:rPr>
          <w:rStyle w:val="Znakapoznpodarou"/>
          <w:b/>
          <w:bCs/>
          <w:sz w:val="20"/>
          <w:szCs w:val="20"/>
        </w:rPr>
        <w:footnoteReference w:id="5"/>
      </w:r>
      <w:r w:rsidRPr="002C3F58">
        <w:rPr>
          <w:bCs/>
          <w:sz w:val="20"/>
          <w:szCs w:val="20"/>
        </w:rPr>
        <w:t>. Jen za posledních deset let se jejich počet téměř zdvojnásobil a ve 2. čtvrtletí 2017 jich bylo již 3,3 milionu, což představuje 76 % ze všech domácností.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Výrazně více jsou počítačem vybaveny </w:t>
      </w:r>
      <w:r w:rsidRPr="002C3F58">
        <w:rPr>
          <w:b/>
          <w:sz w:val="20"/>
          <w:szCs w:val="20"/>
        </w:rPr>
        <w:t>domácnosti s dětmi</w:t>
      </w:r>
      <w:r w:rsidRPr="002C3F58">
        <w:rPr>
          <w:sz w:val="20"/>
          <w:szCs w:val="20"/>
        </w:rPr>
        <w:t xml:space="preserve"> a </w:t>
      </w:r>
      <w:r w:rsidRPr="002C3F58">
        <w:rPr>
          <w:b/>
          <w:sz w:val="20"/>
          <w:szCs w:val="20"/>
        </w:rPr>
        <w:t>mladé domácnosti</w:t>
      </w:r>
      <w:r w:rsidRPr="002C3F58">
        <w:rPr>
          <w:sz w:val="20"/>
          <w:szCs w:val="20"/>
        </w:rPr>
        <w:t xml:space="preserve"> (osob do 40 let bez dětí), počítač má již většina z nich (95 % případů). Naopak u </w:t>
      </w:r>
      <w:r w:rsidRPr="002C3F58">
        <w:rPr>
          <w:b/>
          <w:sz w:val="20"/>
          <w:szCs w:val="20"/>
        </w:rPr>
        <w:t>důchodců</w:t>
      </w:r>
      <w:r w:rsidRPr="002C3F58">
        <w:rPr>
          <w:sz w:val="20"/>
          <w:szCs w:val="20"/>
        </w:rPr>
        <w:t xml:space="preserve"> (osob starších 65 let) je počítač stále jen v necelé třetině domácností. Z milionu domácností, které v roce 2017 neměly počítač, jich tak téměř dvě třetiny připadly právě na domácnosti seniorů.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Zřejmě nepřekvapí, že domácnosti </w:t>
      </w:r>
      <w:r w:rsidRPr="002C3F58">
        <w:rPr>
          <w:b/>
          <w:sz w:val="20"/>
          <w:szCs w:val="20"/>
        </w:rPr>
        <w:t>s vyššími příjmy</w:t>
      </w:r>
      <w:r w:rsidRPr="002C3F58">
        <w:rPr>
          <w:sz w:val="20"/>
          <w:szCs w:val="20"/>
        </w:rPr>
        <w:t xml:space="preserve"> jsou počítači vybaveny výrazně častěji, než domácnosti </w:t>
      </w:r>
      <w:r w:rsidRPr="002C3F58">
        <w:rPr>
          <w:b/>
          <w:sz w:val="20"/>
          <w:szCs w:val="20"/>
        </w:rPr>
        <w:t>nízkopříjmové</w:t>
      </w:r>
      <w:r w:rsidRPr="002C3F58">
        <w:rPr>
          <w:sz w:val="20"/>
          <w:szCs w:val="20"/>
        </w:rPr>
        <w:t>. Zatímco v roce 2017 počítač neměla více než polovina (59 %) domácností s nejnižšími příjmy – jde především o výše zmíněné domácnosti důchodců, v domácnostech s nejvyššími příjmy se počítač nenacházel pouze u 1,5 % z nich.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8" w:name="_Toc524332520"/>
      <w:r w:rsidRPr="001B7B0A">
        <w:rPr>
          <w:color w:val="FFFFFF" w:themeColor="background1"/>
          <w:sz w:val="4"/>
          <w:szCs w:val="4"/>
        </w:rPr>
        <w:lastRenderedPageBreak/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10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Podíl d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omácnost</w:t>
      </w:r>
      <w:proofErr w:type="spellEnd"/>
      <w:r w:rsidRPr="001B7B0A">
        <w:rPr>
          <w:color w:val="FFFFFF" w:themeColor="background1"/>
          <w:sz w:val="4"/>
          <w:szCs w:val="4"/>
        </w:rPr>
        <w:t xml:space="preserve">í </w:t>
      </w:r>
      <w:r w:rsidRPr="001B7B0A">
        <w:rPr>
          <w:color w:val="FFFFFF" w:themeColor="background1"/>
          <w:sz w:val="4"/>
          <w:szCs w:val="4"/>
          <w:lang w:val="en-US"/>
        </w:rPr>
        <w:t xml:space="preserve">v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zemích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EU s </w:t>
      </w:r>
      <w:r w:rsidRPr="001B7B0A">
        <w:rPr>
          <w:color w:val="FFFFFF" w:themeColor="background1"/>
          <w:sz w:val="4"/>
          <w:szCs w:val="4"/>
        </w:rPr>
        <w:t>počítačem</w:t>
      </w:r>
      <w:bookmarkEnd w:id="18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</w:rPr>
      </w:pPr>
      <w:r w:rsidRPr="002C3F58">
        <w:rPr>
          <w:noProof/>
        </w:rPr>
        <w:drawing>
          <wp:inline distT="0" distB="0" distL="0" distR="0" wp14:anchorId="42331CE0" wp14:editId="3DE7A1A1">
            <wp:extent cx="5972810" cy="3180715"/>
            <wp:effectExtent l="0" t="0" r="0" b="0"/>
            <wp:docPr id="48" name="Graf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Za posledních deset let vzrostl podíl domácností s počítačem v průměru za státy EU z 64 % v roce 2007 na 84 % v roce 2017. Přestože patříme ke státům EU, kde za posledních deset let došlo k největšímu rozvoji ve vybavenosti domácností počítači, stále zaostáváme za výše uvedeným </w:t>
      </w:r>
      <w:r w:rsidRPr="002C3F58">
        <w:rPr>
          <w:b/>
          <w:sz w:val="20"/>
          <w:szCs w:val="20"/>
        </w:rPr>
        <w:t>evropským průměrem</w:t>
      </w:r>
      <w:r w:rsidRPr="002C3F58">
        <w:rPr>
          <w:sz w:val="20"/>
          <w:szCs w:val="20"/>
        </w:rPr>
        <w:t>. V roce 2017 mělo přístup k počítači doma 82 % českých domácností (</w:t>
      </w:r>
      <w:r w:rsidRPr="002C3F58">
        <w:rPr>
          <w:i/>
          <w:sz w:val="20"/>
          <w:szCs w:val="20"/>
        </w:rPr>
        <w:t>jde o údaje pouze za domácnosti, ve kterých žije alespoň jedna osoba ve věku 16‒74 let</w:t>
      </w:r>
      <w:r w:rsidRPr="002C3F58">
        <w:rPr>
          <w:sz w:val="20"/>
          <w:szCs w:val="20"/>
        </w:rPr>
        <w:t xml:space="preserve">), tj. stále o dva procentní body méně než byl průměr za EU28.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Počítač je ze </w:t>
      </w:r>
      <w:r w:rsidRPr="002C3F58">
        <w:rPr>
          <w:b/>
          <w:sz w:val="20"/>
          <w:szCs w:val="20"/>
        </w:rPr>
        <w:t xml:space="preserve">zemí EU </w:t>
      </w:r>
      <w:r w:rsidRPr="002C3F58">
        <w:rPr>
          <w:sz w:val="20"/>
          <w:szCs w:val="20"/>
        </w:rPr>
        <w:t xml:space="preserve">nejvíce rozšířen v Nizozemsku, kde 98 % domácností uvedlo, že mělo doma přístup k počítači. Vysoká vybavenost počítači – nad 90 % ‒ je také ve skandinávských domácnostech, v Lucembursku, ve Velké Británii či v Německu. Naopak v Bulharsku neměla počítač stále více jak třetina (37 %) domácností. </w:t>
      </w:r>
    </w:p>
    <w:p w:rsidR="00090B26" w:rsidRPr="002C3F58" w:rsidRDefault="00090B26" w:rsidP="00E607E7">
      <w:pPr>
        <w:pStyle w:val="Nadpis3"/>
        <w:spacing w:before="240" w:after="120" w:line="264" w:lineRule="auto"/>
      </w:pPr>
      <w:bookmarkStart w:id="19" w:name="_Toc525303530"/>
      <w:r w:rsidRPr="002C3F58">
        <w:t>Typ a počet počítačů používaných v českých domácnostech</w:t>
      </w:r>
      <w:bookmarkEnd w:id="19"/>
    </w:p>
    <w:p w:rsidR="00090B26" w:rsidRPr="002C3F58" w:rsidRDefault="00090B26" w:rsidP="00E607E7">
      <w:pPr>
        <w:pStyle w:val="Zkladntext"/>
        <w:spacing w:before="0" w:after="80" w:line="264" w:lineRule="auto"/>
        <w:rPr>
          <w:i/>
          <w:sz w:val="20"/>
        </w:rPr>
      </w:pPr>
      <w:r w:rsidRPr="002C3F58">
        <w:rPr>
          <w:i/>
          <w:sz w:val="20"/>
        </w:rPr>
        <w:t>V posledních letech dochází k výraznému posunu ve velikosti a mobilitě počítačů používaných v našich domovech. Až do roku 2013 dominovaly v českých domácnostech stolní počítače, v roce 2014 se nadvlády ujaly počítače přenosné (notebook nebo tablet). V době, kdy již téměř všechny domácnosti, které počítač chtějí, alespoň jeden doma mají, se údaje o druhu a případně i počtu používaných počítačů ukazují jako lepší způsob měření tzv. digitální nerovnosti ve vybavenosti touto technologií než počet domácností vybavených počítačem obecně.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Zatímco celkový počet domácností s počítačem v posledních letech již v Česku výrazně neroste, podíl domácností, které mají </w:t>
      </w:r>
      <w:r w:rsidRPr="002C3F58">
        <w:rPr>
          <w:b/>
          <w:sz w:val="20"/>
          <w:szCs w:val="20"/>
        </w:rPr>
        <w:t>přenosný počítač (notebook nebo tablet)</w:t>
      </w:r>
      <w:r w:rsidRPr="002C3F58">
        <w:rPr>
          <w:sz w:val="20"/>
          <w:szCs w:val="20"/>
        </w:rPr>
        <w:t xml:space="preserve">, se dále zvyšuje. V roce 2017 se nacházel již v 62 % domácností ‒ před deseti lety ho přitom vlastnila pouze desetina. Ještě v roce 2011 polovina z počítačem vybavených domácností v Česku měla doma pouze jeho stolní formu a jen pětina pouze počítač přenosný, v roce 2017 byly tyto poměry přesně naopak.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/>
          <w:sz w:val="20"/>
          <w:szCs w:val="20"/>
        </w:rPr>
        <w:t>Notebook</w:t>
      </w:r>
      <w:r w:rsidRPr="002C3F58">
        <w:rPr>
          <w:sz w:val="20"/>
          <w:szCs w:val="20"/>
        </w:rPr>
        <w:t xml:space="preserve"> nejčastěji používají mladé domácnosti bez dětí (83 %) a pro tři čtvrtiny z nich je to navíc jediný typ počítače, který doma mají. Také tři čtvrtiny rodin s dětmi využívají především notebook.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V roce 2017 téměř ve čtvrtině domácností v Česku mohl doma někdo z jeho členů používat </w:t>
      </w:r>
      <w:r w:rsidRPr="002C3F58">
        <w:rPr>
          <w:b/>
          <w:sz w:val="20"/>
          <w:szCs w:val="20"/>
        </w:rPr>
        <w:t>tablet</w:t>
      </w:r>
      <w:r w:rsidRPr="002C3F58">
        <w:rPr>
          <w:sz w:val="20"/>
          <w:szCs w:val="20"/>
        </w:rPr>
        <w:t xml:space="preserve">, nejčastěji se jednalo o </w:t>
      </w:r>
      <w:r w:rsidRPr="002C3F58">
        <w:rPr>
          <w:b/>
          <w:sz w:val="20"/>
          <w:szCs w:val="20"/>
        </w:rPr>
        <w:t>domácnosti s dětmi</w:t>
      </w:r>
      <w:r w:rsidRPr="002C3F58">
        <w:rPr>
          <w:sz w:val="20"/>
          <w:szCs w:val="20"/>
        </w:rPr>
        <w:t xml:space="preserve">, kde se tablet vyskytoval v 46 % takových domácností. V domácnostech osob starších 65 let se naproti tomu tablet nacházel jen ve 3 % případů.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Jak bylo již uvedeno výše, až do roku 2013 dominovaly v českých domácnostech </w:t>
      </w:r>
      <w:r w:rsidRPr="002C3F58">
        <w:rPr>
          <w:b/>
          <w:sz w:val="20"/>
          <w:szCs w:val="20"/>
        </w:rPr>
        <w:t>stolní počítače</w:t>
      </w:r>
      <w:r w:rsidRPr="002C3F58">
        <w:rPr>
          <w:sz w:val="20"/>
          <w:szCs w:val="20"/>
        </w:rPr>
        <w:t>, které ovšem v dnešní době (2. čtvrtletí 2017) převažují již pouze v domácnostech seniorů. Necelá polovina (44 %) domácností seniorů s počítačem má doma stále pouze jeho stolní verzi.</w:t>
      </w:r>
    </w:p>
    <w:p w:rsidR="001B7B0A" w:rsidRDefault="001B7B0A" w:rsidP="001B7B0A">
      <w:pPr>
        <w:pStyle w:val="Titulek"/>
        <w:keepNext/>
        <w:jc w:val="both"/>
        <w:sectPr w:rsidR="001B7B0A" w:rsidSect="006D0F31">
          <w:type w:val="continuous"/>
          <w:pgSz w:w="11906" w:h="16838" w:code="9"/>
          <w:pgMar w:top="1134" w:right="1134" w:bottom="1418" w:left="1134" w:header="680" w:footer="680" w:gutter="0"/>
          <w:cols w:space="708"/>
          <w:docGrid w:linePitch="360"/>
        </w:sectPr>
      </w:pP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0" w:name="_Toc524332521"/>
      <w:r w:rsidRPr="001B7B0A">
        <w:rPr>
          <w:color w:val="FFFFFF" w:themeColor="background1"/>
          <w:sz w:val="4"/>
          <w:szCs w:val="4"/>
        </w:rPr>
        <w:lastRenderedPageBreak/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11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Domácnosti v Česku mající doma přenosný počítač (notebook nebo tablet)</w:t>
      </w:r>
      <w:bookmarkEnd w:id="20"/>
    </w:p>
    <w:p w:rsidR="001B7B0A" w:rsidRDefault="00090B26" w:rsidP="00090B26">
      <w:pPr>
        <w:pStyle w:val="Zkladntext"/>
        <w:spacing w:before="0" w:after="120" w:line="288" w:lineRule="auto"/>
      </w:pPr>
      <w:r w:rsidRPr="002C3F58">
        <w:rPr>
          <w:noProof/>
        </w:rPr>
        <w:drawing>
          <wp:inline distT="0" distB="0" distL="0" distR="0" wp14:anchorId="7A3078AC" wp14:editId="309260DC">
            <wp:extent cx="2952000" cy="2700000"/>
            <wp:effectExtent l="0" t="0" r="1270" b="24765"/>
            <wp:docPr id="49" name="Graf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2C3F58">
        <w:rPr>
          <w:noProof/>
          <w:lang w:eastAsia="en-US"/>
        </w:rPr>
        <w:t xml:space="preserve"> </w:t>
      </w:r>
    </w:p>
    <w:p w:rsidR="001B7B0A" w:rsidRPr="00080DC7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1" w:name="_Toc524332522"/>
      <w:r w:rsidRPr="00080DC7">
        <w:rPr>
          <w:color w:val="FFFFFF" w:themeColor="background1"/>
          <w:sz w:val="4"/>
          <w:szCs w:val="4"/>
        </w:rPr>
        <w:lastRenderedPageBreak/>
        <w:t>Graf B</w:t>
      </w:r>
      <w:r w:rsidRPr="00080DC7">
        <w:rPr>
          <w:color w:val="FFFFFF" w:themeColor="background1"/>
          <w:sz w:val="4"/>
          <w:szCs w:val="4"/>
        </w:rPr>
        <w:fldChar w:fldCharType="begin"/>
      </w:r>
      <w:r w:rsidRPr="00080DC7">
        <w:rPr>
          <w:color w:val="FFFFFF" w:themeColor="background1"/>
          <w:sz w:val="4"/>
          <w:szCs w:val="4"/>
        </w:rPr>
        <w:instrText xml:space="preserve"> SEQ Graf_B \* ARABIC </w:instrText>
      </w:r>
      <w:r w:rsidRPr="00080DC7">
        <w:rPr>
          <w:color w:val="FFFFFF" w:themeColor="background1"/>
          <w:sz w:val="4"/>
          <w:szCs w:val="4"/>
        </w:rPr>
        <w:fldChar w:fldCharType="separate"/>
      </w:r>
      <w:r w:rsidRPr="00080DC7">
        <w:rPr>
          <w:noProof/>
          <w:color w:val="FFFFFF" w:themeColor="background1"/>
          <w:sz w:val="4"/>
          <w:szCs w:val="4"/>
        </w:rPr>
        <w:t>12</w:t>
      </w:r>
      <w:r w:rsidRPr="00080DC7">
        <w:rPr>
          <w:color w:val="FFFFFF" w:themeColor="background1"/>
          <w:sz w:val="4"/>
          <w:szCs w:val="4"/>
        </w:rPr>
        <w:fldChar w:fldCharType="end"/>
      </w:r>
      <w:r w:rsidRPr="00080DC7">
        <w:rPr>
          <w:rFonts w:eastAsiaTheme="minorEastAsia" w:cs="Arial"/>
          <w:b w:val="0"/>
          <w:bCs w:val="0"/>
          <w:color w:val="FFFFFF" w:themeColor="background1"/>
          <w:kern w:val="24"/>
          <w:sz w:val="4"/>
          <w:szCs w:val="4"/>
        </w:rPr>
        <w:t xml:space="preserve"> </w:t>
      </w:r>
      <w:r w:rsidRPr="00080DC7">
        <w:rPr>
          <w:color w:val="FFFFFF" w:themeColor="background1"/>
          <w:sz w:val="4"/>
          <w:szCs w:val="4"/>
        </w:rPr>
        <w:t>Počítače používané v Č</w:t>
      </w:r>
      <w:r w:rsidR="00FA6197" w:rsidRPr="00080DC7">
        <w:rPr>
          <w:color w:val="FFFFFF" w:themeColor="background1"/>
          <w:sz w:val="4"/>
          <w:szCs w:val="4"/>
        </w:rPr>
        <w:t xml:space="preserve">esku ve vybraných domácnostech </w:t>
      </w:r>
      <w:r w:rsidRPr="00080DC7">
        <w:rPr>
          <w:color w:val="FFFFFF" w:themeColor="background1"/>
          <w:sz w:val="4"/>
          <w:szCs w:val="4"/>
        </w:rPr>
        <w:t>v roce 2017</w:t>
      </w:r>
      <w:bookmarkEnd w:id="21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</w:rPr>
      </w:pPr>
      <w:r w:rsidRPr="002C3F58">
        <w:rPr>
          <w:noProof/>
        </w:rPr>
        <w:drawing>
          <wp:inline distT="0" distB="0" distL="0" distR="0" wp14:anchorId="7A9AB3DB" wp14:editId="1BF2D3E5">
            <wp:extent cx="3132000" cy="2700000"/>
            <wp:effectExtent l="0" t="0" r="0" b="5715"/>
            <wp:docPr id="50" name="Graf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B7B0A" w:rsidRDefault="001B7B0A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  <w:sectPr w:rsidR="001B7B0A" w:rsidSect="001B7B0A">
          <w:type w:val="continuous"/>
          <w:pgSz w:w="11906" w:h="16838" w:code="9"/>
          <w:pgMar w:top="1134" w:right="1134" w:bottom="1418" w:left="1134" w:header="680" w:footer="680" w:gutter="0"/>
          <w:cols w:num="2" w:space="708"/>
          <w:docGrid w:linePitch="360"/>
        </w:sectPr>
      </w:pP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lastRenderedPageBreak/>
        <w:t xml:space="preserve">V průběhu let roste i </w:t>
      </w:r>
      <w:r w:rsidRPr="002C3F58">
        <w:rPr>
          <w:b/>
          <w:sz w:val="20"/>
          <w:szCs w:val="20"/>
        </w:rPr>
        <w:t>počet počítačů</w:t>
      </w:r>
      <w:r w:rsidRPr="002C3F58">
        <w:rPr>
          <w:sz w:val="20"/>
          <w:szCs w:val="20"/>
        </w:rPr>
        <w:t xml:space="preserve"> používaných jednou domácností. Zatímco v roce 2010 vlastnila dva nebo více počítačů pouze pětina ze všech domácností (třetina z domácností vlastnících počítač), v</w:t>
      </w:r>
      <w:r w:rsidR="009171D1">
        <w:rPr>
          <w:sz w:val="20"/>
          <w:szCs w:val="20"/>
        </w:rPr>
        <w:t> </w:t>
      </w:r>
      <w:r w:rsidRPr="002C3F58">
        <w:rPr>
          <w:sz w:val="20"/>
          <w:szCs w:val="20"/>
        </w:rPr>
        <w:t>roce</w:t>
      </w:r>
      <w:r w:rsidR="009171D1">
        <w:rPr>
          <w:sz w:val="20"/>
          <w:szCs w:val="20"/>
        </w:rPr>
        <w:t> </w:t>
      </w:r>
      <w:r w:rsidRPr="002C3F58">
        <w:rPr>
          <w:sz w:val="20"/>
          <w:szCs w:val="20"/>
        </w:rPr>
        <w:t>2016 mělo dva a více počítačů již 38 % všech domácností, tj. 50 % z domácností s počítačem. V</w:t>
      </w:r>
      <w:r w:rsidR="001B7B0A">
        <w:rPr>
          <w:sz w:val="20"/>
          <w:szCs w:val="20"/>
        </w:rPr>
        <w:t> </w:t>
      </w:r>
      <w:r w:rsidRPr="002C3F58">
        <w:rPr>
          <w:sz w:val="20"/>
          <w:szCs w:val="20"/>
        </w:rPr>
        <w:t xml:space="preserve">případě domácností s dětmi to bylo 61 % z nich a u </w:t>
      </w:r>
      <w:proofErr w:type="spellStart"/>
      <w:r w:rsidRPr="002C3F58">
        <w:rPr>
          <w:sz w:val="20"/>
          <w:szCs w:val="20"/>
        </w:rPr>
        <w:t>vysokopříjmových</w:t>
      </w:r>
      <w:proofErr w:type="spellEnd"/>
      <w:r w:rsidRPr="002C3F58">
        <w:rPr>
          <w:sz w:val="20"/>
          <w:szCs w:val="20"/>
        </w:rPr>
        <w:t xml:space="preserve"> dokonce 80 %.</w:t>
      </w:r>
    </w:p>
    <w:p w:rsidR="00090B26" w:rsidRPr="002C3F58" w:rsidRDefault="00090B26" w:rsidP="009171D1">
      <w:pPr>
        <w:pStyle w:val="Nadpis2"/>
        <w:spacing w:before="240" w:after="120" w:line="264" w:lineRule="auto"/>
      </w:pPr>
      <w:bookmarkStart w:id="22" w:name="_Toc525303531"/>
      <w:r w:rsidRPr="002C3F58">
        <w:t>B. 3 Domácnosti a internet</w:t>
      </w:r>
      <w:bookmarkEnd w:id="22"/>
    </w:p>
    <w:p w:rsidR="00090B26" w:rsidRPr="002C3F58" w:rsidRDefault="00090B26" w:rsidP="00E607E7">
      <w:pPr>
        <w:pStyle w:val="Zkladntext"/>
        <w:spacing w:before="0" w:after="80" w:line="264" w:lineRule="auto"/>
        <w:rPr>
          <w:i/>
          <w:sz w:val="20"/>
        </w:rPr>
      </w:pPr>
      <w:r w:rsidRPr="002C3F58">
        <w:rPr>
          <w:i/>
          <w:sz w:val="20"/>
        </w:rPr>
        <w:t>Vybavenost domácností internetem přispívá k digitální gramotnosti obyvatelstva a je také důležitým ukazatelem toho, nakolik jsou lidé ochotni se do digitální společnosti zapojovat a jestli k tomu mají dostatečné finanční prostředky. Na důležitosti nabývá právě to, zda mají přístup k internetu, nebo ne. Podíl domácností s internetovým připojením se tak rychle zvyšuje. V České republice má aktuálně internetové připojení dokonce více domácností, než kolik vlastní počítač. I přesto ale za aktuálním průměrným podílem domácností s přístupem na internet v EU zaostáváme. Výrazně se také liší způsob, jakým se Češi připojují k internetu v porovnání se západními zeměmi EU.</w:t>
      </w:r>
    </w:p>
    <w:p w:rsidR="00090B26" w:rsidRPr="002C3F58" w:rsidRDefault="00090B26" w:rsidP="00E607E7">
      <w:pPr>
        <w:pStyle w:val="Nadpis3"/>
        <w:spacing w:before="240" w:after="120" w:line="264" w:lineRule="auto"/>
      </w:pPr>
      <w:bookmarkStart w:id="23" w:name="_Toc525303532"/>
      <w:r w:rsidRPr="002C3F58">
        <w:t>Přístup domácností k internetu</w:t>
      </w:r>
      <w:bookmarkEnd w:id="23"/>
    </w:p>
    <w:p w:rsidR="00090B26" w:rsidRPr="002C3F58" w:rsidRDefault="00090B26" w:rsidP="00E607E7">
      <w:pPr>
        <w:pStyle w:val="Zkladntext"/>
        <w:spacing w:before="0" w:after="80" w:line="264" w:lineRule="auto"/>
        <w:rPr>
          <w:i/>
          <w:sz w:val="20"/>
        </w:rPr>
      </w:pPr>
      <w:r w:rsidRPr="002C3F58">
        <w:rPr>
          <w:i/>
          <w:sz w:val="20"/>
        </w:rPr>
        <w:t>Mezi roky 2005 a 2015 nepřetržitě celosvětově rostl podíl domácností s internetem, a to tempem 7,5 až 13,5 % ročně. V posledních dvou letech se růst zpomalil a nepřekročil 5% meziroční nárůst.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Od roku 2016 je v Česku více domácností s internetem než s počítačem. Ve 2. čtvrtletí 2017 zde mělo </w:t>
      </w:r>
      <w:r w:rsidRPr="002C3F58">
        <w:rPr>
          <w:b/>
          <w:sz w:val="20"/>
          <w:szCs w:val="20"/>
        </w:rPr>
        <w:t>přístup k internetu</w:t>
      </w:r>
      <w:r w:rsidRPr="002C3F58">
        <w:rPr>
          <w:rStyle w:val="Znakapoznpodarou"/>
          <w:b/>
          <w:sz w:val="20"/>
          <w:szCs w:val="20"/>
        </w:rPr>
        <w:footnoteReference w:id="6"/>
      </w:r>
      <w:r w:rsidRPr="002C3F58">
        <w:rPr>
          <w:sz w:val="20"/>
          <w:szCs w:val="20"/>
        </w:rPr>
        <w:t xml:space="preserve"> již 77 % (3,4 milionu) domácností. Za posledních deset let u nás vzrostl počet internetem vybavených domácností o dva miliony ‒ v roce 2007 měla připojení k internetu třetina (1,4 milionu) českých domácností. </w:t>
      </w:r>
    </w:p>
    <w:p w:rsidR="001B7B0A" w:rsidRDefault="001B7B0A" w:rsidP="001B7B0A">
      <w:pPr>
        <w:pStyle w:val="Titulek"/>
        <w:keepNext/>
        <w:jc w:val="both"/>
        <w:sectPr w:rsidR="001B7B0A" w:rsidSect="006D0F31">
          <w:type w:val="continuous"/>
          <w:pgSz w:w="11906" w:h="16838" w:code="9"/>
          <w:pgMar w:top="1134" w:right="1134" w:bottom="1418" w:left="1134" w:header="680" w:footer="680" w:gutter="0"/>
          <w:cols w:space="708"/>
          <w:docGrid w:linePitch="360"/>
        </w:sectPr>
      </w:pP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4" w:name="_Toc524332523"/>
      <w:r w:rsidRPr="001B7B0A">
        <w:rPr>
          <w:color w:val="FFFFFF" w:themeColor="background1"/>
          <w:sz w:val="4"/>
          <w:szCs w:val="4"/>
        </w:rPr>
        <w:lastRenderedPageBreak/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13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Domácnosti v Česku mající (používající) doma internet</w:t>
      </w:r>
      <w:bookmarkEnd w:id="24"/>
    </w:p>
    <w:p w:rsidR="001B7B0A" w:rsidRDefault="00090B26" w:rsidP="00090B26">
      <w:pPr>
        <w:pStyle w:val="Zkladntext"/>
        <w:spacing w:before="0" w:after="120" w:line="288" w:lineRule="auto"/>
      </w:pPr>
      <w:r w:rsidRPr="002C3F58">
        <w:rPr>
          <w:noProof/>
        </w:rPr>
        <w:drawing>
          <wp:inline distT="0" distB="0" distL="0" distR="0" wp14:anchorId="4DB7AB11" wp14:editId="1A2A91D5">
            <wp:extent cx="2952000" cy="2757150"/>
            <wp:effectExtent l="0" t="0" r="1270" b="5715"/>
            <wp:docPr id="51" name="Graf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2C3F58">
        <w:rPr>
          <w:noProof/>
          <w:lang w:eastAsia="en-US"/>
        </w:rPr>
        <w:t xml:space="preserve"> 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5" w:name="_Toc524332524"/>
      <w:r w:rsidRPr="001B7B0A">
        <w:rPr>
          <w:color w:val="FFFFFF" w:themeColor="background1"/>
          <w:sz w:val="4"/>
          <w:szCs w:val="4"/>
        </w:rPr>
        <w:lastRenderedPageBreak/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14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Vybrané typy domácností v Česku, které doma </w:t>
      </w:r>
      <w:r w:rsidRPr="001B7B0A">
        <w:rPr>
          <w:color w:val="FFFFFF" w:themeColor="background1"/>
          <w:sz w:val="4"/>
          <w:szCs w:val="4"/>
          <w:u w:val="single"/>
        </w:rPr>
        <w:t xml:space="preserve">nemají (nepoužívají) </w:t>
      </w:r>
      <w:r w:rsidRPr="001B7B0A">
        <w:rPr>
          <w:color w:val="FFFFFF" w:themeColor="background1"/>
          <w:sz w:val="4"/>
          <w:szCs w:val="4"/>
        </w:rPr>
        <w:t>internet</w:t>
      </w:r>
      <w:bookmarkEnd w:id="25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</w:rPr>
      </w:pPr>
      <w:r w:rsidRPr="002C3F58">
        <w:rPr>
          <w:noProof/>
        </w:rPr>
        <w:drawing>
          <wp:inline distT="0" distB="0" distL="0" distR="0" wp14:anchorId="6E294602" wp14:editId="406FAC51">
            <wp:extent cx="3132000" cy="2757150"/>
            <wp:effectExtent l="0" t="0" r="0" b="5715"/>
            <wp:docPr id="52" name="Graf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B7B0A" w:rsidRDefault="001B7B0A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  <w:sectPr w:rsidR="001B7B0A" w:rsidSect="001B7B0A">
          <w:type w:val="continuous"/>
          <w:pgSz w:w="11906" w:h="16838" w:code="9"/>
          <w:pgMar w:top="1134" w:right="1134" w:bottom="1418" w:left="1134" w:header="680" w:footer="680" w:gutter="0"/>
          <w:cols w:num="2" w:space="708"/>
          <w:docGrid w:linePitch="360"/>
        </w:sectPr>
      </w:pP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lastRenderedPageBreak/>
        <w:t xml:space="preserve">Internet je v Evropské unii dostupný široké veřejnosti. Magická hranice počtu domácností s přístupem k internetu byla překročena v roce 2007, kdy měla připojení poprvé více než polovina domácností (55 %). Tento podíl pak nadále rostl na tři čtvrtiny v roce 2012 a čtyři pětiny v roce 2014. V roce 2017 už byl podíl domácností v EU28 s přístupem na internet 87 %, tedy o 32 procentních bodů více než v roce 2007.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Internet je v domácnostech </w:t>
      </w:r>
      <w:r w:rsidRPr="002C3F58">
        <w:rPr>
          <w:b/>
          <w:sz w:val="20"/>
          <w:szCs w:val="20"/>
        </w:rPr>
        <w:t xml:space="preserve">zemí EU </w:t>
      </w:r>
      <w:r w:rsidRPr="002C3F58">
        <w:rPr>
          <w:sz w:val="20"/>
          <w:szCs w:val="20"/>
        </w:rPr>
        <w:t xml:space="preserve">nejvíce rozšířen v Nizozemsku a v Lucembursku, kde se v roce 2017 k internetu nepřipojovaly pouze tři domácnosti ze sta. Vysoká vybavenost internetem je také ve skandinávských státech, ve Velké Británii a v Německu. V těchto zemích se podíl domácností s internetem pohyboval nad hranicí 90 procent. Naopak v Řecku mělo přístup k internetu stále „pouze“ 71 % domácností a v Bulharsku 67 %.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Významnou roli v přístupu k internetu v zemích EU hraje mimo jiné to, zda je se jedná o město nebo venkov. Zatímco mezi obyvateli velkoměst, měst a předměstí je podíl domácností s přístupem k internetu obdobně vysoký – 90 % ve velkoměstech a 87 % ve městech a na předměstích – ve venkovských oblastech je nižší (82 %). Tento rozdíl je výrazně patrný především v Řecku, Portugalsku, Bulharsku a Rumunsku.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>Mezi hlavní důvody zaostávání</w:t>
      </w:r>
      <w:r w:rsidRPr="002C3F58">
        <w:rPr>
          <w:b/>
          <w:sz w:val="20"/>
          <w:szCs w:val="20"/>
        </w:rPr>
        <w:t xml:space="preserve"> </w:t>
      </w:r>
      <w:r w:rsidRPr="002C3F58">
        <w:rPr>
          <w:sz w:val="20"/>
          <w:szCs w:val="20"/>
        </w:rPr>
        <w:t xml:space="preserve">České republiky ve vybavenosti domácností internetem za většinou západních a severských zemí EU28 patří přetrvávající rozdíly mezi příjmovými skupinami domácností. Zatímco v roce 2017 ve </w:t>
      </w:r>
      <w:r w:rsidRPr="002C3F58">
        <w:rPr>
          <w:b/>
          <w:sz w:val="20"/>
          <w:szCs w:val="20"/>
        </w:rPr>
        <w:t xml:space="preserve">skupině nejbohatších domácností (4. příjmový </w:t>
      </w:r>
      <w:proofErr w:type="spellStart"/>
      <w:r w:rsidRPr="002C3F58">
        <w:rPr>
          <w:b/>
          <w:sz w:val="20"/>
          <w:szCs w:val="20"/>
        </w:rPr>
        <w:t>kvartil</w:t>
      </w:r>
      <w:proofErr w:type="spellEnd"/>
      <w:r w:rsidRPr="002C3F58">
        <w:rPr>
          <w:b/>
          <w:sz w:val="20"/>
          <w:szCs w:val="20"/>
        </w:rPr>
        <w:t>)</w:t>
      </w:r>
      <w:r w:rsidRPr="002C3F58">
        <w:rPr>
          <w:sz w:val="20"/>
          <w:szCs w:val="20"/>
        </w:rPr>
        <w:t xml:space="preserve"> měly v Česku přístup k internetu již všechny domácnosti, v rámci </w:t>
      </w:r>
      <w:r w:rsidRPr="002C3F58">
        <w:rPr>
          <w:b/>
          <w:sz w:val="20"/>
          <w:szCs w:val="20"/>
        </w:rPr>
        <w:t xml:space="preserve">skupiny domácností s nejnižšími příjmy (1. příjmový </w:t>
      </w:r>
      <w:proofErr w:type="spellStart"/>
      <w:r w:rsidRPr="002C3F58">
        <w:rPr>
          <w:b/>
          <w:sz w:val="20"/>
          <w:szCs w:val="20"/>
        </w:rPr>
        <w:t>kvartil</w:t>
      </w:r>
      <w:proofErr w:type="spellEnd"/>
      <w:r w:rsidRPr="002C3F58">
        <w:rPr>
          <w:b/>
          <w:sz w:val="20"/>
          <w:szCs w:val="20"/>
        </w:rPr>
        <w:t xml:space="preserve">), </w:t>
      </w:r>
      <w:r w:rsidRPr="002C3F58">
        <w:rPr>
          <w:sz w:val="20"/>
          <w:szCs w:val="20"/>
        </w:rPr>
        <w:t xml:space="preserve">kam u nás spadají především domácnosti seniorů, nebyla k internetu připojena téměř polovina (45 %) z nich – jsou zde zahrnuty pouze domácnosti s alespoň jedním členem ve věku 16 až 74 let.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Pro srovnání v roce 2017 ve Švédsku, Dánsku, Lucembursku nebo Nizozemsku </w:t>
      </w:r>
      <w:r w:rsidRPr="002C3F58">
        <w:rPr>
          <w:b/>
          <w:sz w:val="20"/>
          <w:szCs w:val="20"/>
        </w:rPr>
        <w:t>neměla přístup</w:t>
      </w:r>
      <w:r w:rsidRPr="002C3F58">
        <w:rPr>
          <w:sz w:val="20"/>
          <w:szCs w:val="20"/>
        </w:rPr>
        <w:t xml:space="preserve"> k internetu již méně než desetina domácností s nejnižšími příjmy, naopak v Bulharsku to bylo 73 % domácností v tomto prvním příjmovém </w:t>
      </w:r>
      <w:proofErr w:type="spellStart"/>
      <w:r w:rsidRPr="002C3F58">
        <w:rPr>
          <w:sz w:val="20"/>
          <w:szCs w:val="20"/>
        </w:rPr>
        <w:t>kvartilu</w:t>
      </w:r>
      <w:proofErr w:type="spellEnd"/>
      <w:r w:rsidRPr="002C3F58">
        <w:rPr>
          <w:sz w:val="20"/>
          <w:szCs w:val="20"/>
        </w:rPr>
        <w:t>. Kromě Portugalska patří mezi šest států EU s podílem nízkopříjmových domácností s internetem nižším než 50 % pouze bývalé socialistické země.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6" w:name="_Toc524332525"/>
      <w:r w:rsidRPr="001B7B0A">
        <w:rPr>
          <w:color w:val="FFFFFF" w:themeColor="background1"/>
          <w:sz w:val="4"/>
          <w:szCs w:val="4"/>
        </w:rPr>
        <w:lastRenderedPageBreak/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15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Podíl d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omácnosti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1B7B0A">
        <w:rPr>
          <w:color w:val="FFFFFF" w:themeColor="background1"/>
          <w:sz w:val="4"/>
          <w:szCs w:val="4"/>
          <w:lang w:val="en-US"/>
        </w:rPr>
        <w:t>zemích</w:t>
      </w:r>
      <w:proofErr w:type="spellEnd"/>
      <w:r w:rsidRPr="001B7B0A">
        <w:rPr>
          <w:color w:val="FFFFFF" w:themeColor="background1"/>
          <w:sz w:val="4"/>
          <w:szCs w:val="4"/>
          <w:lang w:val="en-US"/>
        </w:rPr>
        <w:t xml:space="preserve"> EU </w:t>
      </w:r>
      <w:r w:rsidRPr="001B7B0A">
        <w:rPr>
          <w:color w:val="FFFFFF" w:themeColor="background1"/>
          <w:sz w:val="4"/>
          <w:szCs w:val="4"/>
        </w:rPr>
        <w:t xml:space="preserve">s nejnižšími příjmy, které doma </w:t>
      </w:r>
      <w:r w:rsidRPr="001B7B0A">
        <w:rPr>
          <w:color w:val="FFFFFF" w:themeColor="background1"/>
          <w:sz w:val="4"/>
          <w:szCs w:val="4"/>
          <w:u w:val="single"/>
        </w:rPr>
        <w:t xml:space="preserve">nemají (nepoužívají) </w:t>
      </w:r>
      <w:r w:rsidRPr="001B7B0A">
        <w:rPr>
          <w:color w:val="FFFFFF" w:themeColor="background1"/>
          <w:sz w:val="4"/>
          <w:szCs w:val="4"/>
        </w:rPr>
        <w:t>internet</w:t>
      </w:r>
      <w:bookmarkEnd w:id="26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  <w:highlight w:val="yellow"/>
        </w:rPr>
      </w:pPr>
      <w:r w:rsidRPr="002C3F58">
        <w:rPr>
          <w:noProof/>
        </w:rPr>
        <w:drawing>
          <wp:inline distT="0" distB="0" distL="0" distR="0" wp14:anchorId="1732875B" wp14:editId="087F5F11">
            <wp:extent cx="5972810" cy="3180715"/>
            <wp:effectExtent l="0" t="0" r="0" b="0"/>
            <wp:docPr id="53" name="Graf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V roce 2017 ve 2. čtvrtletí byl v Česku milion (23 %) domácností, </w:t>
      </w:r>
      <w:r w:rsidRPr="002C3F58">
        <w:rPr>
          <w:b/>
          <w:sz w:val="20"/>
          <w:szCs w:val="20"/>
        </w:rPr>
        <w:t>které neměly (nepoužívaly) internet</w:t>
      </w:r>
      <w:r w:rsidRPr="002C3F58">
        <w:rPr>
          <w:sz w:val="20"/>
          <w:szCs w:val="20"/>
        </w:rPr>
        <w:t>. Před deseti lety to byly více jak dvě třetiny (68 %) domácností což v absolutním vyjádření představovalo téměř tři miliony domácnosti bez internetu v roce 2007. Nejčastěji jde o domácnosti seniorů, kde internet stále nemá více jak dvě třetiny (69 %) z nich.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7" w:name="_Toc524332526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16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Domácnosti v Česku, které doma </w:t>
      </w:r>
      <w:r w:rsidRPr="001B7B0A">
        <w:rPr>
          <w:color w:val="FFFFFF" w:themeColor="background1"/>
          <w:sz w:val="4"/>
          <w:szCs w:val="4"/>
          <w:u w:val="single"/>
        </w:rPr>
        <w:t>nemají (nepoužívají</w:t>
      </w:r>
      <w:r w:rsidRPr="001B7B0A">
        <w:rPr>
          <w:color w:val="FFFFFF" w:themeColor="background1"/>
          <w:sz w:val="4"/>
          <w:szCs w:val="4"/>
        </w:rPr>
        <w:t>) internet</w:t>
      </w:r>
      <w:bookmarkEnd w:id="27"/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8" w:name="_Toc524332527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17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Důvody, proč domácnosti v Česku, doma </w:t>
      </w:r>
      <w:r w:rsidRPr="001B7B0A">
        <w:rPr>
          <w:color w:val="FFFFFF" w:themeColor="background1"/>
          <w:sz w:val="4"/>
          <w:szCs w:val="4"/>
          <w:u w:val="single"/>
        </w:rPr>
        <w:t xml:space="preserve">nemají (nepoužívají) </w:t>
      </w:r>
      <w:r w:rsidRPr="001B7B0A">
        <w:rPr>
          <w:color w:val="FFFFFF" w:themeColor="background1"/>
          <w:sz w:val="4"/>
          <w:szCs w:val="4"/>
        </w:rPr>
        <w:t>internet</w:t>
      </w:r>
      <w:bookmarkEnd w:id="28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</w:rPr>
      </w:pPr>
      <w:r w:rsidRPr="002C3F58">
        <w:rPr>
          <w:noProof/>
        </w:rPr>
        <w:drawing>
          <wp:inline distT="0" distB="0" distL="0" distR="0" wp14:anchorId="196EBAB6" wp14:editId="47FDA00C">
            <wp:extent cx="2952000" cy="2520000"/>
            <wp:effectExtent l="0" t="0" r="1270" b="13970"/>
            <wp:docPr id="54" name="Graf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2C3F58">
        <w:rPr>
          <w:noProof/>
        </w:rPr>
        <w:drawing>
          <wp:inline distT="0" distB="0" distL="0" distR="0" wp14:anchorId="67F1D495" wp14:editId="43754B5E">
            <wp:extent cx="3132000" cy="2520000"/>
            <wp:effectExtent l="0" t="0" r="0" b="13970"/>
            <wp:docPr id="55" name="Graf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Můžeme však konstatovat, že počítač či internet se nachází již téměř ve všech domácnostech, které tyto technologie chtějí nebo umějí používat. Z výše uvedeného milionu domácností, které v roce 2017 doma neměly internet, uvedlo 80 %, že připojení k internetu doma </w:t>
      </w:r>
      <w:r w:rsidRPr="002C3F58">
        <w:rPr>
          <w:b/>
          <w:sz w:val="20"/>
          <w:szCs w:val="20"/>
        </w:rPr>
        <w:t>nepotřebují či nechtějí</w:t>
      </w:r>
      <w:r w:rsidRPr="002C3F58">
        <w:rPr>
          <w:sz w:val="20"/>
          <w:szCs w:val="20"/>
        </w:rPr>
        <w:t>.</w:t>
      </w:r>
      <w:r w:rsidRPr="002C3F58">
        <w:rPr>
          <w:b/>
          <w:sz w:val="20"/>
          <w:szCs w:val="20"/>
        </w:rPr>
        <w:t xml:space="preserve"> </w:t>
      </w:r>
      <w:r w:rsidRPr="002C3F58">
        <w:rPr>
          <w:sz w:val="20"/>
          <w:szCs w:val="20"/>
        </w:rPr>
        <w:t xml:space="preserve">Nejčastěji tento důvod uváděly domácnosti osob starších 65 let, a to v 87 %. Téměř 40 % domácností bez internetu přiznalo, že s ním </w:t>
      </w:r>
      <w:r w:rsidRPr="002C3F58">
        <w:rPr>
          <w:b/>
          <w:sz w:val="20"/>
          <w:szCs w:val="20"/>
        </w:rPr>
        <w:t>neumí pracovat</w:t>
      </w:r>
      <w:r w:rsidRPr="002C3F58">
        <w:rPr>
          <w:sz w:val="20"/>
          <w:szCs w:val="20"/>
        </w:rPr>
        <w:t>.</w:t>
      </w:r>
      <w:r w:rsidRPr="002C3F58">
        <w:rPr>
          <w:rStyle w:val="Znakapoznpodarou"/>
          <w:sz w:val="20"/>
          <w:szCs w:val="20"/>
        </w:rPr>
        <w:footnoteReference w:id="7"/>
      </w:r>
      <w:r w:rsidRPr="002C3F58">
        <w:rPr>
          <w:sz w:val="20"/>
          <w:szCs w:val="20"/>
        </w:rPr>
        <w:t xml:space="preserve"> V domácnostech s dětmi jsou však tyto dva důvody vysoce převýšeny finančním aspektem (57,5 % z domácností s dětmi, které nemají internet).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>V zemích Evropské unie jsou důvody nepřipojení domácnosti k internetu obdobné. Z 15 % domácností, které neměly internet, uvedlo 47 %, že ho nepotřebují a 42 % se obávalo, že nemá dostatečné znalosti a dovednosti, aby ho mohly používat.</w:t>
      </w:r>
    </w:p>
    <w:p w:rsidR="00090B26" w:rsidRPr="002C3F58" w:rsidRDefault="00090B26" w:rsidP="00E607E7">
      <w:pPr>
        <w:pStyle w:val="Nadpis3"/>
        <w:spacing w:before="240" w:after="120" w:line="264" w:lineRule="auto"/>
      </w:pPr>
      <w:r w:rsidRPr="002C3F58">
        <w:rPr>
          <w:szCs w:val="20"/>
        </w:rPr>
        <w:br w:type="page"/>
      </w:r>
      <w:r w:rsidRPr="002C3F58">
        <w:rPr>
          <w:szCs w:val="20"/>
        </w:rPr>
        <w:lastRenderedPageBreak/>
        <w:t xml:space="preserve"> </w:t>
      </w:r>
      <w:bookmarkStart w:id="29" w:name="_Toc525303533"/>
      <w:r w:rsidRPr="002C3F58">
        <w:t>Způsob připojení k internetu používaný v českých domácnostech</w:t>
      </w:r>
      <w:bookmarkEnd w:id="29"/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bCs/>
          <w:sz w:val="20"/>
          <w:szCs w:val="20"/>
        </w:rPr>
        <w:t>České domácnosti, na rozdíl od téměř všech ostatních zemí EU, využívají nejčastěji pro externí přístup k internetu</w:t>
      </w:r>
      <w:r w:rsidRPr="002C3F58">
        <w:rPr>
          <w:rStyle w:val="Znakapoznpodarou"/>
          <w:bCs/>
          <w:sz w:val="20"/>
          <w:szCs w:val="20"/>
        </w:rPr>
        <w:footnoteReference w:id="8"/>
      </w:r>
      <w:r w:rsidRPr="002C3F58">
        <w:rPr>
          <w:bCs/>
          <w:sz w:val="20"/>
          <w:szCs w:val="20"/>
        </w:rPr>
        <w:t xml:space="preserve"> </w:t>
      </w:r>
      <w:r w:rsidRPr="002C3F58">
        <w:rPr>
          <w:b/>
          <w:bCs/>
          <w:sz w:val="20"/>
          <w:szCs w:val="20"/>
        </w:rPr>
        <w:t>bezdrátové připojení</w:t>
      </w:r>
      <w:r w:rsidRPr="002C3F58">
        <w:rPr>
          <w:bCs/>
          <w:sz w:val="20"/>
          <w:szCs w:val="20"/>
        </w:rPr>
        <w:t xml:space="preserve"> poskytované</w:t>
      </w:r>
      <w:r w:rsidRPr="002C3F58">
        <w:rPr>
          <w:b/>
          <w:sz w:val="20"/>
          <w:szCs w:val="20"/>
        </w:rPr>
        <w:t xml:space="preserve"> </w:t>
      </w:r>
      <w:r w:rsidRPr="002C3F58">
        <w:rPr>
          <w:bCs/>
          <w:sz w:val="20"/>
          <w:szCs w:val="20"/>
        </w:rPr>
        <w:t xml:space="preserve">od lokálních poskytovatelů pomocí technologie Wi-Fi i jako primární způsob připojení domácnosti k internetu. V roce 2017 se touto technologií připojovala polovina domácností s přístupem na internet. 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>P</w:t>
      </w:r>
      <w:r w:rsidRPr="002C3F58">
        <w:rPr>
          <w:bCs/>
          <w:sz w:val="20"/>
          <w:szCs w:val="20"/>
        </w:rPr>
        <w:t xml:space="preserve">řipojení přes </w:t>
      </w:r>
      <w:r w:rsidRPr="002C3F58">
        <w:rPr>
          <w:b/>
          <w:bCs/>
          <w:sz w:val="20"/>
          <w:szCs w:val="20"/>
        </w:rPr>
        <w:t>TV kabelové rozvody</w:t>
      </w:r>
      <w:r w:rsidRPr="002C3F58">
        <w:rPr>
          <w:bCs/>
          <w:sz w:val="20"/>
          <w:szCs w:val="20"/>
        </w:rPr>
        <w:t xml:space="preserve"> bylo v roce 2017 druhé nejvyužívanější – toto připojení používala čtvrtina domácností s internetem. Připojení přes telefonní rozvody pomocí technologie </w:t>
      </w:r>
      <w:proofErr w:type="spellStart"/>
      <w:r w:rsidRPr="002C3F58">
        <w:rPr>
          <w:b/>
          <w:bCs/>
          <w:sz w:val="20"/>
          <w:szCs w:val="20"/>
        </w:rPr>
        <w:t>xDSL</w:t>
      </w:r>
      <w:proofErr w:type="spellEnd"/>
      <w:r w:rsidRPr="002C3F58">
        <w:rPr>
          <w:bCs/>
          <w:sz w:val="20"/>
          <w:szCs w:val="20"/>
        </w:rPr>
        <w:t>, které je stále nejčastěji používané připojení ve většině domácností v západních zemích EU, v Česku v roce 2016 používalo „jen“ 15 % domácností.</w:t>
      </w:r>
    </w:p>
    <w:p w:rsidR="00090B26" w:rsidRPr="002C3F58" w:rsidRDefault="00090B26" w:rsidP="00E607E7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  <w:szCs w:val="20"/>
        </w:rPr>
      </w:pPr>
      <w:r w:rsidRPr="002C3F58">
        <w:rPr>
          <w:sz w:val="20"/>
          <w:szCs w:val="20"/>
        </w:rPr>
        <w:t xml:space="preserve">Způsob připojení domácností k internetu se liší zejména podle </w:t>
      </w:r>
      <w:r w:rsidRPr="002C3F58">
        <w:rPr>
          <w:b/>
          <w:sz w:val="20"/>
          <w:szCs w:val="20"/>
        </w:rPr>
        <w:t>velikosti obce</w:t>
      </w:r>
      <w:r w:rsidRPr="002C3F58">
        <w:rPr>
          <w:sz w:val="20"/>
          <w:szCs w:val="20"/>
        </w:rPr>
        <w:t xml:space="preserve"> bydliště, což souvisí s proměnlivou dostupností jednotlivých typů připojení v různých velikostních skupinách obcí. Např. výše uvedené bezdrátové připojení pomocí Wi-Fi se v největší míře využívá v </w:t>
      </w:r>
      <w:r w:rsidRPr="002C3F58">
        <w:rPr>
          <w:bCs/>
          <w:sz w:val="20"/>
          <w:szCs w:val="20"/>
        </w:rPr>
        <w:t>domácnostech žijících v</w:t>
      </w:r>
      <w:r w:rsidR="009171D1">
        <w:rPr>
          <w:bCs/>
          <w:sz w:val="20"/>
          <w:szCs w:val="20"/>
        </w:rPr>
        <w:t> </w:t>
      </w:r>
      <w:r w:rsidRPr="002C3F58">
        <w:rPr>
          <w:bCs/>
          <w:sz w:val="20"/>
          <w:szCs w:val="20"/>
        </w:rPr>
        <w:t>menších obcích do 2 tisíc obyvatel. Toto připojení zde využívaly dvě třetiny domácností z těch, které měly připojení k internetu oproti jedné třetině v největších obcích s 50 tisíci a více obyvateli. P</w:t>
      </w:r>
      <w:r w:rsidRPr="002C3F58">
        <w:rPr>
          <w:sz w:val="20"/>
          <w:szCs w:val="20"/>
        </w:rPr>
        <w:t xml:space="preserve">řipojení přes rozvody kabelové televize naopak nejčastěji využívají </w:t>
      </w:r>
      <w:r w:rsidRPr="002C3F58">
        <w:rPr>
          <w:bCs/>
          <w:sz w:val="20"/>
          <w:szCs w:val="20"/>
        </w:rPr>
        <w:t>domácnosti ve velkých městech s 50 tisíci a</w:t>
      </w:r>
      <w:r w:rsidR="009171D1">
        <w:rPr>
          <w:bCs/>
          <w:sz w:val="20"/>
          <w:szCs w:val="20"/>
        </w:rPr>
        <w:t> </w:t>
      </w:r>
      <w:r w:rsidRPr="002C3F58">
        <w:rPr>
          <w:bCs/>
          <w:sz w:val="20"/>
          <w:szCs w:val="20"/>
        </w:rPr>
        <w:t>více obyvateli, kde jej používala téměř polovina (45 %) domácností s internetem oproti 7 % v případě domácností v nejmenších obcích.</w:t>
      </w:r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30" w:name="_Toc524332528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 w:rsidRPr="001B7B0A">
        <w:rPr>
          <w:noProof/>
          <w:color w:val="FFFFFF" w:themeColor="background1"/>
          <w:sz w:val="4"/>
          <w:szCs w:val="4"/>
        </w:rPr>
        <w:t>18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Domácnosti v Česku používající vybrané připojení k internetu podle velikosti obce v roce 2017</w:t>
      </w:r>
      <w:bookmarkEnd w:id="30"/>
    </w:p>
    <w:p w:rsidR="001B7B0A" w:rsidRPr="001B7B0A" w:rsidRDefault="001B7B0A" w:rsidP="001B7B0A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31" w:name="_Toc524332529"/>
      <w:r w:rsidRPr="001B7B0A">
        <w:rPr>
          <w:color w:val="FFFFFF" w:themeColor="background1"/>
          <w:sz w:val="4"/>
          <w:szCs w:val="4"/>
        </w:rPr>
        <w:t>Graf B</w:t>
      </w:r>
      <w:r w:rsidRPr="001B7B0A">
        <w:rPr>
          <w:color w:val="FFFFFF" w:themeColor="background1"/>
          <w:sz w:val="4"/>
          <w:szCs w:val="4"/>
        </w:rPr>
        <w:fldChar w:fldCharType="begin"/>
      </w:r>
      <w:r w:rsidRPr="001B7B0A">
        <w:rPr>
          <w:color w:val="FFFFFF" w:themeColor="background1"/>
          <w:sz w:val="4"/>
          <w:szCs w:val="4"/>
        </w:rPr>
        <w:instrText xml:space="preserve"> SEQ Graf_B \* ARABIC </w:instrText>
      </w:r>
      <w:r w:rsidRPr="001B7B0A">
        <w:rPr>
          <w:color w:val="FFFFFF" w:themeColor="background1"/>
          <w:sz w:val="4"/>
          <w:szCs w:val="4"/>
        </w:rPr>
        <w:fldChar w:fldCharType="separate"/>
      </w:r>
      <w:r w:rsidRPr="001B7B0A">
        <w:rPr>
          <w:noProof/>
          <w:color w:val="FFFFFF" w:themeColor="background1"/>
          <w:sz w:val="4"/>
          <w:szCs w:val="4"/>
        </w:rPr>
        <w:t>19</w:t>
      </w:r>
      <w:r w:rsidRPr="001B7B0A">
        <w:rPr>
          <w:color w:val="FFFFFF" w:themeColor="background1"/>
          <w:sz w:val="4"/>
          <w:szCs w:val="4"/>
        </w:rPr>
        <w:fldChar w:fldCharType="end"/>
      </w:r>
      <w:r w:rsidRPr="001B7B0A">
        <w:rPr>
          <w:color w:val="FFFFFF" w:themeColor="background1"/>
          <w:sz w:val="4"/>
          <w:szCs w:val="4"/>
        </w:rPr>
        <w:t xml:space="preserve"> Domácnosti v Česku používající doma Wi-Fi </w:t>
      </w:r>
      <w:proofErr w:type="spellStart"/>
      <w:r w:rsidRPr="001B7B0A">
        <w:rPr>
          <w:color w:val="FFFFFF" w:themeColor="background1"/>
          <w:sz w:val="4"/>
          <w:szCs w:val="4"/>
        </w:rPr>
        <w:t>router</w:t>
      </w:r>
      <w:proofErr w:type="spellEnd"/>
      <w:r w:rsidRPr="001B7B0A">
        <w:rPr>
          <w:color w:val="FFFFFF" w:themeColor="background1"/>
          <w:sz w:val="4"/>
          <w:szCs w:val="4"/>
        </w:rPr>
        <w:t xml:space="preserve"> pro bezdrátový rozvod internetu</w:t>
      </w:r>
      <w:bookmarkEnd w:id="31"/>
    </w:p>
    <w:p w:rsidR="00090B26" w:rsidRPr="002C3F58" w:rsidRDefault="00090B26" w:rsidP="00090B26">
      <w:pPr>
        <w:pStyle w:val="Zkladntext"/>
        <w:spacing w:before="0" w:after="120" w:line="288" w:lineRule="auto"/>
        <w:rPr>
          <w:sz w:val="20"/>
          <w:szCs w:val="20"/>
        </w:rPr>
      </w:pPr>
      <w:r w:rsidRPr="002C3F58">
        <w:rPr>
          <w:noProof/>
        </w:rPr>
        <w:drawing>
          <wp:inline distT="0" distB="0" distL="0" distR="0" wp14:anchorId="05D93CEE" wp14:editId="7A031986">
            <wp:extent cx="3060000" cy="2757150"/>
            <wp:effectExtent l="0" t="0" r="7620" b="5715"/>
            <wp:docPr id="56" name="Graf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2C3F58">
        <w:rPr>
          <w:noProof/>
        </w:rPr>
        <w:drawing>
          <wp:inline distT="0" distB="0" distL="0" distR="0" wp14:anchorId="63F72A2E" wp14:editId="1C1A1455">
            <wp:extent cx="2988000" cy="2700000"/>
            <wp:effectExtent l="0" t="0" r="3175" b="24765"/>
            <wp:docPr id="57" name="Graf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171D1" w:rsidRPr="009171D1" w:rsidRDefault="00090B26" w:rsidP="009171D1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bCs/>
          <w:sz w:val="20"/>
          <w:szCs w:val="20"/>
        </w:rPr>
      </w:pPr>
      <w:r w:rsidRPr="002C3F58">
        <w:rPr>
          <w:bCs/>
          <w:sz w:val="20"/>
          <w:szCs w:val="20"/>
        </w:rPr>
        <w:t xml:space="preserve">S tím, jak se v českých domácnostech začalo používat více přenosných zařízení umožňujících připojení k internetu (chytrý telefon, notebook, tablet), vzrostla i obliba využití </w:t>
      </w:r>
      <w:r w:rsidRPr="002C3F58">
        <w:rPr>
          <w:b/>
          <w:bCs/>
          <w:sz w:val="20"/>
          <w:szCs w:val="20"/>
        </w:rPr>
        <w:t>tzv. „domácí</w:t>
      </w:r>
      <w:r w:rsidR="003D5166">
        <w:rPr>
          <w:b/>
          <w:bCs/>
          <w:sz w:val="20"/>
          <w:szCs w:val="20"/>
        </w:rPr>
        <w:t>ch</w:t>
      </w:r>
      <w:r w:rsidRPr="002C3F58">
        <w:rPr>
          <w:b/>
          <w:bCs/>
          <w:sz w:val="20"/>
          <w:szCs w:val="20"/>
        </w:rPr>
        <w:t xml:space="preserve">“ Wi-Fi </w:t>
      </w:r>
      <w:r w:rsidR="003D5166">
        <w:rPr>
          <w:bCs/>
          <w:sz w:val="20"/>
          <w:szCs w:val="20"/>
        </w:rPr>
        <w:t>(</w:t>
      </w:r>
      <w:proofErr w:type="spellStart"/>
      <w:r w:rsidR="003D5166">
        <w:rPr>
          <w:bCs/>
          <w:sz w:val="20"/>
          <w:szCs w:val="20"/>
        </w:rPr>
        <w:t>routerů</w:t>
      </w:r>
      <w:proofErr w:type="spellEnd"/>
      <w:r w:rsidRPr="002C3F58">
        <w:rPr>
          <w:bCs/>
          <w:sz w:val="20"/>
          <w:szCs w:val="20"/>
        </w:rPr>
        <w:t>)</w:t>
      </w:r>
      <w:r w:rsidRPr="002C3F58">
        <w:rPr>
          <w:rStyle w:val="Znakapoznpodarou"/>
          <w:bCs/>
          <w:sz w:val="20"/>
          <w:szCs w:val="20"/>
        </w:rPr>
        <w:footnoteReference w:id="9"/>
      </w:r>
      <w:r w:rsidR="003D5166">
        <w:rPr>
          <w:bCs/>
          <w:sz w:val="20"/>
          <w:szCs w:val="20"/>
        </w:rPr>
        <w:t>, které</w:t>
      </w:r>
      <w:r w:rsidRPr="002C3F58">
        <w:rPr>
          <w:bCs/>
          <w:sz w:val="20"/>
          <w:szCs w:val="20"/>
        </w:rPr>
        <w:t xml:space="preserve"> slouží k bezdrátovému rozvodu internetového signálu v bytě/domě. V roce 2017 tuto technologii využívalo již 2,5 milionu českých domácností, tj. 7</w:t>
      </w:r>
      <w:r w:rsidR="00EB6DB2">
        <w:rPr>
          <w:bCs/>
          <w:sz w:val="20"/>
          <w:szCs w:val="20"/>
        </w:rPr>
        <w:t>3</w:t>
      </w:r>
      <w:r w:rsidRPr="002C3F58">
        <w:rPr>
          <w:bCs/>
          <w:sz w:val="20"/>
          <w:szCs w:val="20"/>
        </w:rPr>
        <w:t xml:space="preserve"> % z těch, kteří mají doma internet a v případě domácností s dětmi dokonce 80 %. V roce 2010 přitom měl</w:t>
      </w:r>
      <w:r w:rsidR="003D5166">
        <w:rPr>
          <w:bCs/>
          <w:sz w:val="20"/>
          <w:szCs w:val="20"/>
        </w:rPr>
        <w:t>o</w:t>
      </w:r>
      <w:r w:rsidRPr="002C3F58">
        <w:rPr>
          <w:bCs/>
          <w:sz w:val="20"/>
          <w:szCs w:val="20"/>
        </w:rPr>
        <w:t xml:space="preserve"> </w:t>
      </w:r>
      <w:r w:rsidRPr="002C3F58">
        <w:rPr>
          <w:b/>
          <w:bCs/>
          <w:sz w:val="20"/>
          <w:szCs w:val="20"/>
        </w:rPr>
        <w:t xml:space="preserve">Wi-Fi </w:t>
      </w:r>
      <w:proofErr w:type="spellStart"/>
      <w:r w:rsidRPr="002C3F58">
        <w:rPr>
          <w:b/>
          <w:bCs/>
          <w:sz w:val="20"/>
          <w:szCs w:val="20"/>
        </w:rPr>
        <w:t>router</w:t>
      </w:r>
      <w:proofErr w:type="spellEnd"/>
      <w:r w:rsidRPr="002C3F58">
        <w:rPr>
          <w:bCs/>
          <w:sz w:val="20"/>
          <w:szCs w:val="20"/>
        </w:rPr>
        <w:t xml:space="preserve"> jen 16 % domácností</w:t>
      </w:r>
      <w:r w:rsidR="00EB6DB2">
        <w:rPr>
          <w:bCs/>
          <w:sz w:val="20"/>
          <w:szCs w:val="20"/>
        </w:rPr>
        <w:t xml:space="preserve"> – 29 % z těch, které měly doma v tomto roce připojení k internetu</w:t>
      </w:r>
      <w:r w:rsidRPr="002C3F58">
        <w:rPr>
          <w:bCs/>
          <w:sz w:val="20"/>
          <w:szCs w:val="20"/>
        </w:rPr>
        <w:t xml:space="preserve">. </w:t>
      </w:r>
    </w:p>
    <w:p w:rsidR="00090B26" w:rsidRPr="002C3F58" w:rsidRDefault="00090B26" w:rsidP="00090B26">
      <w:pPr>
        <w:pStyle w:val="Zkladntext"/>
        <w:spacing w:before="0" w:after="240" w:line="288" w:lineRule="auto"/>
        <w:rPr>
          <w:sz w:val="20"/>
          <w:szCs w:val="20"/>
        </w:rPr>
      </w:pPr>
    </w:p>
    <w:bookmarkEnd w:id="0"/>
    <w:sectPr w:rsidR="00090B26" w:rsidRPr="002C3F58" w:rsidSect="006D0F31">
      <w:type w:val="continuous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30" w:rsidRDefault="00151D30" w:rsidP="00E71A58">
      <w:r>
        <w:separator/>
      </w:r>
    </w:p>
  </w:endnote>
  <w:endnote w:type="continuationSeparator" w:id="0">
    <w:p w:rsidR="00151D30" w:rsidRDefault="00151D3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932443" w:rsidRDefault="00151D3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3ED3B77" wp14:editId="3F0EEF0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0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44022">
      <w:rPr>
        <w:szCs w:val="16"/>
      </w:rPr>
      <w:t>18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932443" w:rsidRDefault="00151D3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3AF43B6E" wp14:editId="4698AFAC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02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44022">
      <w:rPr>
        <w:rStyle w:val="ZpatChar"/>
        <w:szCs w:val="16"/>
      </w:rPr>
      <w:t>17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22" w:rsidRDefault="009440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30" w:rsidRDefault="00151D30" w:rsidP="00E71A58">
      <w:r>
        <w:separator/>
      </w:r>
    </w:p>
  </w:footnote>
  <w:footnote w:type="continuationSeparator" w:id="0">
    <w:p w:rsidR="00151D30" w:rsidRDefault="00151D30" w:rsidP="00E71A58">
      <w:r>
        <w:continuationSeparator/>
      </w:r>
    </w:p>
  </w:footnote>
  <w:footnote w:id="1">
    <w:p w:rsidR="00151D30" w:rsidRDefault="00151D30" w:rsidP="00090B26">
      <w:pPr>
        <w:pStyle w:val="Textpoznpodarou"/>
        <w:jc w:val="both"/>
        <w:rPr>
          <w:rFonts w:ascii="Arial" w:hAnsi="Arial" w:cs="Arial"/>
          <w:sz w:val="18"/>
        </w:rPr>
      </w:pPr>
      <w:r w:rsidRPr="00941C5E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3422FC">
        <w:rPr>
          <w:rFonts w:ascii="Arial" w:hAnsi="Arial" w:cs="Arial"/>
          <w:sz w:val="18"/>
        </w:rPr>
        <w:t>Od roku 2002 Č</w:t>
      </w:r>
      <w:r>
        <w:rPr>
          <w:rFonts w:ascii="Arial" w:hAnsi="Arial" w:cs="Arial"/>
          <w:sz w:val="18"/>
        </w:rPr>
        <w:t xml:space="preserve">SÚ </w:t>
      </w:r>
      <w:r w:rsidRPr="003422FC">
        <w:rPr>
          <w:rFonts w:ascii="Arial" w:hAnsi="Arial" w:cs="Arial"/>
          <w:sz w:val="18"/>
        </w:rPr>
        <w:t xml:space="preserve">sleduje podrobné údaje o rozšíření vybraných informačních a komunikačních technologií (ICT) v domácnostech prostřednictvím </w:t>
      </w:r>
      <w:r w:rsidRPr="003422FC">
        <w:rPr>
          <w:rFonts w:ascii="Arial" w:hAnsi="Arial" w:cs="Arial"/>
          <w:b/>
          <w:i/>
          <w:sz w:val="18"/>
        </w:rPr>
        <w:t>Výběrové</w:t>
      </w:r>
      <w:r>
        <w:rPr>
          <w:rFonts w:ascii="Arial" w:hAnsi="Arial" w:cs="Arial"/>
          <w:b/>
          <w:i/>
          <w:sz w:val="18"/>
        </w:rPr>
        <w:t>ho</w:t>
      </w:r>
      <w:r w:rsidRPr="003422FC">
        <w:rPr>
          <w:rFonts w:ascii="Arial" w:hAnsi="Arial" w:cs="Arial"/>
          <w:b/>
          <w:i/>
          <w:sz w:val="18"/>
        </w:rPr>
        <w:t xml:space="preserve"> šetření o využívání ICT v domácnostech (VŠIT).</w:t>
      </w:r>
      <w:r w:rsidRPr="003422FC">
        <w:rPr>
          <w:rFonts w:cs="Arial"/>
        </w:rPr>
        <w:t xml:space="preserve"> </w:t>
      </w:r>
      <w:r w:rsidRPr="00F56FCC">
        <w:rPr>
          <w:rFonts w:ascii="Arial" w:hAnsi="Arial" w:cs="Arial"/>
          <w:sz w:val="18"/>
          <w:szCs w:val="18"/>
        </w:rPr>
        <w:t xml:space="preserve">Toto šetření je prováděno na výběrovém vzorku cca 5 tis. domácností a výsledky jsou převáženy na všechny </w:t>
      </w:r>
      <w:r>
        <w:rPr>
          <w:rFonts w:ascii="Arial" w:hAnsi="Arial" w:cs="Arial"/>
          <w:sz w:val="18"/>
          <w:szCs w:val="18"/>
        </w:rPr>
        <w:t xml:space="preserve">soukromé </w:t>
      </w:r>
      <w:r w:rsidRPr="00F56FCC">
        <w:rPr>
          <w:rFonts w:ascii="Arial" w:hAnsi="Arial" w:cs="Arial"/>
          <w:sz w:val="18"/>
          <w:szCs w:val="18"/>
        </w:rPr>
        <w:t>domácnosti České republiky.</w:t>
      </w:r>
      <w:r w:rsidRPr="00806943">
        <w:rPr>
          <w:rFonts w:ascii="Arial" w:hAnsi="Arial" w:cs="Arial"/>
          <w:sz w:val="18"/>
        </w:rPr>
        <w:t xml:space="preserve"> Od roku 2006 je šetření prováděno každoročně ve 2. čtvrtletí sledovaného roku ve všech zemích EU, a</w:t>
      </w:r>
      <w:r>
        <w:rPr>
          <w:rFonts w:ascii="Arial" w:hAnsi="Arial" w:cs="Arial"/>
          <w:sz w:val="18"/>
        </w:rPr>
        <w:t> </w:t>
      </w:r>
      <w:r w:rsidRPr="00806943">
        <w:rPr>
          <w:rFonts w:ascii="Arial" w:hAnsi="Arial" w:cs="Arial"/>
          <w:sz w:val="18"/>
        </w:rPr>
        <w:t>to jako povinné zjišťování na základě nařízení Evropského parlamentu a Rady (ES) č. 808/2004, o statistice Společenství o informační společnosti. Východiskem k volbě zjišťovaných témat, formulaci jednotlivých konceptů a</w:t>
      </w:r>
      <w:r>
        <w:rPr>
          <w:rFonts w:ascii="Arial" w:hAnsi="Arial" w:cs="Arial"/>
          <w:sz w:val="18"/>
        </w:rPr>
        <w:t> </w:t>
      </w:r>
      <w:r w:rsidRPr="00806943">
        <w:rPr>
          <w:rFonts w:ascii="Arial" w:hAnsi="Arial" w:cs="Arial"/>
          <w:sz w:val="18"/>
        </w:rPr>
        <w:t xml:space="preserve">otázek je každoročně aktualizovaný modelový dotazník </w:t>
      </w:r>
      <w:proofErr w:type="spellStart"/>
      <w:r w:rsidRPr="00806943">
        <w:rPr>
          <w:rFonts w:ascii="Arial" w:hAnsi="Arial" w:cs="Arial"/>
          <w:sz w:val="18"/>
        </w:rPr>
        <w:t>Eurostatu</w:t>
      </w:r>
      <w:proofErr w:type="spellEnd"/>
      <w:r w:rsidRPr="00806943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Získaná data z tohoto šetření </w:t>
      </w:r>
      <w:r w:rsidRPr="00806943">
        <w:rPr>
          <w:rFonts w:ascii="Arial" w:hAnsi="Arial" w:cs="Arial"/>
          <w:sz w:val="18"/>
        </w:rPr>
        <w:t>slouž</w:t>
      </w:r>
      <w:r>
        <w:rPr>
          <w:rFonts w:ascii="Arial" w:hAnsi="Arial" w:cs="Arial"/>
          <w:sz w:val="18"/>
        </w:rPr>
        <w:t xml:space="preserve">í primárně k pravidelnému </w:t>
      </w:r>
      <w:r w:rsidRPr="00806943">
        <w:rPr>
          <w:rFonts w:ascii="Arial" w:hAnsi="Arial" w:cs="Arial"/>
          <w:sz w:val="18"/>
        </w:rPr>
        <w:t xml:space="preserve">monitoringu plnění jednotlivých cílů Digitální agendy pro Evropu a </w:t>
      </w:r>
      <w:r>
        <w:rPr>
          <w:rFonts w:ascii="Arial" w:hAnsi="Arial" w:cs="Arial"/>
          <w:sz w:val="18"/>
        </w:rPr>
        <w:t xml:space="preserve">dále </w:t>
      </w:r>
      <w:r w:rsidRPr="00806943">
        <w:rPr>
          <w:rFonts w:ascii="Arial" w:hAnsi="Arial" w:cs="Arial"/>
          <w:sz w:val="18"/>
        </w:rPr>
        <w:t xml:space="preserve">pro výkon </w:t>
      </w:r>
      <w:r>
        <w:rPr>
          <w:rFonts w:ascii="Arial" w:hAnsi="Arial" w:cs="Arial"/>
          <w:sz w:val="18"/>
        </w:rPr>
        <w:t xml:space="preserve">veřejné </w:t>
      </w:r>
      <w:r w:rsidRPr="00806943">
        <w:rPr>
          <w:rFonts w:ascii="Arial" w:hAnsi="Arial" w:cs="Arial"/>
          <w:sz w:val="18"/>
        </w:rPr>
        <w:t xml:space="preserve">správy </w:t>
      </w:r>
      <w:r>
        <w:rPr>
          <w:rFonts w:ascii="Arial" w:hAnsi="Arial" w:cs="Arial"/>
          <w:sz w:val="18"/>
        </w:rPr>
        <w:t xml:space="preserve">ČR </w:t>
      </w:r>
      <w:r w:rsidRPr="00806943">
        <w:rPr>
          <w:rFonts w:ascii="Arial" w:hAnsi="Arial" w:cs="Arial"/>
          <w:sz w:val="18"/>
        </w:rPr>
        <w:t>v</w:t>
      </w:r>
      <w:r>
        <w:rPr>
          <w:rFonts w:ascii="Arial" w:hAnsi="Arial" w:cs="Arial"/>
          <w:sz w:val="18"/>
        </w:rPr>
        <w:t> </w:t>
      </w:r>
      <w:r w:rsidRPr="00806943">
        <w:rPr>
          <w:rFonts w:ascii="Arial" w:hAnsi="Arial" w:cs="Arial"/>
          <w:sz w:val="18"/>
        </w:rPr>
        <w:t>oblasti rozvoje informační společnosti a digitální ekonomiky</w:t>
      </w:r>
      <w:r>
        <w:rPr>
          <w:rFonts w:ascii="Arial" w:hAnsi="Arial" w:cs="Arial"/>
          <w:sz w:val="18"/>
        </w:rPr>
        <w:t>.</w:t>
      </w:r>
    </w:p>
    <w:p w:rsidR="00151D30" w:rsidRPr="00A533BB" w:rsidRDefault="00151D30" w:rsidP="00090B26">
      <w:pPr>
        <w:pStyle w:val="Textpoznpodarou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>Podrobněji viz následující odkaz:</w:t>
      </w:r>
      <w:r w:rsidRPr="00A533BB">
        <w:rPr>
          <w:sz w:val="15"/>
        </w:rPr>
        <w:t xml:space="preserve"> </w:t>
      </w:r>
      <w:hyperlink r:id="rId1" w:history="1">
        <w:r w:rsidRPr="00A533BB">
          <w:rPr>
            <w:rStyle w:val="Hypertextovodkaz"/>
            <w:rFonts w:ascii="Arial" w:hAnsi="Arial" w:cs="Arial"/>
            <w:sz w:val="18"/>
          </w:rPr>
          <w:t>https://www.czso.cz/csu/czso/domacnosti_a_jednotlivci</w:t>
        </w:r>
        <w:r w:rsidRPr="00A533BB">
          <w:rPr>
            <w:rStyle w:val="Hypertextovodkaz"/>
            <w:rFonts w:ascii="Arial" w:hAnsi="Arial" w:cs="Arial"/>
            <w:b/>
            <w:sz w:val="18"/>
          </w:rPr>
          <w:t xml:space="preserve"> </w:t>
        </w:r>
      </w:hyperlink>
      <w:r w:rsidRPr="00A533BB">
        <w:rPr>
          <w:rFonts w:ascii="Arial" w:hAnsi="Arial" w:cs="Arial"/>
          <w:b/>
          <w:bCs/>
          <w:sz w:val="18"/>
        </w:rPr>
        <w:t xml:space="preserve"> </w:t>
      </w:r>
    </w:p>
  </w:footnote>
  <w:footnote w:id="2">
    <w:p w:rsidR="00151D30" w:rsidRPr="00A533BB" w:rsidRDefault="00151D30" w:rsidP="00090B26">
      <w:pPr>
        <w:pStyle w:val="Textpoznpodarou"/>
        <w:spacing w:before="120"/>
        <w:jc w:val="both"/>
        <w:rPr>
          <w:rFonts w:ascii="Arial" w:hAnsi="Arial" w:cs="Arial"/>
        </w:rPr>
      </w:pPr>
      <w:r w:rsidRPr="00A533BB">
        <w:rPr>
          <w:rStyle w:val="Znakapoznpodarou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</w:t>
      </w:r>
      <w:r w:rsidRPr="00A533BB">
        <w:rPr>
          <w:rFonts w:ascii="Arial" w:hAnsi="Arial" w:cs="Arial"/>
          <w:sz w:val="18"/>
        </w:rPr>
        <w:t xml:space="preserve">Údaje o </w:t>
      </w:r>
      <w:r>
        <w:rPr>
          <w:rFonts w:ascii="Arial" w:hAnsi="Arial" w:cs="Arial"/>
          <w:sz w:val="18"/>
        </w:rPr>
        <w:t xml:space="preserve">vybavenosti </w:t>
      </w:r>
      <w:r w:rsidRPr="00A533BB">
        <w:rPr>
          <w:rFonts w:ascii="Arial" w:hAnsi="Arial" w:cs="Arial"/>
          <w:sz w:val="18"/>
        </w:rPr>
        <w:t xml:space="preserve">domácností </w:t>
      </w:r>
      <w:r>
        <w:rPr>
          <w:rFonts w:ascii="Arial" w:hAnsi="Arial" w:cs="Arial"/>
          <w:sz w:val="18"/>
        </w:rPr>
        <w:t>pevnou telefonní linkou a mobilním telefonem ke konci sledovaného roku byly z</w:t>
      </w:r>
      <w:r w:rsidRPr="00A533BB">
        <w:rPr>
          <w:rFonts w:ascii="Arial" w:hAnsi="Arial" w:cs="Arial"/>
          <w:sz w:val="18"/>
        </w:rPr>
        <w:t xml:space="preserve">ískány </w:t>
      </w:r>
      <w:r>
        <w:rPr>
          <w:rFonts w:ascii="Arial" w:hAnsi="Arial" w:cs="Arial"/>
          <w:sz w:val="18"/>
        </w:rPr>
        <w:t xml:space="preserve">ze </w:t>
      </w:r>
      <w:r w:rsidRPr="00A533BB">
        <w:rPr>
          <w:rFonts w:ascii="Arial" w:hAnsi="Arial" w:cs="Arial"/>
          <w:b/>
          <w:sz w:val="18"/>
        </w:rPr>
        <w:t>Statistiky rodinných účtů</w:t>
      </w:r>
      <w:r>
        <w:rPr>
          <w:rFonts w:ascii="Arial" w:hAnsi="Arial" w:cs="Arial"/>
          <w:b/>
          <w:sz w:val="18"/>
        </w:rPr>
        <w:t xml:space="preserve"> ČSÚ</w:t>
      </w:r>
      <w:r w:rsidRPr="00A533BB">
        <w:rPr>
          <w:rFonts w:ascii="Arial" w:hAnsi="Arial" w:cs="Arial"/>
          <w:sz w:val="18"/>
        </w:rPr>
        <w:t>, kde jsou k dispozici údaje v celé řadě třídění podle jednotlivých typů domácností.</w:t>
      </w:r>
      <w:r>
        <w:rPr>
          <w:rFonts w:ascii="Arial" w:hAnsi="Arial" w:cs="Arial"/>
          <w:sz w:val="18"/>
        </w:rPr>
        <w:t xml:space="preserve"> Tyto údaje byly v rámci této statistiky sledovány naposledy za rok 2016.</w:t>
      </w:r>
      <w:r w:rsidRPr="00A533BB">
        <w:rPr>
          <w:rFonts w:ascii="Arial" w:hAnsi="Arial" w:cs="Arial"/>
          <w:iCs/>
          <w:sz w:val="14"/>
          <w:szCs w:val="24"/>
        </w:rPr>
        <w:t xml:space="preserve"> </w:t>
      </w:r>
    </w:p>
  </w:footnote>
  <w:footnote w:id="3">
    <w:p w:rsidR="00151D30" w:rsidRPr="00806943" w:rsidRDefault="00151D30" w:rsidP="00090B26">
      <w:pPr>
        <w:pStyle w:val="Textpoznpodarou"/>
        <w:jc w:val="both"/>
        <w:rPr>
          <w:rFonts w:ascii="Arial" w:hAnsi="Arial" w:cs="Arial"/>
          <w:sz w:val="18"/>
        </w:rPr>
      </w:pPr>
      <w:r w:rsidRPr="00941C5E">
        <w:rPr>
          <w:rStyle w:val="Znakapoznpodarou"/>
          <w:rFonts w:ascii="Arial" w:hAnsi="Arial" w:cs="Arial"/>
          <w:sz w:val="18"/>
        </w:rPr>
        <w:footnoteRef/>
      </w:r>
      <w:r>
        <w:t xml:space="preserve"> </w:t>
      </w:r>
      <w:r w:rsidRPr="00A71801">
        <w:rPr>
          <w:rFonts w:ascii="Arial" w:hAnsi="Arial" w:cs="Arial"/>
          <w:sz w:val="18"/>
        </w:rPr>
        <w:t>Údaje o celkových výdajích domácností za telekomunikační služby (CZ-COICOP: 08.3)</w:t>
      </w:r>
      <w:r>
        <w:rPr>
          <w:rFonts w:ascii="Arial" w:hAnsi="Arial" w:cs="Arial"/>
          <w:sz w:val="18"/>
        </w:rPr>
        <w:t>,</w:t>
      </w:r>
      <w:r w:rsidRPr="00A71801">
        <w:rPr>
          <w:rFonts w:ascii="Arial" w:hAnsi="Arial" w:cs="Arial"/>
          <w:sz w:val="18"/>
        </w:rPr>
        <w:t xml:space="preserve"> zahrnující nejen provoz pevného a mobilního telefonu, ale i platby za internet a balíčky telekomunikačních služeb</w:t>
      </w:r>
      <w:r>
        <w:rPr>
          <w:rFonts w:ascii="Arial" w:hAnsi="Arial" w:cs="Arial"/>
          <w:sz w:val="18"/>
        </w:rPr>
        <w:t>,</w:t>
      </w:r>
      <w:r w:rsidRPr="00A71801">
        <w:rPr>
          <w:rFonts w:ascii="Arial" w:hAnsi="Arial" w:cs="Arial"/>
          <w:sz w:val="18"/>
        </w:rPr>
        <w:t xml:space="preserve"> byly získány z </w:t>
      </w:r>
      <w:r w:rsidRPr="00A533BB">
        <w:rPr>
          <w:rFonts w:ascii="Arial" w:hAnsi="Arial" w:cs="Arial"/>
          <w:b/>
          <w:sz w:val="18"/>
        </w:rPr>
        <w:t>Ročních národních účtů</w:t>
      </w:r>
      <w:r w:rsidRPr="00A71801">
        <w:rPr>
          <w:rFonts w:ascii="Arial" w:hAnsi="Arial" w:cs="Arial"/>
          <w:sz w:val="18"/>
        </w:rPr>
        <w:t xml:space="preserve"> v rámci tzv. národního pojetí. Jde tedy o výdaje rezidentů v tuzemsku i v zahraničí vynaložených na</w:t>
      </w:r>
      <w:r>
        <w:rPr>
          <w:rFonts w:ascii="Arial" w:hAnsi="Arial" w:cs="Arial"/>
          <w:sz w:val="18"/>
        </w:rPr>
        <w:t> </w:t>
      </w:r>
      <w:r w:rsidRPr="00A71801">
        <w:rPr>
          <w:rFonts w:ascii="Arial" w:hAnsi="Arial" w:cs="Arial"/>
          <w:sz w:val="18"/>
        </w:rPr>
        <w:t>telekomunikační služby, které jsou určeny pro přímé uspokojení individuálních potřeb nebo přání.</w:t>
      </w:r>
      <w:r>
        <w:rPr>
          <w:rFonts w:ascii="Arial" w:hAnsi="Arial" w:cs="Arial"/>
          <w:sz w:val="18"/>
        </w:rPr>
        <w:t xml:space="preserve"> Více viz následující odkaz: </w:t>
      </w:r>
      <w:hyperlink r:id="rId2" w:history="1">
        <w:r w:rsidRPr="000421C2">
          <w:rPr>
            <w:rStyle w:val="Hypertextovodkaz"/>
            <w:rFonts w:ascii="Arial" w:hAnsi="Arial" w:cs="Arial"/>
            <w:sz w:val="18"/>
          </w:rPr>
          <w:t>http://apl.czso.cz/pll/rocenka/rocenkavyber.spotr_dom</w:t>
        </w:r>
      </w:hyperlink>
    </w:p>
  </w:footnote>
  <w:footnote w:id="4">
    <w:p w:rsidR="00151D30" w:rsidRPr="0032037C" w:rsidRDefault="00151D30" w:rsidP="00090B26">
      <w:pPr>
        <w:pStyle w:val="Textpoznpodarou"/>
        <w:spacing w:before="120"/>
        <w:jc w:val="both"/>
        <w:rPr>
          <w:rFonts w:ascii="Arial" w:hAnsi="Arial" w:cs="Arial"/>
          <w:sz w:val="18"/>
        </w:rPr>
      </w:pPr>
      <w:r w:rsidRPr="00941C5E">
        <w:rPr>
          <w:rStyle w:val="Znakapoznpodarou"/>
          <w:rFonts w:ascii="Arial" w:hAnsi="Arial" w:cs="Arial"/>
          <w:sz w:val="18"/>
        </w:rPr>
        <w:footnoteRef/>
      </w:r>
      <w:r>
        <w:t xml:space="preserve"> </w:t>
      </w:r>
      <w:r w:rsidRPr="00CE1F50">
        <w:rPr>
          <w:rFonts w:ascii="Arial" w:hAnsi="Arial" w:cs="Arial"/>
          <w:sz w:val="18"/>
        </w:rPr>
        <w:t xml:space="preserve">Údaje o spotřebních výdajích domácností za </w:t>
      </w:r>
      <w:r>
        <w:rPr>
          <w:rFonts w:ascii="Arial" w:hAnsi="Arial" w:cs="Arial"/>
          <w:sz w:val="18"/>
        </w:rPr>
        <w:t>telekomunikační služby</w:t>
      </w:r>
      <w:r w:rsidRPr="00CE1F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‒</w:t>
      </w:r>
      <w:r w:rsidRPr="00CE1F50">
        <w:rPr>
          <w:rFonts w:ascii="Arial" w:hAnsi="Arial" w:cs="Arial"/>
          <w:sz w:val="18"/>
        </w:rPr>
        <w:t xml:space="preserve"> </w:t>
      </w:r>
      <w:r w:rsidRPr="00A533BB">
        <w:rPr>
          <w:rFonts w:ascii="Arial" w:hAnsi="Arial" w:cs="Arial"/>
          <w:b/>
          <w:sz w:val="18"/>
        </w:rPr>
        <w:t xml:space="preserve">roční průměry v Kč na jednoho člena domácnosti </w:t>
      </w:r>
      <w:r w:rsidRPr="00CE1F50">
        <w:rPr>
          <w:rFonts w:ascii="Arial" w:hAnsi="Arial" w:cs="Arial"/>
          <w:sz w:val="18"/>
        </w:rPr>
        <w:t xml:space="preserve">– </w:t>
      </w:r>
      <w:r>
        <w:rPr>
          <w:rFonts w:ascii="Arial" w:hAnsi="Arial" w:cs="Arial"/>
          <w:sz w:val="18"/>
        </w:rPr>
        <w:t xml:space="preserve">byly </w:t>
      </w:r>
      <w:r w:rsidRPr="00CE1F50">
        <w:rPr>
          <w:rFonts w:ascii="Arial" w:hAnsi="Arial" w:cs="Arial"/>
          <w:sz w:val="18"/>
        </w:rPr>
        <w:t>získ</w:t>
      </w:r>
      <w:r>
        <w:rPr>
          <w:rFonts w:ascii="Arial" w:hAnsi="Arial" w:cs="Arial"/>
          <w:sz w:val="18"/>
        </w:rPr>
        <w:t xml:space="preserve">ány </w:t>
      </w:r>
      <w:r w:rsidRPr="00CE1F50">
        <w:rPr>
          <w:rFonts w:ascii="Arial" w:hAnsi="Arial" w:cs="Arial"/>
          <w:sz w:val="18"/>
        </w:rPr>
        <w:t xml:space="preserve">v rámci </w:t>
      </w:r>
      <w:r w:rsidRPr="00A533BB">
        <w:rPr>
          <w:rFonts w:ascii="Arial" w:hAnsi="Arial" w:cs="Arial"/>
          <w:b/>
          <w:sz w:val="18"/>
        </w:rPr>
        <w:t>Statistiky rodinných účtů</w:t>
      </w:r>
      <w:r>
        <w:rPr>
          <w:rFonts w:ascii="Arial" w:hAnsi="Arial" w:cs="Arial"/>
          <w:sz w:val="18"/>
        </w:rPr>
        <w:t>, kde jsou k</w:t>
      </w:r>
      <w:r w:rsidRPr="00CE1F50">
        <w:rPr>
          <w:rFonts w:ascii="Arial" w:hAnsi="Arial" w:cs="Arial"/>
          <w:sz w:val="18"/>
        </w:rPr>
        <w:t xml:space="preserve"> dispozici </w:t>
      </w:r>
      <w:r>
        <w:rPr>
          <w:rFonts w:ascii="Arial" w:hAnsi="Arial" w:cs="Arial"/>
          <w:sz w:val="18"/>
        </w:rPr>
        <w:t xml:space="preserve">údaje </w:t>
      </w:r>
      <w:r w:rsidRPr="00CE1F50">
        <w:rPr>
          <w:rFonts w:ascii="Arial" w:hAnsi="Arial" w:cs="Arial"/>
          <w:sz w:val="18"/>
        </w:rPr>
        <w:t xml:space="preserve">v celé řadě třídění </w:t>
      </w:r>
      <w:r>
        <w:rPr>
          <w:rFonts w:ascii="Arial" w:hAnsi="Arial" w:cs="Arial"/>
          <w:sz w:val="18"/>
        </w:rPr>
        <w:t xml:space="preserve">jak </w:t>
      </w:r>
      <w:r w:rsidRPr="00CE1F50">
        <w:rPr>
          <w:rFonts w:ascii="Arial" w:hAnsi="Arial" w:cs="Arial"/>
          <w:sz w:val="18"/>
        </w:rPr>
        <w:t>podle jednotlivých typů domácností</w:t>
      </w:r>
      <w:r>
        <w:rPr>
          <w:rFonts w:ascii="Arial" w:hAnsi="Arial" w:cs="Arial"/>
          <w:sz w:val="18"/>
        </w:rPr>
        <w:t>, tak i podle výdajů za telekomunikační služby</w:t>
      </w:r>
      <w:r w:rsidRPr="00CE1F50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Podrobněji viz následující odkaz:</w:t>
      </w:r>
      <w:r w:rsidRPr="00A533BB">
        <w:t xml:space="preserve"> </w:t>
      </w:r>
      <w:hyperlink r:id="rId3" w:history="1">
        <w:r w:rsidRPr="001A3E1A">
          <w:rPr>
            <w:rStyle w:val="Hypertextovodkaz"/>
            <w:rFonts w:ascii="Arial" w:hAnsi="Arial" w:cs="Arial"/>
            <w:sz w:val="18"/>
          </w:rPr>
          <w:t>https://www.czso.cz/csu/czso/investice_v_ict</w:t>
        </w:r>
      </w:hyperlink>
    </w:p>
  </w:footnote>
  <w:footnote w:id="5">
    <w:p w:rsidR="00151D30" w:rsidRDefault="00151D30" w:rsidP="00090B26">
      <w:pPr>
        <w:pStyle w:val="Textpoznpodarou"/>
        <w:jc w:val="both"/>
      </w:pPr>
      <w:r w:rsidRPr="00941C5E">
        <w:rPr>
          <w:rStyle w:val="Znakapoznpodarou"/>
          <w:rFonts w:ascii="Arial" w:hAnsi="Arial" w:cs="Arial"/>
          <w:sz w:val="18"/>
          <w:szCs w:val="18"/>
        </w:rPr>
        <w:footnoteRef/>
      </w:r>
      <w:r w:rsidRPr="00941C5E">
        <w:rPr>
          <w:rFonts w:ascii="Arial" w:hAnsi="Arial" w:cs="Arial"/>
        </w:rPr>
        <w:t xml:space="preserve"> </w:t>
      </w:r>
      <w:r w:rsidRPr="005C6533">
        <w:rPr>
          <w:rFonts w:ascii="Arial" w:hAnsi="Arial" w:cs="Arial"/>
          <w:sz w:val="18"/>
          <w:szCs w:val="18"/>
        </w:rPr>
        <w:t xml:space="preserve">Domácnost s počítačem zahrnuje všechny domácnosti, kde alespoň jeden její člen měl </w:t>
      </w:r>
      <w:r>
        <w:rPr>
          <w:rFonts w:ascii="Arial" w:hAnsi="Arial" w:cs="Arial"/>
          <w:sz w:val="18"/>
          <w:szCs w:val="18"/>
        </w:rPr>
        <w:t xml:space="preserve">v době šetření (2. čtvrtletí sledovaného roku) </w:t>
      </w:r>
      <w:r w:rsidRPr="005C6533">
        <w:rPr>
          <w:rFonts w:ascii="Arial" w:hAnsi="Arial" w:cs="Arial"/>
          <w:sz w:val="18"/>
          <w:szCs w:val="18"/>
        </w:rPr>
        <w:t xml:space="preserve">doma přístup k počítači. </w:t>
      </w:r>
      <w:r w:rsidRPr="005C6533">
        <w:rPr>
          <w:rFonts w:ascii="Arial" w:hAnsi="Arial" w:cs="Arial"/>
          <w:bCs/>
          <w:sz w:val="18"/>
          <w:szCs w:val="18"/>
        </w:rPr>
        <w:t xml:space="preserve">Nezáleží na způsobu vlastnictví, ani typu počítače </w:t>
      </w:r>
      <w:r>
        <w:rPr>
          <w:rFonts w:ascii="Arial" w:hAnsi="Arial" w:cs="Arial"/>
          <w:bCs/>
          <w:sz w:val="18"/>
          <w:szCs w:val="18"/>
        </w:rPr>
        <w:t>‒</w:t>
      </w:r>
      <w:r w:rsidRPr="005C6533">
        <w:rPr>
          <w:rFonts w:ascii="Arial" w:hAnsi="Arial" w:cs="Arial"/>
          <w:bCs/>
          <w:sz w:val="18"/>
          <w:szCs w:val="18"/>
        </w:rPr>
        <w:t xml:space="preserve"> vlastní, služební nebo půjčený, stolní, notebook nebo tablet – který je doma používán. Počítač musí být funkční a fyzicky přítomný v prostoru domácnosti. Notebook či tablet nemusí být doma stále. Přes den může být používán v práci či ve škole. Večer nebo o</w:t>
      </w:r>
      <w:r>
        <w:rPr>
          <w:rFonts w:ascii="Arial" w:hAnsi="Arial" w:cs="Arial"/>
          <w:bCs/>
          <w:sz w:val="18"/>
          <w:szCs w:val="18"/>
        </w:rPr>
        <w:t> </w:t>
      </w:r>
      <w:r w:rsidRPr="005C6533">
        <w:rPr>
          <w:rFonts w:ascii="Arial" w:hAnsi="Arial" w:cs="Arial"/>
          <w:bCs/>
          <w:sz w:val="18"/>
          <w:szCs w:val="18"/>
        </w:rPr>
        <w:t xml:space="preserve">víkendu může být </w:t>
      </w:r>
      <w:r>
        <w:rPr>
          <w:rFonts w:ascii="Arial" w:hAnsi="Arial" w:cs="Arial"/>
          <w:bCs/>
          <w:sz w:val="18"/>
          <w:szCs w:val="18"/>
        </w:rPr>
        <w:t>po</w:t>
      </w:r>
      <w:r w:rsidRPr="005C6533">
        <w:rPr>
          <w:rFonts w:ascii="Arial" w:hAnsi="Arial" w:cs="Arial"/>
          <w:bCs/>
          <w:sz w:val="18"/>
          <w:szCs w:val="18"/>
        </w:rPr>
        <w:t>užíván doma.</w:t>
      </w:r>
    </w:p>
  </w:footnote>
  <w:footnote w:id="6">
    <w:p w:rsidR="00151D30" w:rsidRDefault="00151D30" w:rsidP="00090B26">
      <w:pPr>
        <w:pStyle w:val="Textpoznpodarou"/>
        <w:jc w:val="both"/>
      </w:pPr>
      <w:r w:rsidRPr="00C0723E">
        <w:rPr>
          <w:rStyle w:val="Znakapoznpodarou"/>
          <w:rFonts w:ascii="Arial" w:hAnsi="Arial" w:cs="Arial"/>
          <w:sz w:val="18"/>
        </w:rPr>
        <w:footnoteRef/>
      </w:r>
      <w:r>
        <w:t xml:space="preserve"> </w:t>
      </w:r>
      <w:r w:rsidRPr="008D313B">
        <w:rPr>
          <w:rFonts w:ascii="Arial" w:hAnsi="Arial" w:cs="Arial"/>
          <w:sz w:val="18"/>
          <w:szCs w:val="18"/>
        </w:rPr>
        <w:t xml:space="preserve">Domácnost s internetem </w:t>
      </w:r>
      <w:r>
        <w:rPr>
          <w:rFonts w:ascii="Arial" w:hAnsi="Arial" w:cs="Arial"/>
          <w:sz w:val="18"/>
          <w:szCs w:val="18"/>
        </w:rPr>
        <w:t xml:space="preserve">je každá domácnost, která </w:t>
      </w:r>
      <w:r w:rsidRPr="008D313B">
        <w:rPr>
          <w:rFonts w:ascii="Arial" w:hAnsi="Arial" w:cs="Arial"/>
          <w:sz w:val="18"/>
          <w:szCs w:val="18"/>
        </w:rPr>
        <w:t>v době šetření</w:t>
      </w:r>
      <w:r>
        <w:rPr>
          <w:rFonts w:ascii="Arial" w:hAnsi="Arial" w:cs="Arial"/>
          <w:sz w:val="18"/>
          <w:szCs w:val="18"/>
        </w:rPr>
        <w:t xml:space="preserve"> (2. čtvrtletí sledovaného roku)</w:t>
      </w:r>
      <w:r w:rsidRPr="008D313B">
        <w:rPr>
          <w:rFonts w:ascii="Arial" w:hAnsi="Arial" w:cs="Arial"/>
          <w:sz w:val="18"/>
          <w:szCs w:val="18"/>
        </w:rPr>
        <w:t xml:space="preserve"> uvedl</w:t>
      </w:r>
      <w:r>
        <w:rPr>
          <w:rFonts w:ascii="Arial" w:hAnsi="Arial" w:cs="Arial"/>
          <w:sz w:val="18"/>
          <w:szCs w:val="18"/>
        </w:rPr>
        <w:t>a</w:t>
      </w:r>
      <w:r w:rsidRPr="008D313B">
        <w:rPr>
          <w:rFonts w:ascii="Arial" w:hAnsi="Arial" w:cs="Arial"/>
          <w:sz w:val="18"/>
          <w:szCs w:val="18"/>
        </w:rPr>
        <w:t xml:space="preserve">, že alespoň jeden </w:t>
      </w:r>
      <w:r>
        <w:rPr>
          <w:rFonts w:ascii="Arial" w:hAnsi="Arial" w:cs="Arial"/>
          <w:sz w:val="18"/>
          <w:szCs w:val="18"/>
        </w:rPr>
        <w:t xml:space="preserve">její </w:t>
      </w:r>
      <w:r w:rsidRPr="008D313B">
        <w:rPr>
          <w:rFonts w:ascii="Arial" w:hAnsi="Arial" w:cs="Arial"/>
          <w:sz w:val="18"/>
          <w:szCs w:val="18"/>
        </w:rPr>
        <w:t>člen měl doma přístup k</w:t>
      </w:r>
      <w:r>
        <w:rPr>
          <w:rFonts w:ascii="Arial" w:hAnsi="Arial" w:cs="Arial"/>
          <w:sz w:val="18"/>
          <w:szCs w:val="18"/>
        </w:rPr>
        <w:t> </w:t>
      </w:r>
      <w:r w:rsidRPr="008D313B">
        <w:rPr>
          <w:rFonts w:ascii="Arial" w:hAnsi="Arial" w:cs="Arial"/>
          <w:sz w:val="18"/>
          <w:szCs w:val="18"/>
        </w:rPr>
        <w:t>internetu</w:t>
      </w:r>
      <w:r>
        <w:rPr>
          <w:rFonts w:ascii="Arial" w:hAnsi="Arial" w:cs="Arial"/>
          <w:sz w:val="18"/>
          <w:szCs w:val="18"/>
        </w:rPr>
        <w:t>, tj. mohl ho zde používat, pokud chtěl</w:t>
      </w:r>
      <w:r w:rsidRPr="008D313B">
        <w:rPr>
          <w:rFonts w:ascii="Arial" w:hAnsi="Arial" w:cs="Arial"/>
          <w:sz w:val="18"/>
          <w:szCs w:val="18"/>
        </w:rPr>
        <w:t xml:space="preserve">. Nezáleží na typu </w:t>
      </w:r>
      <w:r>
        <w:rPr>
          <w:rFonts w:ascii="Arial" w:hAnsi="Arial" w:cs="Arial"/>
          <w:sz w:val="18"/>
          <w:szCs w:val="18"/>
        </w:rPr>
        <w:t xml:space="preserve">doma </w:t>
      </w:r>
      <w:r w:rsidRPr="008D313B">
        <w:rPr>
          <w:rFonts w:ascii="Arial" w:hAnsi="Arial" w:cs="Arial"/>
          <w:sz w:val="18"/>
          <w:szCs w:val="18"/>
        </w:rPr>
        <w:t>používaného zařízení (stolní počítač, přenosný počítač, mobilní telefon, digitální televize, herní konzole nebo jiné zařízení), ani způsobu připojení</w:t>
      </w:r>
      <w:r>
        <w:rPr>
          <w:rFonts w:ascii="Arial" w:hAnsi="Arial" w:cs="Arial"/>
          <w:sz w:val="18"/>
          <w:szCs w:val="18"/>
        </w:rPr>
        <w:t xml:space="preserve"> k internetu.</w:t>
      </w:r>
    </w:p>
  </w:footnote>
  <w:footnote w:id="7">
    <w:p w:rsidR="00151D30" w:rsidRDefault="00151D30" w:rsidP="00090B26">
      <w:pPr>
        <w:pStyle w:val="Textpoznpodarou"/>
        <w:jc w:val="both"/>
      </w:pPr>
      <w:r w:rsidRPr="00D25F1F">
        <w:rPr>
          <w:rStyle w:val="Znakapoznpodarou"/>
          <w:rFonts w:ascii="Arial" w:hAnsi="Arial" w:cs="Arial"/>
          <w:sz w:val="18"/>
        </w:rPr>
        <w:footnoteRef/>
      </w:r>
      <w:r>
        <w:t xml:space="preserve"> </w:t>
      </w:r>
      <w:r w:rsidRPr="006F6FAA">
        <w:rPr>
          <w:rFonts w:ascii="Arial" w:hAnsi="Arial" w:cs="Arial"/>
          <w:sz w:val="18"/>
          <w:szCs w:val="18"/>
        </w:rPr>
        <w:t>U otázky na důvody, proč nemá domácnost připojení k internetu, mohly domácnosti uvádět více různých</w:t>
      </w:r>
      <w:r>
        <w:rPr>
          <w:rFonts w:ascii="Arial" w:hAnsi="Arial" w:cs="Arial"/>
          <w:sz w:val="18"/>
          <w:szCs w:val="18"/>
        </w:rPr>
        <w:t xml:space="preserve"> </w:t>
      </w:r>
      <w:r w:rsidRPr="006F6FAA">
        <w:rPr>
          <w:rFonts w:ascii="Arial" w:hAnsi="Arial" w:cs="Arial"/>
          <w:sz w:val="18"/>
          <w:szCs w:val="18"/>
        </w:rPr>
        <w:t>odpovědí.</w:t>
      </w:r>
    </w:p>
  </w:footnote>
  <w:footnote w:id="8">
    <w:p w:rsidR="00151D30" w:rsidRDefault="00151D30" w:rsidP="00085ADD">
      <w:pPr>
        <w:pStyle w:val="Textpoznpodarou"/>
        <w:spacing w:before="60"/>
        <w:jc w:val="both"/>
      </w:pPr>
      <w:r w:rsidRPr="00D25F1F">
        <w:rPr>
          <w:rStyle w:val="Znakapoznpodarou"/>
          <w:rFonts w:ascii="Arial" w:hAnsi="Arial" w:cs="Arial"/>
          <w:sz w:val="18"/>
        </w:rPr>
        <w:footnoteRef/>
      </w:r>
      <w:r>
        <w:t xml:space="preserve"> </w:t>
      </w:r>
      <w:r w:rsidRPr="00964C29">
        <w:rPr>
          <w:rFonts w:ascii="Arial" w:hAnsi="Arial" w:cs="Arial"/>
          <w:sz w:val="18"/>
          <w:szCs w:val="18"/>
        </w:rPr>
        <w:t>Způsob připojení domácnosti k internetu zahrnuje pouze typ připojení domácnosti jako takové dodávané poskytovatelem, a nikoli způsob případného sdílení tohoto připojení více počítači v rámci jedné domácnosti.</w:t>
      </w:r>
    </w:p>
  </w:footnote>
  <w:footnote w:id="9">
    <w:p w:rsidR="00151D30" w:rsidRDefault="00151D30" w:rsidP="00085ADD">
      <w:pPr>
        <w:pStyle w:val="Textpoznpodarou"/>
        <w:spacing w:before="60"/>
        <w:jc w:val="both"/>
      </w:pPr>
      <w:r w:rsidRPr="00D25F1F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964C29">
        <w:rPr>
          <w:rFonts w:ascii="Arial" w:hAnsi="Arial" w:cs="Arial"/>
          <w:sz w:val="18"/>
          <w:szCs w:val="18"/>
        </w:rPr>
        <w:t xml:space="preserve">Wi-Fi </w:t>
      </w:r>
      <w:proofErr w:type="spellStart"/>
      <w:r w:rsidRPr="00964C29">
        <w:rPr>
          <w:rFonts w:ascii="Arial" w:hAnsi="Arial" w:cs="Arial"/>
          <w:sz w:val="18"/>
          <w:szCs w:val="18"/>
        </w:rPr>
        <w:t>router</w:t>
      </w:r>
      <w:proofErr w:type="spellEnd"/>
      <w:r w:rsidRPr="00964C29">
        <w:rPr>
          <w:rFonts w:ascii="Arial" w:hAnsi="Arial" w:cs="Arial"/>
          <w:sz w:val="18"/>
          <w:szCs w:val="18"/>
        </w:rPr>
        <w:t xml:space="preserve"> je zařízení, které bezdrátově rozvádí internet v rámci domácnosti a je umístěno zpravidla v prostoru domácnosti či obývaného objektu.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6F5416" w:rsidRDefault="00151D30" w:rsidP="00EF25CC">
    <w:pPr>
      <w:pStyle w:val="Zhlav"/>
    </w:pPr>
    <w:r>
      <w:t>Rozvoj informační společnosti v České republice a zemích EU</w:t>
    </w:r>
  </w:p>
  <w:p w:rsidR="00151D30" w:rsidRPr="00EF25CC" w:rsidRDefault="00151D30" w:rsidP="00EF25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6F5416" w:rsidRDefault="00151D30" w:rsidP="00937AE2">
    <w:pPr>
      <w:pStyle w:val="Zhlav"/>
    </w:pPr>
    <w:r>
      <w:t>Rozvoj informační společnosti v České republice a zemích EU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22" w:rsidRDefault="009440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4135D"/>
    <w:multiLevelType w:val="hybridMultilevel"/>
    <w:tmpl w:val="FD5658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F750D5"/>
    <w:multiLevelType w:val="hybridMultilevel"/>
    <w:tmpl w:val="5D747D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7D2D59"/>
    <w:multiLevelType w:val="hybridMultilevel"/>
    <w:tmpl w:val="CD607F88"/>
    <w:lvl w:ilvl="0" w:tplc="08DC1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EF0B92"/>
    <w:multiLevelType w:val="hybridMultilevel"/>
    <w:tmpl w:val="338A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E85D3C"/>
    <w:multiLevelType w:val="hybridMultilevel"/>
    <w:tmpl w:val="26643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33F88"/>
    <w:multiLevelType w:val="hybridMultilevel"/>
    <w:tmpl w:val="0F7A41B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D3662"/>
    <w:multiLevelType w:val="hybridMultilevel"/>
    <w:tmpl w:val="1DEEB002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87561"/>
    <w:multiLevelType w:val="hybridMultilevel"/>
    <w:tmpl w:val="CC78A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9"/>
  </w:num>
  <w:num w:numId="14">
    <w:abstractNumId w:val="22"/>
  </w:num>
  <w:num w:numId="15">
    <w:abstractNumId w:val="14"/>
  </w:num>
  <w:num w:numId="16">
    <w:abstractNumId w:val="11"/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21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4"/>
    <w:rsid w:val="0000209D"/>
    <w:rsid w:val="00004D5A"/>
    <w:rsid w:val="000056D5"/>
    <w:rsid w:val="0000661F"/>
    <w:rsid w:val="0000767A"/>
    <w:rsid w:val="00010702"/>
    <w:rsid w:val="000234D6"/>
    <w:rsid w:val="00023D29"/>
    <w:rsid w:val="00026389"/>
    <w:rsid w:val="00031AE0"/>
    <w:rsid w:val="00031DF9"/>
    <w:rsid w:val="000322EF"/>
    <w:rsid w:val="00033FCD"/>
    <w:rsid w:val="00041CEC"/>
    <w:rsid w:val="0004694F"/>
    <w:rsid w:val="000522E4"/>
    <w:rsid w:val="00060678"/>
    <w:rsid w:val="000610E1"/>
    <w:rsid w:val="00062EC5"/>
    <w:rsid w:val="00062F22"/>
    <w:rsid w:val="000712B3"/>
    <w:rsid w:val="000738F5"/>
    <w:rsid w:val="00080DC7"/>
    <w:rsid w:val="0008263E"/>
    <w:rsid w:val="00082C19"/>
    <w:rsid w:val="00085395"/>
    <w:rsid w:val="00085ADD"/>
    <w:rsid w:val="00087634"/>
    <w:rsid w:val="00087F2B"/>
    <w:rsid w:val="00090B26"/>
    <w:rsid w:val="000974D1"/>
    <w:rsid w:val="0009799E"/>
    <w:rsid w:val="000A1183"/>
    <w:rsid w:val="000A256D"/>
    <w:rsid w:val="000A3A2C"/>
    <w:rsid w:val="000C233D"/>
    <w:rsid w:val="000C2E06"/>
    <w:rsid w:val="000C3408"/>
    <w:rsid w:val="000C6AFD"/>
    <w:rsid w:val="000D5447"/>
    <w:rsid w:val="000D5637"/>
    <w:rsid w:val="000E6FBD"/>
    <w:rsid w:val="000F1E6B"/>
    <w:rsid w:val="00100F5C"/>
    <w:rsid w:val="00104C4C"/>
    <w:rsid w:val="0012192F"/>
    <w:rsid w:val="00125D69"/>
    <w:rsid w:val="001310B8"/>
    <w:rsid w:val="001374A5"/>
    <w:rsid w:val="001405FA"/>
    <w:rsid w:val="001425C3"/>
    <w:rsid w:val="00151D30"/>
    <w:rsid w:val="001532F4"/>
    <w:rsid w:val="0016256B"/>
    <w:rsid w:val="00163793"/>
    <w:rsid w:val="001706D6"/>
    <w:rsid w:val="001714F2"/>
    <w:rsid w:val="001719E8"/>
    <w:rsid w:val="00184B08"/>
    <w:rsid w:val="00185010"/>
    <w:rsid w:val="001964E7"/>
    <w:rsid w:val="001A552F"/>
    <w:rsid w:val="001B2CA9"/>
    <w:rsid w:val="001B3110"/>
    <w:rsid w:val="001B4729"/>
    <w:rsid w:val="001B6C09"/>
    <w:rsid w:val="001B7B0A"/>
    <w:rsid w:val="001C05CD"/>
    <w:rsid w:val="001C4EA2"/>
    <w:rsid w:val="001C550B"/>
    <w:rsid w:val="001D68B2"/>
    <w:rsid w:val="001F4597"/>
    <w:rsid w:val="001F71F0"/>
    <w:rsid w:val="002118B9"/>
    <w:rsid w:val="00215A2F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56F55"/>
    <w:rsid w:val="00263723"/>
    <w:rsid w:val="00271465"/>
    <w:rsid w:val="00272ECF"/>
    <w:rsid w:val="00285412"/>
    <w:rsid w:val="00286B82"/>
    <w:rsid w:val="002A16D4"/>
    <w:rsid w:val="002A230C"/>
    <w:rsid w:val="002C354E"/>
    <w:rsid w:val="002C43BD"/>
    <w:rsid w:val="002D0E59"/>
    <w:rsid w:val="002E02A1"/>
    <w:rsid w:val="002E4E4C"/>
    <w:rsid w:val="002E53B8"/>
    <w:rsid w:val="00304771"/>
    <w:rsid w:val="003052D4"/>
    <w:rsid w:val="00306C5B"/>
    <w:rsid w:val="0031346B"/>
    <w:rsid w:val="00320135"/>
    <w:rsid w:val="003209D6"/>
    <w:rsid w:val="00321924"/>
    <w:rsid w:val="003258E2"/>
    <w:rsid w:val="0032656E"/>
    <w:rsid w:val="00332190"/>
    <w:rsid w:val="00344668"/>
    <w:rsid w:val="003462D9"/>
    <w:rsid w:val="00346BD2"/>
    <w:rsid w:val="00360C86"/>
    <w:rsid w:val="0036231A"/>
    <w:rsid w:val="003657F3"/>
    <w:rsid w:val="003818DC"/>
    <w:rsid w:val="00384327"/>
    <w:rsid w:val="00385D98"/>
    <w:rsid w:val="003A2B4D"/>
    <w:rsid w:val="003A478C"/>
    <w:rsid w:val="003A5525"/>
    <w:rsid w:val="003A6B38"/>
    <w:rsid w:val="003B009D"/>
    <w:rsid w:val="003B3A31"/>
    <w:rsid w:val="003B5A32"/>
    <w:rsid w:val="003C3490"/>
    <w:rsid w:val="003C6AB3"/>
    <w:rsid w:val="003D5166"/>
    <w:rsid w:val="003D561C"/>
    <w:rsid w:val="003D6920"/>
    <w:rsid w:val="003D7360"/>
    <w:rsid w:val="003E4C91"/>
    <w:rsid w:val="003F313C"/>
    <w:rsid w:val="003F4B2C"/>
    <w:rsid w:val="003F551C"/>
    <w:rsid w:val="003F7D23"/>
    <w:rsid w:val="00407C13"/>
    <w:rsid w:val="00410638"/>
    <w:rsid w:val="00427DBA"/>
    <w:rsid w:val="00432A58"/>
    <w:rsid w:val="00434617"/>
    <w:rsid w:val="00440900"/>
    <w:rsid w:val="004441A0"/>
    <w:rsid w:val="00447AC3"/>
    <w:rsid w:val="0045371C"/>
    <w:rsid w:val="0045583D"/>
    <w:rsid w:val="00460FB3"/>
    <w:rsid w:val="00471EB7"/>
    <w:rsid w:val="00476240"/>
    <w:rsid w:val="00476439"/>
    <w:rsid w:val="00476ABC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021D"/>
    <w:rsid w:val="004B1417"/>
    <w:rsid w:val="004B2A0F"/>
    <w:rsid w:val="004B55B7"/>
    <w:rsid w:val="004B6468"/>
    <w:rsid w:val="004B680F"/>
    <w:rsid w:val="004C17F9"/>
    <w:rsid w:val="004C1E47"/>
    <w:rsid w:val="004C302C"/>
    <w:rsid w:val="004C384C"/>
    <w:rsid w:val="004C3867"/>
    <w:rsid w:val="004C4CD0"/>
    <w:rsid w:val="004C70DC"/>
    <w:rsid w:val="004D0211"/>
    <w:rsid w:val="004D0794"/>
    <w:rsid w:val="004D41FF"/>
    <w:rsid w:val="004D79D3"/>
    <w:rsid w:val="004F06F5"/>
    <w:rsid w:val="004F1191"/>
    <w:rsid w:val="004F33A0"/>
    <w:rsid w:val="004F3D06"/>
    <w:rsid w:val="00502A16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BB"/>
    <w:rsid w:val="00532CE7"/>
    <w:rsid w:val="0053324C"/>
    <w:rsid w:val="00534A28"/>
    <w:rsid w:val="00536744"/>
    <w:rsid w:val="00541508"/>
    <w:rsid w:val="0055599F"/>
    <w:rsid w:val="00556D68"/>
    <w:rsid w:val="005647BF"/>
    <w:rsid w:val="0057364B"/>
    <w:rsid w:val="00574773"/>
    <w:rsid w:val="00580DC8"/>
    <w:rsid w:val="00583F46"/>
    <w:rsid w:val="00583FFD"/>
    <w:rsid w:val="0058579A"/>
    <w:rsid w:val="005911BE"/>
    <w:rsid w:val="00593152"/>
    <w:rsid w:val="00597C39"/>
    <w:rsid w:val="005A10F2"/>
    <w:rsid w:val="005A21E0"/>
    <w:rsid w:val="005A27BE"/>
    <w:rsid w:val="005A28FF"/>
    <w:rsid w:val="005A3DF8"/>
    <w:rsid w:val="005A5549"/>
    <w:rsid w:val="005B121D"/>
    <w:rsid w:val="005C06ED"/>
    <w:rsid w:val="005C23A9"/>
    <w:rsid w:val="005D09AA"/>
    <w:rsid w:val="005D5802"/>
    <w:rsid w:val="005D7890"/>
    <w:rsid w:val="005E7C78"/>
    <w:rsid w:val="005F3EB1"/>
    <w:rsid w:val="005F5469"/>
    <w:rsid w:val="00604022"/>
    <w:rsid w:val="00604307"/>
    <w:rsid w:val="0060487F"/>
    <w:rsid w:val="00604EAD"/>
    <w:rsid w:val="006104FB"/>
    <w:rsid w:val="00612A2F"/>
    <w:rsid w:val="00616E05"/>
    <w:rsid w:val="00623647"/>
    <w:rsid w:val="00624093"/>
    <w:rsid w:val="006404A7"/>
    <w:rsid w:val="006451E4"/>
    <w:rsid w:val="00645B33"/>
    <w:rsid w:val="00650694"/>
    <w:rsid w:val="006516CB"/>
    <w:rsid w:val="00655739"/>
    <w:rsid w:val="00657E87"/>
    <w:rsid w:val="00664803"/>
    <w:rsid w:val="00665BA4"/>
    <w:rsid w:val="00667AF2"/>
    <w:rsid w:val="006710C9"/>
    <w:rsid w:val="00674D89"/>
    <w:rsid w:val="00675E37"/>
    <w:rsid w:val="0068174E"/>
    <w:rsid w:val="00681D9E"/>
    <w:rsid w:val="00681DCE"/>
    <w:rsid w:val="0068260E"/>
    <w:rsid w:val="0068503B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6C48"/>
    <w:rsid w:val="006C7CA6"/>
    <w:rsid w:val="006D0F31"/>
    <w:rsid w:val="006D3E8A"/>
    <w:rsid w:val="006D61F6"/>
    <w:rsid w:val="006E279A"/>
    <w:rsid w:val="006E313B"/>
    <w:rsid w:val="006E65BC"/>
    <w:rsid w:val="006F17D3"/>
    <w:rsid w:val="006F48ED"/>
    <w:rsid w:val="006F5416"/>
    <w:rsid w:val="00703765"/>
    <w:rsid w:val="00706AD4"/>
    <w:rsid w:val="007140BE"/>
    <w:rsid w:val="00715110"/>
    <w:rsid w:val="007211F5"/>
    <w:rsid w:val="00725BB5"/>
    <w:rsid w:val="00726D5A"/>
    <w:rsid w:val="00730AE8"/>
    <w:rsid w:val="00741493"/>
    <w:rsid w:val="007445D0"/>
    <w:rsid w:val="00752180"/>
    <w:rsid w:val="00755202"/>
    <w:rsid w:val="00755D3A"/>
    <w:rsid w:val="007578D3"/>
    <w:rsid w:val="007609C6"/>
    <w:rsid w:val="0076175D"/>
    <w:rsid w:val="00761AD2"/>
    <w:rsid w:val="00763A84"/>
    <w:rsid w:val="0076521E"/>
    <w:rsid w:val="007661E9"/>
    <w:rsid w:val="007745AC"/>
    <w:rsid w:val="00776169"/>
    <w:rsid w:val="00776527"/>
    <w:rsid w:val="00780EF1"/>
    <w:rsid w:val="007847E4"/>
    <w:rsid w:val="00790764"/>
    <w:rsid w:val="0079453C"/>
    <w:rsid w:val="00794677"/>
    <w:rsid w:val="00797FE8"/>
    <w:rsid w:val="007B0363"/>
    <w:rsid w:val="007B1818"/>
    <w:rsid w:val="007B2E26"/>
    <w:rsid w:val="007B6689"/>
    <w:rsid w:val="007D40DF"/>
    <w:rsid w:val="007D726B"/>
    <w:rsid w:val="007E7E61"/>
    <w:rsid w:val="007F0845"/>
    <w:rsid w:val="007F6C9B"/>
    <w:rsid w:val="00804C7B"/>
    <w:rsid w:val="00807C82"/>
    <w:rsid w:val="00813E24"/>
    <w:rsid w:val="00816905"/>
    <w:rsid w:val="00821FF6"/>
    <w:rsid w:val="0082256C"/>
    <w:rsid w:val="00825C4D"/>
    <w:rsid w:val="0083143E"/>
    <w:rsid w:val="00831CDE"/>
    <w:rsid w:val="00834304"/>
    <w:rsid w:val="0083434D"/>
    <w:rsid w:val="00834FAA"/>
    <w:rsid w:val="008353D1"/>
    <w:rsid w:val="00836086"/>
    <w:rsid w:val="00837E52"/>
    <w:rsid w:val="0084708F"/>
    <w:rsid w:val="008477C8"/>
    <w:rsid w:val="0085114D"/>
    <w:rsid w:val="00852217"/>
    <w:rsid w:val="00855408"/>
    <w:rsid w:val="00856D65"/>
    <w:rsid w:val="008603EE"/>
    <w:rsid w:val="00861B41"/>
    <w:rsid w:val="00863434"/>
    <w:rsid w:val="00865330"/>
    <w:rsid w:val="00865E4C"/>
    <w:rsid w:val="008701E4"/>
    <w:rsid w:val="00872D1B"/>
    <w:rsid w:val="00875A32"/>
    <w:rsid w:val="00876086"/>
    <w:rsid w:val="008873D4"/>
    <w:rsid w:val="0089085D"/>
    <w:rsid w:val="00893E85"/>
    <w:rsid w:val="00894031"/>
    <w:rsid w:val="008A2396"/>
    <w:rsid w:val="008B2FEB"/>
    <w:rsid w:val="008B309E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1C09"/>
    <w:rsid w:val="008F1E34"/>
    <w:rsid w:val="008F3B39"/>
    <w:rsid w:val="008F3FC9"/>
    <w:rsid w:val="008F4FFD"/>
    <w:rsid w:val="008F585B"/>
    <w:rsid w:val="009003A8"/>
    <w:rsid w:val="00902500"/>
    <w:rsid w:val="00902EFF"/>
    <w:rsid w:val="00906401"/>
    <w:rsid w:val="0091155E"/>
    <w:rsid w:val="00912A92"/>
    <w:rsid w:val="009171D1"/>
    <w:rsid w:val="0091728D"/>
    <w:rsid w:val="009172CA"/>
    <w:rsid w:val="0092180B"/>
    <w:rsid w:val="00921F14"/>
    <w:rsid w:val="00924AC8"/>
    <w:rsid w:val="0092597A"/>
    <w:rsid w:val="00927894"/>
    <w:rsid w:val="00932443"/>
    <w:rsid w:val="00937AE2"/>
    <w:rsid w:val="009404B5"/>
    <w:rsid w:val="00944022"/>
    <w:rsid w:val="0094427A"/>
    <w:rsid w:val="00945EE9"/>
    <w:rsid w:val="00955F38"/>
    <w:rsid w:val="0096077C"/>
    <w:rsid w:val="00974923"/>
    <w:rsid w:val="00976E82"/>
    <w:rsid w:val="00980D3D"/>
    <w:rsid w:val="00987A30"/>
    <w:rsid w:val="00990989"/>
    <w:rsid w:val="00992CF3"/>
    <w:rsid w:val="009968D6"/>
    <w:rsid w:val="009A19F9"/>
    <w:rsid w:val="009A1CAB"/>
    <w:rsid w:val="009A60D1"/>
    <w:rsid w:val="009A754C"/>
    <w:rsid w:val="009B08EC"/>
    <w:rsid w:val="009B6FD3"/>
    <w:rsid w:val="009C0729"/>
    <w:rsid w:val="009C0B75"/>
    <w:rsid w:val="009C1750"/>
    <w:rsid w:val="009C2E29"/>
    <w:rsid w:val="009C554B"/>
    <w:rsid w:val="009C719E"/>
    <w:rsid w:val="009D3ACD"/>
    <w:rsid w:val="009E5273"/>
    <w:rsid w:val="009E5DDB"/>
    <w:rsid w:val="009F30E8"/>
    <w:rsid w:val="009F4CA7"/>
    <w:rsid w:val="00A10D66"/>
    <w:rsid w:val="00A14114"/>
    <w:rsid w:val="00A16413"/>
    <w:rsid w:val="00A23E43"/>
    <w:rsid w:val="00A30F65"/>
    <w:rsid w:val="00A351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8616B"/>
    <w:rsid w:val="00AA2659"/>
    <w:rsid w:val="00AA2996"/>
    <w:rsid w:val="00AA52BF"/>
    <w:rsid w:val="00AA559A"/>
    <w:rsid w:val="00AB2AF1"/>
    <w:rsid w:val="00AB437F"/>
    <w:rsid w:val="00AB5C19"/>
    <w:rsid w:val="00AD306C"/>
    <w:rsid w:val="00AE09B3"/>
    <w:rsid w:val="00AE1A83"/>
    <w:rsid w:val="00AF1FF8"/>
    <w:rsid w:val="00B00913"/>
    <w:rsid w:val="00B01593"/>
    <w:rsid w:val="00B06238"/>
    <w:rsid w:val="00B10A4D"/>
    <w:rsid w:val="00B1686C"/>
    <w:rsid w:val="00B17E71"/>
    <w:rsid w:val="00B17FDE"/>
    <w:rsid w:val="00B2379C"/>
    <w:rsid w:val="00B2687D"/>
    <w:rsid w:val="00B32DDB"/>
    <w:rsid w:val="00B34528"/>
    <w:rsid w:val="00B402FC"/>
    <w:rsid w:val="00B42F2D"/>
    <w:rsid w:val="00B44912"/>
    <w:rsid w:val="00B46604"/>
    <w:rsid w:val="00B51564"/>
    <w:rsid w:val="00B530CD"/>
    <w:rsid w:val="00B549A5"/>
    <w:rsid w:val="00B55F5E"/>
    <w:rsid w:val="00B5752E"/>
    <w:rsid w:val="00B63A11"/>
    <w:rsid w:val="00B64C24"/>
    <w:rsid w:val="00B6608F"/>
    <w:rsid w:val="00B679FB"/>
    <w:rsid w:val="00B70408"/>
    <w:rsid w:val="00B76D1E"/>
    <w:rsid w:val="00B80EC6"/>
    <w:rsid w:val="00B92D1D"/>
    <w:rsid w:val="00B938C5"/>
    <w:rsid w:val="00B95940"/>
    <w:rsid w:val="00BB46F3"/>
    <w:rsid w:val="00BB4CB1"/>
    <w:rsid w:val="00BB4F98"/>
    <w:rsid w:val="00BC5164"/>
    <w:rsid w:val="00BC6B60"/>
    <w:rsid w:val="00BC7154"/>
    <w:rsid w:val="00BD366B"/>
    <w:rsid w:val="00BD6D50"/>
    <w:rsid w:val="00BE0024"/>
    <w:rsid w:val="00BE18B9"/>
    <w:rsid w:val="00BE2495"/>
    <w:rsid w:val="00BF1578"/>
    <w:rsid w:val="00C02DB3"/>
    <w:rsid w:val="00C11B46"/>
    <w:rsid w:val="00C21F94"/>
    <w:rsid w:val="00C27913"/>
    <w:rsid w:val="00C3376C"/>
    <w:rsid w:val="00C33B68"/>
    <w:rsid w:val="00C36A79"/>
    <w:rsid w:val="00C405D4"/>
    <w:rsid w:val="00C42E6C"/>
    <w:rsid w:val="00C4513B"/>
    <w:rsid w:val="00C54697"/>
    <w:rsid w:val="00C60393"/>
    <w:rsid w:val="00C73885"/>
    <w:rsid w:val="00C747B1"/>
    <w:rsid w:val="00C81AF4"/>
    <w:rsid w:val="00C82191"/>
    <w:rsid w:val="00C90CF4"/>
    <w:rsid w:val="00C92EB6"/>
    <w:rsid w:val="00C93389"/>
    <w:rsid w:val="00C957FA"/>
    <w:rsid w:val="00CA321C"/>
    <w:rsid w:val="00CB4930"/>
    <w:rsid w:val="00CC2E7D"/>
    <w:rsid w:val="00CD10A5"/>
    <w:rsid w:val="00CD2076"/>
    <w:rsid w:val="00CD488F"/>
    <w:rsid w:val="00CE15A4"/>
    <w:rsid w:val="00CE670B"/>
    <w:rsid w:val="00CF51EC"/>
    <w:rsid w:val="00CF73AE"/>
    <w:rsid w:val="00CF7C1A"/>
    <w:rsid w:val="00D040DD"/>
    <w:rsid w:val="00D1205B"/>
    <w:rsid w:val="00D13986"/>
    <w:rsid w:val="00D235B7"/>
    <w:rsid w:val="00D25F28"/>
    <w:rsid w:val="00D27973"/>
    <w:rsid w:val="00D50F46"/>
    <w:rsid w:val="00D66223"/>
    <w:rsid w:val="00D67EDA"/>
    <w:rsid w:val="00D8084C"/>
    <w:rsid w:val="00DA7C0C"/>
    <w:rsid w:val="00DB2EC8"/>
    <w:rsid w:val="00DC3CB6"/>
    <w:rsid w:val="00DC5B3B"/>
    <w:rsid w:val="00DD129F"/>
    <w:rsid w:val="00DF42FF"/>
    <w:rsid w:val="00DF75BB"/>
    <w:rsid w:val="00E01C0E"/>
    <w:rsid w:val="00E03F9A"/>
    <w:rsid w:val="00E04694"/>
    <w:rsid w:val="00E051F2"/>
    <w:rsid w:val="00E1152B"/>
    <w:rsid w:val="00E12B1E"/>
    <w:rsid w:val="00E17262"/>
    <w:rsid w:val="00E253A2"/>
    <w:rsid w:val="00E270A5"/>
    <w:rsid w:val="00E278A7"/>
    <w:rsid w:val="00E27D82"/>
    <w:rsid w:val="00E3309D"/>
    <w:rsid w:val="00E34F40"/>
    <w:rsid w:val="00E40AE2"/>
    <w:rsid w:val="00E50156"/>
    <w:rsid w:val="00E53470"/>
    <w:rsid w:val="00E539F6"/>
    <w:rsid w:val="00E607E7"/>
    <w:rsid w:val="00E6519D"/>
    <w:rsid w:val="00E67696"/>
    <w:rsid w:val="00E67CFF"/>
    <w:rsid w:val="00E67E74"/>
    <w:rsid w:val="00E71A58"/>
    <w:rsid w:val="00E72A7A"/>
    <w:rsid w:val="00E75C94"/>
    <w:rsid w:val="00E76B4E"/>
    <w:rsid w:val="00E93820"/>
    <w:rsid w:val="00EA0C68"/>
    <w:rsid w:val="00EA32BC"/>
    <w:rsid w:val="00EB4511"/>
    <w:rsid w:val="00EB6DB2"/>
    <w:rsid w:val="00EC03D7"/>
    <w:rsid w:val="00EC4DC9"/>
    <w:rsid w:val="00ED62C6"/>
    <w:rsid w:val="00ED64C1"/>
    <w:rsid w:val="00EE3446"/>
    <w:rsid w:val="00EE3E78"/>
    <w:rsid w:val="00EE4B1B"/>
    <w:rsid w:val="00EF150D"/>
    <w:rsid w:val="00EF1F5A"/>
    <w:rsid w:val="00EF25CC"/>
    <w:rsid w:val="00EF302A"/>
    <w:rsid w:val="00EF47BF"/>
    <w:rsid w:val="00F04811"/>
    <w:rsid w:val="00F0488C"/>
    <w:rsid w:val="00F10A64"/>
    <w:rsid w:val="00F10F11"/>
    <w:rsid w:val="00F15AAA"/>
    <w:rsid w:val="00F15BEF"/>
    <w:rsid w:val="00F15E55"/>
    <w:rsid w:val="00F24407"/>
    <w:rsid w:val="00F24FAA"/>
    <w:rsid w:val="00F26DD0"/>
    <w:rsid w:val="00F3364D"/>
    <w:rsid w:val="00F34076"/>
    <w:rsid w:val="00F348FA"/>
    <w:rsid w:val="00F40A62"/>
    <w:rsid w:val="00F437CC"/>
    <w:rsid w:val="00F43A6B"/>
    <w:rsid w:val="00F47067"/>
    <w:rsid w:val="00F525EB"/>
    <w:rsid w:val="00F5355C"/>
    <w:rsid w:val="00F556CA"/>
    <w:rsid w:val="00F63DDE"/>
    <w:rsid w:val="00F63FB7"/>
    <w:rsid w:val="00F649D2"/>
    <w:rsid w:val="00F6602B"/>
    <w:rsid w:val="00F73A0C"/>
    <w:rsid w:val="00F756DB"/>
    <w:rsid w:val="00F85066"/>
    <w:rsid w:val="00F9030B"/>
    <w:rsid w:val="00F90BD6"/>
    <w:rsid w:val="00FA28A2"/>
    <w:rsid w:val="00FA5D4D"/>
    <w:rsid w:val="00FA6197"/>
    <w:rsid w:val="00FB0EE2"/>
    <w:rsid w:val="00FB542E"/>
    <w:rsid w:val="00FC0E5F"/>
    <w:rsid w:val="00FC1A95"/>
    <w:rsid w:val="00FC56DE"/>
    <w:rsid w:val="00FC684B"/>
    <w:rsid w:val="00FD3265"/>
    <w:rsid w:val="00FE2F78"/>
    <w:rsid w:val="00FE5959"/>
    <w:rsid w:val="00FF3C27"/>
    <w:rsid w:val="00FF4CC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CE15A4"/>
    <w:pPr>
      <w:spacing w:before="120"/>
    </w:pPr>
    <w:rPr>
      <w:b/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CE15A4"/>
    <w:pPr>
      <w:spacing w:before="60"/>
      <w:ind w:left="198"/>
    </w:pPr>
    <w:rPr>
      <w:b/>
      <w:noProof/>
    </w:rPr>
  </w:style>
  <w:style w:type="paragraph" w:styleId="Obsah3">
    <w:name w:val="toc 3"/>
    <w:basedOn w:val="Obsahpoloky"/>
    <w:next w:val="Obsahpoloky"/>
    <w:autoRedefine/>
    <w:uiPriority w:val="39"/>
    <w:unhideWhenUsed/>
    <w:rsid w:val="00CE15A4"/>
    <w:pPr>
      <w:ind w:left="400"/>
    </w:pPr>
    <w:rPr>
      <w:noProof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471EB7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471EB7"/>
    <w:rPr>
      <w:rFonts w:ascii="Arial" w:eastAsia="Times New Roman" w:hAnsi="Arial"/>
      <w:sz w:val="15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1EB7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1EB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uiPriority w:val="99"/>
    <w:semiHidden/>
    <w:unhideWhenUsed/>
    <w:rsid w:val="00471EB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1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6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6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9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1D9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681D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353D1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6C6C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42E6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CE15A4"/>
    <w:pPr>
      <w:spacing w:before="120"/>
    </w:pPr>
    <w:rPr>
      <w:b/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CE15A4"/>
    <w:pPr>
      <w:spacing w:before="60"/>
      <w:ind w:left="198"/>
    </w:pPr>
    <w:rPr>
      <w:b/>
      <w:noProof/>
    </w:rPr>
  </w:style>
  <w:style w:type="paragraph" w:styleId="Obsah3">
    <w:name w:val="toc 3"/>
    <w:basedOn w:val="Obsahpoloky"/>
    <w:next w:val="Obsahpoloky"/>
    <w:autoRedefine/>
    <w:uiPriority w:val="39"/>
    <w:unhideWhenUsed/>
    <w:rsid w:val="00CE15A4"/>
    <w:pPr>
      <w:ind w:left="400"/>
    </w:pPr>
    <w:rPr>
      <w:noProof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471EB7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471EB7"/>
    <w:rPr>
      <w:rFonts w:ascii="Arial" w:eastAsia="Times New Roman" w:hAnsi="Arial"/>
      <w:sz w:val="15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1EB7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1EB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uiPriority w:val="99"/>
    <w:semiHidden/>
    <w:unhideWhenUsed/>
    <w:rsid w:val="00471EB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1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6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6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9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1D9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681D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353D1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6C6C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42E6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hart" Target="charts/chart10.xml"/><Relationship Id="rId32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10" Type="http://schemas.openxmlformats.org/officeDocument/2006/relationships/chart" Target="charts/chart2.xml"/><Relationship Id="rId19" Type="http://schemas.openxmlformats.org/officeDocument/2006/relationships/chart" Target="charts/chart5.xml"/><Relationship Id="rId31" Type="http://schemas.openxmlformats.org/officeDocument/2006/relationships/chart" Target="charts/chart17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zso.cz/csu/czso/investice_v_ict" TargetMode="External"/><Relationship Id="rId2" Type="http://schemas.openxmlformats.org/officeDocument/2006/relationships/hyperlink" Target="http://apl.czso.cz/pll/rocenka/rocenkavyber.spotr_dom" TargetMode="External"/><Relationship Id="rId1" Type="http://schemas.openxmlformats.org/officeDocument/2006/relationships/hyperlink" Target="https://www.czso.cz/csu/czso/domacnosti_a_jednotlivci%20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RBA~1\AppData\Local\Temp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B1 Podíl domácností</a:t>
            </a:r>
            <a:r>
              <a:rPr lang="cs-CZ" sz="800" b="1" baseline="0"/>
              <a:t> </a:t>
            </a:r>
            <a:r>
              <a:rPr lang="cs-CZ" sz="800" b="1"/>
              <a:t>v Česku s pevnou telefonní linkou (%) </a:t>
            </a:r>
          </a:p>
        </c:rich>
      </c:tx>
      <c:layout>
        <c:manualLayout>
          <c:xMode val="edge"/>
          <c:yMode val="edge"/>
          <c:x val="0.28489318877795294"/>
          <c:y val="4.341880341880342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5799305555555557E-2"/>
          <c:y val="0.13768076923076922"/>
          <c:w val="0.89459319234531576"/>
          <c:h val="0.6616884615384615"/>
        </c:manualLayout>
      </c:layout>
      <c:lineChart>
        <c:grouping val="standard"/>
        <c:varyColors val="0"/>
        <c:ser>
          <c:idx val="0"/>
          <c:order val="0"/>
          <c:tx>
            <c:strRef>
              <c:f>B_CZ!$A$11</c:f>
              <c:strCache>
                <c:ptCount val="1"/>
                <c:pt idx="0">
                  <c:v> domácnosti celkem</c:v>
                </c:pt>
              </c:strCache>
            </c:strRef>
          </c:tx>
          <c:spPr>
            <a:ln w="31750">
              <a:solidFill>
                <a:srgbClr val="47E5FF"/>
              </a:solidFill>
            </a:ln>
          </c:spPr>
          <c:marker>
            <c:symbol val="none"/>
          </c:marker>
          <c:cat>
            <c:numRef>
              <c:f>B_CZ!$B$10:$AB$10</c:f>
              <c:numCache>
                <c:formatCode>General</c:formatCode>
                <c:ptCount val="27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</c:numCache>
            </c:numRef>
          </c:cat>
          <c:val>
            <c:numRef>
              <c:f>B_CZ!$B$11:$AB$11</c:f>
              <c:numCache>
                <c:formatCode>0%</c:formatCode>
                <c:ptCount val="27"/>
                <c:pt idx="0">
                  <c:v>0.37200000000000005</c:v>
                </c:pt>
                <c:pt idx="1">
                  <c:v>0.37200000000000005</c:v>
                </c:pt>
                <c:pt idx="2">
                  <c:v>0.39861600000000003</c:v>
                </c:pt>
                <c:pt idx="3">
                  <c:v>0.40899999999999997</c:v>
                </c:pt>
                <c:pt idx="4">
                  <c:v>0.40899999999999997</c:v>
                </c:pt>
                <c:pt idx="5">
                  <c:v>0.442</c:v>
                </c:pt>
                <c:pt idx="6">
                  <c:v>0.50900000000000001</c:v>
                </c:pt>
                <c:pt idx="7">
                  <c:v>0.58799999999999997</c:v>
                </c:pt>
                <c:pt idx="8">
                  <c:v>0.69599999999999995</c:v>
                </c:pt>
                <c:pt idx="9">
                  <c:v>0.76900000000000002</c:v>
                </c:pt>
                <c:pt idx="10">
                  <c:v>0.76300000000000001</c:v>
                </c:pt>
                <c:pt idx="11">
                  <c:v>0.76</c:v>
                </c:pt>
                <c:pt idx="12">
                  <c:v>0.73799999999999999</c:v>
                </c:pt>
                <c:pt idx="13">
                  <c:v>0.72400000000000009</c:v>
                </c:pt>
                <c:pt idx="14">
                  <c:v>0.65500000000000003</c:v>
                </c:pt>
                <c:pt idx="15">
                  <c:v>0.55200000000000005</c:v>
                </c:pt>
                <c:pt idx="16">
                  <c:v>0.44</c:v>
                </c:pt>
                <c:pt idx="17">
                  <c:v>0.34799999999999998</c:v>
                </c:pt>
                <c:pt idx="18">
                  <c:v>0.311</c:v>
                </c:pt>
                <c:pt idx="19">
                  <c:v>0.27600000000000002</c:v>
                </c:pt>
                <c:pt idx="20">
                  <c:v>0.24199999999999999</c:v>
                </c:pt>
                <c:pt idx="21">
                  <c:v>0.23399999999999999</c:v>
                </c:pt>
                <c:pt idx="22">
                  <c:v>0.218</c:v>
                </c:pt>
                <c:pt idx="23">
                  <c:v>0.2</c:v>
                </c:pt>
                <c:pt idx="24">
                  <c:v>0.17</c:v>
                </c:pt>
                <c:pt idx="25">
                  <c:v>0.156</c:v>
                </c:pt>
                <c:pt idx="26">
                  <c:v>0.13589999999999999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B_CZ!$A$12</c:f>
              <c:strCache>
                <c:ptCount val="1"/>
                <c:pt idx="0">
                  <c:v> domácnosti důchodců</c:v>
                </c:pt>
              </c:strCache>
            </c:strRef>
          </c:tx>
          <c:spPr>
            <a:ln w="22225">
              <a:solidFill>
                <a:srgbClr val="009BB4"/>
              </a:solidFill>
              <a:prstDash val="sysDash"/>
            </a:ln>
          </c:spPr>
          <c:marker>
            <c:symbol val="none"/>
          </c:marker>
          <c:cat>
            <c:numRef>
              <c:f>B_CZ!$B$10:$AB$10</c:f>
              <c:numCache>
                <c:formatCode>General</c:formatCode>
                <c:ptCount val="27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</c:numCache>
            </c:numRef>
          </c:cat>
          <c:val>
            <c:numRef>
              <c:f>B_CZ!$B$12:$AB$12</c:f>
              <c:numCache>
                <c:formatCode>0%</c:formatCode>
                <c:ptCount val="27"/>
                <c:pt idx="0">
                  <c:v>0.31617800000000001</c:v>
                </c:pt>
                <c:pt idx="1">
                  <c:v>0.36382900000000001</c:v>
                </c:pt>
                <c:pt idx="2">
                  <c:v>0.39954600000000001</c:v>
                </c:pt>
                <c:pt idx="3">
                  <c:v>0.40120600000000001</c:v>
                </c:pt>
                <c:pt idx="4">
                  <c:v>0.43617899999999998</c:v>
                </c:pt>
                <c:pt idx="5">
                  <c:v>0.47619799999999995</c:v>
                </c:pt>
                <c:pt idx="6">
                  <c:v>0.53735199999999994</c:v>
                </c:pt>
                <c:pt idx="7">
                  <c:v>0.59450599999999998</c:v>
                </c:pt>
                <c:pt idx="8">
                  <c:v>0.66459000000000001</c:v>
                </c:pt>
                <c:pt idx="9">
                  <c:v>0.72247299999999992</c:v>
                </c:pt>
                <c:pt idx="10">
                  <c:v>0.72401099999999996</c:v>
                </c:pt>
                <c:pt idx="11">
                  <c:v>0.73207599999999995</c:v>
                </c:pt>
                <c:pt idx="12">
                  <c:v>0.72324700000000008</c:v>
                </c:pt>
                <c:pt idx="13">
                  <c:v>0.72278400000000009</c:v>
                </c:pt>
                <c:pt idx="14">
                  <c:v>0.68507800000000008</c:v>
                </c:pt>
                <c:pt idx="15">
                  <c:v>0.65234999999999999</c:v>
                </c:pt>
                <c:pt idx="16">
                  <c:v>0.54100000000000004</c:v>
                </c:pt>
                <c:pt idx="17">
                  <c:v>0.44500000000000001</c:v>
                </c:pt>
                <c:pt idx="18">
                  <c:v>0.41299999999999998</c:v>
                </c:pt>
                <c:pt idx="19">
                  <c:v>0.37200000000000005</c:v>
                </c:pt>
                <c:pt idx="20">
                  <c:v>0.34</c:v>
                </c:pt>
                <c:pt idx="21">
                  <c:v>0.33299999999999996</c:v>
                </c:pt>
                <c:pt idx="22">
                  <c:v>0.30599999999999999</c:v>
                </c:pt>
                <c:pt idx="23">
                  <c:v>0.27399999999999997</c:v>
                </c:pt>
                <c:pt idx="24">
                  <c:v>0.23</c:v>
                </c:pt>
                <c:pt idx="25">
                  <c:v>0.22399999999999998</c:v>
                </c:pt>
                <c:pt idx="26">
                  <c:v>0.19700000000000001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112128"/>
        <c:axId val="199590464"/>
      </c:lineChart>
      <c:catAx>
        <c:axId val="20011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9590464"/>
        <c:crosses val="autoZero"/>
        <c:auto val="1"/>
        <c:lblAlgn val="ctr"/>
        <c:lblOffset val="50"/>
        <c:tickLblSkip val="2"/>
        <c:noMultiLvlLbl val="0"/>
      </c:catAx>
      <c:valAx>
        <c:axId val="199590464"/>
        <c:scaling>
          <c:orientation val="minMax"/>
          <c:max val="1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spPr>
          <a:ln w="9525">
            <a:noFill/>
          </a:ln>
        </c:spPr>
        <c:crossAx val="200112128"/>
        <c:crosses val="autoZero"/>
        <c:crossBetween val="between"/>
        <c:majorUnit val="0.1"/>
        <c:minorUnit val="1.0000000000000005E-2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t"/>
      <c:legendEntry>
        <c:idx val="0"/>
        <c:txPr>
          <a:bodyPr/>
          <a:lstStyle/>
          <a:p>
            <a:pPr>
              <a:defRPr b="0" i="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b="0" i="0"/>
            </a:pPr>
            <a:endParaRPr lang="cs-CZ"/>
          </a:p>
        </c:txPr>
      </c:legendEntry>
      <c:layout>
        <c:manualLayout>
          <c:xMode val="edge"/>
          <c:yMode val="edge"/>
          <c:x val="0.69574667093081255"/>
          <c:y val="0.19143504273504272"/>
          <c:w val="0.24964623652616472"/>
          <c:h val="0.18652738095238094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b="0"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Graf B</a:t>
            </a:r>
            <a:r>
              <a:rPr lang="cs-CZ" sz="800"/>
              <a:t>10</a:t>
            </a:r>
            <a:r>
              <a:rPr lang="en-US" sz="800"/>
              <a:t> </a:t>
            </a:r>
            <a:r>
              <a:rPr lang="cs-CZ" sz="800"/>
              <a:t>Podíl d</a:t>
            </a:r>
            <a:r>
              <a:rPr lang="en-US" sz="800"/>
              <a:t>omácnost</a:t>
            </a:r>
            <a:r>
              <a:rPr lang="cs-CZ" sz="800"/>
              <a:t>í</a:t>
            </a:r>
            <a:r>
              <a:rPr lang="cs-CZ" sz="800" baseline="0"/>
              <a:t> </a:t>
            </a:r>
            <a:r>
              <a:rPr lang="en-US" sz="800"/>
              <a:t>v zemích EU s </a:t>
            </a:r>
            <a:r>
              <a:rPr lang="cs-CZ" sz="800"/>
              <a:t>počítačem (%)*</a:t>
            </a:r>
            <a:endParaRPr lang="en-US" sz="8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5949831649831703E-2"/>
          <c:y val="0.10228368055555563"/>
          <c:w val="0.90411750841750838"/>
          <c:h val="0.60425972222222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B_CZ!$K$142</c:f>
              <c:strCache>
                <c:ptCount val="1"/>
                <c:pt idx="0">
                  <c:v> 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8.2373456790123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436554900006827E-7"/>
                  <c:y val="7.45336419753086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62932098765431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874424720578183E-3"/>
                  <c:y val="8.23734567901234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269336563752403E-17"/>
                  <c:y val="9.80524691358024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7.8007010209890858E-17"/>
                  <c:y val="9.98040304754915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B_CZ!$J$143:$J$171</c:f>
              <c:strCache>
                <c:ptCount val="29"/>
                <c:pt idx="0">
                  <c:v>Nizozemsko</c:v>
                </c:pt>
                <c:pt idx="1">
                  <c:v>Lucembursko</c:v>
                </c:pt>
                <c:pt idx="2">
                  <c:v>Finsko</c:v>
                </c:pt>
                <c:pt idx="3">
                  <c:v>Dánsko</c:v>
                </c:pt>
                <c:pt idx="4">
                  <c:v>Německo</c:v>
                </c:pt>
                <c:pt idx="5">
                  <c:v>Švédsko</c:v>
                </c:pt>
                <c:pt idx="6">
                  <c:v>Velká Británie</c:v>
                </c:pt>
                <c:pt idx="7">
                  <c:v>Estonsko</c:v>
                </c:pt>
                <c:pt idx="8">
                  <c:v>Rakousko</c:v>
                </c:pt>
                <c:pt idx="9">
                  <c:v>Belgie</c:v>
                </c:pt>
                <c:pt idx="10">
                  <c:v>EU28</c:v>
                </c:pt>
                <c:pt idx="11">
                  <c:v>Francie</c:v>
                </c:pt>
                <c:pt idx="12">
                  <c:v>Irsko</c:v>
                </c:pt>
                <c:pt idx="13">
                  <c:v>Malta</c:v>
                </c:pt>
                <c:pt idx="14">
                  <c:v>Česko</c:v>
                </c:pt>
                <c:pt idx="15">
                  <c:v>Slovensko</c:v>
                </c:pt>
                <c:pt idx="16">
                  <c:v>Polsko</c:v>
                </c:pt>
                <c:pt idx="17">
                  <c:v>Maďarsko</c:v>
                </c:pt>
                <c:pt idx="18">
                  <c:v>Slovinsko</c:v>
                </c:pt>
                <c:pt idx="19">
                  <c:v>Španělsko</c:v>
                </c:pt>
                <c:pt idx="20">
                  <c:v>Lotyšsko</c:v>
                </c:pt>
                <c:pt idx="21">
                  <c:v>Kypr</c:v>
                </c:pt>
                <c:pt idx="22">
                  <c:v>Chorvatsko</c:v>
                </c:pt>
                <c:pt idx="23">
                  <c:v>Litva</c:v>
                </c:pt>
                <c:pt idx="24">
                  <c:v>Rumunsko</c:v>
                </c:pt>
                <c:pt idx="25">
                  <c:v>Itálie</c:v>
                </c:pt>
                <c:pt idx="26">
                  <c:v>Portugalsko</c:v>
                </c:pt>
                <c:pt idx="27">
                  <c:v>Řecko</c:v>
                </c:pt>
                <c:pt idx="28">
                  <c:v>Bulharsko</c:v>
                </c:pt>
              </c:strCache>
            </c:strRef>
          </c:cat>
          <c:val>
            <c:numRef>
              <c:f>B_CZ!$K$143:$K$171</c:f>
              <c:numCache>
                <c:formatCode>0%</c:formatCode>
                <c:ptCount val="29"/>
                <c:pt idx="0">
                  <c:v>0.97610799999999998</c:v>
                </c:pt>
                <c:pt idx="1">
                  <c:v>0.95448299999999997</c:v>
                </c:pt>
                <c:pt idx="2">
                  <c:v>0.93497300000000005</c:v>
                </c:pt>
                <c:pt idx="3">
                  <c:v>0.931369</c:v>
                </c:pt>
                <c:pt idx="4">
                  <c:v>0.92865600000000004</c:v>
                </c:pt>
                <c:pt idx="5">
                  <c:v>0.92816399999999999</c:v>
                </c:pt>
                <c:pt idx="6">
                  <c:v>0.91668400000000005</c:v>
                </c:pt>
                <c:pt idx="7">
                  <c:v>0.86909000000000003</c:v>
                </c:pt>
                <c:pt idx="8">
                  <c:v>0.85373299999999996</c:v>
                </c:pt>
                <c:pt idx="9">
                  <c:v>0.85119100000000003</c:v>
                </c:pt>
                <c:pt idx="10">
                  <c:v>0.84211199999999997</c:v>
                </c:pt>
                <c:pt idx="11">
                  <c:v>0.84125000000000005</c:v>
                </c:pt>
                <c:pt idx="12">
                  <c:v>0.83757800000000004</c:v>
                </c:pt>
                <c:pt idx="13">
                  <c:v>0.83714</c:v>
                </c:pt>
                <c:pt idx="14">
                  <c:v>0.82181499999999996</c:v>
                </c:pt>
                <c:pt idx="15">
                  <c:v>0.81799100000000002</c:v>
                </c:pt>
                <c:pt idx="16">
                  <c:v>0.81776899999999997</c:v>
                </c:pt>
                <c:pt idx="17">
                  <c:v>0.79674800000000001</c:v>
                </c:pt>
                <c:pt idx="18">
                  <c:v>0.79503000000000001</c:v>
                </c:pt>
                <c:pt idx="19">
                  <c:v>0.78385000000000005</c:v>
                </c:pt>
                <c:pt idx="20">
                  <c:v>0.77389799999999997</c:v>
                </c:pt>
                <c:pt idx="21">
                  <c:v>0.75874699999999995</c:v>
                </c:pt>
                <c:pt idx="22">
                  <c:v>0.74069700000000005</c:v>
                </c:pt>
                <c:pt idx="23">
                  <c:v>0.73009199999999996</c:v>
                </c:pt>
                <c:pt idx="24">
                  <c:v>0.72999400000000003</c:v>
                </c:pt>
                <c:pt idx="25">
                  <c:v>0.72502</c:v>
                </c:pt>
                <c:pt idx="26">
                  <c:v>0.71491199999999999</c:v>
                </c:pt>
                <c:pt idx="27">
                  <c:v>0.70500499999999999</c:v>
                </c:pt>
                <c:pt idx="28">
                  <c:v>0.62959399999999999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9881728"/>
        <c:axId val="200313664"/>
      </c:barChart>
      <c:barChart>
        <c:barDir val="col"/>
        <c:grouping val="clustered"/>
        <c:varyColors val="0"/>
        <c:ser>
          <c:idx val="1"/>
          <c:order val="1"/>
          <c:tx>
            <c:strRef>
              <c:f>B_CZ!$L$142</c:f>
              <c:strCache>
                <c:ptCount val="1"/>
                <c:pt idx="0">
                  <c:v> 2007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B_CZ!$J$143:$J$171</c:f>
              <c:strCache>
                <c:ptCount val="29"/>
                <c:pt idx="0">
                  <c:v>Nizozemsko</c:v>
                </c:pt>
                <c:pt idx="1">
                  <c:v>Lucembursko</c:v>
                </c:pt>
                <c:pt idx="2">
                  <c:v>Finsko</c:v>
                </c:pt>
                <c:pt idx="3">
                  <c:v>Dánsko</c:v>
                </c:pt>
                <c:pt idx="4">
                  <c:v>Německo</c:v>
                </c:pt>
                <c:pt idx="5">
                  <c:v>Švédsko</c:v>
                </c:pt>
                <c:pt idx="6">
                  <c:v>Velká Británie</c:v>
                </c:pt>
                <c:pt idx="7">
                  <c:v>Estonsko</c:v>
                </c:pt>
                <c:pt idx="8">
                  <c:v>Rakousko</c:v>
                </c:pt>
                <c:pt idx="9">
                  <c:v>Belgie</c:v>
                </c:pt>
                <c:pt idx="10">
                  <c:v>EU28</c:v>
                </c:pt>
                <c:pt idx="11">
                  <c:v>Francie</c:v>
                </c:pt>
                <c:pt idx="12">
                  <c:v>Irsko</c:v>
                </c:pt>
                <c:pt idx="13">
                  <c:v>Malta</c:v>
                </c:pt>
                <c:pt idx="14">
                  <c:v>Česko</c:v>
                </c:pt>
                <c:pt idx="15">
                  <c:v>Slovensko</c:v>
                </c:pt>
                <c:pt idx="16">
                  <c:v>Polsko</c:v>
                </c:pt>
                <c:pt idx="17">
                  <c:v>Maďarsko</c:v>
                </c:pt>
                <c:pt idx="18">
                  <c:v>Slovinsko</c:v>
                </c:pt>
                <c:pt idx="19">
                  <c:v>Španělsko</c:v>
                </c:pt>
                <c:pt idx="20">
                  <c:v>Lotyšsko</c:v>
                </c:pt>
                <c:pt idx="21">
                  <c:v>Kypr</c:v>
                </c:pt>
                <c:pt idx="22">
                  <c:v>Chorvatsko</c:v>
                </c:pt>
                <c:pt idx="23">
                  <c:v>Litva</c:v>
                </c:pt>
                <c:pt idx="24">
                  <c:v>Rumunsko</c:v>
                </c:pt>
                <c:pt idx="25">
                  <c:v>Itálie</c:v>
                </c:pt>
                <c:pt idx="26">
                  <c:v>Portugalsko</c:v>
                </c:pt>
                <c:pt idx="27">
                  <c:v>Řecko</c:v>
                </c:pt>
                <c:pt idx="28">
                  <c:v>Bulharsko</c:v>
                </c:pt>
              </c:strCache>
            </c:strRef>
          </c:cat>
          <c:val>
            <c:numRef>
              <c:f>B_CZ!$L$143:$L$171</c:f>
              <c:numCache>
                <c:formatCode>0%</c:formatCode>
                <c:ptCount val="29"/>
                <c:pt idx="0">
                  <c:v>0.86303600000000003</c:v>
                </c:pt>
                <c:pt idx="1">
                  <c:v>0.79966899999999996</c:v>
                </c:pt>
                <c:pt idx="2">
                  <c:v>0.73963100000000004</c:v>
                </c:pt>
                <c:pt idx="3">
                  <c:v>0.82960400000000001</c:v>
                </c:pt>
                <c:pt idx="4">
                  <c:v>0.786466</c:v>
                </c:pt>
                <c:pt idx="5">
                  <c:v>0.82871899999999998</c:v>
                </c:pt>
                <c:pt idx="6">
                  <c:v>0.75377799999999995</c:v>
                </c:pt>
                <c:pt idx="7">
                  <c:v>0.56473499999999999</c:v>
                </c:pt>
                <c:pt idx="8">
                  <c:v>0.70743199999999995</c:v>
                </c:pt>
                <c:pt idx="9">
                  <c:v>0.67196299999999998</c:v>
                </c:pt>
                <c:pt idx="10">
                  <c:v>0.64225600000000005</c:v>
                </c:pt>
                <c:pt idx="11">
                  <c:v>0.65549400000000002</c:v>
                </c:pt>
                <c:pt idx="12">
                  <c:v>0.65487099999999998</c:v>
                </c:pt>
                <c:pt idx="13">
                  <c:v>0.62636400000000003</c:v>
                </c:pt>
                <c:pt idx="14">
                  <c:v>0.43396800000000002</c:v>
                </c:pt>
                <c:pt idx="15">
                  <c:v>0.55429700000000004</c:v>
                </c:pt>
                <c:pt idx="16">
                  <c:v>0.53689299999999995</c:v>
                </c:pt>
                <c:pt idx="17">
                  <c:v>0.52565099999999998</c:v>
                </c:pt>
                <c:pt idx="18">
                  <c:v>0.65998400000000002</c:v>
                </c:pt>
                <c:pt idx="19">
                  <c:v>0.58949300000000004</c:v>
                </c:pt>
                <c:pt idx="20">
                  <c:v>0.492205</c:v>
                </c:pt>
                <c:pt idx="21">
                  <c:v>0.53053700000000004</c:v>
                </c:pt>
                <c:pt idx="22">
                  <c:v>0.49468800000000002</c:v>
                </c:pt>
                <c:pt idx="23">
                  <c:v>0.462723</c:v>
                </c:pt>
                <c:pt idx="24">
                  <c:v>0.33998499999999998</c:v>
                </c:pt>
                <c:pt idx="25">
                  <c:v>0.53379600000000005</c:v>
                </c:pt>
                <c:pt idx="26">
                  <c:v>0.48316500000000001</c:v>
                </c:pt>
                <c:pt idx="27">
                  <c:v>0.40167399999999998</c:v>
                </c:pt>
                <c:pt idx="28">
                  <c:v>0.23327400000000001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199883264"/>
        <c:axId val="200314240"/>
      </c:barChart>
      <c:catAx>
        <c:axId val="19988172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00313664"/>
        <c:crosses val="autoZero"/>
        <c:auto val="1"/>
        <c:lblAlgn val="ctr"/>
        <c:lblOffset val="100"/>
        <c:noMultiLvlLbl val="0"/>
      </c:catAx>
      <c:valAx>
        <c:axId val="200313664"/>
        <c:scaling>
          <c:orientation val="minMax"/>
          <c:max val="1"/>
          <c:min val="0"/>
        </c:scaling>
        <c:delete val="0"/>
        <c:axPos val="l"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cs-CZ"/>
          </a:p>
        </c:txPr>
        <c:crossAx val="199881728"/>
        <c:crosses val="autoZero"/>
        <c:crossBetween val="between"/>
        <c:majorUnit val="0.1"/>
        <c:minorUnit val="5.0000000000000024E-2"/>
      </c:valAx>
      <c:valAx>
        <c:axId val="200314240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one"/>
        <c:crossAx val="199883264"/>
        <c:crosses val="max"/>
        <c:crossBetween val="between"/>
      </c:valAx>
      <c:catAx>
        <c:axId val="199883264"/>
        <c:scaling>
          <c:orientation val="minMax"/>
        </c:scaling>
        <c:delete val="1"/>
        <c:axPos val="b"/>
        <c:majorTickMark val="out"/>
        <c:minorTickMark val="none"/>
        <c:tickLblPos val="none"/>
        <c:crossAx val="200314240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9131410256410271"/>
          <c:y val="0.1129317901234568"/>
          <c:w val="7.1111932938856023E-2"/>
          <c:h val="0.1163820987654321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B11 Domácnosti</a:t>
            </a:r>
            <a:r>
              <a:rPr lang="cs-CZ" sz="800" b="1" baseline="0"/>
              <a:t> </a:t>
            </a:r>
            <a:r>
              <a:rPr lang="cs-CZ" sz="800" b="1"/>
              <a:t>v Česku mající doma </a:t>
            </a:r>
          </a:p>
          <a:p>
            <a:pPr>
              <a:defRPr sz="800" b="1"/>
            </a:pPr>
            <a:r>
              <a:rPr lang="cs-CZ" sz="800" b="1"/>
              <a:t>přenosný počítač (notebook nebo tablet)</a:t>
            </a:r>
            <a:endParaRPr lang="en-US" sz="800" b="1"/>
          </a:p>
        </c:rich>
      </c:tx>
      <c:layout>
        <c:manualLayout>
          <c:xMode val="edge"/>
          <c:yMode val="edge"/>
          <c:x val="0.13270223577235787"/>
          <c:y val="1.881481481481482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3813516798106587E-2"/>
          <c:y val="0.12904148148148176"/>
          <c:w val="0.96948369216085761"/>
          <c:h val="0.704025925925925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B_CZ!$A$164</c:f>
              <c:strCache>
                <c:ptCount val="1"/>
                <c:pt idx="0">
                  <c:v> miliony domácností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5.82725925925925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B_CZ!$B$163:$G$163</c:f>
              <c:numCache>
                <c:formatCode>0</c:formatCode>
                <c:ptCount val="6"/>
                <c:pt idx="0">
                  <c:v>2006</c:v>
                </c:pt>
                <c:pt idx="1">
                  <c:v>2009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2017</c:v>
                </c:pt>
              </c:numCache>
            </c:numRef>
          </c:cat>
          <c:val>
            <c:numRef>
              <c:f>B_CZ!$B$164:$G$164</c:f>
              <c:numCache>
                <c:formatCode>0.0</c:formatCode>
                <c:ptCount val="6"/>
                <c:pt idx="0">
                  <c:v>0.28554856890477842</c:v>
                </c:pt>
                <c:pt idx="1">
                  <c:v>0.84656268509000054</c:v>
                </c:pt>
                <c:pt idx="2">
                  <c:v>1.3361921773353107</c:v>
                </c:pt>
                <c:pt idx="3">
                  <c:v>1.830136893275496</c:v>
                </c:pt>
                <c:pt idx="4">
                  <c:v>2.3309286116196608</c:v>
                </c:pt>
                <c:pt idx="5">
                  <c:v>2.7166516816250192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1273856"/>
        <c:axId val="200315968"/>
      </c:barChart>
      <c:lineChart>
        <c:grouping val="standard"/>
        <c:varyColors val="0"/>
        <c:ser>
          <c:idx val="0"/>
          <c:order val="1"/>
          <c:tx>
            <c:strRef>
              <c:f>B_CZ!$A$165</c:f>
              <c:strCache>
                <c:ptCount val="1"/>
                <c:pt idx="0">
                  <c:v> % všech domácností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dLbls>
            <c:dLbl>
              <c:idx val="0"/>
              <c:layout>
                <c:manualLayout>
                  <c:x val="-5.6513347763347772E-2"/>
                  <c:y val="-5.9531652639917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B_CZ!$B$163:$G$163</c:f>
              <c:numCache>
                <c:formatCode>0</c:formatCode>
                <c:ptCount val="6"/>
                <c:pt idx="0">
                  <c:v>2006</c:v>
                </c:pt>
                <c:pt idx="1">
                  <c:v>2009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2017</c:v>
                </c:pt>
              </c:numCache>
            </c:numRef>
          </c:cat>
          <c:val>
            <c:numRef>
              <c:f>B_CZ!$B$165:$G$165</c:f>
              <c:numCache>
                <c:formatCode>0.0%</c:formatCode>
                <c:ptCount val="6"/>
                <c:pt idx="0" formatCode="0%">
                  <c:v>6.7968664677844515E-2</c:v>
                </c:pt>
                <c:pt idx="1">
                  <c:v>0.19643449253859249</c:v>
                </c:pt>
                <c:pt idx="2">
                  <c:v>0.32571838033551292</c:v>
                </c:pt>
                <c:pt idx="3">
                  <c:v>0.43055704384627691</c:v>
                </c:pt>
                <c:pt idx="4">
                  <c:v>0.5474746486623937</c:v>
                </c:pt>
                <c:pt idx="5">
                  <c:v>0.6200959581285802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B_CZ!$A$166</c:f>
              <c:strCache>
                <c:ptCount val="1"/>
                <c:pt idx="0">
                  <c:v> % domácností s počítačem</c:v>
                </c:pt>
              </c:strCache>
            </c:strRef>
          </c:tx>
          <c:spPr>
            <a:ln w="19050">
              <a:solidFill>
                <a:srgbClr val="007D92"/>
              </a:solidFill>
            </a:ln>
          </c:spPr>
          <c:marker>
            <c:symbol val="circle"/>
            <c:size val="4"/>
            <c:spPr>
              <a:solidFill>
                <a:srgbClr val="47E5FF"/>
              </a:solidFill>
              <a:ln>
                <a:solidFill>
                  <a:srgbClr val="007D92"/>
                </a:solidFill>
              </a:ln>
            </c:spPr>
          </c:marker>
          <c:dLbls>
            <c:numFmt formatCode="0%" sourceLinked="0"/>
            <c:txPr>
              <a:bodyPr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B_CZ!$B$163:$G$163</c:f>
              <c:numCache>
                <c:formatCode>0</c:formatCode>
                <c:ptCount val="6"/>
                <c:pt idx="0">
                  <c:v>2006</c:v>
                </c:pt>
                <c:pt idx="1">
                  <c:v>2009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2017</c:v>
                </c:pt>
              </c:numCache>
            </c:numRef>
          </c:cat>
          <c:val>
            <c:numRef>
              <c:f>B_CZ!$B$166:$G$166</c:f>
              <c:numCache>
                <c:formatCode>0.0%</c:formatCode>
                <c:ptCount val="6"/>
                <c:pt idx="0" formatCode="0%">
                  <c:v>0.19044285935441244</c:v>
                </c:pt>
                <c:pt idx="1">
                  <c:v>0.36260685481860949</c:v>
                </c:pt>
                <c:pt idx="2">
                  <c:v>0.50303637861776396</c:v>
                </c:pt>
                <c:pt idx="3">
                  <c:v>0.63181898588749597</c:v>
                </c:pt>
                <c:pt idx="4">
                  <c:v>0.74937576840968201</c:v>
                </c:pt>
                <c:pt idx="5">
                  <c:v>0.81271634548949867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274368"/>
        <c:axId val="200316544"/>
      </c:lineChart>
      <c:catAx>
        <c:axId val="2012738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00315968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200315968"/>
        <c:scaling>
          <c:orientation val="minMax"/>
          <c:max val="5"/>
          <c:min val="0"/>
        </c:scaling>
        <c:delete val="0"/>
        <c:axPos val="l"/>
        <c:majorGridlines>
          <c:spPr>
            <a:ln w="12700">
              <a:noFill/>
              <a:prstDash val="dash"/>
            </a:ln>
          </c:spPr>
        </c:majorGridlines>
        <c:numFmt formatCode="0.0" sourceLinked="1"/>
        <c:majorTickMark val="none"/>
        <c:minorTickMark val="none"/>
        <c:tickLblPos val="none"/>
        <c:spPr>
          <a:ln w="9525">
            <a:noFill/>
          </a:ln>
        </c:spPr>
        <c:crossAx val="201273856"/>
        <c:crosses val="autoZero"/>
        <c:crossBetween val="between"/>
        <c:majorUnit val="1"/>
        <c:minorUnit val="2.0000000000000011E-2"/>
      </c:valAx>
      <c:catAx>
        <c:axId val="201274368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200316544"/>
        <c:crosses val="autoZero"/>
        <c:auto val="1"/>
        <c:lblAlgn val="ctr"/>
        <c:lblOffset val="100"/>
        <c:noMultiLvlLbl val="0"/>
      </c:catAx>
      <c:valAx>
        <c:axId val="200316544"/>
        <c:scaling>
          <c:orientation val="minMax"/>
          <c:max val="1"/>
          <c:min val="0"/>
        </c:scaling>
        <c:delete val="0"/>
        <c:axPos val="r"/>
        <c:numFmt formatCode="0%" sourceLinked="1"/>
        <c:majorTickMark val="none"/>
        <c:minorTickMark val="none"/>
        <c:tickLblPos val="none"/>
        <c:spPr>
          <a:ln>
            <a:solidFill>
              <a:schemeClr val="bg1">
                <a:lumMod val="65000"/>
              </a:schemeClr>
            </a:solidFill>
          </a:ln>
        </c:spPr>
        <c:crossAx val="201274368"/>
        <c:crosses val="max"/>
        <c:crossBetween val="between"/>
        <c:majorUnit val="5.0000000000000024E-2"/>
        <c:minorUnit val="1.0000000000000005E-2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egendEntry>
        <c:idx val="2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1.4957655826558268E-2"/>
          <c:y val="0.1500137037037037"/>
          <c:w val="0.58617615176151761"/>
          <c:h val="0.14832925925925927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B12 Počítače používané v Česku </a:t>
            </a:r>
          </a:p>
          <a:p>
            <a:pPr>
              <a:defRPr sz="800" b="1"/>
            </a:pPr>
            <a:r>
              <a:rPr lang="cs-CZ" sz="800" b="1"/>
              <a:t>ve vybraných domácnostech  v roce 2017 (%)*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29261015325670497"/>
          <c:y val="0.13788703703703717"/>
          <c:w val="0.68399803921568703"/>
          <c:h val="0.672832962962962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B_CZ!$B$169</c:f>
              <c:strCache>
                <c:ptCount val="1"/>
                <c:pt idx="0">
                  <c:v> seniorů - osob starších 65 let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dLbl>
              <c:idx val="3"/>
              <c:layout>
                <c:manualLayout>
                  <c:x val="-8.95889468347095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B_CZ!$A$170:$A$175</c:f>
              <c:strCache>
                <c:ptCount val="6"/>
                <c:pt idx="0">
                  <c:v>pouze 
přenosný počítač</c:v>
                </c:pt>
                <c:pt idx="1">
                  <c:v>pouze 
stolní počítač</c:v>
                </c:pt>
                <c:pt idx="3">
                  <c:v>tablet</c:v>
                </c:pt>
                <c:pt idx="4">
                  <c:v>notebook</c:v>
                </c:pt>
                <c:pt idx="5">
                  <c:v>stolní 
počítač</c:v>
                </c:pt>
              </c:strCache>
            </c:strRef>
          </c:cat>
          <c:val>
            <c:numRef>
              <c:f>B_CZ!$B$170:$B$175</c:f>
              <c:numCache>
                <c:formatCode>0%</c:formatCode>
                <c:ptCount val="6"/>
                <c:pt idx="0">
                  <c:v>0.44261973480134004</c:v>
                </c:pt>
                <c:pt idx="1">
                  <c:v>0.44061832944811202</c:v>
                </c:pt>
                <c:pt idx="3">
                  <c:v>0.102430060491935</c:v>
                </c:pt>
                <c:pt idx="4">
                  <c:v>0.49856364954663496</c:v>
                </c:pt>
                <c:pt idx="5">
                  <c:v>0.55737802651986601</c:v>
                </c:pt>
              </c:numCache>
            </c:numRef>
          </c:val>
        </c:ser>
        <c:ser>
          <c:idx val="1"/>
          <c:order val="1"/>
          <c:tx>
            <c:strRef>
              <c:f>B_CZ!$C$169</c:f>
              <c:strCache>
                <c:ptCount val="1"/>
                <c:pt idx="0">
                  <c:v> domácnosti s dětmi</c:v>
                </c:pt>
              </c:strCache>
            </c:strRef>
          </c:tx>
          <c:spPr>
            <a:solidFill>
              <a:srgbClr val="00C5E6"/>
            </a:solidFill>
          </c:spPr>
          <c:invertIfNegative val="0"/>
          <c:dLbls>
            <c:dLbl>
              <c:idx val="1"/>
              <c:layout>
                <c:manualLayout>
                  <c:x val="-9.50255780996802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B_CZ!$A$170:$A$175</c:f>
              <c:strCache>
                <c:ptCount val="6"/>
                <c:pt idx="0">
                  <c:v>pouze 
přenosný počítač</c:v>
                </c:pt>
                <c:pt idx="1">
                  <c:v>pouze 
stolní počítač</c:v>
                </c:pt>
                <c:pt idx="3">
                  <c:v>tablet</c:v>
                </c:pt>
                <c:pt idx="4">
                  <c:v>notebook</c:v>
                </c:pt>
                <c:pt idx="5">
                  <c:v>stolní 
počítač</c:v>
                </c:pt>
              </c:strCache>
            </c:strRef>
          </c:cat>
          <c:val>
            <c:numRef>
              <c:f>B_CZ!$C$170:$C$175</c:f>
              <c:numCache>
                <c:formatCode>0%</c:formatCode>
                <c:ptCount val="6"/>
                <c:pt idx="0">
                  <c:v>0.50751159203964502</c:v>
                </c:pt>
                <c:pt idx="1">
                  <c:v>0.118444403806895</c:v>
                </c:pt>
                <c:pt idx="3">
                  <c:v>0.48472198370701797</c:v>
                </c:pt>
                <c:pt idx="4">
                  <c:v>0.80860753445756206</c:v>
                </c:pt>
                <c:pt idx="5">
                  <c:v>0.49248840796035503</c:v>
                </c:pt>
              </c:numCache>
            </c:numRef>
          </c:val>
        </c:ser>
        <c:ser>
          <c:idx val="2"/>
          <c:order val="2"/>
          <c:tx>
            <c:strRef>
              <c:f>B_CZ!$D$169</c:f>
              <c:strCache>
                <c:ptCount val="1"/>
                <c:pt idx="0">
                  <c:v> osob mladších 40 let bez dětí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1"/>
              <c:layout>
                <c:manualLayout>
                  <c:x val="-7.423634996631213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B_CZ!$A$170:$A$175</c:f>
              <c:strCache>
                <c:ptCount val="6"/>
                <c:pt idx="0">
                  <c:v>pouze 
přenosný počítač</c:v>
                </c:pt>
                <c:pt idx="1">
                  <c:v>pouze 
stolní počítač</c:v>
                </c:pt>
                <c:pt idx="3">
                  <c:v>tablet</c:v>
                </c:pt>
                <c:pt idx="4">
                  <c:v>notebook</c:v>
                </c:pt>
                <c:pt idx="5">
                  <c:v>stolní 
počítač</c:v>
                </c:pt>
              </c:strCache>
            </c:strRef>
          </c:cat>
          <c:val>
            <c:numRef>
              <c:f>B_CZ!$D$170:$D$175</c:f>
              <c:numCache>
                <c:formatCode>0%</c:formatCode>
                <c:ptCount val="6"/>
                <c:pt idx="0">
                  <c:v>0.71146008019012597</c:v>
                </c:pt>
                <c:pt idx="1">
                  <c:v>8.8041124783823699E-2</c:v>
                </c:pt>
                <c:pt idx="3">
                  <c:v>0.23676317213789499</c:v>
                </c:pt>
                <c:pt idx="4">
                  <c:v>0.873882000829867</c:v>
                </c:pt>
                <c:pt idx="5">
                  <c:v>0.28853991980987398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0110080"/>
        <c:axId val="199770112"/>
      </c:barChart>
      <c:catAx>
        <c:axId val="200110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9770112"/>
        <c:crosses val="autoZero"/>
        <c:auto val="1"/>
        <c:lblAlgn val="ctr"/>
        <c:lblOffset val="100"/>
        <c:noMultiLvlLbl val="0"/>
      </c:catAx>
      <c:valAx>
        <c:axId val="199770112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one"/>
        <c:crossAx val="200110080"/>
        <c:crosses val="autoZero"/>
        <c:crossBetween val="between"/>
        <c:majorUnit val="0.25"/>
        <c:minorUnit val="5.0000000000000024E-2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40985727969348651"/>
          <c:y val="0.44634074074074076"/>
          <c:w val="0.52793742017879952"/>
          <c:h val="0.18379037037037038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B13 Domácnosti v Česku </a:t>
            </a:r>
          </a:p>
          <a:p>
            <a:pPr>
              <a:defRPr sz="800" b="1"/>
            </a:pPr>
            <a:r>
              <a:rPr lang="cs-CZ" sz="800" b="1"/>
              <a:t>mající (používající) doma internet</a:t>
            </a:r>
            <a:endParaRPr lang="en-US" sz="800" b="1"/>
          </a:p>
        </c:rich>
      </c:tx>
      <c:layout>
        <c:manualLayout>
          <c:xMode val="edge"/>
          <c:yMode val="edge"/>
          <c:x val="0.21014126016260179"/>
          <c:y val="2.351851851851851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3813516798106587E-2"/>
          <c:y val="0.12904148148148176"/>
          <c:w val="0.96948369216085761"/>
          <c:h val="0.704025925925925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B_CZ!$A$183</c:f>
              <c:strCache>
                <c:ptCount val="1"/>
                <c:pt idx="0">
                  <c:v> miliony domácností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B_CZ!$B$182:$I$182</c:f>
              <c:numCache>
                <c:formatCode>0</c:formatCode>
                <c:ptCount val="8"/>
                <c:pt idx="0">
                  <c:v>2003</c:v>
                </c:pt>
                <c:pt idx="1">
                  <c:v>2005</c:v>
                </c:pt>
                <c:pt idx="2">
                  <c:v>2007</c:v>
                </c:pt>
                <c:pt idx="3">
                  <c:v>2009</c:v>
                </c:pt>
                <c:pt idx="4">
                  <c:v>2011</c:v>
                </c:pt>
                <c:pt idx="5">
                  <c:v>2013</c:v>
                </c:pt>
                <c:pt idx="6">
                  <c:v>2015</c:v>
                </c:pt>
                <c:pt idx="7">
                  <c:v>2017</c:v>
                </c:pt>
              </c:numCache>
            </c:numRef>
          </c:cat>
          <c:val>
            <c:numRef>
              <c:f>B_CZ!$B$183:$I$183</c:f>
              <c:numCache>
                <c:formatCode>#,##0.0</c:formatCode>
                <c:ptCount val="8"/>
                <c:pt idx="0">
                  <c:v>0.60099999999999998</c:v>
                </c:pt>
                <c:pt idx="1">
                  <c:v>0.7833955988001865</c:v>
                </c:pt>
                <c:pt idx="2">
                  <c:v>1.3549040542857718</c:v>
                </c:pt>
                <c:pt idx="3">
                  <c:v>2.122347221292999</c:v>
                </c:pt>
                <c:pt idx="4" formatCode="0.0">
                  <c:v>2.530986</c:v>
                </c:pt>
                <c:pt idx="5">
                  <c:v>2.8459140000000001</c:v>
                </c:pt>
                <c:pt idx="6">
                  <c:v>3.1112950000000001</c:v>
                </c:pt>
                <c:pt idx="7" formatCode="0.0">
                  <c:v>3.3805519456893802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1273344"/>
        <c:axId val="199771840"/>
      </c:barChart>
      <c:lineChart>
        <c:grouping val="standard"/>
        <c:varyColors val="0"/>
        <c:ser>
          <c:idx val="0"/>
          <c:order val="1"/>
          <c:tx>
            <c:strRef>
              <c:f>B_CZ!$A$184</c:f>
              <c:strCache>
                <c:ptCount val="1"/>
                <c:pt idx="0">
                  <c:v> % všech domácností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dLbls>
            <c:dLbl>
              <c:idx val="0"/>
              <c:layout>
                <c:manualLayout>
                  <c:x val="-5.6513347763347772E-2"/>
                  <c:y val="-5.9531652639917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B_CZ!$B$182:$I$182</c:f>
              <c:numCache>
                <c:formatCode>0</c:formatCode>
                <c:ptCount val="8"/>
                <c:pt idx="0">
                  <c:v>2003</c:v>
                </c:pt>
                <c:pt idx="1">
                  <c:v>2005</c:v>
                </c:pt>
                <c:pt idx="2">
                  <c:v>2007</c:v>
                </c:pt>
                <c:pt idx="3">
                  <c:v>2009</c:v>
                </c:pt>
                <c:pt idx="4">
                  <c:v>2011</c:v>
                </c:pt>
                <c:pt idx="5">
                  <c:v>2013</c:v>
                </c:pt>
                <c:pt idx="6">
                  <c:v>2015</c:v>
                </c:pt>
                <c:pt idx="7">
                  <c:v>2017</c:v>
                </c:pt>
              </c:numCache>
            </c:numRef>
          </c:cat>
          <c:val>
            <c:numRef>
              <c:f>B_CZ!$B$184:$I$184</c:f>
              <c:numCache>
                <c:formatCode>0.0%</c:formatCode>
                <c:ptCount val="8"/>
                <c:pt idx="0">
                  <c:v>0.14799999999999999</c:v>
                </c:pt>
                <c:pt idx="1">
                  <c:v>0.19078790862909312</c:v>
                </c:pt>
                <c:pt idx="2">
                  <c:v>0.31984155830700123</c:v>
                </c:pt>
                <c:pt idx="3">
                  <c:v>0.49246469256748526</c:v>
                </c:pt>
                <c:pt idx="4">
                  <c:v>0.61699999999999999</c:v>
                </c:pt>
                <c:pt idx="5">
                  <c:v>0.67</c:v>
                </c:pt>
                <c:pt idx="6">
                  <c:v>0.73099999999999998</c:v>
                </c:pt>
                <c:pt idx="7">
                  <c:v>0.77163613279703502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276928"/>
        <c:axId val="199772416"/>
      </c:lineChart>
      <c:catAx>
        <c:axId val="20127334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9771840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99771840"/>
        <c:scaling>
          <c:orientation val="minMax"/>
          <c:max val="5"/>
          <c:min val="0"/>
        </c:scaling>
        <c:delete val="0"/>
        <c:axPos val="l"/>
        <c:majorGridlines>
          <c:spPr>
            <a:ln w="12700">
              <a:noFill/>
              <a:prstDash val="dash"/>
            </a:ln>
          </c:spPr>
        </c:majorGridlines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201273344"/>
        <c:crosses val="autoZero"/>
        <c:crossBetween val="between"/>
        <c:majorUnit val="1"/>
        <c:minorUnit val="2.0000000000000011E-2"/>
      </c:valAx>
      <c:catAx>
        <c:axId val="201276928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199772416"/>
        <c:crosses val="autoZero"/>
        <c:auto val="1"/>
        <c:lblAlgn val="ctr"/>
        <c:lblOffset val="100"/>
        <c:noMultiLvlLbl val="0"/>
      </c:catAx>
      <c:valAx>
        <c:axId val="199772416"/>
        <c:scaling>
          <c:orientation val="minMax"/>
          <c:max val="1"/>
          <c:min val="0"/>
        </c:scaling>
        <c:delete val="0"/>
        <c:axPos val="r"/>
        <c:numFmt formatCode="0.0%" sourceLinked="1"/>
        <c:majorTickMark val="none"/>
        <c:minorTickMark val="none"/>
        <c:tickLblPos val="none"/>
        <c:spPr>
          <a:ln>
            <a:solidFill>
              <a:schemeClr val="bg1">
                <a:lumMod val="65000"/>
              </a:schemeClr>
            </a:solidFill>
          </a:ln>
        </c:spPr>
        <c:crossAx val="201276928"/>
        <c:crosses val="max"/>
        <c:crossBetween val="between"/>
        <c:majorUnit val="5.0000000000000024E-2"/>
        <c:minorUnit val="1.0000000000000005E-2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4.3021680216802173E-2"/>
          <c:y val="0.15471740740740772"/>
          <c:w val="0.5044349593495937"/>
          <c:h val="0.13421814814814828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B14 Vybrané typy domácností v Česku, </a:t>
            </a:r>
          </a:p>
          <a:p>
            <a:pPr>
              <a:defRPr sz="800" b="1"/>
            </a:pPr>
            <a:r>
              <a:rPr lang="cs-CZ" sz="800" b="1"/>
              <a:t>které doma </a:t>
            </a:r>
            <a:r>
              <a:rPr lang="cs-CZ" sz="800" b="1" u="sng"/>
              <a:t>nemají (nepoužívají) </a:t>
            </a:r>
            <a:r>
              <a:rPr lang="cs-CZ" sz="800" b="1"/>
              <a:t>internet (%)*</a:t>
            </a:r>
            <a:endParaRPr lang="en-US" sz="800" b="1"/>
          </a:p>
        </c:rich>
      </c:tx>
      <c:layout>
        <c:manualLayout>
          <c:xMode val="edge"/>
          <c:yMode val="edge"/>
          <c:x val="0.22276532567049825"/>
          <c:y val="2.303102841702486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9261015325670497"/>
          <c:y val="0.13788703703703717"/>
          <c:w val="0.68399803921568703"/>
          <c:h val="0.672832962962962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B_CZ!$B$187</c:f>
              <c:strCache>
                <c:ptCount val="1"/>
                <c:pt idx="0">
                  <c:v> 2012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dLbl>
              <c:idx val="0"/>
              <c:layout>
                <c:manualLayout>
                  <c:x val="2.8802681992337164E-3"/>
                  <c:y val="8.444612866687326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02107279693486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30587484035759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B_CZ!$A$188:$A$195</c:f>
              <c:strCache>
                <c:ptCount val="8"/>
                <c:pt idx="0">
                  <c:v>s nejvyššími příjmy</c:v>
                </c:pt>
                <c:pt idx="1">
                  <c:v>s nejnižšími příjmy</c:v>
                </c:pt>
                <c:pt idx="3">
                  <c:v>s dětmi</c:v>
                </c:pt>
                <c:pt idx="4">
                  <c:v>osob mladších 
40 let bez dětí</c:v>
                </c:pt>
                <c:pt idx="5">
                  <c:v>osob nad 65 let</c:v>
                </c:pt>
                <c:pt idx="7">
                  <c:v>domácnosti 
celkem</c:v>
                </c:pt>
              </c:strCache>
            </c:strRef>
          </c:cat>
          <c:val>
            <c:numRef>
              <c:f>B_CZ!$B$188:$B$195</c:f>
              <c:numCache>
                <c:formatCode>0%</c:formatCode>
                <c:ptCount val="8"/>
                <c:pt idx="0">
                  <c:v>6.0999999999999943E-2</c:v>
                </c:pt>
                <c:pt idx="1">
                  <c:v>0.76400000000000001</c:v>
                </c:pt>
                <c:pt idx="3">
                  <c:v>0.10400000000000005</c:v>
                </c:pt>
                <c:pt idx="4">
                  <c:v>0.14799999999999996</c:v>
                </c:pt>
                <c:pt idx="5">
                  <c:v>0.88800000000000001</c:v>
                </c:pt>
                <c:pt idx="7">
                  <c:v>0.34599999999999992</c:v>
                </c:pt>
              </c:numCache>
            </c:numRef>
          </c:val>
        </c:ser>
        <c:ser>
          <c:idx val="1"/>
          <c:order val="1"/>
          <c:tx>
            <c:strRef>
              <c:f>B_CZ!$C$187</c:f>
              <c:strCache>
                <c:ptCount val="1"/>
                <c:pt idx="0">
                  <c:v> 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B_CZ!$A$188:$A$195</c:f>
              <c:strCache>
                <c:ptCount val="8"/>
                <c:pt idx="0">
                  <c:v>s nejvyššími příjmy</c:v>
                </c:pt>
                <c:pt idx="1">
                  <c:v>s nejnižšími příjmy</c:v>
                </c:pt>
                <c:pt idx="3">
                  <c:v>s dětmi</c:v>
                </c:pt>
                <c:pt idx="4">
                  <c:v>osob mladších 
40 let bez dětí</c:v>
                </c:pt>
                <c:pt idx="5">
                  <c:v>osob nad 65 let</c:v>
                </c:pt>
                <c:pt idx="7">
                  <c:v>domácnosti 
celkem</c:v>
                </c:pt>
              </c:strCache>
            </c:strRef>
          </c:cat>
          <c:val>
            <c:numRef>
              <c:f>B_CZ!$C$188:$C$195</c:f>
              <c:numCache>
                <c:formatCode>0%</c:formatCode>
                <c:ptCount val="8"/>
                <c:pt idx="0">
                  <c:v>7.2775537038044999E-3</c:v>
                </c:pt>
                <c:pt idx="1">
                  <c:v>0.57367290356675116</c:v>
                </c:pt>
                <c:pt idx="3">
                  <c:v>4.1397696492881268E-2</c:v>
                </c:pt>
                <c:pt idx="4">
                  <c:v>3.2414183806782119E-2</c:v>
                </c:pt>
                <c:pt idx="5">
                  <c:v>0.68908472763856832</c:v>
                </c:pt>
                <c:pt idx="7">
                  <c:v>0.22816646158136961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1275904"/>
        <c:axId val="199774144"/>
      </c:barChart>
      <c:catAx>
        <c:axId val="201275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9774144"/>
        <c:crosses val="autoZero"/>
        <c:auto val="1"/>
        <c:lblAlgn val="ctr"/>
        <c:lblOffset val="100"/>
        <c:noMultiLvlLbl val="0"/>
      </c:catAx>
      <c:valAx>
        <c:axId val="199774144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one"/>
        <c:crossAx val="201275904"/>
        <c:crosses val="autoZero"/>
        <c:crossBetween val="between"/>
        <c:majorUnit val="0.25"/>
        <c:minorUnit val="5.0000000000000024E-2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7479980842912011"/>
          <c:y val="0.16104854650635633"/>
          <c:w val="0.13813697318007664"/>
          <c:h val="0.13676368714070689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949831649831703E-2"/>
          <c:y val="0.13364166666666666"/>
          <c:w val="0.90411750841750838"/>
          <c:h val="0.572901543209877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B_CZ!$B$207</c:f>
              <c:strCache>
                <c:ptCount val="1"/>
                <c:pt idx="0">
                  <c:v> 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rgbClr val="47E5FF"/>
              </a:solidFill>
              <a:ln>
                <a:solidFill>
                  <a:srgbClr val="FF0000"/>
                </a:solidFill>
              </a:ln>
            </c:spPr>
          </c:dPt>
          <c:dPt>
            <c:idx val="16"/>
            <c:invertIfNegative val="0"/>
            <c:bubble3D val="0"/>
            <c:spPr>
              <a:solidFill>
                <a:srgbClr val="47E5FF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9"/>
              <c:numFmt formatCode="0%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numFmt formatCode="0%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0"/>
                  <c:y val="7.979522158567556E-3"/>
                </c:manualLayout>
              </c:layout>
              <c:numFmt formatCode="0%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5601402041978172E-16"/>
                  <c:y val="-1.9948805396418964E-2"/>
                </c:manualLayout>
              </c:layout>
              <c:numFmt formatCode="0%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0"/>
                  <c:y val="2.3938566475702597E-2"/>
                </c:manualLayout>
              </c:layout>
              <c:numFmt formatCode="0%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-8.3784982664959345E-2"/>
                </c:manualLayout>
              </c:layout>
              <c:numFmt formatCode="0%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B_CZ!$A$208:$A$233</c:f>
              <c:strCache>
                <c:ptCount val="26"/>
                <c:pt idx="0">
                  <c:v>Bulharsko</c:v>
                </c:pt>
                <c:pt idx="1">
                  <c:v>Rumunsko</c:v>
                </c:pt>
                <c:pt idx="2">
                  <c:v>Maďarsko</c:v>
                </c:pt>
                <c:pt idx="3">
                  <c:v>Lotyšsko</c:v>
                </c:pt>
                <c:pt idx="4">
                  <c:v>Litva</c:v>
                </c:pt>
                <c:pt idx="5">
                  <c:v>Portugalsko</c:v>
                </c:pt>
                <c:pt idx="6">
                  <c:v>Slovinsko</c:v>
                </c:pt>
                <c:pt idx="7">
                  <c:v>Polsko</c:v>
                </c:pt>
                <c:pt idx="8">
                  <c:v>Řecko</c:v>
                </c:pt>
                <c:pt idx="9">
                  <c:v>Česko</c:v>
                </c:pt>
                <c:pt idx="10">
                  <c:v>Kypr</c:v>
                </c:pt>
                <c:pt idx="11">
                  <c:v>Itálie</c:v>
                </c:pt>
                <c:pt idx="12">
                  <c:v>Španělsko</c:v>
                </c:pt>
                <c:pt idx="13">
                  <c:v>Chorvatsko</c:v>
                </c:pt>
                <c:pt idx="14">
                  <c:v>Slovensko</c:v>
                </c:pt>
                <c:pt idx="15">
                  <c:v>Belgie</c:v>
                </c:pt>
                <c:pt idx="16">
                  <c:v>EU28</c:v>
                </c:pt>
                <c:pt idx="17">
                  <c:v>Estonsko</c:v>
                </c:pt>
                <c:pt idx="18">
                  <c:v>Francie</c:v>
                </c:pt>
                <c:pt idx="19">
                  <c:v>Rakousko</c:v>
                </c:pt>
                <c:pt idx="20">
                  <c:v>Německo</c:v>
                </c:pt>
                <c:pt idx="21">
                  <c:v>Finsko</c:v>
                </c:pt>
                <c:pt idx="22">
                  <c:v>Švédsko</c:v>
                </c:pt>
                <c:pt idx="23">
                  <c:v>Dánsko</c:v>
                </c:pt>
                <c:pt idx="24">
                  <c:v>Lucembursko</c:v>
                </c:pt>
                <c:pt idx="25">
                  <c:v>Nizozemsko</c:v>
                </c:pt>
              </c:strCache>
            </c:strRef>
          </c:cat>
          <c:val>
            <c:numRef>
              <c:f>B_CZ!$B$208:$B$233</c:f>
              <c:numCache>
                <c:formatCode>0%</c:formatCode>
                <c:ptCount val="26"/>
                <c:pt idx="0">
                  <c:v>0.73157700000000003</c:v>
                </c:pt>
                <c:pt idx="1">
                  <c:v>0.54443600000000003</c:v>
                </c:pt>
                <c:pt idx="2">
                  <c:v>0.54433299999999996</c:v>
                </c:pt>
                <c:pt idx="3">
                  <c:v>0.54077399999999998</c:v>
                </c:pt>
                <c:pt idx="4">
                  <c:v>0.53537199999999996</c:v>
                </c:pt>
                <c:pt idx="5">
                  <c:v>0.52470499999999998</c:v>
                </c:pt>
                <c:pt idx="6">
                  <c:v>0.48167599999999999</c:v>
                </c:pt>
                <c:pt idx="7">
                  <c:v>0.46270499999999998</c:v>
                </c:pt>
                <c:pt idx="8">
                  <c:v>0.45954499999999998</c:v>
                </c:pt>
                <c:pt idx="9">
                  <c:v>0.44774399999999998</c:v>
                </c:pt>
                <c:pt idx="10">
                  <c:v>0.432508</c:v>
                </c:pt>
                <c:pt idx="12">
                  <c:v>0.36359999999999998</c:v>
                </c:pt>
                <c:pt idx="13">
                  <c:v>0.34308300000000003</c:v>
                </c:pt>
                <c:pt idx="14">
                  <c:v>0.33927299999999999</c:v>
                </c:pt>
                <c:pt idx="15">
                  <c:v>0.32489400000000002</c:v>
                </c:pt>
                <c:pt idx="16">
                  <c:v>0.29457299999999997</c:v>
                </c:pt>
                <c:pt idx="17">
                  <c:v>0.29307899999999998</c:v>
                </c:pt>
                <c:pt idx="18">
                  <c:v>0.289885</c:v>
                </c:pt>
                <c:pt idx="19">
                  <c:v>0.179114</c:v>
                </c:pt>
                <c:pt idx="20">
                  <c:v>0.16694899999999999</c:v>
                </c:pt>
                <c:pt idx="21">
                  <c:v>0.131049</c:v>
                </c:pt>
                <c:pt idx="22">
                  <c:v>9.4842999999999997E-2</c:v>
                </c:pt>
                <c:pt idx="23">
                  <c:v>8.0595E-2</c:v>
                </c:pt>
                <c:pt idx="24">
                  <c:v>5.8673999999999997E-2</c:v>
                </c:pt>
                <c:pt idx="25">
                  <c:v>3.1744000000000001E-2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1552384"/>
        <c:axId val="199775872"/>
      </c:barChart>
      <c:scatterChart>
        <c:scatterStyle val="lineMarker"/>
        <c:varyColors val="0"/>
        <c:ser>
          <c:idx val="1"/>
          <c:order val="1"/>
          <c:tx>
            <c:strRef>
              <c:f>B_CZ!$C$207</c:f>
              <c:strCache>
                <c:ptCount val="1"/>
                <c:pt idx="0">
                  <c:v> 2012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6"/>
            <c:spPr>
              <a:solidFill>
                <a:schemeClr val="tx1"/>
              </a:solidFill>
              <a:ln w="15875">
                <a:solidFill>
                  <a:schemeClr val="tx1"/>
                </a:solidFill>
              </a:ln>
            </c:spPr>
          </c:marker>
          <c:xVal>
            <c:strRef>
              <c:f>B_CZ!$A$208:$A$233</c:f>
              <c:strCache>
                <c:ptCount val="26"/>
                <c:pt idx="0">
                  <c:v>Bulharsko</c:v>
                </c:pt>
                <c:pt idx="1">
                  <c:v>Rumunsko</c:v>
                </c:pt>
                <c:pt idx="2">
                  <c:v>Maďarsko</c:v>
                </c:pt>
                <c:pt idx="3">
                  <c:v>Lotyšsko</c:v>
                </c:pt>
                <c:pt idx="4">
                  <c:v>Litva</c:v>
                </c:pt>
                <c:pt idx="5">
                  <c:v>Portugalsko</c:v>
                </c:pt>
                <c:pt idx="6">
                  <c:v>Slovinsko</c:v>
                </c:pt>
                <c:pt idx="7">
                  <c:v>Polsko</c:v>
                </c:pt>
                <c:pt idx="8">
                  <c:v>Řecko</c:v>
                </c:pt>
                <c:pt idx="9">
                  <c:v>Česko</c:v>
                </c:pt>
                <c:pt idx="10">
                  <c:v>Kypr</c:v>
                </c:pt>
                <c:pt idx="11">
                  <c:v>Itálie</c:v>
                </c:pt>
                <c:pt idx="12">
                  <c:v>Španělsko</c:v>
                </c:pt>
                <c:pt idx="13">
                  <c:v>Chorvatsko</c:v>
                </c:pt>
                <c:pt idx="14">
                  <c:v>Slovensko</c:v>
                </c:pt>
                <c:pt idx="15">
                  <c:v>Belgie</c:v>
                </c:pt>
                <c:pt idx="16">
                  <c:v>EU28</c:v>
                </c:pt>
                <c:pt idx="17">
                  <c:v>Estonsko</c:v>
                </c:pt>
                <c:pt idx="18">
                  <c:v>Francie</c:v>
                </c:pt>
                <c:pt idx="19">
                  <c:v>Rakousko</c:v>
                </c:pt>
                <c:pt idx="20">
                  <c:v>Německo</c:v>
                </c:pt>
                <c:pt idx="21">
                  <c:v>Finsko</c:v>
                </c:pt>
                <c:pt idx="22">
                  <c:v>Švédsko</c:v>
                </c:pt>
                <c:pt idx="23">
                  <c:v>Dánsko</c:v>
                </c:pt>
                <c:pt idx="24">
                  <c:v>Lucembursko</c:v>
                </c:pt>
                <c:pt idx="25">
                  <c:v>Nizozemsko</c:v>
                </c:pt>
              </c:strCache>
            </c:strRef>
          </c:xVal>
          <c:yVal>
            <c:numRef>
              <c:f>B_CZ!$C$208:$C$233</c:f>
              <c:numCache>
                <c:formatCode>0%</c:formatCode>
                <c:ptCount val="26"/>
                <c:pt idx="0">
                  <c:v>0.82346600000000003</c:v>
                </c:pt>
                <c:pt idx="1">
                  <c:v>0.809701</c:v>
                </c:pt>
                <c:pt idx="2">
                  <c:v>0.69682299999999997</c:v>
                </c:pt>
                <c:pt idx="3">
                  <c:v>0.621089</c:v>
                </c:pt>
                <c:pt idx="4">
                  <c:v>0.76537699999999997</c:v>
                </c:pt>
                <c:pt idx="5">
                  <c:v>0.72313099999999997</c:v>
                </c:pt>
                <c:pt idx="6">
                  <c:v>0.63156400000000001</c:v>
                </c:pt>
                <c:pt idx="7">
                  <c:v>0.61707500000000004</c:v>
                </c:pt>
                <c:pt idx="8">
                  <c:v>0.71340899999999996</c:v>
                </c:pt>
                <c:pt idx="9">
                  <c:v>0.76354900000000003</c:v>
                </c:pt>
                <c:pt idx="10">
                  <c:v>0.64702899999999997</c:v>
                </c:pt>
                <c:pt idx="11">
                  <c:v>0.61606300000000003</c:v>
                </c:pt>
                <c:pt idx="12">
                  <c:v>0.60031199999999996</c:v>
                </c:pt>
                <c:pt idx="13">
                  <c:v>0.55366499999999996</c:v>
                </c:pt>
                <c:pt idx="14">
                  <c:v>0.552898</c:v>
                </c:pt>
                <c:pt idx="15">
                  <c:v>0.48208800000000002</c:v>
                </c:pt>
                <c:pt idx="16">
                  <c:v>0.48263200000000001</c:v>
                </c:pt>
                <c:pt idx="17">
                  <c:v>0.55875300000000006</c:v>
                </c:pt>
                <c:pt idx="18">
                  <c:v>0.363062</c:v>
                </c:pt>
                <c:pt idx="19">
                  <c:v>0.38230399999999998</c:v>
                </c:pt>
                <c:pt idx="20">
                  <c:v>0.30425999999999997</c:v>
                </c:pt>
                <c:pt idx="21">
                  <c:v>0.29307100000000003</c:v>
                </c:pt>
                <c:pt idx="22">
                  <c:v>0.243619</c:v>
                </c:pt>
                <c:pt idx="23">
                  <c:v>9.6526000000000001E-2</c:v>
                </c:pt>
                <c:pt idx="24">
                  <c:v>0.175619</c:v>
                </c:pt>
                <c:pt idx="25">
                  <c:v>0.129991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776448"/>
        <c:axId val="200318272"/>
      </c:scatterChart>
      <c:catAx>
        <c:axId val="2015523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9775872"/>
        <c:crosses val="autoZero"/>
        <c:auto val="1"/>
        <c:lblAlgn val="ctr"/>
        <c:lblOffset val="100"/>
        <c:noMultiLvlLbl val="0"/>
      </c:catAx>
      <c:valAx>
        <c:axId val="199775872"/>
        <c:scaling>
          <c:orientation val="minMax"/>
          <c:max val="1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01552384"/>
        <c:crosses val="autoZero"/>
        <c:crossBetween val="between"/>
        <c:majorUnit val="0.1"/>
        <c:minorUnit val="5.0000000000000024E-2"/>
      </c:valAx>
      <c:valAx>
        <c:axId val="200318272"/>
        <c:scaling>
          <c:orientation val="minMax"/>
          <c:max val="1"/>
        </c:scaling>
        <c:delete val="0"/>
        <c:axPos val="r"/>
        <c:numFmt formatCode="0%" sourceLinked="1"/>
        <c:majorTickMark val="none"/>
        <c:minorTickMark val="none"/>
        <c:tickLblPos val="none"/>
        <c:crossAx val="199776448"/>
        <c:crosses val="max"/>
        <c:crossBetween val="midCat"/>
        <c:majorUnit val="0.1"/>
      </c:valAx>
      <c:valAx>
        <c:axId val="199776448"/>
        <c:scaling>
          <c:orientation val="minMax"/>
        </c:scaling>
        <c:delete val="1"/>
        <c:axPos val="b"/>
        <c:majorTickMark val="out"/>
        <c:minorTickMark val="none"/>
        <c:tickLblPos val="none"/>
        <c:crossAx val="200318272"/>
        <c:crosses val="autoZero"/>
        <c:crossBetween val="midCat"/>
      </c:val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6835223537146611"/>
          <c:y val="0.15996882716049382"/>
          <c:w val="7.1111932938856023E-2"/>
          <c:h val="0.1163820987654321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B16 Domácnosti v Česku, </a:t>
            </a:r>
          </a:p>
          <a:p>
            <a:pPr>
              <a:defRPr sz="800" b="1"/>
            </a:pPr>
            <a:r>
              <a:rPr lang="cs-CZ" sz="800" b="1"/>
              <a:t>které doma </a:t>
            </a:r>
            <a:r>
              <a:rPr lang="cs-CZ" sz="800" b="1" u="sng"/>
              <a:t>nemají (nepoužívají</a:t>
            </a:r>
            <a:r>
              <a:rPr lang="cs-CZ" sz="800" b="1" u="none"/>
              <a:t>) </a:t>
            </a:r>
            <a:r>
              <a:rPr lang="cs-CZ" sz="800" b="1"/>
              <a:t>internet</a:t>
            </a:r>
            <a:endParaRPr lang="en-US" sz="800" b="1"/>
          </a:p>
        </c:rich>
      </c:tx>
      <c:layout>
        <c:manualLayout>
          <c:xMode val="edge"/>
          <c:yMode val="edge"/>
          <c:x val="0.2101412972665897"/>
          <c:y val="3.3500285750571518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3813516798106587E-2"/>
          <c:y val="0.12904148148148176"/>
          <c:w val="0.96948369216085761"/>
          <c:h val="0.704025925925925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B_CZ!$A$239</c:f>
              <c:strCache>
                <c:ptCount val="1"/>
                <c:pt idx="0">
                  <c:v> miliony domácností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B_CZ!$B$238:$H$238</c:f>
              <c:numCache>
                <c:formatCode>0</c:formatCode>
                <c:ptCount val="7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2011</c:v>
                </c:pt>
                <c:pt idx="4">
                  <c:v>2013</c:v>
                </c:pt>
                <c:pt idx="5">
                  <c:v>2015</c:v>
                </c:pt>
                <c:pt idx="6">
                  <c:v>2017</c:v>
                </c:pt>
              </c:numCache>
            </c:numRef>
          </c:cat>
          <c:val>
            <c:numRef>
              <c:f>B_CZ!$B$239:$H$239</c:f>
              <c:numCache>
                <c:formatCode>#,##0.0</c:formatCode>
                <c:ptCount val="7"/>
                <c:pt idx="0">
                  <c:v>3.3227115671584797</c:v>
                </c:pt>
                <c:pt idx="1">
                  <c:v>2.881268572741206</c:v>
                </c:pt>
                <c:pt idx="2">
                  <c:v>2.187296197462675</c:v>
                </c:pt>
                <c:pt idx="3" formatCode="0.0">
                  <c:v>1.571098278768233</c:v>
                </c:pt>
                <c:pt idx="4">
                  <c:v>1.4017188358208954</c:v>
                </c:pt>
                <c:pt idx="5">
                  <c:v>1.1449225102599181</c:v>
                </c:pt>
                <c:pt idx="6" formatCode="0.0">
                  <c:v>1.0004662596602301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1175552"/>
        <c:axId val="201409088"/>
      </c:barChart>
      <c:lineChart>
        <c:grouping val="standard"/>
        <c:varyColors val="0"/>
        <c:ser>
          <c:idx val="0"/>
          <c:order val="1"/>
          <c:tx>
            <c:strRef>
              <c:f>B_CZ!$A$240</c:f>
              <c:strCache>
                <c:ptCount val="1"/>
                <c:pt idx="0">
                  <c:v> % všech domácností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dLbls>
            <c:dLbl>
              <c:idx val="0"/>
              <c:layout>
                <c:manualLayout>
                  <c:x val="-5.6513347763347772E-2"/>
                  <c:y val="-5.9531652639917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B_CZ!$B$238:$H$238</c:f>
              <c:numCache>
                <c:formatCode>0</c:formatCode>
                <c:ptCount val="7"/>
                <c:pt idx="0">
                  <c:v>2005</c:v>
                </c:pt>
                <c:pt idx="1">
                  <c:v>2007</c:v>
                </c:pt>
                <c:pt idx="2">
                  <c:v>2009</c:v>
                </c:pt>
                <c:pt idx="3">
                  <c:v>2011</c:v>
                </c:pt>
                <c:pt idx="4">
                  <c:v>2013</c:v>
                </c:pt>
                <c:pt idx="5">
                  <c:v>2015</c:v>
                </c:pt>
                <c:pt idx="6">
                  <c:v>2017</c:v>
                </c:pt>
              </c:numCache>
            </c:numRef>
          </c:cat>
          <c:val>
            <c:numRef>
              <c:f>B_CZ!$B$240:$H$240</c:f>
              <c:numCache>
                <c:formatCode>0.0%</c:formatCode>
                <c:ptCount val="7"/>
                <c:pt idx="0">
                  <c:v>0.80921209137090688</c:v>
                </c:pt>
                <c:pt idx="1">
                  <c:v>0.68015844169299877</c:v>
                </c:pt>
                <c:pt idx="2">
                  <c:v>0.50753530743251474</c:v>
                </c:pt>
                <c:pt idx="3">
                  <c:v>0.38300000000000001</c:v>
                </c:pt>
                <c:pt idx="4">
                  <c:v>0.32999999999999996</c:v>
                </c:pt>
                <c:pt idx="5">
                  <c:v>0.26900000000000002</c:v>
                </c:pt>
                <c:pt idx="6">
                  <c:v>0.22836386720296498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176576"/>
        <c:axId val="201409664"/>
      </c:lineChart>
      <c:catAx>
        <c:axId val="20117555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01409088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201409088"/>
        <c:scaling>
          <c:orientation val="minMax"/>
          <c:max val="5"/>
          <c:min val="0"/>
        </c:scaling>
        <c:delete val="0"/>
        <c:axPos val="l"/>
        <c:majorGridlines>
          <c:spPr>
            <a:ln w="12700">
              <a:noFill/>
              <a:prstDash val="dash"/>
            </a:ln>
          </c:spPr>
        </c:majorGridlines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201175552"/>
        <c:crosses val="autoZero"/>
        <c:crossBetween val="between"/>
        <c:majorUnit val="1"/>
        <c:minorUnit val="2.0000000000000011E-2"/>
      </c:valAx>
      <c:catAx>
        <c:axId val="201176576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201409664"/>
        <c:crosses val="autoZero"/>
        <c:auto val="1"/>
        <c:lblAlgn val="ctr"/>
        <c:lblOffset val="100"/>
        <c:noMultiLvlLbl val="0"/>
      </c:catAx>
      <c:valAx>
        <c:axId val="201409664"/>
        <c:scaling>
          <c:orientation val="minMax"/>
          <c:max val="1"/>
          <c:min val="0"/>
        </c:scaling>
        <c:delete val="0"/>
        <c:axPos val="r"/>
        <c:numFmt formatCode="0.0%" sourceLinked="1"/>
        <c:majorTickMark val="none"/>
        <c:minorTickMark val="none"/>
        <c:tickLblPos val="none"/>
        <c:spPr>
          <a:ln>
            <a:solidFill>
              <a:schemeClr val="bg1">
                <a:lumMod val="65000"/>
              </a:schemeClr>
            </a:solidFill>
          </a:ln>
        </c:spPr>
        <c:crossAx val="201176576"/>
        <c:crosses val="max"/>
        <c:crossBetween val="between"/>
        <c:majorUnit val="5.0000000000000024E-2"/>
        <c:minorUnit val="1.0000000000000005E-2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0.43451897018970242"/>
          <c:y val="0.16853598824873511"/>
          <c:w val="0.5044349593495937"/>
          <c:h val="0.13421814814814828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B17 Důvody, proč domácnosti v Česku </a:t>
            </a:r>
          </a:p>
          <a:p>
            <a:pPr>
              <a:defRPr sz="800" b="1"/>
            </a:pPr>
            <a:r>
              <a:rPr lang="cs-CZ" sz="800" b="1"/>
              <a:t>doma </a:t>
            </a:r>
            <a:r>
              <a:rPr lang="cs-CZ" sz="800" b="1" u="sng"/>
              <a:t>nemají (nepoužívají) </a:t>
            </a:r>
            <a:r>
              <a:rPr lang="cs-CZ" sz="800" b="1"/>
              <a:t>internet (%)*, **</a:t>
            </a:r>
            <a:endParaRPr lang="en-US" sz="800" b="1"/>
          </a:p>
        </c:rich>
      </c:tx>
      <c:layout>
        <c:manualLayout>
          <c:xMode val="edge"/>
          <c:yMode val="edge"/>
          <c:x val="0.22276536067540634"/>
          <c:y val="2.8626651003301994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32099457215836552"/>
          <c:y val="0.13788703703703717"/>
          <c:w val="0.65561366538952803"/>
          <c:h val="0.626770759661244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B_CZ!$B$243</c:f>
              <c:strCache>
                <c:ptCount val="1"/>
                <c:pt idx="0">
                  <c:v> 2011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B_CZ!$A$244:$A$248</c:f>
              <c:strCache>
                <c:ptCount val="5"/>
                <c:pt idx="0">
                  <c:v>obavy o soukromí</c:v>
                </c:pt>
                <c:pt idx="1">
                  <c:v>přístup jinde</c:v>
                </c:pt>
                <c:pt idx="2">
                  <c:v>vysoké náklady</c:v>
                </c:pt>
                <c:pt idx="3">
                  <c:v>neumí s internetem pracovat</c:v>
                </c:pt>
                <c:pt idx="4">
                  <c:v>nemají zájem</c:v>
                </c:pt>
              </c:strCache>
            </c:strRef>
          </c:cat>
          <c:val>
            <c:numRef>
              <c:f>B_CZ!$B$244:$B$248</c:f>
              <c:numCache>
                <c:formatCode>0%</c:formatCode>
                <c:ptCount val="5"/>
                <c:pt idx="0">
                  <c:v>3.8706974552482502E-2</c:v>
                </c:pt>
                <c:pt idx="1">
                  <c:v>9.8247368054102308E-2</c:v>
                </c:pt>
                <c:pt idx="2">
                  <c:v>0.298205910135524</c:v>
                </c:pt>
                <c:pt idx="3">
                  <c:v>0.30695188837867016</c:v>
                </c:pt>
                <c:pt idx="4">
                  <c:v>0.69412289165896612</c:v>
                </c:pt>
              </c:numCache>
            </c:numRef>
          </c:val>
        </c:ser>
        <c:ser>
          <c:idx val="1"/>
          <c:order val="1"/>
          <c:tx>
            <c:strRef>
              <c:f>B_CZ!$C$243</c:f>
              <c:strCache>
                <c:ptCount val="1"/>
                <c:pt idx="0">
                  <c:v> 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0"/>
              <c:layout/>
              <c:numFmt formatCode="0%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numFmt formatCode="0%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B_CZ!$A$244:$A$248</c:f>
              <c:strCache>
                <c:ptCount val="5"/>
                <c:pt idx="0">
                  <c:v>obavy o soukromí</c:v>
                </c:pt>
                <c:pt idx="1">
                  <c:v>přístup jinde</c:v>
                </c:pt>
                <c:pt idx="2">
                  <c:v>vysoké náklady</c:v>
                </c:pt>
                <c:pt idx="3">
                  <c:v>neumí s internetem pracovat</c:v>
                </c:pt>
                <c:pt idx="4">
                  <c:v>nemají zájem</c:v>
                </c:pt>
              </c:strCache>
            </c:strRef>
          </c:cat>
          <c:val>
            <c:numRef>
              <c:f>B_CZ!$C$244:$C$248</c:f>
              <c:numCache>
                <c:formatCode>0%</c:formatCode>
                <c:ptCount val="5"/>
                <c:pt idx="0">
                  <c:v>4.7E-2</c:v>
                </c:pt>
                <c:pt idx="1">
                  <c:v>6.9000000000000006E-2</c:v>
                </c:pt>
                <c:pt idx="2">
                  <c:v>0.19906665998432299</c:v>
                </c:pt>
                <c:pt idx="3">
                  <c:v>0.37581999558438395</c:v>
                </c:pt>
                <c:pt idx="4">
                  <c:v>0.80015294531786163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1176064"/>
        <c:axId val="201411392"/>
      </c:barChart>
      <c:catAx>
        <c:axId val="201176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01411392"/>
        <c:crosses val="autoZero"/>
        <c:auto val="1"/>
        <c:lblAlgn val="ctr"/>
        <c:lblOffset val="100"/>
        <c:noMultiLvlLbl val="0"/>
      </c:catAx>
      <c:valAx>
        <c:axId val="201411392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one"/>
        <c:crossAx val="201176064"/>
        <c:crosses val="autoZero"/>
        <c:crossBetween val="between"/>
        <c:majorUnit val="0.25"/>
        <c:minorUnit val="5.0000000000000024E-2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7479980842912011"/>
          <c:y val="0.55718223527918365"/>
          <c:w val="0.18194827586206927"/>
          <c:h val="0.15159603213463196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66507024265687"/>
          <c:y val="0.17935197630358404"/>
          <c:w val="0.67570397906463542"/>
          <c:h val="0.630218371977863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B_CZ!$B$262</c:f>
              <c:strCache>
                <c:ptCount val="1"/>
                <c:pt idx="0">
                  <c:v> připojení přes rozvody kabelové TV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dLbl>
              <c:idx val="0"/>
              <c:layout>
                <c:manualLayout>
                  <c:x val="-1.2704661558109759E-2"/>
                  <c:y val="-8.444612866687326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B_CZ!$A$263:$A$268</c:f>
              <c:strCache>
                <c:ptCount val="6"/>
                <c:pt idx="0">
                  <c:v>do 2 tis. 
obyvatel</c:v>
                </c:pt>
                <c:pt idx="1">
                  <c:v>2–9,9 tis. 
obyvatel</c:v>
                </c:pt>
                <c:pt idx="2">
                  <c:v>10–49,9 tis.
obyvatel</c:v>
                </c:pt>
                <c:pt idx="3">
                  <c:v> 50 tis. a více 
obyvatel</c:v>
                </c:pt>
                <c:pt idx="5">
                  <c:v>domácnosti 
celkem</c:v>
                </c:pt>
              </c:strCache>
            </c:strRef>
          </c:cat>
          <c:val>
            <c:numRef>
              <c:f>B_CZ!$B$263:$B$268</c:f>
              <c:numCache>
                <c:formatCode>0%</c:formatCode>
                <c:ptCount val="6"/>
                <c:pt idx="0">
                  <c:v>6.6000000000000003E-2</c:v>
                </c:pt>
                <c:pt idx="1">
                  <c:v>0.13900000000000001</c:v>
                </c:pt>
                <c:pt idx="2">
                  <c:v>0.23400000000000001</c:v>
                </c:pt>
                <c:pt idx="3">
                  <c:v>0.45</c:v>
                </c:pt>
                <c:pt idx="5">
                  <c:v>0.24099999999999999</c:v>
                </c:pt>
              </c:numCache>
            </c:numRef>
          </c:val>
        </c:ser>
        <c:ser>
          <c:idx val="1"/>
          <c:order val="1"/>
          <c:tx>
            <c:strRef>
              <c:f>B_CZ!$C$262</c:f>
              <c:strCache>
                <c:ptCount val="1"/>
                <c:pt idx="0">
                  <c:v> bezdrátové externí připojení (Wi-Fi) 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B_CZ!$A$263:$A$268</c:f>
              <c:strCache>
                <c:ptCount val="6"/>
                <c:pt idx="0">
                  <c:v>do 2 tis. 
obyvatel</c:v>
                </c:pt>
                <c:pt idx="1">
                  <c:v>2–9,9 tis. 
obyvatel</c:v>
                </c:pt>
                <c:pt idx="2">
                  <c:v>10–49,9 tis.
obyvatel</c:v>
                </c:pt>
                <c:pt idx="3">
                  <c:v> 50 tis. a více 
obyvatel</c:v>
                </c:pt>
                <c:pt idx="5">
                  <c:v>domácnosti 
celkem</c:v>
                </c:pt>
              </c:strCache>
            </c:strRef>
          </c:cat>
          <c:val>
            <c:numRef>
              <c:f>B_CZ!$C$263:$C$268</c:f>
              <c:numCache>
                <c:formatCode>0%</c:formatCode>
                <c:ptCount val="6"/>
                <c:pt idx="0">
                  <c:v>0.66700000000000004</c:v>
                </c:pt>
                <c:pt idx="1">
                  <c:v>0.58799999999999997</c:v>
                </c:pt>
                <c:pt idx="2">
                  <c:v>0.50700000000000001</c:v>
                </c:pt>
                <c:pt idx="3">
                  <c:v>0.34100000000000003</c:v>
                </c:pt>
                <c:pt idx="5">
                  <c:v>0.51100000000000001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1177600"/>
        <c:axId val="201413120"/>
      </c:barChart>
      <c:catAx>
        <c:axId val="201177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01413120"/>
        <c:crosses val="autoZero"/>
        <c:auto val="1"/>
        <c:lblAlgn val="ctr"/>
        <c:lblOffset val="100"/>
        <c:noMultiLvlLbl val="0"/>
      </c:catAx>
      <c:valAx>
        <c:axId val="201413120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one"/>
        <c:crossAx val="201177600"/>
        <c:crosses val="autoZero"/>
        <c:crossBetween val="between"/>
        <c:majorUnit val="0.25"/>
        <c:minorUnit val="5.0000000000000024E-2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32740679971436976"/>
          <c:y val="0.28545256998369328"/>
          <c:w val="0.61947701149425283"/>
          <c:h val="9.2462869267178061E-2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B19 Domácnosti v Česku používající doma </a:t>
            </a:r>
          </a:p>
          <a:p>
            <a:pPr>
              <a:defRPr sz="800" b="1"/>
            </a:pPr>
            <a:r>
              <a:rPr lang="cs-CZ" sz="800" b="1"/>
              <a:t>Wi-Fi router pro bezdrátový</a:t>
            </a:r>
            <a:r>
              <a:rPr lang="cs-CZ" sz="800" b="1" baseline="0"/>
              <a:t> rozvod internetu</a:t>
            </a:r>
            <a:endParaRPr lang="en-US" sz="800" b="1"/>
          </a:p>
        </c:rich>
      </c:tx>
      <c:layout>
        <c:manualLayout>
          <c:xMode val="edge"/>
          <c:yMode val="edge"/>
          <c:x val="0.13270211527758383"/>
          <c:y val="3.7045475173107113E-7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3813516798106587E-2"/>
          <c:y val="0.12904148148148176"/>
          <c:w val="0.96948369216085761"/>
          <c:h val="0.704025925925925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B_CZ!$A$257</c:f>
              <c:strCache>
                <c:ptCount val="1"/>
                <c:pt idx="0">
                  <c:v> miliony domácností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B_CZ!$B$256:$H$256</c:f>
              <c:strCache>
                <c:ptCount val="7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B_CZ!$B$257:$H$257</c:f>
              <c:numCache>
                <c:formatCode>#,##0.0</c:formatCode>
                <c:ptCount val="7"/>
                <c:pt idx="0">
                  <c:v>0.66281999999999996</c:v>
                </c:pt>
                <c:pt idx="1">
                  <c:v>1.2111609999999999</c:v>
                </c:pt>
                <c:pt idx="2">
                  <c:v>1.477347</c:v>
                </c:pt>
                <c:pt idx="3">
                  <c:v>1.8020659999999999</c:v>
                </c:pt>
                <c:pt idx="4">
                  <c:v>2.0300410000000002</c:v>
                </c:pt>
                <c:pt idx="5">
                  <c:v>2.1910449999999999</c:v>
                </c:pt>
                <c:pt idx="6">
                  <c:v>2.4789111676524902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13006848"/>
        <c:axId val="201415424"/>
      </c:barChart>
      <c:lineChart>
        <c:grouping val="standard"/>
        <c:varyColors val="0"/>
        <c:ser>
          <c:idx val="0"/>
          <c:order val="1"/>
          <c:tx>
            <c:strRef>
              <c:f>B_CZ!$A$258</c:f>
              <c:strCache>
                <c:ptCount val="1"/>
                <c:pt idx="0">
                  <c:v> % všech domácností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dLbls>
            <c:dLbl>
              <c:idx val="0"/>
              <c:layout>
                <c:manualLayout>
                  <c:x val="-5.6513347763347772E-2"/>
                  <c:y val="-5.9531652639917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B_CZ!$B$256:$H$256</c:f>
              <c:strCache>
                <c:ptCount val="7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B_CZ!$B$258:$H$258</c:f>
              <c:numCache>
                <c:formatCode>0%</c:formatCode>
                <c:ptCount val="7"/>
                <c:pt idx="0">
                  <c:v>0.16200000000000001</c:v>
                </c:pt>
                <c:pt idx="1">
                  <c:v>0.29299999999999998</c:v>
                </c:pt>
                <c:pt idx="2">
                  <c:v>0.34799999999999998</c:v>
                </c:pt>
                <c:pt idx="3">
                  <c:v>0.42299999999999999</c:v>
                </c:pt>
                <c:pt idx="4">
                  <c:v>0.47699999999999998</c:v>
                </c:pt>
                <c:pt idx="5">
                  <c:v>0.50900000000000001</c:v>
                </c:pt>
                <c:pt idx="6">
                  <c:v>0.565829917032875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B_CZ!$A$259</c:f>
              <c:strCache>
                <c:ptCount val="1"/>
                <c:pt idx="0">
                  <c:v> % domácností s internetem</c:v>
                </c:pt>
              </c:strCache>
            </c:strRef>
          </c:tx>
          <c:spPr>
            <a:ln w="19050">
              <a:solidFill>
                <a:srgbClr val="007D92"/>
              </a:solidFill>
            </a:ln>
          </c:spPr>
          <c:marker>
            <c:symbol val="circle"/>
            <c:size val="4"/>
            <c:spPr>
              <a:solidFill>
                <a:srgbClr val="47E5FF"/>
              </a:solidFill>
              <a:ln>
                <a:solidFill>
                  <a:srgbClr val="007D92"/>
                </a:solidFill>
              </a:ln>
            </c:spPr>
          </c:marker>
          <c:dLbls>
            <c:numFmt formatCode="0%" sourceLinked="0"/>
            <c:txPr>
              <a:bodyPr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B_CZ!$B$256:$H$256</c:f>
              <c:strCache>
                <c:ptCount val="7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B_CZ!$B$259:$H$259</c:f>
              <c:numCache>
                <c:formatCode>0%</c:formatCode>
                <c:ptCount val="7"/>
                <c:pt idx="0">
                  <c:v>0.28749367848663571</c:v>
                </c:pt>
                <c:pt idx="1">
                  <c:v>0.4473519068656619</c:v>
                </c:pt>
                <c:pt idx="2">
                  <c:v>0.51911161054058552</c:v>
                </c:pt>
                <c:pt idx="3">
                  <c:v>0.58666483489831234</c:v>
                </c:pt>
                <c:pt idx="4">
                  <c:v>0.65247461266128737</c:v>
                </c:pt>
                <c:pt idx="5">
                  <c:v>0.66915350335756196</c:v>
                </c:pt>
                <c:pt idx="6">
                  <c:v>0.73328592711418239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007360"/>
        <c:axId val="201416000"/>
      </c:lineChart>
      <c:catAx>
        <c:axId val="21300684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01415424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201415424"/>
        <c:scaling>
          <c:orientation val="minMax"/>
          <c:max val="5"/>
          <c:min val="0"/>
        </c:scaling>
        <c:delete val="0"/>
        <c:axPos val="l"/>
        <c:majorGridlines>
          <c:spPr>
            <a:ln w="12700">
              <a:noFill/>
              <a:prstDash val="dash"/>
            </a:ln>
          </c:spPr>
        </c:majorGridlines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213006848"/>
        <c:crosses val="autoZero"/>
        <c:crossBetween val="between"/>
        <c:majorUnit val="1"/>
        <c:minorUnit val="2.0000000000000011E-2"/>
      </c:valAx>
      <c:catAx>
        <c:axId val="213007360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201416000"/>
        <c:crosses val="autoZero"/>
        <c:auto val="1"/>
        <c:lblAlgn val="ctr"/>
        <c:lblOffset val="100"/>
        <c:noMultiLvlLbl val="0"/>
      </c:catAx>
      <c:valAx>
        <c:axId val="201416000"/>
        <c:scaling>
          <c:orientation val="minMax"/>
          <c:max val="1"/>
          <c:min val="0"/>
        </c:scaling>
        <c:delete val="0"/>
        <c:axPos val="r"/>
        <c:numFmt formatCode="0%" sourceLinked="1"/>
        <c:majorTickMark val="none"/>
        <c:minorTickMark val="none"/>
        <c:tickLblPos val="none"/>
        <c:spPr>
          <a:ln>
            <a:solidFill>
              <a:schemeClr val="bg1">
                <a:lumMod val="65000"/>
              </a:schemeClr>
            </a:solidFill>
          </a:ln>
        </c:spPr>
        <c:crossAx val="213007360"/>
        <c:crosses val="max"/>
        <c:crossBetween val="between"/>
        <c:majorUnit val="5.0000000000000024E-2"/>
        <c:minorUnit val="1.0000000000000005E-2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egendEntry>
        <c:idx val="2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2.7708500669344042E-2"/>
          <c:y val="0.1500137037037037"/>
          <c:w val="0.56943406961178045"/>
          <c:h val="0.17655152979066022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Graf B</a:t>
            </a:r>
            <a:r>
              <a:rPr lang="cs-CZ" sz="800"/>
              <a:t>2</a:t>
            </a:r>
            <a:r>
              <a:rPr lang="en-US" sz="800"/>
              <a:t> Domácnosti v zemích EU s pevnou telefonní linkou</a:t>
            </a:r>
            <a:r>
              <a:rPr lang="cs-CZ" sz="800"/>
              <a:t> v roce 2015 (%)*</a:t>
            </a:r>
            <a:endParaRPr lang="en-US" sz="8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5949831649831647E-2"/>
          <c:y val="0.10228368055555556"/>
          <c:w val="0.89986445474220045"/>
          <c:h val="0.576321070023900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B_CZ!$B$31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13"/>
            <c:invertIfNegative val="0"/>
            <c:bubble3D val="0"/>
            <c:spPr>
              <a:solidFill>
                <a:srgbClr val="47E5FF"/>
              </a:solidFill>
              <a:ln>
                <a:solidFill>
                  <a:srgbClr val="FF0000"/>
                </a:solidFill>
              </a:ln>
            </c:spPr>
          </c:dPt>
          <c:dPt>
            <c:idx val="28"/>
            <c:invertIfNegative val="0"/>
            <c:bubble3D val="0"/>
            <c:spPr>
              <a:solidFill>
                <a:srgbClr val="47E5FF"/>
              </a:solidFill>
              <a:ln>
                <a:solidFill>
                  <a:srgbClr val="FF0000"/>
                </a:solidFill>
              </a:ln>
            </c:spPr>
          </c:dPt>
          <c:dLbls>
            <c:dLbl>
              <c:idx val="13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B_CZ!$A$32:$A$60</c:f>
              <c:strCache>
                <c:ptCount val="29"/>
                <c:pt idx="0">
                  <c:v>Malta</c:v>
                </c:pt>
                <c:pt idx="1">
                  <c:v>Nizozemsko</c:v>
                </c:pt>
                <c:pt idx="2">
                  <c:v>Lucembursko</c:v>
                </c:pt>
                <c:pt idx="3">
                  <c:v>Německo</c:v>
                </c:pt>
                <c:pt idx="4">
                  <c:v>Řecko</c:v>
                </c:pt>
                <c:pt idx="5">
                  <c:v>Francie</c:v>
                </c:pt>
                <c:pt idx="6">
                  <c:v>Velká Británie</c:v>
                </c:pt>
                <c:pt idx="7">
                  <c:v>Chorvatsko</c:v>
                </c:pt>
                <c:pt idx="8">
                  <c:v>Belgie</c:v>
                </c:pt>
                <c:pt idx="9">
                  <c:v>Slovinsko</c:v>
                </c:pt>
                <c:pt idx="10">
                  <c:v>Portugalsko</c:v>
                </c:pt>
                <c:pt idx="11">
                  <c:v>Španělsko</c:v>
                </c:pt>
                <c:pt idx="12">
                  <c:v>Irsko</c:v>
                </c:pt>
                <c:pt idx="13">
                  <c:v>EU28</c:v>
                </c:pt>
                <c:pt idx="14">
                  <c:v>Kypr</c:v>
                </c:pt>
                <c:pt idx="15">
                  <c:v>Itálie</c:v>
                </c:pt>
                <c:pt idx="16">
                  <c:v>Švédsko</c:v>
                </c:pt>
                <c:pt idx="17">
                  <c:v>Maďarsko</c:v>
                </c:pt>
                <c:pt idx="18">
                  <c:v>Bulharsko</c:v>
                </c:pt>
                <c:pt idx="19">
                  <c:v>Estonsko</c:v>
                </c:pt>
                <c:pt idx="20">
                  <c:v>Rakousko</c:v>
                </c:pt>
                <c:pt idx="21">
                  <c:v>Dánsko</c:v>
                </c:pt>
                <c:pt idx="22">
                  <c:v>Rumunsko</c:v>
                </c:pt>
                <c:pt idx="23">
                  <c:v>Litva</c:v>
                </c:pt>
                <c:pt idx="24">
                  <c:v>Polsko</c:v>
                </c:pt>
                <c:pt idx="25">
                  <c:v>Lotyšsko</c:v>
                </c:pt>
                <c:pt idx="26">
                  <c:v>Slovensko</c:v>
                </c:pt>
                <c:pt idx="27">
                  <c:v>Finsko</c:v>
                </c:pt>
                <c:pt idx="28">
                  <c:v>Česko</c:v>
                </c:pt>
              </c:strCache>
            </c:strRef>
          </c:cat>
          <c:val>
            <c:numRef>
              <c:f>B_CZ!$B$32:$B$60</c:f>
              <c:numCache>
                <c:formatCode>0%</c:formatCode>
                <c:ptCount val="29"/>
                <c:pt idx="0">
                  <c:v>0.93</c:v>
                </c:pt>
                <c:pt idx="1">
                  <c:v>0.85</c:v>
                </c:pt>
                <c:pt idx="2">
                  <c:v>0.85</c:v>
                </c:pt>
                <c:pt idx="3">
                  <c:v>0.85</c:v>
                </c:pt>
                <c:pt idx="4">
                  <c:v>0.83</c:v>
                </c:pt>
                <c:pt idx="5">
                  <c:v>0.81</c:v>
                </c:pt>
                <c:pt idx="6">
                  <c:v>0.78</c:v>
                </c:pt>
                <c:pt idx="7">
                  <c:v>0.75</c:v>
                </c:pt>
                <c:pt idx="8">
                  <c:v>0.73</c:v>
                </c:pt>
                <c:pt idx="9">
                  <c:v>0.72</c:v>
                </c:pt>
                <c:pt idx="10">
                  <c:v>0.71</c:v>
                </c:pt>
                <c:pt idx="11">
                  <c:v>0.71</c:v>
                </c:pt>
                <c:pt idx="12">
                  <c:v>0.65</c:v>
                </c:pt>
                <c:pt idx="13">
                  <c:v>0.65</c:v>
                </c:pt>
                <c:pt idx="14">
                  <c:v>0.59</c:v>
                </c:pt>
                <c:pt idx="15">
                  <c:v>0.54</c:v>
                </c:pt>
                <c:pt idx="16">
                  <c:v>0.53</c:v>
                </c:pt>
                <c:pt idx="17">
                  <c:v>0.45</c:v>
                </c:pt>
                <c:pt idx="18">
                  <c:v>0.43</c:v>
                </c:pt>
                <c:pt idx="19">
                  <c:v>0.42</c:v>
                </c:pt>
                <c:pt idx="20">
                  <c:v>0.4</c:v>
                </c:pt>
                <c:pt idx="21">
                  <c:v>0.4</c:v>
                </c:pt>
                <c:pt idx="22">
                  <c:v>0.37</c:v>
                </c:pt>
                <c:pt idx="23">
                  <c:v>0.31</c:v>
                </c:pt>
                <c:pt idx="24">
                  <c:v>0.28999999999999998</c:v>
                </c:pt>
                <c:pt idx="25">
                  <c:v>0.28000000000000003</c:v>
                </c:pt>
                <c:pt idx="26">
                  <c:v>0.26</c:v>
                </c:pt>
                <c:pt idx="27">
                  <c:v>0.14000000000000001</c:v>
                </c:pt>
                <c:pt idx="28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0112640"/>
        <c:axId val="199592192"/>
      </c:barChart>
      <c:catAx>
        <c:axId val="20011264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9592192"/>
        <c:crosses val="autoZero"/>
        <c:auto val="1"/>
        <c:lblAlgn val="ctr"/>
        <c:lblOffset val="100"/>
        <c:noMultiLvlLbl val="0"/>
      </c:catAx>
      <c:valAx>
        <c:axId val="199592192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200112640"/>
        <c:crosses val="autoZero"/>
        <c:crossBetween val="between"/>
        <c:majorUnit val="0.1"/>
        <c:minorUnit val="5.000000000000001E-2"/>
      </c:val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153758169934647"/>
          <c:y val="0.16299484126984129"/>
          <c:w val="0.66074338624338624"/>
          <c:h val="0.666351984126984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B_CZ!$B$65</c:f>
              <c:strCache>
                <c:ptCount val="1"/>
                <c:pt idx="0">
                  <c:v> 1999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9.29152148664339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B_CZ!$A$66:$A$69</c:f>
              <c:strCache>
                <c:ptCount val="4"/>
                <c:pt idx="0">
                  <c:v>nemají ani pevnou linku ani mobilní telefon</c:v>
                </c:pt>
                <c:pt idx="1">
                  <c:v>mají pouze pevnou linku</c:v>
                </c:pt>
                <c:pt idx="2">
                  <c:v>mají pouze mobilní telefon</c:v>
                </c:pt>
                <c:pt idx="3">
                  <c:v>mají pevnou linku i mobilní telefon </c:v>
                </c:pt>
              </c:strCache>
            </c:strRef>
          </c:cat>
          <c:val>
            <c:numRef>
              <c:f>B_CZ!$B$66:$B$69</c:f>
              <c:numCache>
                <c:formatCode>0%</c:formatCode>
                <c:ptCount val="4"/>
                <c:pt idx="0">
                  <c:v>0.20300000000000001</c:v>
                </c:pt>
                <c:pt idx="1">
                  <c:v>0.69669999999999999</c:v>
                </c:pt>
                <c:pt idx="2">
                  <c:v>2.7900000000000001E-2</c:v>
                </c:pt>
                <c:pt idx="3">
                  <c:v>7.2300000000000003E-2</c:v>
                </c:pt>
              </c:numCache>
            </c:numRef>
          </c:val>
        </c:ser>
        <c:ser>
          <c:idx val="1"/>
          <c:order val="1"/>
          <c:tx>
            <c:strRef>
              <c:f>B_CZ!$C$65</c:f>
              <c:strCache>
                <c:ptCount val="1"/>
                <c:pt idx="0">
                  <c:v> 2006</c:v>
                </c:pt>
              </c:strCache>
            </c:strRef>
          </c:tx>
          <c:spPr>
            <a:solidFill>
              <a:srgbClr val="00C5E9"/>
            </a:solidFill>
            <a:ln w="25400">
              <a:noFill/>
            </a:ln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B_CZ!$A$66:$A$69</c:f>
              <c:strCache>
                <c:ptCount val="4"/>
                <c:pt idx="0">
                  <c:v>nemají ani pevnou linku ani mobilní telefon</c:v>
                </c:pt>
                <c:pt idx="1">
                  <c:v>mají pouze pevnou linku</c:v>
                </c:pt>
                <c:pt idx="2">
                  <c:v>mají pouze mobilní telefon</c:v>
                </c:pt>
                <c:pt idx="3">
                  <c:v>mají pevnou linku i mobilní telefon </c:v>
                </c:pt>
              </c:strCache>
            </c:strRef>
          </c:cat>
          <c:val>
            <c:numRef>
              <c:f>B_CZ!$C$66:$C$69</c:f>
              <c:numCache>
                <c:formatCode>0%</c:formatCode>
                <c:ptCount val="4"/>
                <c:pt idx="0">
                  <c:v>3.8900000000000004E-2</c:v>
                </c:pt>
                <c:pt idx="1">
                  <c:v>7.8600000000000003E-2</c:v>
                </c:pt>
                <c:pt idx="2">
                  <c:v>0.52100000000000002</c:v>
                </c:pt>
                <c:pt idx="3">
                  <c:v>0.36159999999999998</c:v>
                </c:pt>
              </c:numCache>
            </c:numRef>
          </c:val>
        </c:ser>
        <c:ser>
          <c:idx val="2"/>
          <c:order val="2"/>
          <c:tx>
            <c:strRef>
              <c:f>B_CZ!$D$65</c:f>
              <c:strCache>
                <c:ptCount val="1"/>
                <c:pt idx="0">
                  <c:v> 2016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B_CZ!$A$66:$A$69</c:f>
              <c:strCache>
                <c:ptCount val="4"/>
                <c:pt idx="0">
                  <c:v>nemají ani pevnou linku ani mobilní telefon</c:v>
                </c:pt>
                <c:pt idx="1">
                  <c:v>mají pouze pevnou linku</c:v>
                </c:pt>
                <c:pt idx="2">
                  <c:v>mají pouze mobilní telefon</c:v>
                </c:pt>
                <c:pt idx="3">
                  <c:v>mají pevnou linku i mobilní telefon </c:v>
                </c:pt>
              </c:strCache>
            </c:strRef>
          </c:cat>
          <c:val>
            <c:numRef>
              <c:f>B_CZ!$D$66:$D$69</c:f>
              <c:numCache>
                <c:formatCode>0%</c:formatCode>
                <c:ptCount val="4"/>
                <c:pt idx="0">
                  <c:v>8.8000000000000005E-3</c:v>
                </c:pt>
                <c:pt idx="1">
                  <c:v>5.0000000000000001E-3</c:v>
                </c:pt>
                <c:pt idx="2">
                  <c:v>0.85530000000000006</c:v>
                </c:pt>
                <c:pt idx="3">
                  <c:v>0.13089999999999999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7"/>
        <c:axId val="199630336"/>
        <c:axId val="199595072"/>
      </c:barChart>
      <c:catAx>
        <c:axId val="19963033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9595072"/>
        <c:crosses val="autoZero"/>
        <c:auto val="1"/>
        <c:lblAlgn val="ctr"/>
        <c:lblOffset val="40"/>
        <c:tickLblSkip val="1"/>
        <c:tickMarkSkip val="1"/>
        <c:noMultiLvlLbl val="0"/>
      </c:catAx>
      <c:valAx>
        <c:axId val="199595072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one"/>
        <c:spPr>
          <a:ln w="9525">
            <a:noFill/>
          </a:ln>
        </c:spPr>
        <c:crossAx val="199630336"/>
        <c:crosses val="autoZero"/>
        <c:crossBetween val="between"/>
        <c:majorUnit val="0.25"/>
        <c:minorUnit val="1.0000000000000002E-2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718463426007068"/>
          <c:y val="0.6317290598290598"/>
          <c:w val="0.15858320628863015"/>
          <c:h val="0.16961230158730159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b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B4 Počet mobilních telefonů </a:t>
            </a:r>
          </a:p>
          <a:p>
            <a:pPr>
              <a:defRPr sz="800" b="1"/>
            </a:pPr>
            <a:r>
              <a:rPr lang="cs-CZ" sz="800" b="1"/>
              <a:t>na 1 člena*  domácností v Česku</a:t>
            </a:r>
          </a:p>
        </c:rich>
      </c:tx>
      <c:layout>
        <c:manualLayout>
          <c:xMode val="edge"/>
          <c:yMode val="edge"/>
          <c:x val="0.25693611111111109"/>
          <c:y val="4.53571428571428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32100246913580249"/>
          <c:y val="0.17708769841269842"/>
          <c:w val="0.65099753086419754"/>
          <c:h val="0.638613492063492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B_CZ!$G$64</c:f>
              <c:strCache>
                <c:ptCount val="1"/>
                <c:pt idx="0">
                  <c:v> 2016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B_CZ!$F$65:$F$67</c:f>
              <c:strCache>
                <c:ptCount val="3"/>
                <c:pt idx="0">
                  <c:v>domácnosti 
s nejnižšími příjmy (první kvintil)</c:v>
                </c:pt>
                <c:pt idx="1">
                  <c:v>domácnosti 
s nejvyššími příjmy (pátý kvintil)</c:v>
                </c:pt>
                <c:pt idx="2">
                  <c:v>průměrná 
domácnost</c:v>
                </c:pt>
              </c:strCache>
            </c:strRef>
          </c:cat>
          <c:val>
            <c:numRef>
              <c:f>B_CZ!$G$65:$G$67</c:f>
              <c:numCache>
                <c:formatCode>0.00</c:formatCode>
                <c:ptCount val="3"/>
                <c:pt idx="0">
                  <c:v>0.88494208494208493</c:v>
                </c:pt>
                <c:pt idx="1">
                  <c:v>1.1563218390804597</c:v>
                </c:pt>
                <c:pt idx="2">
                  <c:v>0.99086538461538454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0369664"/>
        <c:axId val="199597376"/>
      </c:barChart>
      <c:barChart>
        <c:barDir val="bar"/>
        <c:grouping val="clustered"/>
        <c:varyColors val="0"/>
        <c:ser>
          <c:idx val="1"/>
          <c:order val="1"/>
          <c:tx>
            <c:strRef>
              <c:f>B_CZ!$H$64</c:f>
              <c:strCache>
                <c:ptCount val="1"/>
                <c:pt idx="0">
                  <c:v> 2005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dLbl>
              <c:idx val="1"/>
              <c:layout>
                <c:manualLayout>
                  <c:x val="-0.10940800612608259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B_CZ!$F$65:$F$67</c:f>
              <c:strCache>
                <c:ptCount val="3"/>
                <c:pt idx="0">
                  <c:v>domácnosti 
s nejnižšími příjmy (první kvintil)</c:v>
                </c:pt>
                <c:pt idx="1">
                  <c:v>domácnosti 
s nejvyššími příjmy (pátý kvintil)</c:v>
                </c:pt>
                <c:pt idx="2">
                  <c:v>průměrná 
domácnost</c:v>
                </c:pt>
              </c:strCache>
            </c:strRef>
          </c:cat>
          <c:val>
            <c:numRef>
              <c:f>B_CZ!$H$65:$H$67</c:f>
              <c:numCache>
                <c:formatCode>0.00</c:formatCode>
                <c:ptCount val="3"/>
                <c:pt idx="0">
                  <c:v>0.51700000000000002</c:v>
                </c:pt>
                <c:pt idx="1">
                  <c:v>0.78280000000000005</c:v>
                </c:pt>
                <c:pt idx="2">
                  <c:v>0.63504273504273501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200371200"/>
        <c:axId val="199278592"/>
      </c:barChart>
      <c:catAx>
        <c:axId val="200369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9597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9597376"/>
        <c:scaling>
          <c:orientation val="minMax"/>
          <c:max val="1.2"/>
          <c:min val="0"/>
        </c:scaling>
        <c:delete val="0"/>
        <c:axPos val="b"/>
        <c:numFmt formatCode="0.00" sourceLinked="1"/>
        <c:majorTickMark val="none"/>
        <c:minorTickMark val="none"/>
        <c:tickLblPos val="none"/>
        <c:spPr>
          <a:ln w="9525">
            <a:noFill/>
          </a:ln>
        </c:spPr>
        <c:crossAx val="200369664"/>
        <c:crosses val="autoZero"/>
        <c:crossBetween val="between"/>
        <c:majorUnit val="0.2"/>
        <c:minorUnit val="1.0000000000000005E-2"/>
      </c:valAx>
      <c:valAx>
        <c:axId val="199278592"/>
        <c:scaling>
          <c:orientation val="minMax"/>
          <c:max val="1.2"/>
          <c:min val="0"/>
        </c:scaling>
        <c:delete val="0"/>
        <c:axPos val="t"/>
        <c:numFmt formatCode="0.00" sourceLinked="1"/>
        <c:majorTickMark val="none"/>
        <c:minorTickMark val="none"/>
        <c:tickLblPos val="none"/>
        <c:crossAx val="200371200"/>
        <c:crosses val="max"/>
        <c:crossBetween val="between"/>
        <c:majorUnit val="0.2"/>
        <c:minorUnit val="1.0000000000000005E-2"/>
      </c:valAx>
      <c:catAx>
        <c:axId val="200371200"/>
        <c:scaling>
          <c:orientation val="minMax"/>
        </c:scaling>
        <c:delete val="1"/>
        <c:axPos val="l"/>
        <c:majorTickMark val="out"/>
        <c:minorTickMark val="none"/>
        <c:tickLblPos val="none"/>
        <c:crossAx val="199278592"/>
        <c:crosses val="autoZero"/>
        <c:auto val="1"/>
        <c:lblAlgn val="ctr"/>
        <c:lblOffset val="100"/>
        <c:noMultiLvlLbl val="0"/>
      </c:catAx>
      <c:spPr>
        <a:noFill/>
        <a:ln w="12700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43137254901966"/>
          <c:y val="0.63511190476190471"/>
          <c:w val="0.13100359477124182"/>
          <c:h val="0.13644880952380953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b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B</a:t>
            </a:r>
            <a:r>
              <a:rPr lang="cs-CZ" sz="800" b="1"/>
              <a:t>5</a:t>
            </a:r>
            <a:r>
              <a:rPr lang="en-US" sz="800" b="1"/>
              <a:t> Výdaje domácností v Česku </a:t>
            </a:r>
            <a:endParaRPr lang="cs-CZ" sz="800" b="1"/>
          </a:p>
          <a:p>
            <a:pPr>
              <a:defRPr sz="800" b="1"/>
            </a:pPr>
            <a:r>
              <a:rPr lang="en-US" sz="800" b="1"/>
              <a:t>za telekomunikační služby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2538872296135402E-2"/>
          <c:y val="0.17309166666666664"/>
          <c:w val="0.95492225540772924"/>
          <c:h val="0.6271833333333333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B_CZ!$A$90</c:f>
              <c:strCache>
                <c:ptCount val="1"/>
                <c:pt idx="0">
                  <c:v> mld. Kč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0"/>
              <c:numFmt formatCode="#,##0.0" sourceLinked="0"/>
              <c:spPr/>
              <c:txPr>
                <a:bodyPr rot="0" vert="horz"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B_CZ!$B$89:$G$89</c:f>
              <c:numCache>
                <c:formatCode>@</c:formatCode>
                <c:ptCount val="6"/>
                <c:pt idx="0">
                  <c:v>1991</c:v>
                </c:pt>
                <c:pt idx="1">
                  <c:v>1996</c:v>
                </c:pt>
                <c:pt idx="2">
                  <c:v>2001</c:v>
                </c:pt>
                <c:pt idx="3">
                  <c:v>2006</c:v>
                </c:pt>
                <c:pt idx="4">
                  <c:v>2011</c:v>
                </c:pt>
                <c:pt idx="5">
                  <c:v>2016</c:v>
                </c:pt>
              </c:numCache>
            </c:numRef>
          </c:cat>
          <c:val>
            <c:numRef>
              <c:f>B_CZ!$B$90:$G$90</c:f>
              <c:numCache>
                <c:formatCode>#,##0.0</c:formatCode>
                <c:ptCount val="6"/>
                <c:pt idx="0">
                  <c:v>5.13</c:v>
                </c:pt>
                <c:pt idx="1">
                  <c:v>14.164999999999999</c:v>
                </c:pt>
                <c:pt idx="2">
                  <c:v>26.864000000000001</c:v>
                </c:pt>
                <c:pt idx="3">
                  <c:v>52.472000000000001</c:v>
                </c:pt>
                <c:pt idx="4">
                  <c:v>56.143000000000001</c:v>
                </c:pt>
                <c:pt idx="5">
                  <c:v>57.854999999999997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9629824"/>
        <c:axId val="199596800"/>
      </c:barChart>
      <c:lineChart>
        <c:grouping val="standard"/>
        <c:varyColors val="0"/>
        <c:ser>
          <c:idx val="0"/>
          <c:order val="1"/>
          <c:tx>
            <c:strRef>
              <c:f>B_CZ!$A$91</c:f>
              <c:strCache>
                <c:ptCount val="1"/>
                <c:pt idx="0">
                  <c:v> % celkových výdajů domácností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0.0%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B_CZ!$B$89:$G$89</c:f>
              <c:numCache>
                <c:formatCode>@</c:formatCode>
                <c:ptCount val="6"/>
                <c:pt idx="0">
                  <c:v>1991</c:v>
                </c:pt>
                <c:pt idx="1">
                  <c:v>1996</c:v>
                </c:pt>
                <c:pt idx="2">
                  <c:v>2001</c:v>
                </c:pt>
                <c:pt idx="3">
                  <c:v>2006</c:v>
                </c:pt>
                <c:pt idx="4">
                  <c:v>2011</c:v>
                </c:pt>
                <c:pt idx="5">
                  <c:v>2016</c:v>
                </c:pt>
              </c:numCache>
            </c:numRef>
          </c:cat>
          <c:val>
            <c:numRef>
              <c:f>B_CZ!$B$91:$G$91</c:f>
              <c:numCache>
                <c:formatCode>0.0%</c:formatCode>
                <c:ptCount val="6"/>
                <c:pt idx="0">
                  <c:v>1.1649083287539341E-2</c:v>
                </c:pt>
                <c:pt idx="1">
                  <c:v>1.5179198122558763E-2</c:v>
                </c:pt>
                <c:pt idx="2">
                  <c:v>2.0193197424134571E-2</c:v>
                </c:pt>
                <c:pt idx="3">
                  <c:v>3.0486823535837065E-2</c:v>
                </c:pt>
                <c:pt idx="4">
                  <c:v>2.7508497339207117E-2</c:v>
                </c:pt>
                <c:pt idx="5">
                  <c:v>2.5180031450000001E-2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516608"/>
        <c:axId val="199280320"/>
      </c:lineChart>
      <c:catAx>
        <c:axId val="19962982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9596800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99596800"/>
        <c:scaling>
          <c:orientation val="minMax"/>
          <c:max val="100"/>
          <c:min val="0"/>
        </c:scaling>
        <c:delete val="0"/>
        <c:axPos val="l"/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199629824"/>
        <c:crosses val="autoZero"/>
        <c:crossBetween val="between"/>
        <c:majorUnit val="10"/>
        <c:minorUnit val="1"/>
      </c:valAx>
      <c:catAx>
        <c:axId val="200516608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one"/>
        <c:crossAx val="199280320"/>
        <c:crosses val="autoZero"/>
        <c:auto val="1"/>
        <c:lblAlgn val="ctr"/>
        <c:lblOffset val="100"/>
        <c:noMultiLvlLbl val="0"/>
      </c:catAx>
      <c:valAx>
        <c:axId val="199280320"/>
        <c:scaling>
          <c:orientation val="minMax"/>
          <c:max val="4.0000000000000008E-2"/>
          <c:min val="0"/>
        </c:scaling>
        <c:delete val="0"/>
        <c:axPos val="r"/>
        <c:numFmt formatCode="0.0%" sourceLinked="1"/>
        <c:majorTickMark val="none"/>
        <c:minorTickMark val="none"/>
        <c:tickLblPos val="none"/>
        <c:crossAx val="200516608"/>
        <c:crosses val="max"/>
        <c:crossBetween val="between"/>
        <c:majorUnit val="5.000000000000001E-3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0"/>
        <c:txPr>
          <a:bodyPr/>
          <a:lstStyle/>
          <a:p>
            <a:pPr>
              <a:defRPr i="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2.5900462962962962E-2"/>
          <c:y val="0.18714351851851851"/>
          <c:w val="0.43075849673202615"/>
          <c:h val="0.19838842592592595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1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B</a:t>
            </a:r>
            <a:r>
              <a:rPr lang="cs-CZ" sz="800" b="1"/>
              <a:t>6</a:t>
            </a:r>
            <a:r>
              <a:rPr lang="en-US" sz="800" b="1"/>
              <a:t> Výdaje domácností </a:t>
            </a:r>
            <a:r>
              <a:rPr lang="cs-CZ" sz="800" b="1"/>
              <a:t>v Česku </a:t>
            </a:r>
            <a:r>
              <a:rPr lang="en-US" sz="800" b="1"/>
              <a:t>za vybrané typy telekomunikačních služeb</a:t>
            </a:r>
            <a:r>
              <a:rPr lang="cs-CZ" sz="800" b="1" baseline="0"/>
              <a:t> </a:t>
            </a:r>
            <a:r>
              <a:rPr lang="en-US" sz="800" b="1"/>
              <a:t>(%)</a:t>
            </a:r>
          </a:p>
        </c:rich>
      </c:tx>
      <c:layout>
        <c:manualLayout>
          <c:xMode val="edge"/>
          <c:yMode val="edge"/>
          <c:x val="0.12526165113060711"/>
          <c:y val="3.0534351145038167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63618198670218"/>
          <c:y val="0.16950051090941876"/>
          <c:w val="0.84571648056188164"/>
          <c:h val="0.51239486285588343"/>
        </c:manualLayout>
      </c:layout>
      <c:barChart>
        <c:barDir val="bar"/>
        <c:grouping val="percentStacked"/>
        <c:varyColors val="0"/>
        <c:ser>
          <c:idx val="4"/>
          <c:order val="0"/>
          <c:tx>
            <c:strRef>
              <c:f>B_CZ!$A$95</c:f>
              <c:strCache>
                <c:ptCount val="1"/>
                <c:pt idx="0">
                  <c:v> provoz pevného telefonu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586403876558564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B_CZ!$B$94:$D$94</c:f>
              <c:strCache>
                <c:ptCount val="3"/>
                <c:pt idx="0">
                  <c:v>2006</c:v>
                </c:pt>
                <c:pt idx="1">
                  <c:v>2011</c:v>
                </c:pt>
                <c:pt idx="2">
                  <c:v>2016</c:v>
                </c:pt>
              </c:strCache>
            </c:strRef>
          </c:cat>
          <c:val>
            <c:numRef>
              <c:f>B_CZ!$B$95:$D$95</c:f>
              <c:numCache>
                <c:formatCode>0%</c:formatCode>
                <c:ptCount val="3"/>
                <c:pt idx="0">
                  <c:v>0.31149075590919728</c:v>
                </c:pt>
                <c:pt idx="1">
                  <c:v>8.7754690336897312E-2</c:v>
                </c:pt>
                <c:pt idx="2">
                  <c:v>3.7405865900117484E-2</c:v>
                </c:pt>
              </c:numCache>
            </c:numRef>
          </c:val>
        </c:ser>
        <c:ser>
          <c:idx val="0"/>
          <c:order val="1"/>
          <c:tx>
            <c:strRef>
              <c:f>B_CZ!$A$96</c:f>
              <c:strCache>
                <c:ptCount val="1"/>
                <c:pt idx="0">
                  <c:v> provoz mobilního telefonu</c:v>
                </c:pt>
              </c:strCache>
            </c:strRef>
          </c:tx>
          <c:spPr>
            <a:solidFill>
              <a:srgbClr val="00C5E9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B_CZ!$B$94:$D$94</c:f>
              <c:strCache>
                <c:ptCount val="3"/>
                <c:pt idx="0">
                  <c:v>2006</c:v>
                </c:pt>
                <c:pt idx="1">
                  <c:v>2011</c:v>
                </c:pt>
                <c:pt idx="2">
                  <c:v>2016</c:v>
                </c:pt>
              </c:strCache>
            </c:strRef>
          </c:cat>
          <c:val>
            <c:numRef>
              <c:f>B_CZ!$B$96:$D$96</c:f>
              <c:numCache>
                <c:formatCode>0%</c:formatCode>
                <c:ptCount val="3"/>
                <c:pt idx="0">
                  <c:v>0.5867072314533115</c:v>
                </c:pt>
                <c:pt idx="1">
                  <c:v>0.64837603389146659</c:v>
                </c:pt>
                <c:pt idx="2">
                  <c:v>0.66743373515965432</c:v>
                </c:pt>
              </c:numCache>
            </c:numRef>
          </c:val>
        </c:ser>
        <c:ser>
          <c:idx val="2"/>
          <c:order val="2"/>
          <c:tx>
            <c:strRef>
              <c:f>B_CZ!$A$97</c:f>
              <c:strCache>
                <c:ptCount val="1"/>
                <c:pt idx="0">
                  <c:v> provoz internetu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B_CZ!$B$94:$D$94</c:f>
              <c:strCache>
                <c:ptCount val="3"/>
                <c:pt idx="0">
                  <c:v>2006</c:v>
                </c:pt>
                <c:pt idx="1">
                  <c:v>2011</c:v>
                </c:pt>
                <c:pt idx="2">
                  <c:v>2016</c:v>
                </c:pt>
              </c:strCache>
            </c:strRef>
          </c:cat>
          <c:val>
            <c:numRef>
              <c:f>B_CZ!$B$97:$D$97</c:f>
              <c:numCache>
                <c:formatCode>0%</c:formatCode>
                <c:ptCount val="3"/>
                <c:pt idx="0">
                  <c:v>0.10180201263749122</c:v>
                </c:pt>
                <c:pt idx="1">
                  <c:v>0.26386927577163605</c:v>
                </c:pt>
                <c:pt idx="2">
                  <c:v>0.29467993194569297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200370176"/>
        <c:axId val="199282048"/>
      </c:barChart>
      <c:catAx>
        <c:axId val="2003701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9282048"/>
        <c:crosses val="autoZero"/>
        <c:auto val="1"/>
        <c:lblAlgn val="ctr"/>
        <c:lblOffset val="40"/>
        <c:tickLblSkip val="1"/>
        <c:tickMarkSkip val="1"/>
        <c:noMultiLvlLbl val="0"/>
      </c:catAx>
      <c:valAx>
        <c:axId val="199282048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one"/>
        <c:spPr>
          <a:ln w="9525">
            <a:noFill/>
          </a:ln>
        </c:spPr>
        <c:crossAx val="200370176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1928888888888889"/>
          <c:y val="0.69301396485744637"/>
          <c:w val="0.84670261437908501"/>
          <c:h val="0.16781871731682393"/>
        </c:manualLayout>
      </c:layout>
      <c:overlay val="0"/>
      <c:spPr>
        <a:noFill/>
        <a:ln w="15875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Graf B</a:t>
            </a:r>
            <a:r>
              <a:rPr lang="cs-CZ" sz="800"/>
              <a:t>7</a:t>
            </a:r>
            <a:r>
              <a:rPr lang="en-US" sz="800"/>
              <a:t> </a:t>
            </a:r>
            <a:r>
              <a:rPr lang="cs-CZ" sz="800"/>
              <a:t>Podíl telekomunikačních služeb na celkových výdajích domácností </a:t>
            </a:r>
            <a:r>
              <a:rPr lang="en-US" sz="800"/>
              <a:t>v zemích EU</a:t>
            </a:r>
            <a:r>
              <a:rPr lang="cs-CZ" sz="800"/>
              <a:t> (%)*</a:t>
            </a:r>
            <a:endParaRPr lang="en-US" sz="8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5949831649831647E-2"/>
          <c:y val="0.10228368055555556"/>
          <c:w val="0.90411750841750838"/>
          <c:h val="0.60425972222222213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B_CZ!$AE$62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rgbClr val="009BB4"/>
              </a:solidFill>
              <a:ln w="9525">
                <a:solidFill>
                  <a:srgbClr val="FF0000"/>
                </a:solidFill>
              </a:ln>
            </c:spPr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9525">
                <a:solidFill>
                  <a:srgbClr val="FF0000"/>
                </a:solidFill>
              </a:ln>
            </c:spPr>
          </c:dPt>
          <c:cat>
            <c:strRef>
              <c:f>B_CZ!$AB$63:$AB$90</c:f>
              <c:strCache>
                <c:ptCount val="28"/>
                <c:pt idx="0">
                  <c:v>Řecko</c:v>
                </c:pt>
                <c:pt idx="1">
                  <c:v>Rumunsko</c:v>
                </c:pt>
                <c:pt idx="2">
                  <c:v>Bulharsko</c:v>
                </c:pt>
                <c:pt idx="3">
                  <c:v>Maďarsko</c:v>
                </c:pt>
                <c:pt idx="4">
                  <c:v>Slovensko</c:v>
                </c:pt>
                <c:pt idx="5">
                  <c:v>Kypr</c:v>
                </c:pt>
                <c:pt idx="6">
                  <c:v>Švédsko</c:v>
                </c:pt>
                <c:pt idx="7">
                  <c:v>Malta</c:v>
                </c:pt>
                <c:pt idx="8">
                  <c:v>Slovinsko</c:v>
                </c:pt>
                <c:pt idx="9">
                  <c:v>Nizozemsko</c:v>
                </c:pt>
                <c:pt idx="10">
                  <c:v>Česko</c:v>
                </c:pt>
                <c:pt idx="11">
                  <c:v>Lotyšsko</c:v>
                </c:pt>
                <c:pt idx="12">
                  <c:v>Irsko</c:v>
                </c:pt>
                <c:pt idx="13">
                  <c:v>Španělsko</c:v>
                </c:pt>
                <c:pt idx="14">
                  <c:v>Německo</c:v>
                </c:pt>
                <c:pt idx="15">
                  <c:v>Polsko</c:v>
                </c:pt>
                <c:pt idx="16">
                  <c:v>Litva</c:v>
                </c:pt>
                <c:pt idx="17">
                  <c:v>Portugalsko</c:v>
                </c:pt>
                <c:pt idx="18">
                  <c:v>Estonsko</c:v>
                </c:pt>
                <c:pt idx="19">
                  <c:v>EU28</c:v>
                </c:pt>
                <c:pt idx="20">
                  <c:v>Belgie</c:v>
                </c:pt>
                <c:pt idx="21">
                  <c:v>Francie</c:v>
                </c:pt>
                <c:pt idx="22">
                  <c:v>Dánsko</c:v>
                </c:pt>
                <c:pt idx="23">
                  <c:v>Finsko</c:v>
                </c:pt>
                <c:pt idx="24">
                  <c:v>Velká Británie</c:v>
                </c:pt>
                <c:pt idx="25">
                  <c:v>Itálie</c:v>
                </c:pt>
                <c:pt idx="26">
                  <c:v>Lucembursko</c:v>
                </c:pt>
                <c:pt idx="27">
                  <c:v>Rakousko</c:v>
                </c:pt>
              </c:strCache>
            </c:strRef>
          </c:cat>
          <c:val>
            <c:numRef>
              <c:f>B_CZ!$AE$63:$AE$90</c:f>
              <c:numCache>
                <c:formatCode>0.00%</c:formatCode>
                <c:ptCount val="28"/>
                <c:pt idx="0">
                  <c:v>4.295488222010628E-2</c:v>
                </c:pt>
                <c:pt idx="1">
                  <c:v>3.9525175028150658E-2</c:v>
                </c:pt>
                <c:pt idx="2">
                  <c:v>3.6156798598678534E-2</c:v>
                </c:pt>
                <c:pt idx="3">
                  <c:v>3.5937165248761199E-2</c:v>
                </c:pt>
                <c:pt idx="4">
                  <c:v>3.099390122227854E-2</c:v>
                </c:pt>
                <c:pt idx="5">
                  <c:v>2.968498587621125E-2</c:v>
                </c:pt>
                <c:pt idx="6">
                  <c:v>2.7834664643825648E-2</c:v>
                </c:pt>
                <c:pt idx="7">
                  <c:v>2.626846726138006E-2</c:v>
                </c:pt>
                <c:pt idx="8">
                  <c:v>2.5850060014543673E-2</c:v>
                </c:pt>
                <c:pt idx="9">
                  <c:v>2.5650297330436181E-2</c:v>
                </c:pt>
                <c:pt idx="10">
                  <c:v>2.5180224328843068E-2</c:v>
                </c:pt>
                <c:pt idx="11">
                  <c:v>2.5140087838861125E-2</c:v>
                </c:pt>
                <c:pt idx="12">
                  <c:v>2.3879847901436584E-2</c:v>
                </c:pt>
                <c:pt idx="13">
                  <c:v>2.3333684797180253E-2</c:v>
                </c:pt>
                <c:pt idx="14">
                  <c:v>2.3206170734644465E-2</c:v>
                </c:pt>
                <c:pt idx="15">
                  <c:v>2.262653746438505E-2</c:v>
                </c:pt>
                <c:pt idx="16">
                  <c:v>2.2454812608188074E-2</c:v>
                </c:pt>
                <c:pt idx="17">
                  <c:v>2.2454452006519191E-2</c:v>
                </c:pt>
                <c:pt idx="18">
                  <c:v>2.1730958560816256E-2</c:v>
                </c:pt>
                <c:pt idx="19">
                  <c:v>2.0552903548816292E-2</c:v>
                </c:pt>
                <c:pt idx="20">
                  <c:v>2.0526231981715194E-2</c:v>
                </c:pt>
                <c:pt idx="21">
                  <c:v>2.0165406188414829E-2</c:v>
                </c:pt>
                <c:pt idx="22">
                  <c:v>1.8768751253971885E-2</c:v>
                </c:pt>
                <c:pt idx="23">
                  <c:v>1.820299855941096E-2</c:v>
                </c:pt>
                <c:pt idx="24">
                  <c:v>1.799227923586847E-2</c:v>
                </c:pt>
                <c:pt idx="25">
                  <c:v>1.6327091240636766E-2</c:v>
                </c:pt>
                <c:pt idx="26">
                  <c:v>1.387539202261584E-2</c:v>
                </c:pt>
                <c:pt idx="27">
                  <c:v>1.370919533871246E-2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0766976"/>
        <c:axId val="199283200"/>
      </c:barChart>
      <c:barChart>
        <c:barDir val="col"/>
        <c:grouping val="clustered"/>
        <c:varyColors val="0"/>
        <c:ser>
          <c:idx val="1"/>
          <c:order val="1"/>
          <c:tx>
            <c:strRef>
              <c:f>B_CZ!$AD$62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cat>
            <c:strRef>
              <c:f>B_CZ!$AB$63:$AB$90</c:f>
              <c:strCache>
                <c:ptCount val="28"/>
                <c:pt idx="0">
                  <c:v>Řecko</c:v>
                </c:pt>
                <c:pt idx="1">
                  <c:v>Rumunsko</c:v>
                </c:pt>
                <c:pt idx="2">
                  <c:v>Bulharsko</c:v>
                </c:pt>
                <c:pt idx="3">
                  <c:v>Maďarsko</c:v>
                </c:pt>
                <c:pt idx="4">
                  <c:v>Slovensko</c:v>
                </c:pt>
                <c:pt idx="5">
                  <c:v>Kypr</c:v>
                </c:pt>
                <c:pt idx="6">
                  <c:v>Švédsko</c:v>
                </c:pt>
                <c:pt idx="7">
                  <c:v>Malta</c:v>
                </c:pt>
                <c:pt idx="8">
                  <c:v>Slovinsko</c:v>
                </c:pt>
                <c:pt idx="9">
                  <c:v>Nizozemsko</c:v>
                </c:pt>
                <c:pt idx="10">
                  <c:v>Česko</c:v>
                </c:pt>
                <c:pt idx="11">
                  <c:v>Lotyšsko</c:v>
                </c:pt>
                <c:pt idx="12">
                  <c:v>Irsko</c:v>
                </c:pt>
                <c:pt idx="13">
                  <c:v>Španělsko</c:v>
                </c:pt>
                <c:pt idx="14">
                  <c:v>Německo</c:v>
                </c:pt>
                <c:pt idx="15">
                  <c:v>Polsko</c:v>
                </c:pt>
                <c:pt idx="16">
                  <c:v>Litva</c:v>
                </c:pt>
                <c:pt idx="17">
                  <c:v>Portugalsko</c:v>
                </c:pt>
                <c:pt idx="18">
                  <c:v>Estonsko</c:v>
                </c:pt>
                <c:pt idx="19">
                  <c:v>EU28</c:v>
                </c:pt>
                <c:pt idx="20">
                  <c:v>Belgie</c:v>
                </c:pt>
                <c:pt idx="21">
                  <c:v>Francie</c:v>
                </c:pt>
                <c:pt idx="22">
                  <c:v>Dánsko</c:v>
                </c:pt>
                <c:pt idx="23">
                  <c:v>Finsko</c:v>
                </c:pt>
                <c:pt idx="24">
                  <c:v>Velká Británie</c:v>
                </c:pt>
                <c:pt idx="25">
                  <c:v>Itálie</c:v>
                </c:pt>
                <c:pt idx="26">
                  <c:v>Lucembursko</c:v>
                </c:pt>
                <c:pt idx="27">
                  <c:v>Rakousko</c:v>
                </c:pt>
              </c:strCache>
            </c:strRef>
          </c:cat>
          <c:val>
            <c:numRef>
              <c:f>B_CZ!$AD$63:$AD$90</c:f>
              <c:numCache>
                <c:formatCode>0.00%</c:formatCode>
                <c:ptCount val="28"/>
                <c:pt idx="0">
                  <c:v>3.6324783377041897E-2</c:v>
                </c:pt>
                <c:pt idx="1">
                  <c:v>1.3616667924813164E-2</c:v>
                </c:pt>
                <c:pt idx="2">
                  <c:v>3.8679315043892548E-2</c:v>
                </c:pt>
                <c:pt idx="3">
                  <c:v>3.6881606807799401E-2</c:v>
                </c:pt>
                <c:pt idx="4">
                  <c:v>3.4276281590882939E-2</c:v>
                </c:pt>
                <c:pt idx="5">
                  <c:v>2.9140437017766606E-2</c:v>
                </c:pt>
                <c:pt idx="6">
                  <c:v>2.992866834764361E-2</c:v>
                </c:pt>
                <c:pt idx="7">
                  <c:v>3.0695519401884905E-2</c:v>
                </c:pt>
                <c:pt idx="8">
                  <c:v>3.1754625488442163E-2</c:v>
                </c:pt>
                <c:pt idx="9">
                  <c:v>3.8237659403362309E-2</c:v>
                </c:pt>
                <c:pt idx="10">
                  <c:v>3.05834039523524E-2</c:v>
                </c:pt>
                <c:pt idx="11">
                  <c:v>3.0828984100012134E-2</c:v>
                </c:pt>
                <c:pt idx="12">
                  <c:v>3.1155685237159093E-2</c:v>
                </c:pt>
                <c:pt idx="13">
                  <c:v>2.4075896041896992E-2</c:v>
                </c:pt>
                <c:pt idx="14">
                  <c:v>2.4860480443310209E-2</c:v>
                </c:pt>
                <c:pt idx="15">
                  <c:v>3.1521994404090474E-2</c:v>
                </c:pt>
                <c:pt idx="16">
                  <c:v>2.2042322803001568E-2</c:v>
                </c:pt>
                <c:pt idx="17">
                  <c:v>3.0310841002254417E-2</c:v>
                </c:pt>
                <c:pt idx="18">
                  <c:v>2.2690649932530685E-2</c:v>
                </c:pt>
                <c:pt idx="19">
                  <c:v>2.4510553917992214E-2</c:v>
                </c:pt>
                <c:pt idx="20">
                  <c:v>2.4119767293217066E-2</c:v>
                </c:pt>
                <c:pt idx="21">
                  <c:v>2.7104418414819191E-2</c:v>
                </c:pt>
                <c:pt idx="22">
                  <c:v>1.788349159446212E-2</c:v>
                </c:pt>
                <c:pt idx="23">
                  <c:v>2.2620819868559603E-2</c:v>
                </c:pt>
                <c:pt idx="24">
                  <c:v>1.8290064104991042E-2</c:v>
                </c:pt>
                <c:pt idx="25">
                  <c:v>2.2949976183438841E-2</c:v>
                </c:pt>
                <c:pt idx="26">
                  <c:v>1.46293912924279E-2</c:v>
                </c:pt>
                <c:pt idx="27">
                  <c:v>2.2379633776342431E-2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0"/>
        <c:axId val="200768512"/>
        <c:axId val="199283776"/>
      </c:barChart>
      <c:scatterChart>
        <c:scatterStyle val="lineMarker"/>
        <c:varyColors val="0"/>
        <c:ser>
          <c:idx val="0"/>
          <c:order val="0"/>
          <c:tx>
            <c:strRef>
              <c:f>B_CZ!$AC$62</c:f>
              <c:strCache>
                <c:ptCount val="1"/>
                <c:pt idx="0">
                  <c:v>1996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6"/>
            <c:spPr>
              <a:solidFill>
                <a:schemeClr val="tx1"/>
              </a:solidFill>
              <a:ln>
                <a:noFill/>
              </a:ln>
            </c:spPr>
          </c:marker>
          <c:dPt>
            <c:idx val="13"/>
            <c:bubble3D val="0"/>
          </c:dPt>
          <c:dPt>
            <c:idx val="28"/>
            <c:bubble3D val="0"/>
          </c:dPt>
          <c:xVal>
            <c:strRef>
              <c:f>B_CZ!$AB$63:$AB$90</c:f>
              <c:strCache>
                <c:ptCount val="28"/>
                <c:pt idx="0">
                  <c:v>Řecko</c:v>
                </c:pt>
                <c:pt idx="1">
                  <c:v>Rumunsko</c:v>
                </c:pt>
                <c:pt idx="2">
                  <c:v>Bulharsko</c:v>
                </c:pt>
                <c:pt idx="3">
                  <c:v>Maďarsko</c:v>
                </c:pt>
                <c:pt idx="4">
                  <c:v>Slovensko</c:v>
                </c:pt>
                <c:pt idx="5">
                  <c:v>Kypr</c:v>
                </c:pt>
                <c:pt idx="6">
                  <c:v>Švédsko</c:v>
                </c:pt>
                <c:pt idx="7">
                  <c:v>Malta</c:v>
                </c:pt>
                <c:pt idx="8">
                  <c:v>Slovinsko</c:v>
                </c:pt>
                <c:pt idx="9">
                  <c:v>Nizozemsko</c:v>
                </c:pt>
                <c:pt idx="10">
                  <c:v>Česko</c:v>
                </c:pt>
                <c:pt idx="11">
                  <c:v>Lotyšsko</c:v>
                </c:pt>
                <c:pt idx="12">
                  <c:v>Irsko</c:v>
                </c:pt>
                <c:pt idx="13">
                  <c:v>Španělsko</c:v>
                </c:pt>
                <c:pt idx="14">
                  <c:v>Německo</c:v>
                </c:pt>
                <c:pt idx="15">
                  <c:v>Polsko</c:v>
                </c:pt>
                <c:pt idx="16">
                  <c:v>Litva</c:v>
                </c:pt>
                <c:pt idx="17">
                  <c:v>Portugalsko</c:v>
                </c:pt>
                <c:pt idx="18">
                  <c:v>Estonsko</c:v>
                </c:pt>
                <c:pt idx="19">
                  <c:v>EU28</c:v>
                </c:pt>
                <c:pt idx="20">
                  <c:v>Belgie</c:v>
                </c:pt>
                <c:pt idx="21">
                  <c:v>Francie</c:v>
                </c:pt>
                <c:pt idx="22">
                  <c:v>Dánsko</c:v>
                </c:pt>
                <c:pt idx="23">
                  <c:v>Finsko</c:v>
                </c:pt>
                <c:pt idx="24">
                  <c:v>Velká Británie</c:v>
                </c:pt>
                <c:pt idx="25">
                  <c:v>Itálie</c:v>
                </c:pt>
                <c:pt idx="26">
                  <c:v>Lucembursko</c:v>
                </c:pt>
                <c:pt idx="27">
                  <c:v>Rakousko</c:v>
                </c:pt>
              </c:strCache>
            </c:strRef>
          </c:xVal>
          <c:yVal>
            <c:numRef>
              <c:f>B_CZ!$AC$63:$AC$90</c:f>
              <c:numCache>
                <c:formatCode>0.00%</c:formatCode>
                <c:ptCount val="28"/>
                <c:pt idx="0">
                  <c:v>1.5714292926233314E-2</c:v>
                </c:pt>
                <c:pt idx="1">
                  <c:v>8.5355490510811063E-3</c:v>
                </c:pt>
                <c:pt idx="2">
                  <c:v>3.3606169027430605E-2</c:v>
                </c:pt>
                <c:pt idx="3">
                  <c:v>2.1808992514184902E-2</c:v>
                </c:pt>
                <c:pt idx="4">
                  <c:v>1.9600452318130419E-2</c:v>
                </c:pt>
                <c:pt idx="5">
                  <c:v>2.377589844983136E-2</c:v>
                </c:pt>
                <c:pt idx="6">
                  <c:v>2.074509886403399E-2</c:v>
                </c:pt>
                <c:pt idx="7">
                  <c:v>2.3035952063914778E-2</c:v>
                </c:pt>
                <c:pt idx="8">
                  <c:v>1.7499294383290995E-2</c:v>
                </c:pt>
                <c:pt idx="9">
                  <c:v>2.0121183062575213E-2</c:v>
                </c:pt>
                <c:pt idx="10">
                  <c:v>1.5228689651084829E-2</c:v>
                </c:pt>
                <c:pt idx="11">
                  <c:v>1.2437487822303044E-2</c:v>
                </c:pt>
                <c:pt idx="12">
                  <c:v>1.6506476134336596E-2</c:v>
                </c:pt>
                <c:pt idx="13">
                  <c:v>1.6064643812428777E-2</c:v>
                </c:pt>
                <c:pt idx="14">
                  <c:v>1.6113081683209893E-2</c:v>
                </c:pt>
                <c:pt idx="15">
                  <c:v>2.0692299996665223E-2</c:v>
                </c:pt>
                <c:pt idx="16">
                  <c:v>8.6701160676828423E-3</c:v>
                </c:pt>
                <c:pt idx="17">
                  <c:v>2.0092458909352549E-2</c:v>
                </c:pt>
                <c:pt idx="18">
                  <c:v>1.5319752880280514E-2</c:v>
                </c:pt>
                <c:pt idx="19">
                  <c:v>1.627549734672749E-2</c:v>
                </c:pt>
                <c:pt idx="20">
                  <c:v>1.5244177911560533E-2</c:v>
                </c:pt>
                <c:pt idx="21">
                  <c:v>1.7783398341653208E-2</c:v>
                </c:pt>
                <c:pt idx="22">
                  <c:v>1.5958247118860711E-2</c:v>
                </c:pt>
                <c:pt idx="23">
                  <c:v>1.5312961182794243E-2</c:v>
                </c:pt>
                <c:pt idx="24">
                  <c:v>1.443802751124768E-2</c:v>
                </c:pt>
                <c:pt idx="25">
                  <c:v>1.7623298231983088E-2</c:v>
                </c:pt>
                <c:pt idx="26">
                  <c:v>1.2414867683647055E-2</c:v>
                </c:pt>
                <c:pt idx="27">
                  <c:v>1.5088608565255094E-2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766976"/>
        <c:axId val="199283200"/>
      </c:scatterChart>
      <c:catAx>
        <c:axId val="2007669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9283200"/>
        <c:crosses val="autoZero"/>
        <c:auto val="1"/>
        <c:lblAlgn val="ctr"/>
        <c:lblOffset val="100"/>
        <c:noMultiLvlLbl val="0"/>
      </c:catAx>
      <c:valAx>
        <c:axId val="199283200"/>
        <c:scaling>
          <c:orientation val="minMax"/>
          <c:max val="4.5000000000000012E-2"/>
          <c:min val="0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crossAx val="200766976"/>
        <c:crosses val="autoZero"/>
        <c:crossBetween val="between"/>
        <c:majorUnit val="5.000000000000001E-3"/>
        <c:minorUnit val="1.0000000000000002E-3"/>
      </c:valAx>
      <c:valAx>
        <c:axId val="199283776"/>
        <c:scaling>
          <c:orientation val="minMax"/>
          <c:max val="4.5000000000000012E-2"/>
        </c:scaling>
        <c:delete val="0"/>
        <c:axPos val="r"/>
        <c:numFmt formatCode="0.00%" sourceLinked="1"/>
        <c:majorTickMark val="none"/>
        <c:minorTickMark val="none"/>
        <c:tickLblPos val="none"/>
        <c:crossAx val="200768512"/>
        <c:crosses val="max"/>
        <c:crossBetween val="between"/>
        <c:majorUnit val="1.0000000000000002E-3"/>
      </c:valAx>
      <c:catAx>
        <c:axId val="20076851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283776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6328055375007517"/>
          <c:y val="0.13611032107316659"/>
          <c:w val="8.7341715976331377E-2"/>
          <c:h val="0.15430336723774624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538872296135402E-2"/>
          <c:y val="0.17309166666666664"/>
          <c:w val="0.95492225540772924"/>
          <c:h val="0.6271833333333333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B_CZ!$A$117</c:f>
              <c:strCache>
                <c:ptCount val="1"/>
                <c:pt idx="0">
                  <c:v> miliony domácností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B_CZ!$B$116:$I$116</c:f>
              <c:numCache>
                <c:formatCode>@</c:formatCode>
                <c:ptCount val="8"/>
                <c:pt idx="0">
                  <c:v>2003</c:v>
                </c:pt>
                <c:pt idx="1">
                  <c:v>2005</c:v>
                </c:pt>
                <c:pt idx="2">
                  <c:v>2007</c:v>
                </c:pt>
                <c:pt idx="3">
                  <c:v>2009</c:v>
                </c:pt>
                <c:pt idx="4">
                  <c:v>2011</c:v>
                </c:pt>
                <c:pt idx="5">
                  <c:v>2013</c:v>
                </c:pt>
                <c:pt idx="6">
                  <c:v>2015</c:v>
                </c:pt>
                <c:pt idx="7">
                  <c:v>2017</c:v>
                </c:pt>
              </c:numCache>
            </c:numRef>
          </c:cat>
          <c:val>
            <c:numRef>
              <c:f>B_CZ!$B$117:$I$117</c:f>
              <c:numCache>
                <c:formatCode>#,##0.0</c:formatCode>
                <c:ptCount val="8"/>
                <c:pt idx="0">
                  <c:v>0.96599999999999997</c:v>
                </c:pt>
                <c:pt idx="1">
                  <c:v>1.2318321497875999</c:v>
                </c:pt>
                <c:pt idx="2">
                  <c:v>1.6780274477208259</c:v>
                </c:pt>
                <c:pt idx="3">
                  <c:v>2.3346571468249966</c:v>
                </c:pt>
                <c:pt idx="4">
                  <c:v>2.6562540000000001</c:v>
                </c:pt>
                <c:pt idx="5">
                  <c:v>2.8966159999999999</c:v>
                </c:pt>
                <c:pt idx="6">
                  <c:v>3.1104940000000001</c:v>
                </c:pt>
                <c:pt idx="7">
                  <c:v>3.3426812401429999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00767488"/>
        <c:axId val="199285504"/>
      </c:barChart>
      <c:lineChart>
        <c:grouping val="standard"/>
        <c:varyColors val="0"/>
        <c:ser>
          <c:idx val="0"/>
          <c:order val="1"/>
          <c:tx>
            <c:strRef>
              <c:f>B_CZ!$A$118</c:f>
              <c:strCache>
                <c:ptCount val="1"/>
                <c:pt idx="0">
                  <c:v>  % všech domácností</c:v>
                </c:pt>
              </c:strCache>
            </c:strRef>
          </c:tx>
          <c:spPr>
            <a:ln w="12700">
              <a:solidFill>
                <a:srgbClr val="009BB4"/>
              </a:solidFill>
            </a:ln>
          </c:spPr>
          <c:marker>
            <c:symbol val="diamond"/>
            <c:size val="4"/>
            <c:spPr>
              <a:solidFill>
                <a:srgbClr val="47E5FF"/>
              </a:solidFill>
              <a:ln w="12700">
                <a:solidFill>
                  <a:srgbClr val="009BB4"/>
                </a:solidFill>
              </a:ln>
            </c:spPr>
          </c:marker>
          <c:dLbls>
            <c:numFmt formatCode="0.0%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B_CZ!$B$116:$I$116</c:f>
              <c:numCache>
                <c:formatCode>@</c:formatCode>
                <c:ptCount val="8"/>
                <c:pt idx="0">
                  <c:v>2003</c:v>
                </c:pt>
                <c:pt idx="1">
                  <c:v>2005</c:v>
                </c:pt>
                <c:pt idx="2">
                  <c:v>2007</c:v>
                </c:pt>
                <c:pt idx="3">
                  <c:v>2009</c:v>
                </c:pt>
                <c:pt idx="4">
                  <c:v>2011</c:v>
                </c:pt>
                <c:pt idx="5">
                  <c:v>2013</c:v>
                </c:pt>
                <c:pt idx="6">
                  <c:v>2015</c:v>
                </c:pt>
                <c:pt idx="7">
                  <c:v>2017</c:v>
                </c:pt>
              </c:numCache>
            </c:numRef>
          </c:cat>
          <c:val>
            <c:numRef>
              <c:f>B_CZ!$B$118:$I$118</c:f>
              <c:numCache>
                <c:formatCode>0.0%</c:formatCode>
                <c:ptCount val="8"/>
                <c:pt idx="0">
                  <c:v>0.23799999999999999</c:v>
                </c:pt>
                <c:pt idx="1">
                  <c:v>0.29957328482996026</c:v>
                </c:pt>
                <c:pt idx="2">
                  <c:v>0.3961187598954139</c:v>
                </c:pt>
                <c:pt idx="3">
                  <c:v>0.54172856891207188</c:v>
                </c:pt>
                <c:pt idx="4">
                  <c:v>0.64750454258032208</c:v>
                </c:pt>
                <c:pt idx="5">
                  <c:v>0.68145633137330808</c:v>
                </c:pt>
                <c:pt idx="6">
                  <c:v>0.73099999999999998</c:v>
                </c:pt>
                <c:pt idx="7">
                  <c:v>0.76299186249920792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860672"/>
        <c:axId val="199286080"/>
      </c:lineChart>
      <c:catAx>
        <c:axId val="200767488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9285504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199285504"/>
        <c:scaling>
          <c:orientation val="minMax"/>
          <c:max val="5"/>
          <c:min val="0"/>
        </c:scaling>
        <c:delete val="0"/>
        <c:axPos val="l"/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200767488"/>
        <c:crosses val="autoZero"/>
        <c:crossBetween val="between"/>
        <c:majorUnit val="1"/>
        <c:minorUnit val="0.1"/>
      </c:valAx>
      <c:catAx>
        <c:axId val="200860672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one"/>
        <c:crossAx val="199286080"/>
        <c:crosses val="autoZero"/>
        <c:auto val="1"/>
        <c:lblAlgn val="ctr"/>
        <c:lblOffset val="100"/>
        <c:noMultiLvlLbl val="0"/>
      </c:catAx>
      <c:valAx>
        <c:axId val="199286080"/>
        <c:scaling>
          <c:orientation val="minMax"/>
          <c:max val="1.1000000000000001"/>
          <c:min val="0"/>
        </c:scaling>
        <c:delete val="0"/>
        <c:axPos val="r"/>
        <c:numFmt formatCode="0.0%" sourceLinked="1"/>
        <c:majorTickMark val="none"/>
        <c:minorTickMark val="none"/>
        <c:tickLblPos val="none"/>
        <c:crossAx val="200860672"/>
        <c:crosses val="max"/>
        <c:crossBetween val="between"/>
        <c:majorUnit val="1.0000000000000002E-2"/>
        <c:minorUnit val="1.0000000000000041E-3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l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2.5900462962962962E-2"/>
          <c:y val="0.18126388888888889"/>
          <c:w val="0.50208793851180067"/>
          <c:h val="0.16899027777777778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</a:t>
            </a:r>
            <a:r>
              <a:rPr lang="cs-CZ" sz="800" b="1"/>
              <a:t> B9 Domácnosti v Česku </a:t>
            </a:r>
          </a:p>
          <a:p>
            <a:pPr>
              <a:defRPr sz="800" b="1"/>
            </a:pPr>
            <a:r>
              <a:rPr lang="cs-CZ" sz="800" b="1"/>
              <a:t>podle typu používaného počítače</a:t>
            </a:r>
            <a:r>
              <a:rPr lang="cs-CZ" sz="800" b="1" baseline="0"/>
              <a:t> </a:t>
            </a:r>
            <a:r>
              <a:rPr lang="en-US" sz="800" b="1"/>
              <a:t>(%)</a:t>
            </a:r>
            <a:r>
              <a:rPr lang="cs-CZ" sz="800" b="1"/>
              <a:t>*</a:t>
            </a:r>
            <a:endParaRPr lang="en-US" sz="800" b="1"/>
          </a:p>
        </c:rich>
      </c:tx>
      <c:layout>
        <c:manualLayout>
          <c:xMode val="edge"/>
          <c:yMode val="edge"/>
          <c:x val="0.22901993464052287"/>
          <c:y val="2.465462962962963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63618198670218"/>
          <c:y val="0.16950051090941876"/>
          <c:w val="0.84571648056188164"/>
          <c:h val="0.51239486285588343"/>
        </c:manualLayout>
      </c:layout>
      <c:barChart>
        <c:barDir val="bar"/>
        <c:grouping val="percentStacked"/>
        <c:varyColors val="0"/>
        <c:ser>
          <c:idx val="4"/>
          <c:order val="0"/>
          <c:tx>
            <c:strRef>
              <c:f>B_CZ!$A$122</c:f>
              <c:strCache>
                <c:ptCount val="1"/>
                <c:pt idx="0">
                  <c:v> pouze přenosný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0"/>
              <c:delete val="1"/>
            </c:dLbl>
            <c:dLbl>
              <c:idx val="2"/>
              <c:layout>
                <c:manualLayout>
                  <c:x val="4.58640387655856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B_CZ!$B$121:$G$121</c:f>
              <c:strCache>
                <c:ptCount val="6"/>
                <c:pt idx="0">
                  <c:v>2006</c:v>
                </c:pt>
                <c:pt idx="1">
                  <c:v>2009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2017</c:v>
                </c:pt>
              </c:strCache>
            </c:strRef>
          </c:cat>
          <c:val>
            <c:numRef>
              <c:f>B_CZ!$B$122:$G$122</c:f>
              <c:numCache>
                <c:formatCode>0%</c:formatCode>
                <c:ptCount val="6"/>
                <c:pt idx="0">
                  <c:v>3.4760711322273791E-2</c:v>
                </c:pt>
                <c:pt idx="1">
                  <c:v>0.15234889459409828</c:v>
                </c:pt>
                <c:pt idx="2">
                  <c:v>0.21355530737241754</c:v>
                </c:pt>
                <c:pt idx="3">
                  <c:v>0.32066913267220426</c:v>
                </c:pt>
                <c:pt idx="4">
                  <c:v>0.42613166911750999</c:v>
                </c:pt>
                <c:pt idx="5">
                  <c:v>0.49979861809709836</c:v>
                </c:pt>
              </c:numCache>
            </c:numRef>
          </c:val>
        </c:ser>
        <c:ser>
          <c:idx val="0"/>
          <c:order val="1"/>
          <c:tx>
            <c:strRef>
              <c:f>B_CZ!$A$123</c:f>
              <c:strCache>
                <c:ptCount val="1"/>
                <c:pt idx="0">
                  <c:v> stolní i přenosný</c:v>
                </c:pt>
              </c:strCache>
            </c:strRef>
          </c:tx>
          <c:spPr>
            <a:solidFill>
              <a:srgbClr val="00C5E9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B_CZ!$B$121:$G$121</c:f>
              <c:strCache>
                <c:ptCount val="6"/>
                <c:pt idx="0">
                  <c:v>2006</c:v>
                </c:pt>
                <c:pt idx="1">
                  <c:v>2009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2017</c:v>
                </c:pt>
              </c:strCache>
            </c:strRef>
          </c:cat>
          <c:val>
            <c:numRef>
              <c:f>B_CZ!$B$123:$G$123</c:f>
              <c:numCache>
                <c:formatCode>0%</c:formatCode>
                <c:ptCount val="6"/>
                <c:pt idx="0">
                  <c:v>0.14476774742404269</c:v>
                </c:pt>
                <c:pt idx="1">
                  <c:v>0.21025796022450988</c:v>
                </c:pt>
                <c:pt idx="2">
                  <c:v>0.28948107124534761</c:v>
                </c:pt>
                <c:pt idx="3">
                  <c:v>0.31114985321529465</c:v>
                </c:pt>
                <c:pt idx="4">
                  <c:v>0.32324383200867801</c:v>
                </c:pt>
                <c:pt idx="5">
                  <c:v>0.3129177273924017</c:v>
                </c:pt>
              </c:numCache>
            </c:numRef>
          </c:val>
        </c:ser>
        <c:ser>
          <c:idx val="2"/>
          <c:order val="2"/>
          <c:tx>
            <c:strRef>
              <c:f>B_CZ!$A$124</c:f>
              <c:strCache>
                <c:ptCount val="1"/>
                <c:pt idx="0">
                  <c:v> pouze stolní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B_CZ!$B$121:$G$121</c:f>
              <c:strCache>
                <c:ptCount val="6"/>
                <c:pt idx="0">
                  <c:v>2006</c:v>
                </c:pt>
                <c:pt idx="1">
                  <c:v>2009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2017</c:v>
                </c:pt>
              </c:strCache>
            </c:strRef>
          </c:cat>
          <c:val>
            <c:numRef>
              <c:f>B_CZ!$B$124:$G$124</c:f>
              <c:numCache>
                <c:formatCode>0%</c:formatCode>
                <c:ptCount val="6"/>
                <c:pt idx="0">
                  <c:v>0.81833547111602212</c:v>
                </c:pt>
                <c:pt idx="1">
                  <c:v>0.63739314518139079</c:v>
                </c:pt>
                <c:pt idx="2">
                  <c:v>0.49696362138223549</c:v>
                </c:pt>
                <c:pt idx="3">
                  <c:v>0.3681810141125092</c:v>
                </c:pt>
                <c:pt idx="4">
                  <c:v>0.25062417738147102</c:v>
                </c:pt>
                <c:pt idx="5">
                  <c:v>0.18728365451050263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200859648"/>
        <c:axId val="200312512"/>
      </c:barChart>
      <c:catAx>
        <c:axId val="200859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00312512"/>
        <c:crosses val="autoZero"/>
        <c:auto val="1"/>
        <c:lblAlgn val="ctr"/>
        <c:lblOffset val="40"/>
        <c:tickLblSkip val="1"/>
        <c:tickMarkSkip val="1"/>
        <c:noMultiLvlLbl val="0"/>
      </c:catAx>
      <c:valAx>
        <c:axId val="200312512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one"/>
        <c:spPr>
          <a:ln w="9525">
            <a:noFill/>
          </a:ln>
        </c:spPr>
        <c:crossAx val="200859648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2343921568627451"/>
          <c:y val="0.70477314814814818"/>
          <c:w val="0.82595098039215686"/>
          <c:h val="0.11490185185185185"/>
        </c:manualLayout>
      </c:layout>
      <c:overlay val="0"/>
      <c:spPr>
        <a:noFill/>
        <a:ln w="15875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0.26814</cdr:x>
      <cdr:y>0.89706</cdr:y>
    </cdr:from>
    <cdr:to>
      <cdr:x>0.98702</cdr:x>
      <cdr:y>0.9714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09626" y="2260590"/>
          <a:ext cx="2170608" cy="1873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ČSÚ 2018, Statistika rodinných účtů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0.23732</cdr:x>
      <cdr:y>0.92391</cdr:y>
    </cdr:from>
    <cdr:to>
      <cdr:x>0.96898</cdr:x>
      <cdr:y>0.99109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43855" y="2993467"/>
          <a:ext cx="4451419" cy="21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Eurostat 2018</a:t>
          </a:r>
        </a:p>
      </cdr:txBody>
    </cdr:sp>
  </cdr:relSizeAnchor>
  <cdr:relSizeAnchor xmlns:cdr="http://schemas.openxmlformats.org/drawingml/2006/chartDrawing">
    <cdr:from>
      <cdr:x>0.01461</cdr:x>
      <cdr:y>0.87998</cdr:y>
    </cdr:from>
    <cdr:to>
      <cdr:x>0.95344</cdr:x>
      <cdr:y>0.95544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88900" y="2851150"/>
          <a:ext cx="5711825" cy="2444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 i="0">
              <a:latin typeface="Arial" panose="020B0604020202020204" pitchFamily="34" charset="0"/>
              <a:cs typeface="Arial" panose="020B0604020202020204" pitchFamily="34" charset="0"/>
            </a:rPr>
            <a:t>* podíl z celkového počtu domácností s alespoň jedním členem ve věku 16 až 74 let </a:t>
          </a:r>
          <a:r>
            <a:rPr lang="cs-CZ" sz="800" i="0" baseline="0">
              <a:latin typeface="Arial" panose="020B0604020202020204" pitchFamily="34" charset="0"/>
              <a:cs typeface="Arial" panose="020B0604020202020204" pitchFamily="34" charset="0"/>
            </a:rPr>
            <a:t>v dané zemi</a:t>
          </a:r>
          <a:endParaRPr lang="cs-CZ" sz="800" i="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</cdr:x>
      <cdr:y>0.92193</cdr:y>
    </cdr:from>
    <cdr:to>
      <cdr:x>0.98538</cdr:x>
      <cdr:y>0.99162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489200"/>
          <a:ext cx="2908848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</cdr:x>
      <cdr:y>0.84431</cdr:y>
    </cdr:from>
    <cdr:to>
      <cdr:x>0.98534</cdr:x>
      <cdr:y>0.93476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279650"/>
          <a:ext cx="3086100" cy="24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na celk. počtu domácností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v dané skupině mající počítač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0.04359</cdr:x>
      <cdr:y>0.91487</cdr:y>
    </cdr:from>
    <cdr:to>
      <cdr:x>0.9917</cdr:x>
      <cdr:y>0.9913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36525" y="2470150"/>
          <a:ext cx="2969467" cy="206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0.92193</cdr:y>
    </cdr:from>
    <cdr:to>
      <cdr:x>0.98538</cdr:x>
      <cdr:y>0.99162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489200"/>
          <a:ext cx="2908848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</cdr:x>
      <cdr:y>0.84431</cdr:y>
    </cdr:from>
    <cdr:to>
      <cdr:x>0.98534</cdr:x>
      <cdr:y>0.93476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279650"/>
          <a:ext cx="3086100" cy="24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na celkovém počtu domácností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v dané skupině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0.04359</cdr:x>
      <cdr:y>0.91487</cdr:y>
    </cdr:from>
    <cdr:to>
      <cdr:x>0.9917</cdr:x>
      <cdr:y>0.9913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36525" y="2470150"/>
          <a:ext cx="2969467" cy="206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0.23732</cdr:x>
      <cdr:y>0.93273</cdr:y>
    </cdr:from>
    <cdr:to>
      <cdr:x>0.96898</cdr:x>
      <cdr:y>0.99991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43855" y="3022042"/>
          <a:ext cx="4451419" cy="217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Eurostat 2018</a:t>
          </a:r>
        </a:p>
      </cdr:txBody>
    </cdr:sp>
  </cdr:relSizeAnchor>
  <cdr:relSizeAnchor xmlns:cdr="http://schemas.openxmlformats.org/drawingml/2006/chartDrawing">
    <cdr:from>
      <cdr:x>0.00522</cdr:x>
      <cdr:y>0.87606</cdr:y>
    </cdr:from>
    <cdr:to>
      <cdr:x>0.99414</cdr:x>
      <cdr:y>0.97308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31757" y="2838434"/>
          <a:ext cx="6016617" cy="314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 i="0">
              <a:latin typeface="Arial" panose="020B0604020202020204" pitchFamily="34" charset="0"/>
              <a:cs typeface="Arial" panose="020B0604020202020204" pitchFamily="34" charset="0"/>
            </a:rPr>
            <a:t>* podíl z celkového počtu domácností s alespoň jedním členem ve věku 16 až 74 let </a:t>
          </a:r>
          <a:r>
            <a:rPr lang="cs-CZ" sz="800" i="0" baseline="0">
              <a:latin typeface="Arial" panose="020B0604020202020204" pitchFamily="34" charset="0"/>
              <a:cs typeface="Arial" panose="020B0604020202020204" pitchFamily="34" charset="0"/>
            </a:rPr>
            <a:t> v prvním příjmovém kvartilu v dané zemi</a:t>
          </a:r>
          <a:endParaRPr lang="cs-CZ" sz="800" i="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0.99968</cdr:x>
      <cdr:y>0.11585</cdr:y>
    </cdr:to>
    <cdr:sp macro="" textlink="">
      <cdr:nvSpPr>
        <cdr:cNvPr id="4" name="Textové pole 3"/>
        <cdr:cNvSpPr txBox="1"/>
      </cdr:nvSpPr>
      <cdr:spPr>
        <a:xfrm xmlns:a="http://schemas.openxmlformats.org/drawingml/2006/main">
          <a:off x="0" y="0"/>
          <a:ext cx="5970896" cy="3684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0"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r>
            <a:rPr lang="en-US" sz="800" b="1"/>
            <a:t>Graf B</a:t>
          </a:r>
          <a:r>
            <a:rPr lang="cs-CZ" sz="800" b="1"/>
            <a:t>15</a:t>
          </a:r>
          <a:r>
            <a:rPr lang="en-US" sz="800" b="1"/>
            <a:t> </a:t>
          </a:r>
          <a:r>
            <a:rPr lang="cs-CZ" sz="800" b="1"/>
            <a:t>Podíl d</a:t>
          </a:r>
          <a:r>
            <a:rPr lang="en-US" sz="800" b="1"/>
            <a:t>omácnosti v zemích EU </a:t>
          </a:r>
          <a:r>
            <a:rPr lang="cs-CZ" sz="800" b="1"/>
            <a:t>s nejnižšími příjmy (první příjmový kvartil), </a:t>
          </a:r>
        </a:p>
        <a:p xmlns:a="http://schemas.openxmlformats.org/drawingml/2006/main">
          <a:pPr algn="ctr" rtl="0"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r>
            <a:rPr lang="cs-CZ" sz="800" b="1" i="0" u="none" strike="noStrike" baseline="0">
              <a:effectLst/>
            </a:rPr>
            <a:t>které doma </a:t>
          </a:r>
          <a:r>
            <a:rPr lang="cs-CZ" sz="800" b="1" i="0" u="sng" strike="noStrike" baseline="0">
              <a:effectLst/>
            </a:rPr>
            <a:t>nemají (nepoužívají) </a:t>
          </a:r>
          <a:r>
            <a:rPr lang="cs-CZ" sz="800" b="1"/>
            <a:t>internet (%)*</a:t>
          </a:r>
          <a:endParaRPr lang="en-US" sz="800" b="1"/>
        </a:p>
        <a:p xmlns:a="http://schemas.openxmlformats.org/drawingml/2006/main">
          <a:endParaRPr lang="cs-CZ" sz="1100"/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</cdr:x>
      <cdr:y>0.92193</cdr:y>
    </cdr:from>
    <cdr:to>
      <cdr:x>0.98538</cdr:x>
      <cdr:y>0.99162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489200"/>
          <a:ext cx="2908848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</cdr:x>
      <cdr:y>0.79249</cdr:y>
    </cdr:from>
    <cdr:to>
      <cdr:x>0.98534</cdr:x>
      <cdr:y>0.91203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185014"/>
          <a:ext cx="3086085" cy="3295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na celkovém počtu domácností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bez internetu</a:t>
          </a:r>
        </a:p>
        <a:p xmlns:a="http://schemas.openxmlformats.org/drawingml/2006/main">
          <a:pPr algn="l"/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** domácnosti mohly uvést více důvodů</a:t>
          </a:r>
        </a:p>
        <a:p xmlns:a="http://schemas.openxmlformats.org/drawingml/2006/main">
          <a:pPr algn="l"/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0.04359</cdr:x>
      <cdr:y>0.91487</cdr:y>
    </cdr:from>
    <cdr:to>
      <cdr:x>0.9917</cdr:x>
      <cdr:y>0.9913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36525" y="2470150"/>
          <a:ext cx="2969467" cy="206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</cdr:x>
      <cdr:y>0.84431</cdr:y>
    </cdr:from>
    <cdr:to>
      <cdr:x>0.98534</cdr:x>
      <cdr:y>0.93476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279650"/>
          <a:ext cx="3086100" cy="24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na celk. počtu domácností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v dané skupině s internetem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0.04359</cdr:x>
      <cdr:y>0.91487</cdr:y>
    </cdr:from>
    <cdr:to>
      <cdr:x>0.9917</cdr:x>
      <cdr:y>0.9913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36525" y="2470150"/>
          <a:ext cx="2969467" cy="206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0.02677</cdr:x>
      <cdr:y>0</cdr:y>
    </cdr:from>
    <cdr:to>
      <cdr:x>0.9747</cdr:x>
      <cdr:y>0.16586</cdr:y>
    </cdr:to>
    <cdr:sp macro="" textlink="">
      <cdr:nvSpPr>
        <cdr:cNvPr id="4" name="Textové pole 3"/>
        <cdr:cNvSpPr txBox="1"/>
      </cdr:nvSpPr>
      <cdr:spPr>
        <a:xfrm xmlns:a="http://schemas.openxmlformats.org/drawingml/2006/main">
          <a:off x="81901" y="0"/>
          <a:ext cx="2900125" cy="457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Graf B18 Domácnosti v Česku používající vybrané připojení k internetu podle velikosti obce</a:t>
          </a:r>
          <a:r>
            <a:rPr lang="cs-CZ" sz="800" b="1" baseline="0">
              <a:latin typeface="Arial" panose="020B0604020202020204" pitchFamily="34" charset="0"/>
              <a:cs typeface="Arial" panose="020B0604020202020204" pitchFamily="34" charset="0"/>
            </a:rPr>
            <a:t> v roce 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2017 (%)*</a:t>
          </a:r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</cdr:x>
      <cdr:y>0.92193</cdr:y>
    </cdr:from>
    <cdr:to>
      <cdr:x>0.98538</cdr:x>
      <cdr:y>0.99162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489200"/>
          <a:ext cx="2908848" cy="1881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0.23732</cdr:x>
      <cdr:y>0.91509</cdr:y>
    </cdr:from>
    <cdr:to>
      <cdr:x>0.96898</cdr:x>
      <cdr:y>0.98227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09700" y="2635461"/>
          <a:ext cx="4346025" cy="193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Evropská komise 2017, Eurobarometer 438 E-Communications Survey</a:t>
          </a:r>
        </a:p>
      </cdr:txBody>
    </cdr:sp>
  </cdr:relSizeAnchor>
  <cdr:relSizeAnchor xmlns:cdr="http://schemas.openxmlformats.org/drawingml/2006/chartDrawing">
    <cdr:from>
      <cdr:x>0.01733</cdr:x>
      <cdr:y>0.8621</cdr:y>
    </cdr:from>
    <cdr:to>
      <cdr:x>0.468</cdr:x>
      <cdr:y>0.94343</cdr:y>
    </cdr:to>
    <cdr:sp macro="" textlink="">
      <cdr:nvSpPr>
        <cdr:cNvPr id="3" name="Textové pole 2"/>
        <cdr:cNvSpPr txBox="1"/>
      </cdr:nvSpPr>
      <cdr:spPr>
        <a:xfrm xmlns:a="http://schemas.openxmlformats.org/drawingml/2006/main">
          <a:off x="103517" y="2743201"/>
          <a:ext cx="2691442" cy="2587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z celkového počtu domácností v dané zemi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0.13891</cdr:x>
      <cdr:y>0.91848</cdr:y>
    </cdr:from>
    <cdr:to>
      <cdr:x>0.98647</cdr:x>
      <cdr:y>0.9903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00050" y="2314576"/>
          <a:ext cx="2440984" cy="18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Statistika rodinných účtů</a:t>
          </a:r>
          <a:endParaRPr lang="en-US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algn="r"/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0.03709</cdr:x>
      <cdr:y>0.02949</cdr:y>
    </cdr:from>
    <cdr:to>
      <cdr:x>0.99847</cdr:x>
      <cdr:y>0.14746</cdr:y>
    </cdr:to>
    <cdr:sp macro="" textlink="">
      <cdr:nvSpPr>
        <cdr:cNvPr id="3" name="Textové pole 2"/>
        <cdr:cNvSpPr txBox="1"/>
      </cdr:nvSpPr>
      <cdr:spPr>
        <a:xfrm xmlns:a="http://schemas.openxmlformats.org/drawingml/2006/main">
          <a:off x="112144" y="69012"/>
          <a:ext cx="2907102" cy="2760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0">
            <a:defRPr sz="800" b="1" i="0" u="none" strike="noStrike" kern="1200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r>
            <a:rPr lang="cs-CZ" sz="800" b="1"/>
            <a:t>Graf B3 Vybavenost</a:t>
          </a:r>
          <a:r>
            <a:rPr lang="cs-CZ" sz="800" b="1" baseline="0"/>
            <a:t> domácností v Česku telefonem (%)</a:t>
          </a:r>
          <a:endParaRPr lang="cs-CZ" sz="800" b="1"/>
        </a:p>
        <a:p xmlns:a="http://schemas.openxmlformats.org/drawingml/2006/main">
          <a:endParaRPr lang="cs-CZ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0.19991</cdr:x>
      <cdr:y>0.90462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647701" y="2279641"/>
          <a:ext cx="2592299" cy="187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Statistika rodinných účtů</a:t>
          </a:r>
          <a:endParaRPr lang="en-US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algn="r"/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0.00882</cdr:x>
      <cdr:y>0.82399</cdr:y>
    </cdr:from>
    <cdr:to>
      <cdr:x>0.94662</cdr:x>
      <cdr:y>0.88068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28577" y="2076450"/>
          <a:ext cx="3038473" cy="1428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pouze na členy domácností starší 6 let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0.138</cdr:x>
      <cdr:y>0.90429</cdr:y>
    </cdr:from>
    <cdr:to>
      <cdr:x>0.97559</cdr:x>
      <cdr:y>0.97132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22275" y="2441575"/>
          <a:ext cx="2563033" cy="18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Roční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národní účty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0.10564</cdr:x>
      <cdr:y>0.89822</cdr:y>
    </cdr:from>
    <cdr:to>
      <cdr:x>0.99026</cdr:x>
      <cdr:y>0.97329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88925" y="2241550"/>
          <a:ext cx="2419479" cy="187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Statistika rodinných účtů</a:t>
          </a:r>
          <a:endParaRPr lang="en-US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algn="r"/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0.23732</cdr:x>
      <cdr:y>0.91509</cdr:y>
    </cdr:from>
    <cdr:to>
      <cdr:x>0.96898</cdr:x>
      <cdr:y>0.98227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09700" y="2635461"/>
          <a:ext cx="4346025" cy="193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Eurostat 2018</a:t>
          </a:r>
        </a:p>
      </cdr:txBody>
    </cdr:sp>
  </cdr:relSizeAnchor>
  <cdr:relSizeAnchor xmlns:cdr="http://schemas.openxmlformats.org/drawingml/2006/chartDrawing">
    <cdr:from>
      <cdr:x>0.01607</cdr:x>
      <cdr:y>0.87818</cdr:y>
    </cdr:from>
    <cdr:to>
      <cdr:x>0.65483</cdr:x>
      <cdr:y>0.95364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95975" y="2794371"/>
          <a:ext cx="3815192" cy="2401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 i="0">
              <a:latin typeface="Arial" panose="020B0604020202020204" pitchFamily="34" charset="0"/>
              <a:cs typeface="Arial" panose="020B0604020202020204" pitchFamily="34" charset="0"/>
            </a:rPr>
            <a:t>* podíl na celkových výdajích</a:t>
          </a:r>
          <a:r>
            <a:rPr lang="cs-CZ" sz="800" i="0" baseline="0">
              <a:latin typeface="Arial" panose="020B0604020202020204" pitchFamily="34" charset="0"/>
              <a:cs typeface="Arial" panose="020B0604020202020204" pitchFamily="34" charset="0"/>
            </a:rPr>
            <a:t> domácností v dané zemi</a:t>
          </a:r>
          <a:endParaRPr lang="cs-CZ" sz="800" i="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0.02649</cdr:x>
      <cdr:y>0.90429</cdr:y>
    </cdr:from>
    <cdr:to>
      <cdr:x>1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9105" y="1953266"/>
          <a:ext cx="3060000" cy="161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0.02568</cdr:x>
      <cdr:y>0.03595</cdr:y>
    </cdr:from>
    <cdr:to>
      <cdr:x>0.97565</cdr:x>
      <cdr:y>0.15978</cdr:y>
    </cdr:to>
    <cdr:sp macro="" textlink="">
      <cdr:nvSpPr>
        <cdr:cNvPr id="3" name="Textové pole 2"/>
        <cdr:cNvSpPr txBox="1"/>
      </cdr:nvSpPr>
      <cdr:spPr>
        <a:xfrm xmlns:a="http://schemas.openxmlformats.org/drawingml/2006/main">
          <a:off x="77638" y="77637"/>
          <a:ext cx="2872596" cy="267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0">
            <a:defRPr sz="800" b="1" i="0" u="none" strike="noStrike" kern="1200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r>
            <a:rPr lang="en-US" sz="800" b="1"/>
            <a:t>Graf B</a:t>
          </a:r>
          <a:r>
            <a:rPr lang="cs-CZ" sz="800" b="1"/>
            <a:t>8</a:t>
          </a:r>
          <a:r>
            <a:rPr lang="en-US" sz="800" b="1"/>
            <a:t> Domácnosti v Česku</a:t>
          </a:r>
          <a:r>
            <a:rPr lang="cs-CZ" sz="800" b="1"/>
            <a:t> </a:t>
          </a:r>
          <a:r>
            <a:rPr lang="en-US" sz="800" b="1"/>
            <a:t>mající doma počítač</a:t>
          </a:r>
        </a:p>
        <a:p xmlns:a="http://schemas.openxmlformats.org/drawingml/2006/main">
          <a:endParaRPr lang="cs-CZ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0.03113</cdr:x>
      <cdr:y>0.92141</cdr:y>
    </cdr:from>
    <cdr:to>
      <cdr:x>0.99026</cdr:x>
      <cdr:y>0.97896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95240" y="2355011"/>
          <a:ext cx="2934391" cy="1470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0.02594</cdr:x>
      <cdr:y>0.83932</cdr:y>
    </cdr:from>
    <cdr:to>
      <cdr:x>0.95271</cdr:x>
      <cdr:y>0.93486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79375" y="1812924"/>
          <a:ext cx="2835908" cy="206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na celkovém počtu domácností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s počítačem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324E-BDFC-4A31-AC05-0B3AEBED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1</TotalTime>
  <Pages>10</Pages>
  <Words>2837</Words>
  <Characters>16742</Characters>
  <Application>Microsoft Office Word</Application>
  <DocSecurity>0</DocSecurity>
  <Lines>139</Lines>
  <Paragraphs>39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19540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Kotrbatá</dc:creator>
  <cp:lastModifiedBy>Alena Kotrbatá</cp:lastModifiedBy>
  <cp:revision>3</cp:revision>
  <cp:lastPrinted>2018-08-29T08:06:00Z</cp:lastPrinted>
  <dcterms:created xsi:type="dcterms:W3CDTF">2018-09-21T13:40:00Z</dcterms:created>
  <dcterms:modified xsi:type="dcterms:W3CDTF">2018-09-21T13:41:00Z</dcterms:modified>
</cp:coreProperties>
</file>