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3AB1" w14:textId="10C87C26" w:rsidR="000E6C0B" w:rsidRPr="008F739A" w:rsidRDefault="00462207" w:rsidP="00C67335">
      <w:pPr>
        <w:contextualSpacing/>
        <w:jc w:val="both"/>
        <w:rPr>
          <w:rFonts w:eastAsia="MS Gothic"/>
          <w:b/>
          <w:bCs/>
          <w:sz w:val="22"/>
          <w:szCs w:val="22"/>
          <w:u w:val="single"/>
        </w:rPr>
      </w:pPr>
      <w:bookmarkStart w:id="0" w:name="_Toc444112497"/>
      <w:r>
        <w:rPr>
          <w:rFonts w:eastAsia="MS Gothic"/>
          <w:b/>
          <w:bCs/>
          <w:sz w:val="22"/>
          <w:szCs w:val="22"/>
          <w:u w:val="single"/>
        </w:rPr>
        <w:t>S</w:t>
      </w:r>
      <w:r w:rsidR="000E6C0B" w:rsidRPr="008F739A">
        <w:rPr>
          <w:rFonts w:eastAsia="MS Gothic"/>
          <w:b/>
          <w:bCs/>
          <w:sz w:val="22"/>
          <w:szCs w:val="22"/>
          <w:u w:val="single"/>
        </w:rPr>
        <w:t xml:space="preserve">tatistická publikace </w:t>
      </w:r>
      <w:r w:rsidR="002316C5" w:rsidRPr="008F739A">
        <w:rPr>
          <w:rFonts w:eastAsia="MS Gothic"/>
          <w:b/>
          <w:bCs/>
          <w:i/>
          <w:sz w:val="22"/>
          <w:szCs w:val="22"/>
          <w:u w:val="single"/>
        </w:rPr>
        <w:t>C</w:t>
      </w:r>
      <w:r w:rsidR="000E6C0B" w:rsidRPr="008F739A">
        <w:rPr>
          <w:rFonts w:eastAsia="MS Gothic"/>
          <w:b/>
          <w:bCs/>
          <w:i/>
          <w:sz w:val="22"/>
          <w:szCs w:val="22"/>
          <w:u w:val="single"/>
        </w:rPr>
        <w:t>eny nemovitostí</w:t>
      </w:r>
    </w:p>
    <w:p w14:paraId="6AB94A6D" w14:textId="77777777" w:rsidR="0049661C" w:rsidRPr="008F739A" w:rsidRDefault="0049661C" w:rsidP="00C67335">
      <w:pPr>
        <w:contextualSpacing/>
        <w:jc w:val="both"/>
        <w:rPr>
          <w:rFonts w:eastAsia="MS Gothic"/>
          <w:b/>
          <w:bCs/>
          <w:sz w:val="22"/>
          <w:szCs w:val="22"/>
          <w:u w:val="single"/>
        </w:rPr>
      </w:pPr>
    </w:p>
    <w:p w14:paraId="3CA68AD6" w14:textId="0E5F31E3" w:rsidR="000E6C0B" w:rsidRPr="008F739A" w:rsidRDefault="00462207" w:rsidP="00C67335">
      <w:pPr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2316C5" w:rsidRPr="008F739A">
        <w:rPr>
          <w:rFonts w:cs="Arial"/>
          <w:sz w:val="22"/>
          <w:szCs w:val="22"/>
        </w:rPr>
        <w:t xml:space="preserve">ublikace </w:t>
      </w:r>
      <w:r w:rsidR="002316C5" w:rsidRPr="008F739A">
        <w:rPr>
          <w:rFonts w:cs="Arial"/>
          <w:i/>
          <w:sz w:val="22"/>
          <w:szCs w:val="22"/>
        </w:rPr>
        <w:t>Ceny nemovitostí</w:t>
      </w:r>
      <w:r w:rsidR="002316C5" w:rsidRPr="008F739A">
        <w:rPr>
          <w:rFonts w:cs="Arial"/>
          <w:sz w:val="22"/>
          <w:szCs w:val="22"/>
        </w:rPr>
        <w:t xml:space="preserve"> </w:t>
      </w:r>
      <w:r w:rsidR="006F6688">
        <w:rPr>
          <w:rFonts w:cs="Arial"/>
          <w:sz w:val="22"/>
          <w:szCs w:val="22"/>
        </w:rPr>
        <w:t xml:space="preserve">v letech </w:t>
      </w:r>
      <w:r w:rsidR="009525DB">
        <w:rPr>
          <w:rFonts w:cs="Arial"/>
          <w:sz w:val="22"/>
          <w:szCs w:val="22"/>
        </w:rPr>
        <w:t>202</w:t>
      </w:r>
      <w:r w:rsidR="00571E15">
        <w:rPr>
          <w:rFonts w:cs="Arial"/>
          <w:sz w:val="22"/>
          <w:szCs w:val="22"/>
        </w:rPr>
        <w:t>3</w:t>
      </w:r>
      <w:r w:rsidR="009525DB" w:rsidRPr="008F739A">
        <w:rPr>
          <w:rFonts w:cs="Arial"/>
          <w:sz w:val="22"/>
          <w:szCs w:val="22"/>
        </w:rPr>
        <w:t>–202</w:t>
      </w:r>
      <w:r w:rsidR="00571E15">
        <w:rPr>
          <w:rFonts w:cs="Arial"/>
          <w:sz w:val="22"/>
          <w:szCs w:val="22"/>
        </w:rPr>
        <w:t>5</w:t>
      </w:r>
      <w:r w:rsidR="00732DC0" w:rsidRPr="008F739A">
        <w:rPr>
          <w:rFonts w:cs="Arial"/>
          <w:sz w:val="22"/>
          <w:szCs w:val="22"/>
        </w:rPr>
        <w:t xml:space="preserve"> </w:t>
      </w:r>
      <w:r w:rsidR="002316C5" w:rsidRPr="008F739A">
        <w:rPr>
          <w:rFonts w:cs="Arial"/>
          <w:sz w:val="22"/>
          <w:szCs w:val="22"/>
        </w:rPr>
        <w:t xml:space="preserve">navazuje na publikaci </w:t>
      </w:r>
      <w:r w:rsidR="002316C5" w:rsidRPr="008F739A">
        <w:rPr>
          <w:rFonts w:cs="Arial"/>
          <w:i/>
          <w:sz w:val="22"/>
          <w:szCs w:val="22"/>
        </w:rPr>
        <w:t>Ceny nemovitostí</w:t>
      </w:r>
      <w:r w:rsidR="00732DC0" w:rsidRPr="008F739A">
        <w:rPr>
          <w:rFonts w:cs="Arial"/>
          <w:i/>
          <w:sz w:val="22"/>
          <w:szCs w:val="22"/>
        </w:rPr>
        <w:t xml:space="preserve"> </w:t>
      </w:r>
      <w:r w:rsidR="00732DC0" w:rsidRPr="008F739A">
        <w:rPr>
          <w:rFonts w:cs="Arial"/>
          <w:sz w:val="22"/>
          <w:szCs w:val="22"/>
        </w:rPr>
        <w:t xml:space="preserve">v letech </w:t>
      </w:r>
      <w:r w:rsidR="009525DB" w:rsidRPr="008F739A">
        <w:rPr>
          <w:rFonts w:cs="Arial"/>
          <w:sz w:val="22"/>
          <w:szCs w:val="22"/>
        </w:rPr>
        <w:t>20</w:t>
      </w:r>
      <w:r w:rsidR="009525DB">
        <w:rPr>
          <w:rFonts w:cs="Arial"/>
          <w:sz w:val="22"/>
          <w:szCs w:val="22"/>
        </w:rPr>
        <w:t>2</w:t>
      </w:r>
      <w:r w:rsidR="00571E15">
        <w:rPr>
          <w:rFonts w:cs="Arial"/>
          <w:sz w:val="22"/>
          <w:szCs w:val="22"/>
        </w:rPr>
        <w:t>2</w:t>
      </w:r>
      <w:r w:rsidR="009525DB" w:rsidRPr="008F739A">
        <w:rPr>
          <w:rFonts w:cs="Arial"/>
          <w:sz w:val="22"/>
          <w:szCs w:val="22"/>
        </w:rPr>
        <w:t>–202</w:t>
      </w:r>
      <w:r w:rsidR="00571E15">
        <w:rPr>
          <w:rFonts w:cs="Arial"/>
          <w:sz w:val="22"/>
          <w:szCs w:val="22"/>
        </w:rPr>
        <w:t>4</w:t>
      </w:r>
      <w:r w:rsidR="002316C5" w:rsidRPr="008F739A">
        <w:rPr>
          <w:rFonts w:cs="Arial"/>
          <w:sz w:val="22"/>
          <w:szCs w:val="22"/>
        </w:rPr>
        <w:t xml:space="preserve">, která vyšla </w:t>
      </w:r>
      <w:r w:rsidR="002F253C" w:rsidRPr="008F739A">
        <w:rPr>
          <w:rFonts w:cs="Arial"/>
          <w:sz w:val="22"/>
          <w:szCs w:val="22"/>
        </w:rPr>
        <w:t>koncem</w:t>
      </w:r>
      <w:r w:rsidR="002316C5" w:rsidRPr="008F739A">
        <w:rPr>
          <w:rFonts w:cs="Arial"/>
          <w:sz w:val="22"/>
          <w:szCs w:val="22"/>
        </w:rPr>
        <w:t xml:space="preserve"> ro</w:t>
      </w:r>
      <w:r w:rsidR="002F253C" w:rsidRPr="008F739A">
        <w:rPr>
          <w:rFonts w:cs="Arial"/>
          <w:sz w:val="22"/>
          <w:szCs w:val="22"/>
        </w:rPr>
        <w:t>ku</w:t>
      </w:r>
      <w:r w:rsidR="002316C5" w:rsidRPr="008F739A">
        <w:rPr>
          <w:rFonts w:cs="Arial"/>
          <w:sz w:val="22"/>
          <w:szCs w:val="22"/>
        </w:rPr>
        <w:t xml:space="preserve"> 202</w:t>
      </w:r>
      <w:r w:rsidR="00571E15">
        <w:rPr>
          <w:rFonts w:cs="Arial"/>
          <w:sz w:val="22"/>
          <w:szCs w:val="22"/>
        </w:rPr>
        <w:t>5</w:t>
      </w:r>
      <w:r w:rsidR="002316C5" w:rsidRPr="008F739A">
        <w:rPr>
          <w:rFonts w:cs="Arial"/>
          <w:sz w:val="22"/>
          <w:szCs w:val="22"/>
        </w:rPr>
        <w:t>.</w:t>
      </w:r>
    </w:p>
    <w:p w14:paraId="5C291885" w14:textId="77777777" w:rsidR="0049661C" w:rsidRPr="008F739A" w:rsidRDefault="0049661C" w:rsidP="00C67335">
      <w:pPr>
        <w:contextualSpacing/>
        <w:jc w:val="both"/>
        <w:rPr>
          <w:rFonts w:cs="Arial"/>
          <w:sz w:val="22"/>
          <w:szCs w:val="22"/>
        </w:rPr>
      </w:pPr>
    </w:p>
    <w:p w14:paraId="2F9E8BEC" w14:textId="609CEB3E" w:rsidR="00A07479" w:rsidRPr="008F739A" w:rsidRDefault="00B77467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ČSÚ </w:t>
      </w:r>
      <w:r w:rsidR="00462207">
        <w:rPr>
          <w:rFonts w:cs="Arial"/>
          <w:sz w:val="22"/>
          <w:szCs w:val="22"/>
        </w:rPr>
        <w:t>využil</w:t>
      </w:r>
      <w:r w:rsidRPr="008F739A">
        <w:rPr>
          <w:rFonts w:cs="Arial"/>
          <w:sz w:val="22"/>
          <w:szCs w:val="22"/>
        </w:rPr>
        <w:t xml:space="preserve"> zdroj údaje z katastru nemovitostí</w:t>
      </w:r>
      <w:r w:rsidR="00A07479" w:rsidRPr="008F739A">
        <w:rPr>
          <w:rFonts w:cs="Arial"/>
          <w:sz w:val="22"/>
          <w:szCs w:val="22"/>
        </w:rPr>
        <w:t>, kterými disponuje Český úřad zeměměřický a katastrální (ČÚZK)</w:t>
      </w:r>
      <w:r w:rsidRPr="008F739A">
        <w:rPr>
          <w:rFonts w:cs="Arial"/>
          <w:sz w:val="22"/>
          <w:szCs w:val="22"/>
        </w:rPr>
        <w:t xml:space="preserve">. </w:t>
      </w:r>
      <w:r w:rsidR="002F253C" w:rsidRPr="008F739A">
        <w:rPr>
          <w:rFonts w:cs="Arial"/>
          <w:sz w:val="22"/>
          <w:szCs w:val="22"/>
        </w:rPr>
        <w:t xml:space="preserve">Primární nezpracovaná data </w:t>
      </w:r>
      <w:r w:rsidR="000C70F8" w:rsidRPr="008F739A">
        <w:rPr>
          <w:rFonts w:cs="Arial"/>
          <w:sz w:val="22"/>
          <w:szCs w:val="22"/>
        </w:rPr>
        <w:t xml:space="preserve">jsou sice prakticky vyčerpávající, avšak chybí </w:t>
      </w:r>
      <w:r w:rsidR="00A07479" w:rsidRPr="008F739A">
        <w:rPr>
          <w:rFonts w:cs="Arial"/>
          <w:sz w:val="22"/>
          <w:szCs w:val="22"/>
        </w:rPr>
        <w:t>mnohé cenotvorné</w:t>
      </w:r>
      <w:r w:rsidR="000C70F8" w:rsidRPr="008F739A">
        <w:rPr>
          <w:rFonts w:cs="Arial"/>
          <w:sz w:val="22"/>
          <w:szCs w:val="22"/>
        </w:rPr>
        <w:t xml:space="preserve"> informace</w:t>
      </w:r>
      <w:r w:rsidR="00462207">
        <w:rPr>
          <w:rFonts w:cs="Arial"/>
          <w:sz w:val="22"/>
          <w:szCs w:val="22"/>
        </w:rPr>
        <w:t>.</w:t>
      </w:r>
      <w:r w:rsidR="00A07479" w:rsidRPr="008F739A">
        <w:rPr>
          <w:rFonts w:cs="Arial"/>
          <w:sz w:val="22"/>
          <w:szCs w:val="22"/>
        </w:rPr>
        <w:t xml:space="preserve"> </w:t>
      </w:r>
      <w:r w:rsidR="002316C5" w:rsidRPr="008F739A">
        <w:rPr>
          <w:rFonts w:cs="Arial"/>
          <w:sz w:val="22"/>
          <w:szCs w:val="22"/>
        </w:rPr>
        <w:t>P</w:t>
      </w:r>
      <w:r w:rsidR="00A07479" w:rsidRPr="008F739A">
        <w:rPr>
          <w:rFonts w:cs="Arial"/>
          <w:sz w:val="22"/>
          <w:szCs w:val="22"/>
        </w:rPr>
        <w:t>ro účely dalšího zpracování je dále potřeba data doplnit o související údaje z Registru sčítacích obvodů</w:t>
      </w:r>
      <w:r w:rsidR="00EB005C" w:rsidRPr="008F739A">
        <w:rPr>
          <w:rFonts w:cs="Arial"/>
          <w:sz w:val="22"/>
          <w:szCs w:val="22"/>
        </w:rPr>
        <w:t xml:space="preserve"> </w:t>
      </w:r>
      <w:r w:rsidR="00B55888" w:rsidRPr="008F739A">
        <w:rPr>
          <w:rFonts w:cs="Arial"/>
          <w:sz w:val="22"/>
          <w:szCs w:val="22"/>
        </w:rPr>
        <w:t xml:space="preserve">a budov </w:t>
      </w:r>
      <w:r w:rsidR="00EB005C" w:rsidRPr="008F739A">
        <w:rPr>
          <w:rFonts w:cs="Arial"/>
          <w:sz w:val="22"/>
          <w:szCs w:val="22"/>
        </w:rPr>
        <w:t>spravovaného ČSÚ</w:t>
      </w:r>
      <w:r w:rsidR="00A07479" w:rsidRPr="008F739A">
        <w:rPr>
          <w:rFonts w:cs="Arial"/>
          <w:sz w:val="22"/>
          <w:szCs w:val="22"/>
        </w:rPr>
        <w:t xml:space="preserve"> (RSO) a z Registru územní identifikace, adres a nemovitostí </w:t>
      </w:r>
      <w:r w:rsidR="00EB005C" w:rsidRPr="008F739A">
        <w:rPr>
          <w:rFonts w:cs="Arial"/>
          <w:sz w:val="22"/>
          <w:szCs w:val="22"/>
        </w:rPr>
        <w:t>spravovaného ČÚZK</w:t>
      </w:r>
      <w:r w:rsidR="00A07479" w:rsidRPr="008F739A">
        <w:rPr>
          <w:rFonts w:cs="Arial"/>
          <w:sz w:val="22"/>
          <w:szCs w:val="22"/>
        </w:rPr>
        <w:t xml:space="preserve"> (RÚIAN). </w:t>
      </w:r>
      <w:r w:rsidR="00017FB1" w:rsidRPr="008F739A">
        <w:rPr>
          <w:rFonts w:cs="Arial"/>
          <w:sz w:val="22"/>
          <w:szCs w:val="22"/>
        </w:rPr>
        <w:t>Vzhledem k jisté nekonzistenci RSO a původního zdroje (katastr nemovitostí) není možno propojit všechna data a původní zdroj tak ztrácí do jisté míry charakteristiku vyčerpávajícího souboru.</w:t>
      </w:r>
    </w:p>
    <w:p w14:paraId="706A9BE5" w14:textId="77777777" w:rsidR="0049661C" w:rsidRPr="008F739A" w:rsidRDefault="0049661C" w:rsidP="00C67335">
      <w:pPr>
        <w:contextualSpacing/>
        <w:jc w:val="both"/>
        <w:rPr>
          <w:rFonts w:cs="Arial"/>
          <w:sz w:val="22"/>
          <w:szCs w:val="22"/>
        </w:rPr>
      </w:pPr>
    </w:p>
    <w:p w14:paraId="44EBA51D" w14:textId="77777777" w:rsidR="00B77467" w:rsidRPr="008F739A" w:rsidRDefault="00017FB1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>Účelem vytvářeného systému</w:t>
      </w:r>
      <w:r w:rsidR="002F253C" w:rsidRPr="008F739A">
        <w:rPr>
          <w:sz w:val="22"/>
          <w:szCs w:val="22"/>
        </w:rPr>
        <w:t xml:space="preserve"> v </w:t>
      </w:r>
      <w:r w:rsidR="002F253C" w:rsidRPr="008F739A">
        <w:rPr>
          <w:rFonts w:cs="Arial"/>
          <w:sz w:val="22"/>
          <w:szCs w:val="22"/>
        </w:rPr>
        <w:t xml:space="preserve">nové publikaci </w:t>
      </w:r>
      <w:r w:rsidR="002F253C" w:rsidRPr="008F739A">
        <w:rPr>
          <w:rFonts w:cs="Arial"/>
          <w:i/>
          <w:sz w:val="22"/>
          <w:szCs w:val="22"/>
        </w:rPr>
        <w:t>Ceny nemovitostí</w:t>
      </w:r>
      <w:r w:rsidRPr="008F739A">
        <w:rPr>
          <w:rFonts w:cs="Arial"/>
          <w:sz w:val="22"/>
          <w:szCs w:val="22"/>
        </w:rPr>
        <w:t xml:space="preserve"> je poskytování informací o rozložení cenové hladiny bytů a rodinných domů, jakož i vývoj tohoto rozložení v čase. </w:t>
      </w:r>
      <w:r w:rsidR="00A773ED" w:rsidRPr="008F739A">
        <w:rPr>
          <w:rFonts w:cs="Arial"/>
          <w:sz w:val="22"/>
          <w:szCs w:val="22"/>
        </w:rPr>
        <w:t>Avšak p</w:t>
      </w:r>
      <w:r w:rsidRPr="008F739A">
        <w:rPr>
          <w:rFonts w:cs="Arial"/>
          <w:sz w:val="22"/>
          <w:szCs w:val="22"/>
        </w:rPr>
        <w:t xml:space="preserve">odobně jako tomu bylo u předchozí publikace, účelem </w:t>
      </w:r>
      <w:r w:rsidR="00A773ED" w:rsidRPr="008F739A">
        <w:rPr>
          <w:rFonts w:cs="Arial"/>
          <w:sz w:val="22"/>
          <w:szCs w:val="22"/>
        </w:rPr>
        <w:t xml:space="preserve">nové publikace není </w:t>
      </w:r>
      <w:r w:rsidRPr="008F739A">
        <w:rPr>
          <w:rFonts w:cs="Arial"/>
          <w:sz w:val="22"/>
          <w:szCs w:val="22"/>
        </w:rPr>
        <w:t xml:space="preserve">vytvářet detailní cenové mapy. </w:t>
      </w:r>
      <w:r w:rsidR="00A773ED" w:rsidRPr="008F739A">
        <w:rPr>
          <w:rFonts w:cs="Arial"/>
          <w:sz w:val="22"/>
          <w:szCs w:val="22"/>
        </w:rPr>
        <w:t>Na rozdíl od předchozího zdroje nemá nyní ČSÚ spolehlivé zdroje k vytváření cenových statistik stavebních pozemků</w:t>
      </w:r>
      <w:r w:rsidR="002F253C" w:rsidRPr="008F739A">
        <w:rPr>
          <w:rFonts w:cs="Arial"/>
          <w:sz w:val="22"/>
          <w:szCs w:val="22"/>
        </w:rPr>
        <w:t xml:space="preserve"> a bytových domů</w:t>
      </w:r>
      <w:r w:rsidR="00A773ED" w:rsidRPr="008F739A">
        <w:rPr>
          <w:rFonts w:cs="Arial"/>
          <w:sz w:val="22"/>
          <w:szCs w:val="22"/>
        </w:rPr>
        <w:t>.</w:t>
      </w:r>
    </w:p>
    <w:p w14:paraId="1F2A2C5E" w14:textId="77777777" w:rsidR="003F1559" w:rsidRPr="008F739A" w:rsidRDefault="003F1559" w:rsidP="00C67335">
      <w:pPr>
        <w:contextualSpacing/>
        <w:jc w:val="both"/>
        <w:rPr>
          <w:rFonts w:cs="Arial"/>
          <w:sz w:val="22"/>
          <w:szCs w:val="22"/>
        </w:rPr>
      </w:pPr>
    </w:p>
    <w:p w14:paraId="2FF4DC07" w14:textId="77777777" w:rsidR="002316C5" w:rsidRPr="008F739A" w:rsidRDefault="002316C5" w:rsidP="00C67335">
      <w:pPr>
        <w:contextualSpacing/>
        <w:jc w:val="both"/>
        <w:rPr>
          <w:rFonts w:eastAsia="MS Gothic"/>
          <w:b/>
          <w:bCs/>
          <w:sz w:val="22"/>
          <w:szCs w:val="22"/>
          <w:u w:val="single"/>
        </w:rPr>
      </w:pPr>
    </w:p>
    <w:p w14:paraId="5FA9D620" w14:textId="77777777" w:rsidR="00EE7426" w:rsidRPr="008F739A" w:rsidRDefault="00EE7426" w:rsidP="00C67335">
      <w:pPr>
        <w:contextualSpacing/>
        <w:jc w:val="both"/>
        <w:rPr>
          <w:rFonts w:eastAsia="MS Gothic"/>
          <w:b/>
          <w:bCs/>
          <w:sz w:val="22"/>
          <w:szCs w:val="22"/>
          <w:u w:val="single"/>
        </w:rPr>
      </w:pPr>
      <w:r w:rsidRPr="008F739A">
        <w:rPr>
          <w:rFonts w:eastAsia="MS Gothic"/>
          <w:b/>
          <w:bCs/>
          <w:sz w:val="22"/>
          <w:szCs w:val="22"/>
          <w:u w:val="single"/>
        </w:rPr>
        <w:t xml:space="preserve">Zdroj dat, </w:t>
      </w:r>
      <w:r w:rsidR="0021604D" w:rsidRPr="008F739A">
        <w:rPr>
          <w:rFonts w:eastAsia="MS Gothic"/>
          <w:b/>
          <w:bCs/>
          <w:sz w:val="22"/>
          <w:szCs w:val="22"/>
          <w:u w:val="single"/>
        </w:rPr>
        <w:t xml:space="preserve">jejich struktura a </w:t>
      </w:r>
      <w:r w:rsidRPr="008F739A">
        <w:rPr>
          <w:rFonts w:eastAsia="MS Gothic"/>
          <w:b/>
          <w:bCs/>
          <w:sz w:val="22"/>
          <w:szCs w:val="22"/>
          <w:u w:val="single"/>
        </w:rPr>
        <w:t>frekvence</w:t>
      </w:r>
    </w:p>
    <w:p w14:paraId="118884CF" w14:textId="77777777" w:rsidR="0049661C" w:rsidRPr="008F739A" w:rsidRDefault="0049661C" w:rsidP="00C67335">
      <w:pPr>
        <w:contextualSpacing/>
        <w:jc w:val="both"/>
        <w:rPr>
          <w:rFonts w:eastAsia="MS Gothic"/>
          <w:b/>
          <w:bCs/>
          <w:sz w:val="22"/>
          <w:szCs w:val="22"/>
          <w:u w:val="single"/>
        </w:rPr>
      </w:pPr>
    </w:p>
    <w:p w14:paraId="3D5BC45A" w14:textId="77777777" w:rsidR="0021604D" w:rsidRPr="008F739A" w:rsidRDefault="00EE7426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>Zdrojem dat</w:t>
      </w:r>
      <w:r w:rsidR="002F253C" w:rsidRPr="008F739A">
        <w:rPr>
          <w:rFonts w:cs="Arial"/>
          <w:sz w:val="22"/>
          <w:szCs w:val="22"/>
        </w:rPr>
        <w:t xml:space="preserve"> nové publikace</w:t>
      </w:r>
      <w:r w:rsidRPr="008F739A">
        <w:rPr>
          <w:rFonts w:cs="Arial"/>
          <w:sz w:val="22"/>
          <w:szCs w:val="22"/>
        </w:rPr>
        <w:t xml:space="preserve"> jsou </w:t>
      </w:r>
      <w:r w:rsidR="00FF6824" w:rsidRPr="008F739A">
        <w:rPr>
          <w:rFonts w:cs="Arial"/>
          <w:sz w:val="22"/>
          <w:szCs w:val="22"/>
        </w:rPr>
        <w:t xml:space="preserve">granulární údaje ČÚZK o </w:t>
      </w:r>
      <w:r w:rsidR="003C07F6" w:rsidRPr="008F739A">
        <w:rPr>
          <w:rFonts w:cs="Arial"/>
          <w:sz w:val="22"/>
          <w:szCs w:val="22"/>
        </w:rPr>
        <w:t xml:space="preserve">jednotlivých </w:t>
      </w:r>
      <w:r w:rsidR="00FF6824" w:rsidRPr="008F739A">
        <w:rPr>
          <w:rFonts w:cs="Arial"/>
          <w:sz w:val="22"/>
          <w:szCs w:val="22"/>
        </w:rPr>
        <w:t xml:space="preserve">řízeních, u nichž byl zapsán cenový údaj. </w:t>
      </w:r>
      <w:r w:rsidR="00502E65" w:rsidRPr="008F739A">
        <w:rPr>
          <w:rFonts w:cs="Arial"/>
          <w:sz w:val="22"/>
          <w:szCs w:val="22"/>
        </w:rPr>
        <w:t xml:space="preserve">Jedná se o řízení obsahující následující typy nemovitostí: </w:t>
      </w:r>
    </w:p>
    <w:p w14:paraId="048891A8" w14:textId="77777777" w:rsidR="0021604D" w:rsidRPr="008F739A" w:rsidRDefault="00502E65" w:rsidP="00C67335">
      <w:pPr>
        <w:pStyle w:val="Odstavecseseznamem"/>
        <w:numPr>
          <w:ilvl w:val="0"/>
          <w:numId w:val="16"/>
        </w:numPr>
        <w:spacing w:line="288" w:lineRule="auto"/>
        <w:ind w:left="714" w:hanging="357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>parcela (jejíž součástí je stavba</w:t>
      </w:r>
      <w:r w:rsidR="003C07F6" w:rsidRPr="008F739A">
        <w:rPr>
          <w:rFonts w:ascii="Arial" w:eastAsia="Times New Roman" w:hAnsi="Arial" w:cs="Arial"/>
          <w:sz w:val="22"/>
          <w:lang w:eastAsia="cs-CZ"/>
        </w:rPr>
        <w:t>, například rodinný dům, zemědělská stavba</w:t>
      </w:r>
      <w:r w:rsidR="0021604D" w:rsidRPr="008F739A">
        <w:rPr>
          <w:rFonts w:ascii="Arial" w:eastAsia="Times New Roman" w:hAnsi="Arial" w:cs="Arial"/>
          <w:sz w:val="22"/>
          <w:lang w:eastAsia="cs-CZ"/>
        </w:rPr>
        <w:t>, garáž, stavba občanského vybavení, stavba technického vybavení aj.);</w:t>
      </w:r>
      <w:r w:rsidRPr="008F739A">
        <w:rPr>
          <w:rFonts w:ascii="Arial" w:eastAsia="Times New Roman" w:hAnsi="Arial" w:cs="Arial"/>
          <w:sz w:val="22"/>
          <w:lang w:eastAsia="cs-CZ"/>
        </w:rPr>
        <w:t xml:space="preserve"> </w:t>
      </w:r>
    </w:p>
    <w:p w14:paraId="06488F29" w14:textId="77777777" w:rsidR="0021604D" w:rsidRPr="008F739A" w:rsidRDefault="00502E65" w:rsidP="00C67335">
      <w:pPr>
        <w:pStyle w:val="Odstavecseseznamem"/>
        <w:numPr>
          <w:ilvl w:val="0"/>
          <w:numId w:val="16"/>
        </w:numPr>
        <w:spacing w:line="288" w:lineRule="auto"/>
        <w:ind w:left="714" w:hanging="357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>budova (</w:t>
      </w:r>
      <w:r w:rsidR="0021604D" w:rsidRPr="008F739A">
        <w:rPr>
          <w:rFonts w:ascii="Arial" w:eastAsia="Times New Roman" w:hAnsi="Arial" w:cs="Arial"/>
          <w:sz w:val="22"/>
          <w:lang w:eastAsia="cs-CZ"/>
        </w:rPr>
        <w:t xml:space="preserve">stavba, </w:t>
      </w:r>
      <w:r w:rsidRPr="008F739A">
        <w:rPr>
          <w:rFonts w:ascii="Arial" w:eastAsia="Times New Roman" w:hAnsi="Arial" w:cs="Arial"/>
          <w:sz w:val="22"/>
          <w:lang w:eastAsia="cs-CZ"/>
        </w:rPr>
        <w:t>která není součástí parcely</w:t>
      </w:r>
      <w:r w:rsidR="0021604D" w:rsidRPr="008F739A">
        <w:rPr>
          <w:rFonts w:ascii="Arial" w:eastAsia="Times New Roman" w:hAnsi="Arial" w:cs="Arial"/>
          <w:sz w:val="22"/>
          <w:lang w:eastAsia="cs-CZ"/>
        </w:rPr>
        <w:t>, na které stojí);</w:t>
      </w:r>
      <w:r w:rsidR="003C07F6" w:rsidRPr="008F739A">
        <w:rPr>
          <w:rFonts w:ascii="Arial" w:eastAsia="Times New Roman" w:hAnsi="Arial" w:cs="Arial"/>
          <w:sz w:val="22"/>
          <w:lang w:eastAsia="cs-CZ"/>
        </w:rPr>
        <w:t xml:space="preserve"> </w:t>
      </w:r>
    </w:p>
    <w:p w14:paraId="28A8C30E" w14:textId="77777777" w:rsidR="00502E65" w:rsidRPr="008F739A" w:rsidRDefault="003C07F6" w:rsidP="00C67335">
      <w:pPr>
        <w:pStyle w:val="Odstavecseseznamem"/>
        <w:numPr>
          <w:ilvl w:val="0"/>
          <w:numId w:val="16"/>
        </w:numPr>
        <w:spacing w:line="288" w:lineRule="auto"/>
        <w:ind w:left="714" w:hanging="357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>jednotka (</w:t>
      </w:r>
      <w:r w:rsidR="0021604D" w:rsidRPr="008F739A">
        <w:rPr>
          <w:rFonts w:ascii="Arial" w:eastAsia="Times New Roman" w:hAnsi="Arial" w:cs="Arial"/>
          <w:sz w:val="22"/>
          <w:lang w:eastAsia="cs-CZ"/>
        </w:rPr>
        <w:t>byt či nebytový prostor v budově, garáž v budově)</w:t>
      </w:r>
    </w:p>
    <w:p w14:paraId="6D4FBB89" w14:textId="77777777" w:rsidR="00B77467" w:rsidRPr="008F739A" w:rsidRDefault="00704DD2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>Pro každé řízení jsou k dispozici zejména tyto údaje:</w:t>
      </w:r>
    </w:p>
    <w:p w14:paraId="26DA739A" w14:textId="77777777" w:rsidR="007F698F" w:rsidRPr="008F739A" w:rsidRDefault="00704DD2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 xml:space="preserve">identifikátory řízení a listiny </w:t>
      </w:r>
      <w:r w:rsidR="00B77467" w:rsidRPr="008F739A">
        <w:rPr>
          <w:rFonts w:ascii="Arial" w:eastAsia="Times New Roman" w:hAnsi="Arial" w:cs="Arial"/>
          <w:sz w:val="22"/>
          <w:lang w:eastAsia="cs-CZ"/>
        </w:rPr>
        <w:t>– označení dle evidence ČÚZK</w:t>
      </w:r>
      <w:r w:rsidRPr="008F739A">
        <w:rPr>
          <w:rFonts w:ascii="Arial" w:eastAsia="Times New Roman" w:hAnsi="Arial" w:cs="Arial"/>
          <w:sz w:val="22"/>
          <w:lang w:eastAsia="cs-CZ"/>
        </w:rPr>
        <w:t>;</w:t>
      </w:r>
    </w:p>
    <w:p w14:paraId="2591A61A" w14:textId="77777777" w:rsidR="007F698F" w:rsidRPr="008F739A" w:rsidRDefault="00B77467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>datum podání – kdy byl podán požadavek na úpravu v katastru nemovitostí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>;</w:t>
      </w:r>
    </w:p>
    <w:p w14:paraId="5F9DEE0A" w14:textId="77777777" w:rsidR="007F698F" w:rsidRPr="008F739A" w:rsidRDefault="00B77467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 xml:space="preserve">datum zplatnění – od kdy začal </w:t>
      </w:r>
      <w:r w:rsidR="002316C5" w:rsidRPr="008F739A">
        <w:rPr>
          <w:rFonts w:ascii="Arial" w:eastAsia="Times New Roman" w:hAnsi="Arial" w:cs="Arial"/>
          <w:sz w:val="22"/>
          <w:lang w:eastAsia="cs-CZ"/>
        </w:rPr>
        <w:t xml:space="preserve">právně </w:t>
      </w:r>
      <w:r w:rsidRPr="008F739A">
        <w:rPr>
          <w:rFonts w:ascii="Arial" w:eastAsia="Times New Roman" w:hAnsi="Arial" w:cs="Arial"/>
          <w:sz w:val="22"/>
          <w:lang w:eastAsia="cs-CZ"/>
        </w:rPr>
        <w:t>platit podaný požadavek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>;</w:t>
      </w:r>
    </w:p>
    <w:p w14:paraId="48C1D11F" w14:textId="77777777" w:rsidR="007F698F" w:rsidRPr="008F739A" w:rsidRDefault="00B77467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 xml:space="preserve">cena z listiny – prodejní cena 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 xml:space="preserve">nebo ohodnocení </w:t>
      </w:r>
      <w:r w:rsidRPr="008F739A">
        <w:rPr>
          <w:rFonts w:ascii="Arial" w:eastAsia="Times New Roman" w:hAnsi="Arial" w:cs="Arial"/>
          <w:sz w:val="22"/>
          <w:lang w:eastAsia="cs-CZ"/>
        </w:rPr>
        <w:t>nemovitosti, resp. pokud se řízení týká více nemovitostí, jedná se o celkovou sumu uvedenou v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> </w:t>
      </w:r>
      <w:r w:rsidR="00704DD2" w:rsidRPr="008F739A">
        <w:rPr>
          <w:rFonts w:ascii="Arial" w:eastAsia="Times New Roman" w:hAnsi="Arial" w:cs="Arial"/>
          <w:sz w:val="22"/>
          <w:lang w:eastAsia="cs-CZ"/>
        </w:rPr>
        <w:t>řízení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>;</w:t>
      </w:r>
    </w:p>
    <w:p w14:paraId="4E8063C8" w14:textId="77777777" w:rsidR="007F698F" w:rsidRPr="008F739A" w:rsidRDefault="00B77467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>měna – v jaké měně proběhla transakce</w:t>
      </w:r>
      <w:r w:rsidR="00704DD2" w:rsidRPr="008F739A">
        <w:rPr>
          <w:rFonts w:ascii="Arial" w:eastAsia="Times New Roman" w:hAnsi="Arial" w:cs="Arial"/>
          <w:sz w:val="22"/>
          <w:lang w:eastAsia="cs-CZ"/>
        </w:rPr>
        <w:t xml:space="preserve"> či ohodnocení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>;</w:t>
      </w:r>
    </w:p>
    <w:p w14:paraId="2E80E179" w14:textId="77777777" w:rsidR="007F698F" w:rsidRPr="008F739A" w:rsidRDefault="00B77467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>listina – smlouvy vedené u daného řízení (např. kupní smlouva, darovací smlouva, potvrzení o nabytí vlastnictví, potvrzení o nabytí pohledávky dražbou, …)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>;</w:t>
      </w:r>
    </w:p>
    <w:p w14:paraId="2156B56D" w14:textId="77777777" w:rsidR="007F698F" w:rsidRPr="008F739A" w:rsidRDefault="00B77467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>typ nemovitosti – rozdělení, jestli se jedná o budovu, parcelu nebo jednotku (byt)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>;</w:t>
      </w:r>
    </w:p>
    <w:p w14:paraId="167AE19B" w14:textId="77777777" w:rsidR="007F698F" w:rsidRPr="008F739A" w:rsidRDefault="00704DD2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 xml:space="preserve">textový popis o </w:t>
      </w:r>
      <w:r w:rsidR="00B77467" w:rsidRPr="008F739A">
        <w:rPr>
          <w:rFonts w:ascii="Arial" w:eastAsia="Times New Roman" w:hAnsi="Arial" w:cs="Arial"/>
          <w:sz w:val="22"/>
          <w:lang w:eastAsia="cs-CZ"/>
        </w:rPr>
        <w:t>nemovitost</w:t>
      </w:r>
      <w:r w:rsidRPr="008F739A">
        <w:rPr>
          <w:rFonts w:ascii="Arial" w:eastAsia="Times New Roman" w:hAnsi="Arial" w:cs="Arial"/>
          <w:sz w:val="22"/>
          <w:lang w:eastAsia="cs-CZ"/>
        </w:rPr>
        <w:t>i</w:t>
      </w:r>
      <w:r w:rsidR="00B77467" w:rsidRPr="008F739A">
        <w:rPr>
          <w:rFonts w:ascii="Arial" w:eastAsia="Times New Roman" w:hAnsi="Arial" w:cs="Arial"/>
          <w:sz w:val="22"/>
          <w:lang w:eastAsia="cs-CZ"/>
        </w:rPr>
        <w:t xml:space="preserve"> – jedno z klíčových polí, které obsahuje textové upřesňující danou nemovitost, např. číslo pozemku, na kterém stojí budova (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 xml:space="preserve">obsahuje </w:t>
      </w:r>
      <w:r w:rsidR="00B77467" w:rsidRPr="008F739A">
        <w:rPr>
          <w:rFonts w:ascii="Arial" w:eastAsia="Times New Roman" w:hAnsi="Arial" w:cs="Arial"/>
          <w:sz w:val="22"/>
          <w:lang w:eastAsia="cs-CZ"/>
        </w:rPr>
        <w:t>číslo popisné/evidenční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>, pokud existuje</w:t>
      </w:r>
      <w:r w:rsidR="00B77467" w:rsidRPr="008F739A">
        <w:rPr>
          <w:rFonts w:ascii="Arial" w:eastAsia="Times New Roman" w:hAnsi="Arial" w:cs="Arial"/>
          <w:sz w:val="22"/>
          <w:lang w:eastAsia="cs-CZ"/>
        </w:rPr>
        <w:t>), část obce a obec, ve které se nemovitost nachází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 xml:space="preserve">; </w:t>
      </w:r>
    </w:p>
    <w:p w14:paraId="032DA3F8" w14:textId="77777777" w:rsidR="007F698F" w:rsidRPr="008F739A" w:rsidRDefault="00B77467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 xml:space="preserve">číslo </w:t>
      </w:r>
      <w:r w:rsidR="00704DD2" w:rsidRPr="008F739A">
        <w:rPr>
          <w:rFonts w:ascii="Arial" w:eastAsia="Times New Roman" w:hAnsi="Arial" w:cs="Arial"/>
          <w:sz w:val="22"/>
          <w:lang w:eastAsia="cs-CZ"/>
        </w:rPr>
        <w:t>a</w:t>
      </w:r>
      <w:r w:rsidRPr="008F739A">
        <w:rPr>
          <w:rFonts w:ascii="Arial" w:eastAsia="Times New Roman" w:hAnsi="Arial" w:cs="Arial"/>
          <w:sz w:val="22"/>
          <w:lang w:eastAsia="cs-CZ"/>
        </w:rPr>
        <w:t xml:space="preserve"> název katastrálního území, do kterého spadá daná nemovitost</w:t>
      </w:r>
      <w:r w:rsidR="007F698F" w:rsidRPr="008F739A">
        <w:rPr>
          <w:rFonts w:ascii="Arial" w:eastAsia="Times New Roman" w:hAnsi="Arial" w:cs="Arial"/>
          <w:sz w:val="22"/>
          <w:lang w:eastAsia="cs-CZ"/>
        </w:rPr>
        <w:t xml:space="preserve">; </w:t>
      </w:r>
    </w:p>
    <w:p w14:paraId="08F81E77" w14:textId="77777777" w:rsidR="00B77467" w:rsidRPr="008F739A" w:rsidRDefault="00704DD2" w:rsidP="00C67335">
      <w:pPr>
        <w:pStyle w:val="Odstavecseseznamem"/>
        <w:numPr>
          <w:ilvl w:val="0"/>
          <w:numId w:val="16"/>
        </w:numPr>
        <w:spacing w:line="288" w:lineRule="auto"/>
        <w:rPr>
          <w:rFonts w:ascii="Arial" w:eastAsia="Times New Roman" w:hAnsi="Arial" w:cs="Arial"/>
          <w:sz w:val="22"/>
          <w:lang w:eastAsia="cs-CZ"/>
        </w:rPr>
      </w:pPr>
      <w:r w:rsidRPr="008F739A">
        <w:rPr>
          <w:rFonts w:ascii="Arial" w:eastAsia="Times New Roman" w:hAnsi="Arial" w:cs="Arial"/>
          <w:sz w:val="22"/>
          <w:lang w:eastAsia="cs-CZ"/>
        </w:rPr>
        <w:t>charakteristika osoby převodce a nabyvatele (fyzická, právnická osoba)</w:t>
      </w:r>
      <w:r w:rsidR="00803CAC" w:rsidRPr="008F739A">
        <w:rPr>
          <w:rFonts w:ascii="Arial" w:eastAsia="Times New Roman" w:hAnsi="Arial" w:cs="Arial"/>
          <w:sz w:val="22"/>
          <w:lang w:eastAsia="cs-CZ"/>
        </w:rPr>
        <w:t>.</w:t>
      </w:r>
    </w:p>
    <w:p w14:paraId="31B565A5" w14:textId="5070692E" w:rsidR="00803CAC" w:rsidRPr="008F739A" w:rsidRDefault="009525DB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>Data jsou</w:t>
      </w:r>
      <w:r w:rsidR="00803CAC" w:rsidRPr="008F739A">
        <w:rPr>
          <w:rFonts w:cs="Arial"/>
          <w:sz w:val="22"/>
          <w:szCs w:val="22"/>
        </w:rPr>
        <w:t xml:space="preserve"> ze strany ČÚZK poskytovány ve čtvrtletní periodicitě.</w:t>
      </w:r>
    </w:p>
    <w:p w14:paraId="17092E12" w14:textId="77777777" w:rsidR="003F1559" w:rsidRPr="008F739A" w:rsidRDefault="003F1559" w:rsidP="00C67335">
      <w:pPr>
        <w:contextualSpacing/>
        <w:jc w:val="both"/>
        <w:rPr>
          <w:rFonts w:cs="Arial"/>
          <w:sz w:val="22"/>
          <w:szCs w:val="22"/>
        </w:rPr>
      </w:pPr>
    </w:p>
    <w:p w14:paraId="5639298A" w14:textId="77777777" w:rsidR="00B77467" w:rsidRPr="008F739A" w:rsidRDefault="00B55888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>Z r</w:t>
      </w:r>
      <w:r w:rsidR="008E1147" w:rsidRPr="008F739A">
        <w:rPr>
          <w:rFonts w:cs="Arial"/>
          <w:sz w:val="22"/>
          <w:szCs w:val="22"/>
        </w:rPr>
        <w:t>egistr</w:t>
      </w:r>
      <w:r w:rsidRPr="008F739A">
        <w:rPr>
          <w:rFonts w:cs="Arial"/>
          <w:sz w:val="22"/>
          <w:szCs w:val="22"/>
        </w:rPr>
        <w:t>u</w:t>
      </w:r>
      <w:r w:rsidR="008E1147" w:rsidRPr="008F739A">
        <w:rPr>
          <w:rFonts w:cs="Arial"/>
          <w:sz w:val="22"/>
          <w:szCs w:val="22"/>
        </w:rPr>
        <w:t xml:space="preserve"> sčítacích obvodů a budov (RSO)</w:t>
      </w:r>
      <w:r w:rsidRPr="008F739A">
        <w:rPr>
          <w:rFonts w:cs="Arial"/>
          <w:sz w:val="22"/>
          <w:szCs w:val="22"/>
        </w:rPr>
        <w:t xml:space="preserve"> a registru územní identifikace, adres a nemovitostí (RÚIAN)</w:t>
      </w:r>
      <w:r w:rsidR="00F5109C" w:rsidRPr="008F739A">
        <w:rPr>
          <w:rFonts w:cs="Arial"/>
          <w:sz w:val="22"/>
          <w:szCs w:val="22"/>
        </w:rPr>
        <w:t xml:space="preserve"> jsou při zpracování údajů doplňovány další charakteristiky, jako například</w:t>
      </w:r>
      <w:r w:rsidR="008E1147" w:rsidRPr="008F739A">
        <w:rPr>
          <w:rFonts w:cs="Arial"/>
          <w:sz w:val="22"/>
          <w:szCs w:val="22"/>
        </w:rPr>
        <w:t xml:space="preserve"> způsob využití budovy, počet podlaží, </w:t>
      </w:r>
      <w:r w:rsidR="00F5109C" w:rsidRPr="008F739A">
        <w:rPr>
          <w:rFonts w:cs="Arial"/>
          <w:sz w:val="22"/>
          <w:szCs w:val="22"/>
        </w:rPr>
        <w:t xml:space="preserve">počet bytových jednotek, </w:t>
      </w:r>
      <w:r w:rsidR="008E1147" w:rsidRPr="008F739A">
        <w:rPr>
          <w:rFonts w:cs="Arial"/>
          <w:sz w:val="22"/>
          <w:szCs w:val="22"/>
        </w:rPr>
        <w:t xml:space="preserve">materiál zdí, </w:t>
      </w:r>
      <w:r w:rsidR="00F5109C" w:rsidRPr="008F739A">
        <w:rPr>
          <w:rFonts w:cs="Arial"/>
          <w:sz w:val="22"/>
          <w:szCs w:val="22"/>
        </w:rPr>
        <w:t xml:space="preserve">způsob vytápění, </w:t>
      </w:r>
      <w:r w:rsidR="008E1147" w:rsidRPr="008F739A">
        <w:rPr>
          <w:rFonts w:cs="Arial"/>
          <w:sz w:val="22"/>
          <w:szCs w:val="22"/>
        </w:rPr>
        <w:t xml:space="preserve">druh vlastníka budovy, </w:t>
      </w:r>
      <w:r w:rsidR="00F5109C" w:rsidRPr="008F739A">
        <w:rPr>
          <w:rFonts w:cs="Arial"/>
          <w:sz w:val="22"/>
          <w:szCs w:val="22"/>
        </w:rPr>
        <w:t xml:space="preserve">výměra parcely, </w:t>
      </w:r>
      <w:r w:rsidR="00F5109C" w:rsidRPr="008F739A">
        <w:rPr>
          <w:rFonts w:cs="Arial"/>
          <w:sz w:val="22"/>
          <w:szCs w:val="22"/>
        </w:rPr>
        <w:lastRenderedPageBreak/>
        <w:t>podlahová a obytná plocha bytu, základní charakteristiky vybavení bytu,</w:t>
      </w:r>
      <w:r w:rsidR="00F5109C" w:rsidRPr="008F739A">
        <w:rPr>
          <w:sz w:val="22"/>
          <w:szCs w:val="22"/>
        </w:rPr>
        <w:t xml:space="preserve"> </w:t>
      </w:r>
      <w:r w:rsidR="00F5109C" w:rsidRPr="008F739A">
        <w:rPr>
          <w:rFonts w:cs="Arial"/>
          <w:sz w:val="22"/>
          <w:szCs w:val="22"/>
        </w:rPr>
        <w:t>informace k umístění nemovitosti (kraj, obec, POU, ORP), apod.</w:t>
      </w:r>
    </w:p>
    <w:p w14:paraId="69FB6FC8" w14:textId="77777777" w:rsidR="003F1559" w:rsidRPr="008F739A" w:rsidRDefault="003F1559" w:rsidP="00C67335">
      <w:pPr>
        <w:contextualSpacing/>
        <w:jc w:val="both"/>
        <w:rPr>
          <w:rFonts w:cs="Arial"/>
          <w:sz w:val="22"/>
          <w:szCs w:val="22"/>
        </w:rPr>
      </w:pPr>
    </w:p>
    <w:p w14:paraId="6DFC2950" w14:textId="77777777" w:rsidR="00EE7426" w:rsidRPr="008F739A" w:rsidRDefault="006015F6" w:rsidP="00C67335">
      <w:pPr>
        <w:pStyle w:val="Nadpis1"/>
        <w:jc w:val="both"/>
        <w:rPr>
          <w:sz w:val="22"/>
          <w:szCs w:val="22"/>
          <w:u w:val="single"/>
        </w:rPr>
      </w:pPr>
      <w:r w:rsidRPr="008F739A">
        <w:rPr>
          <w:sz w:val="22"/>
          <w:szCs w:val="22"/>
          <w:u w:val="single"/>
        </w:rPr>
        <w:t xml:space="preserve">Základní charakteristika </w:t>
      </w:r>
      <w:r w:rsidR="004D4789" w:rsidRPr="008F739A">
        <w:rPr>
          <w:sz w:val="22"/>
          <w:szCs w:val="22"/>
          <w:u w:val="single"/>
        </w:rPr>
        <w:t xml:space="preserve">nového </w:t>
      </w:r>
      <w:r w:rsidR="0073364A" w:rsidRPr="008F739A">
        <w:rPr>
          <w:sz w:val="22"/>
          <w:szCs w:val="22"/>
          <w:u w:val="single"/>
        </w:rPr>
        <w:t xml:space="preserve">zdroje </w:t>
      </w:r>
      <w:r w:rsidRPr="008F739A">
        <w:rPr>
          <w:sz w:val="22"/>
          <w:szCs w:val="22"/>
          <w:u w:val="single"/>
        </w:rPr>
        <w:t>dat pro cenovou statistiku</w:t>
      </w:r>
    </w:p>
    <w:p w14:paraId="7DC9E436" w14:textId="77777777" w:rsidR="003F1559" w:rsidRPr="008F739A" w:rsidRDefault="003F1559" w:rsidP="00C67335">
      <w:pPr>
        <w:contextualSpacing/>
        <w:jc w:val="both"/>
      </w:pPr>
    </w:p>
    <w:p w14:paraId="4544D916" w14:textId="77777777" w:rsidR="00CD2482" w:rsidRPr="008F739A" w:rsidRDefault="00EE7426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Každou prodávanou (komplexní) nemovitost obvykle tvoří dílčí nemovitosti různých druhů (např. </w:t>
      </w:r>
      <w:r w:rsidR="00803CAC" w:rsidRPr="008F739A">
        <w:rPr>
          <w:rFonts w:cs="Arial"/>
          <w:sz w:val="22"/>
          <w:szCs w:val="22"/>
        </w:rPr>
        <w:t>rodinný dům</w:t>
      </w:r>
      <w:r w:rsidR="00B76CF6" w:rsidRPr="008F739A">
        <w:rPr>
          <w:rFonts w:cs="Arial"/>
          <w:sz w:val="22"/>
          <w:szCs w:val="22"/>
        </w:rPr>
        <w:t>, samostatná garáž a zahrada</w:t>
      </w:r>
      <w:r w:rsidRPr="008F739A">
        <w:rPr>
          <w:rFonts w:cs="Arial"/>
          <w:sz w:val="22"/>
          <w:szCs w:val="22"/>
        </w:rPr>
        <w:t xml:space="preserve">). </w:t>
      </w:r>
      <w:r w:rsidR="00485B79" w:rsidRPr="008F739A">
        <w:rPr>
          <w:rFonts w:cs="Arial"/>
          <w:sz w:val="22"/>
          <w:szCs w:val="22"/>
        </w:rPr>
        <w:t xml:space="preserve">Zatímco v předchozím datovém zdroji z daňových přiznání byla kromě celkové kupní ceny (komplexní) nemovitosti dispozici také </w:t>
      </w:r>
      <w:r w:rsidRPr="008F739A">
        <w:rPr>
          <w:rFonts w:cs="Arial"/>
          <w:sz w:val="22"/>
          <w:szCs w:val="22"/>
        </w:rPr>
        <w:t>cen</w:t>
      </w:r>
      <w:r w:rsidR="00485B79" w:rsidRPr="008F739A">
        <w:rPr>
          <w:rFonts w:cs="Arial"/>
          <w:sz w:val="22"/>
          <w:szCs w:val="22"/>
        </w:rPr>
        <w:t>a</w:t>
      </w:r>
      <w:r w:rsidRPr="008F739A">
        <w:rPr>
          <w:rFonts w:cs="Arial"/>
          <w:sz w:val="22"/>
          <w:szCs w:val="22"/>
        </w:rPr>
        <w:t xml:space="preserve"> odhadní</w:t>
      </w:r>
      <w:r w:rsidR="00485B79" w:rsidRPr="008F739A">
        <w:rPr>
          <w:rFonts w:cs="Arial"/>
          <w:sz w:val="22"/>
          <w:szCs w:val="22"/>
        </w:rPr>
        <w:t xml:space="preserve"> každé dílčí nemovitosti</w:t>
      </w:r>
      <w:r w:rsidRPr="008F739A">
        <w:rPr>
          <w:rFonts w:cs="Arial"/>
          <w:sz w:val="22"/>
          <w:szCs w:val="22"/>
        </w:rPr>
        <w:t xml:space="preserve"> vypočten</w:t>
      </w:r>
      <w:r w:rsidR="00485B79" w:rsidRPr="008F739A">
        <w:rPr>
          <w:rFonts w:cs="Arial"/>
          <w:sz w:val="22"/>
          <w:szCs w:val="22"/>
        </w:rPr>
        <w:t>á</w:t>
      </w:r>
      <w:r w:rsidRPr="008F739A">
        <w:rPr>
          <w:rFonts w:cs="Arial"/>
          <w:sz w:val="22"/>
          <w:szCs w:val="22"/>
        </w:rPr>
        <w:t xml:space="preserve"> znalcem dle oceňovací vyhlášky</w:t>
      </w:r>
      <w:r w:rsidR="00485B79" w:rsidRPr="008F739A">
        <w:rPr>
          <w:rFonts w:cs="Arial"/>
          <w:sz w:val="22"/>
          <w:szCs w:val="22"/>
        </w:rPr>
        <w:t>, v současném zdroji je jen (kupní) cena celková.</w:t>
      </w:r>
      <w:r w:rsidR="006015F6" w:rsidRPr="008F739A">
        <w:rPr>
          <w:rFonts w:cs="Arial"/>
          <w:sz w:val="22"/>
          <w:szCs w:val="22"/>
        </w:rPr>
        <w:t xml:space="preserve"> </w:t>
      </w:r>
    </w:p>
    <w:p w14:paraId="7D49095D" w14:textId="77777777" w:rsidR="003F1559" w:rsidRPr="008F739A" w:rsidRDefault="003F1559" w:rsidP="00C67335">
      <w:pPr>
        <w:contextualSpacing/>
        <w:jc w:val="both"/>
        <w:rPr>
          <w:rFonts w:cs="Arial"/>
          <w:sz w:val="22"/>
          <w:szCs w:val="22"/>
        </w:rPr>
      </w:pPr>
    </w:p>
    <w:p w14:paraId="75F935F5" w14:textId="16FFC724" w:rsidR="00430E10" w:rsidRPr="008F739A" w:rsidRDefault="00485B79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Podstatnou cenotvornou charakteristikou je také míra opotřebení. Rovněž tato informace není </w:t>
      </w:r>
      <w:r w:rsidR="006015F6" w:rsidRPr="008F739A">
        <w:rPr>
          <w:rFonts w:cs="Arial"/>
          <w:sz w:val="22"/>
          <w:szCs w:val="22"/>
        </w:rPr>
        <w:t xml:space="preserve">v současném zdroji </w:t>
      </w:r>
      <w:r w:rsidRPr="008F739A">
        <w:rPr>
          <w:rFonts w:cs="Arial"/>
          <w:sz w:val="22"/>
          <w:szCs w:val="22"/>
        </w:rPr>
        <w:t>k</w:t>
      </w:r>
      <w:r w:rsidR="006015F6" w:rsidRPr="008F739A">
        <w:rPr>
          <w:rFonts w:cs="Arial"/>
          <w:sz w:val="22"/>
          <w:szCs w:val="22"/>
        </w:rPr>
        <w:t> </w:t>
      </w:r>
      <w:r w:rsidRPr="008F739A">
        <w:rPr>
          <w:rFonts w:cs="Arial"/>
          <w:sz w:val="22"/>
          <w:szCs w:val="22"/>
        </w:rPr>
        <w:t>dispozici</w:t>
      </w:r>
      <w:r w:rsidR="006015F6" w:rsidRPr="008F739A">
        <w:rPr>
          <w:rFonts w:cs="Arial"/>
          <w:sz w:val="22"/>
          <w:szCs w:val="22"/>
        </w:rPr>
        <w:t>. Absence těchto inf</w:t>
      </w:r>
      <w:r w:rsidR="00430E10" w:rsidRPr="008F739A">
        <w:rPr>
          <w:rFonts w:cs="Arial"/>
          <w:sz w:val="22"/>
          <w:szCs w:val="22"/>
        </w:rPr>
        <w:t>ormací ovlivňuje zejména výpovědní schopnost dat u</w:t>
      </w:r>
      <w:r w:rsidR="006015F6" w:rsidRPr="008F739A">
        <w:rPr>
          <w:rFonts w:cs="Arial"/>
          <w:sz w:val="22"/>
          <w:szCs w:val="22"/>
        </w:rPr>
        <w:t xml:space="preserve"> rodinných domů,</w:t>
      </w:r>
      <w:r w:rsidR="00430E10" w:rsidRPr="008F739A">
        <w:rPr>
          <w:rFonts w:cs="Arial"/>
          <w:sz w:val="22"/>
          <w:szCs w:val="22"/>
        </w:rPr>
        <w:t xml:space="preserve"> </w:t>
      </w:r>
      <w:r w:rsidR="009525DB" w:rsidRPr="008F739A">
        <w:rPr>
          <w:rFonts w:cs="Arial"/>
          <w:sz w:val="22"/>
          <w:szCs w:val="22"/>
        </w:rPr>
        <w:t>kde</w:t>
      </w:r>
      <w:r w:rsidR="009525DB">
        <w:rPr>
          <w:rFonts w:cs="Arial"/>
          <w:sz w:val="22"/>
          <w:szCs w:val="22"/>
        </w:rPr>
        <w:t xml:space="preserve"> </w:t>
      </w:r>
      <w:r w:rsidR="00430E10" w:rsidRPr="008F739A">
        <w:rPr>
          <w:rFonts w:cs="Arial"/>
          <w:sz w:val="22"/>
          <w:szCs w:val="22"/>
        </w:rPr>
        <w:t>již nemohou být vytvářeny přehledy mapující dynamiku poklesu ceny v závislosti na opotřebení.</w:t>
      </w:r>
      <w:r w:rsidR="0073364A" w:rsidRPr="008F739A">
        <w:rPr>
          <w:rFonts w:cs="Arial"/>
          <w:sz w:val="22"/>
          <w:szCs w:val="22"/>
        </w:rPr>
        <w:t xml:space="preserve"> P</w:t>
      </w:r>
      <w:r w:rsidR="006F6688">
        <w:rPr>
          <w:rFonts w:cs="Arial"/>
          <w:sz w:val="22"/>
          <w:szCs w:val="22"/>
        </w:rPr>
        <w:t>osledním vý</w:t>
      </w:r>
      <w:r w:rsidR="00430E10" w:rsidRPr="008F739A">
        <w:rPr>
          <w:rFonts w:cs="Arial"/>
          <w:sz w:val="22"/>
          <w:szCs w:val="22"/>
        </w:rPr>
        <w:t>zna</w:t>
      </w:r>
      <w:r w:rsidR="006F6688">
        <w:rPr>
          <w:rFonts w:cs="Arial"/>
          <w:sz w:val="22"/>
          <w:szCs w:val="22"/>
        </w:rPr>
        <w:t>m</w:t>
      </w:r>
      <w:r w:rsidR="00430E10" w:rsidRPr="008F739A">
        <w:rPr>
          <w:rFonts w:cs="Arial"/>
          <w:sz w:val="22"/>
          <w:szCs w:val="22"/>
        </w:rPr>
        <w:t>ným</w:t>
      </w:r>
      <w:r w:rsidR="00443336" w:rsidRPr="008F739A">
        <w:rPr>
          <w:rFonts w:cs="Arial"/>
          <w:sz w:val="22"/>
          <w:szCs w:val="22"/>
        </w:rPr>
        <w:t xml:space="preserve"> údajem</w:t>
      </w:r>
      <w:r w:rsidR="00430E10" w:rsidRPr="008F739A">
        <w:rPr>
          <w:rFonts w:cs="Arial"/>
          <w:sz w:val="22"/>
          <w:szCs w:val="22"/>
        </w:rPr>
        <w:t>, který není k</w:t>
      </w:r>
      <w:r w:rsidR="00443336" w:rsidRPr="008F739A">
        <w:rPr>
          <w:rFonts w:cs="Arial"/>
          <w:sz w:val="22"/>
          <w:szCs w:val="22"/>
        </w:rPr>
        <w:t> </w:t>
      </w:r>
      <w:r w:rsidR="00430E10" w:rsidRPr="008F739A">
        <w:rPr>
          <w:rFonts w:cs="Arial"/>
          <w:sz w:val="22"/>
          <w:szCs w:val="22"/>
        </w:rPr>
        <w:t>dispozici</w:t>
      </w:r>
      <w:r w:rsidR="00443336" w:rsidRPr="008F739A">
        <w:rPr>
          <w:rFonts w:cs="Arial"/>
          <w:sz w:val="22"/>
          <w:szCs w:val="22"/>
        </w:rPr>
        <w:t>,</w:t>
      </w:r>
      <w:r w:rsidR="00430E10" w:rsidRPr="008F739A">
        <w:rPr>
          <w:rFonts w:cs="Arial"/>
          <w:sz w:val="22"/>
          <w:szCs w:val="22"/>
        </w:rPr>
        <w:t xml:space="preserve"> je odhadní cena. </w:t>
      </w:r>
      <w:r w:rsidR="00443336" w:rsidRPr="008F739A">
        <w:rPr>
          <w:rFonts w:cs="Arial"/>
          <w:sz w:val="22"/>
          <w:szCs w:val="22"/>
        </w:rPr>
        <w:t xml:space="preserve">Ta se používala zejména k filtrování nepravděpodobných extrémních údajů a byla publikována paralelně. </w:t>
      </w:r>
    </w:p>
    <w:p w14:paraId="7497FDE6" w14:textId="77777777" w:rsidR="003F1559" w:rsidRPr="008F739A" w:rsidRDefault="003F1559" w:rsidP="00C67335">
      <w:pPr>
        <w:contextualSpacing/>
        <w:jc w:val="both"/>
        <w:rPr>
          <w:rFonts w:cs="Arial"/>
          <w:sz w:val="22"/>
          <w:szCs w:val="22"/>
        </w:rPr>
      </w:pPr>
    </w:p>
    <w:p w14:paraId="05F4512D" w14:textId="77777777" w:rsidR="006015F6" w:rsidRPr="008F739A" w:rsidRDefault="006015F6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Na druhou stranu je k dispozici </w:t>
      </w:r>
      <w:r w:rsidR="00430E10" w:rsidRPr="008F739A">
        <w:rPr>
          <w:rFonts w:cs="Arial"/>
          <w:sz w:val="22"/>
          <w:szCs w:val="22"/>
        </w:rPr>
        <w:t xml:space="preserve">výrazně </w:t>
      </w:r>
      <w:r w:rsidRPr="008F739A">
        <w:rPr>
          <w:rFonts w:cs="Arial"/>
          <w:sz w:val="22"/>
          <w:szCs w:val="22"/>
        </w:rPr>
        <w:t>větší množství cenových údajů</w:t>
      </w:r>
      <w:r w:rsidR="00430E10" w:rsidRPr="008F739A">
        <w:rPr>
          <w:rFonts w:cs="Arial"/>
          <w:sz w:val="22"/>
          <w:szCs w:val="22"/>
        </w:rPr>
        <w:t xml:space="preserve"> jak pro byty, tak pro rodinné domy.</w:t>
      </w:r>
      <w:r w:rsidR="00CD2482" w:rsidRPr="008F739A">
        <w:rPr>
          <w:rFonts w:cs="Arial"/>
          <w:sz w:val="22"/>
          <w:szCs w:val="22"/>
        </w:rPr>
        <w:t xml:space="preserve"> Z registrů je možno doplnit charakteristiky, které v dřívějším zdroji chyběly, zejména vybavení bytů.</w:t>
      </w:r>
      <w:r w:rsidR="0073364A" w:rsidRPr="008F739A">
        <w:rPr>
          <w:rFonts w:cs="Arial"/>
          <w:sz w:val="22"/>
          <w:szCs w:val="22"/>
        </w:rPr>
        <w:t xml:space="preserve"> </w:t>
      </w:r>
      <w:r w:rsidR="00CD2482" w:rsidRPr="008F739A">
        <w:rPr>
          <w:rFonts w:cs="Arial"/>
          <w:sz w:val="22"/>
          <w:szCs w:val="22"/>
        </w:rPr>
        <w:t xml:space="preserve">Z primárního zdroje ČÚZK je </w:t>
      </w:r>
      <w:r w:rsidR="0073364A" w:rsidRPr="008F739A">
        <w:rPr>
          <w:rFonts w:cs="Arial"/>
          <w:sz w:val="22"/>
          <w:szCs w:val="22"/>
        </w:rPr>
        <w:t xml:space="preserve">také </w:t>
      </w:r>
      <w:r w:rsidR="00CD2482" w:rsidRPr="008F739A">
        <w:rPr>
          <w:rFonts w:cs="Arial"/>
          <w:sz w:val="22"/>
          <w:szCs w:val="22"/>
        </w:rPr>
        <w:t xml:space="preserve">možno poměrně přesně odvodit relativní množství objemů prodejů bytových nemovitostí až do úrovně obcí. </w:t>
      </w:r>
      <w:r w:rsidR="00430E10" w:rsidRPr="008F739A">
        <w:rPr>
          <w:rFonts w:cs="Arial"/>
          <w:sz w:val="22"/>
          <w:szCs w:val="22"/>
        </w:rPr>
        <w:t xml:space="preserve">U předchozího zdroje dat byly údaje </w:t>
      </w:r>
      <w:r w:rsidR="00CD2482" w:rsidRPr="008F739A">
        <w:rPr>
          <w:rFonts w:cs="Arial"/>
          <w:sz w:val="22"/>
          <w:szCs w:val="22"/>
        </w:rPr>
        <w:t xml:space="preserve">pouze </w:t>
      </w:r>
      <w:r w:rsidR="00430E10" w:rsidRPr="008F739A">
        <w:rPr>
          <w:rFonts w:cs="Arial"/>
          <w:sz w:val="22"/>
          <w:szCs w:val="22"/>
        </w:rPr>
        <w:t>výběrové a v některých lokalitách nedostatečné;</w:t>
      </w:r>
      <w:r w:rsidRPr="008F739A">
        <w:rPr>
          <w:rFonts w:cs="Arial"/>
          <w:sz w:val="22"/>
          <w:szCs w:val="22"/>
        </w:rPr>
        <w:t xml:space="preserve"> platí to zejména u Prahy.</w:t>
      </w:r>
    </w:p>
    <w:p w14:paraId="08DADF20" w14:textId="77777777" w:rsidR="00EE7426" w:rsidRPr="008F739A" w:rsidRDefault="00EE7426" w:rsidP="00C67335">
      <w:pPr>
        <w:contextualSpacing/>
        <w:jc w:val="both"/>
        <w:rPr>
          <w:rFonts w:cs="Arial"/>
          <w:color w:val="FF0000"/>
          <w:sz w:val="22"/>
          <w:szCs w:val="22"/>
        </w:rPr>
      </w:pPr>
    </w:p>
    <w:p w14:paraId="4FAE95CE" w14:textId="77777777" w:rsidR="00443336" w:rsidRPr="008F739A" w:rsidRDefault="002C6526" w:rsidP="00C67335">
      <w:pPr>
        <w:contextualSpacing/>
        <w:jc w:val="both"/>
        <w:rPr>
          <w:rFonts w:eastAsia="MS Gothic"/>
          <w:b/>
          <w:bCs/>
          <w:sz w:val="22"/>
          <w:szCs w:val="22"/>
          <w:u w:val="single"/>
        </w:rPr>
      </w:pPr>
      <w:r w:rsidRPr="008F739A">
        <w:rPr>
          <w:rFonts w:eastAsia="MS Gothic"/>
          <w:b/>
          <w:bCs/>
          <w:sz w:val="22"/>
          <w:szCs w:val="22"/>
          <w:u w:val="single"/>
        </w:rPr>
        <w:t>Publikované údaje, metodika</w:t>
      </w:r>
      <w:r w:rsidR="00FF3BFB" w:rsidRPr="008F739A">
        <w:rPr>
          <w:rFonts w:eastAsia="MS Gothic"/>
          <w:b/>
          <w:bCs/>
          <w:sz w:val="22"/>
          <w:szCs w:val="22"/>
          <w:u w:val="single"/>
        </w:rPr>
        <w:t xml:space="preserve"> </w:t>
      </w:r>
    </w:p>
    <w:p w14:paraId="77B5EF1A" w14:textId="77777777" w:rsidR="003F1559" w:rsidRPr="008F739A" w:rsidRDefault="003F1559" w:rsidP="00C67335">
      <w:pPr>
        <w:contextualSpacing/>
        <w:jc w:val="both"/>
        <w:rPr>
          <w:rFonts w:eastAsia="MS Gothic"/>
          <w:b/>
          <w:bCs/>
          <w:sz w:val="22"/>
          <w:szCs w:val="22"/>
          <w:u w:val="single"/>
        </w:rPr>
      </w:pPr>
    </w:p>
    <w:p w14:paraId="19A2AE89" w14:textId="77777777" w:rsidR="00D27ED1" w:rsidRPr="008F739A" w:rsidRDefault="00DF7392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Soubor publikačních tabulek byl vybrán dle možností nového zdroje s co největší podobností </w:t>
      </w:r>
      <w:r w:rsidR="00946F58" w:rsidRPr="008F739A">
        <w:rPr>
          <w:rFonts w:cs="Arial"/>
          <w:sz w:val="22"/>
          <w:szCs w:val="22"/>
        </w:rPr>
        <w:t>detailního</w:t>
      </w:r>
      <w:r w:rsidRPr="008F739A">
        <w:rPr>
          <w:rFonts w:cs="Arial"/>
          <w:sz w:val="22"/>
          <w:szCs w:val="22"/>
        </w:rPr>
        <w:t xml:space="preserve"> členění, jako tomu bylo v původní publikaci. Vzhledem k tomu, že zdrojový soubor je </w:t>
      </w:r>
      <w:r w:rsidR="002C6526" w:rsidRPr="008F739A">
        <w:rPr>
          <w:rFonts w:cs="Arial"/>
          <w:sz w:val="22"/>
          <w:szCs w:val="22"/>
        </w:rPr>
        <w:t>stále</w:t>
      </w:r>
      <w:r w:rsidRPr="008F739A">
        <w:rPr>
          <w:rFonts w:cs="Arial"/>
          <w:sz w:val="22"/>
          <w:szCs w:val="22"/>
        </w:rPr>
        <w:t xml:space="preserve"> v procesu analýzy možností jeho výpovědních schopností, jsou uvedeny pouze základní přehledy. Chybí zejména informace o stavebních pozemcích, bytových domech a u bytů a rodinných domů chybí členění v závislosti na opotřebení. Rovněž není uvedeno rozložení cen podle kvantilů.</w:t>
      </w:r>
      <w:r w:rsidR="00285BD4" w:rsidRPr="008F739A">
        <w:rPr>
          <w:rFonts w:cs="Arial"/>
          <w:sz w:val="22"/>
          <w:szCs w:val="22"/>
        </w:rPr>
        <w:t xml:space="preserve"> </w:t>
      </w:r>
    </w:p>
    <w:p w14:paraId="110E7B70" w14:textId="77777777" w:rsidR="003F1559" w:rsidRPr="008F739A" w:rsidRDefault="003F1559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</w:p>
    <w:p w14:paraId="73A23DF8" w14:textId="1DD774BA" w:rsidR="00DF7392" w:rsidRPr="008F739A" w:rsidRDefault="00D27ED1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V tabulkách uvádějících průměrné ceny bytů a rodinných domů je v každé sledované kategorii použit jednoduchý nevážený průměr jednotkových cen. </w:t>
      </w:r>
      <w:r w:rsidR="00285BD4" w:rsidRPr="008F739A">
        <w:rPr>
          <w:rFonts w:cs="Arial"/>
          <w:sz w:val="22"/>
          <w:szCs w:val="22"/>
        </w:rPr>
        <w:t xml:space="preserve">Je </w:t>
      </w:r>
      <w:r w:rsidRPr="008F739A">
        <w:rPr>
          <w:rFonts w:cs="Arial"/>
          <w:sz w:val="22"/>
          <w:szCs w:val="22"/>
        </w:rPr>
        <w:t xml:space="preserve">také </w:t>
      </w:r>
      <w:r w:rsidR="00285BD4" w:rsidRPr="008F739A">
        <w:rPr>
          <w:rFonts w:cs="Arial"/>
          <w:sz w:val="22"/>
          <w:szCs w:val="22"/>
        </w:rPr>
        <w:t>uváděn počet převodů, ze kterých byla cena zjištěna, jakožto údaj o spolehlivosti a reprezentativ</w:t>
      </w:r>
      <w:r w:rsidR="009525DB">
        <w:rPr>
          <w:rFonts w:cs="Arial"/>
          <w:sz w:val="22"/>
          <w:szCs w:val="22"/>
        </w:rPr>
        <w:t>nosti</w:t>
      </w:r>
      <w:r w:rsidR="00285BD4" w:rsidRPr="008F739A">
        <w:rPr>
          <w:rFonts w:cs="Arial"/>
          <w:sz w:val="22"/>
          <w:szCs w:val="22"/>
        </w:rPr>
        <w:t xml:space="preserve">. Jsou-li </w:t>
      </w:r>
      <w:r w:rsidR="00946F58" w:rsidRPr="008F739A">
        <w:rPr>
          <w:rFonts w:cs="Arial"/>
          <w:sz w:val="22"/>
          <w:szCs w:val="22"/>
        </w:rPr>
        <w:t xml:space="preserve">k dispozici </w:t>
      </w:r>
      <w:r w:rsidR="00285BD4" w:rsidRPr="008F739A">
        <w:rPr>
          <w:rFonts w:cs="Arial"/>
          <w:sz w:val="22"/>
          <w:szCs w:val="22"/>
        </w:rPr>
        <w:t xml:space="preserve">méně než 3 údaje, </w:t>
      </w:r>
      <w:r w:rsidRPr="008F739A">
        <w:rPr>
          <w:rFonts w:cs="Arial"/>
          <w:sz w:val="22"/>
          <w:szCs w:val="22"/>
        </w:rPr>
        <w:t xml:space="preserve">průměrná </w:t>
      </w:r>
      <w:r w:rsidR="00285BD4" w:rsidRPr="008F739A">
        <w:rPr>
          <w:rFonts w:cs="Arial"/>
          <w:sz w:val="22"/>
          <w:szCs w:val="22"/>
        </w:rPr>
        <w:t>cena se neuvádí.</w:t>
      </w:r>
    </w:p>
    <w:p w14:paraId="32303B78" w14:textId="77777777" w:rsidR="003F1559" w:rsidRPr="008F739A" w:rsidRDefault="003F1559" w:rsidP="00C67335">
      <w:pPr>
        <w:contextualSpacing/>
        <w:jc w:val="both"/>
        <w:rPr>
          <w:rFonts w:cs="Arial"/>
          <w:color w:val="FF0000"/>
          <w:sz w:val="22"/>
          <w:szCs w:val="22"/>
        </w:rPr>
      </w:pPr>
    </w:p>
    <w:p w14:paraId="7F66457A" w14:textId="77777777" w:rsidR="003F1559" w:rsidRPr="008F739A" w:rsidRDefault="00FF3BFB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Před počítáním průměrných cen a cenových indexů je stanoven </w:t>
      </w:r>
      <w:r w:rsidR="003170D8" w:rsidRPr="008F739A">
        <w:rPr>
          <w:rFonts w:cs="Arial"/>
          <w:sz w:val="22"/>
          <w:szCs w:val="22"/>
        </w:rPr>
        <w:t xml:space="preserve">numerický </w:t>
      </w:r>
      <w:r w:rsidRPr="008F739A">
        <w:rPr>
          <w:rFonts w:cs="Arial"/>
          <w:sz w:val="22"/>
          <w:szCs w:val="22"/>
        </w:rPr>
        <w:t xml:space="preserve">filtr pro celkové ceny, jednotkové ceny a velikost nemovitosti. </w:t>
      </w:r>
      <w:r w:rsidR="003170D8" w:rsidRPr="008F739A">
        <w:rPr>
          <w:rFonts w:cs="Arial"/>
          <w:sz w:val="22"/>
          <w:szCs w:val="22"/>
        </w:rPr>
        <w:t>Vychází se pouze z cen uvedených v těch řízeních, kde příslušná smlouva je smlouvou kupní, tedy nikoliv například smlouva darovací či usnesení soudního exekutora o udělení příklepu.</w:t>
      </w:r>
    </w:p>
    <w:p w14:paraId="11846630" w14:textId="77777777" w:rsidR="003170D8" w:rsidRPr="008F739A" w:rsidRDefault="003170D8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 </w:t>
      </w:r>
    </w:p>
    <w:p w14:paraId="1F51057F" w14:textId="08E7DEFC" w:rsidR="002C6526" w:rsidRPr="008F739A" w:rsidRDefault="003170D8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>Rodinné domy též musí splňovat podmínku, že zahrnují minimálně 1 byt, maximálně 3 byty a obsahují minimálně 1 podlaží, maximálně 3 podlaží.</w:t>
      </w:r>
      <w:r w:rsidR="005A1448" w:rsidRPr="008F739A">
        <w:rPr>
          <w:rFonts w:cs="Arial"/>
          <w:sz w:val="22"/>
          <w:szCs w:val="22"/>
        </w:rPr>
        <w:t xml:space="preserve"> </w:t>
      </w:r>
      <w:r w:rsidR="002C6526" w:rsidRPr="008F739A">
        <w:rPr>
          <w:rFonts w:cs="Arial"/>
          <w:sz w:val="22"/>
          <w:szCs w:val="22"/>
        </w:rPr>
        <w:t>Průměrná cena samotného rodinného domu jakožto dílčí nemovitosti je stanovena odhadem pomocí koeficient</w:t>
      </w:r>
      <w:r w:rsidR="004617BE" w:rsidRPr="008F739A">
        <w:rPr>
          <w:rFonts w:cs="Arial"/>
          <w:sz w:val="22"/>
          <w:szCs w:val="22"/>
        </w:rPr>
        <w:t>u homogenity pro kraje</w:t>
      </w:r>
      <w:r w:rsidR="002C6526" w:rsidRPr="008F739A">
        <w:rPr>
          <w:rFonts w:cs="Arial"/>
          <w:sz w:val="22"/>
          <w:szCs w:val="22"/>
        </w:rPr>
        <w:t xml:space="preserve">. </w:t>
      </w:r>
      <w:r w:rsidR="00285BD4" w:rsidRPr="008F739A">
        <w:rPr>
          <w:rFonts w:cs="Arial"/>
          <w:sz w:val="22"/>
          <w:szCs w:val="22"/>
        </w:rPr>
        <w:t xml:space="preserve">Homogenita je </w:t>
      </w:r>
      <w:r w:rsidR="002C6526" w:rsidRPr="008F739A">
        <w:rPr>
          <w:rFonts w:cs="Arial"/>
          <w:sz w:val="22"/>
          <w:szCs w:val="22"/>
        </w:rPr>
        <w:t>definov</w:t>
      </w:r>
      <w:r w:rsidR="00285BD4" w:rsidRPr="008F739A">
        <w:rPr>
          <w:rFonts w:cs="Arial"/>
          <w:sz w:val="22"/>
          <w:szCs w:val="22"/>
        </w:rPr>
        <w:t xml:space="preserve">ána </w:t>
      </w:r>
      <w:r w:rsidR="002C6526" w:rsidRPr="008F739A">
        <w:rPr>
          <w:rFonts w:cs="Arial"/>
          <w:sz w:val="22"/>
          <w:szCs w:val="22"/>
        </w:rPr>
        <w:t xml:space="preserve">jakožto (procentní) podíl ceny dílčí nemovitosti </w:t>
      </w:r>
      <w:r w:rsidR="00285BD4" w:rsidRPr="008F739A">
        <w:rPr>
          <w:rFonts w:cs="Arial"/>
          <w:sz w:val="22"/>
          <w:szCs w:val="22"/>
        </w:rPr>
        <w:t>(zde rodinného domu)</w:t>
      </w:r>
      <w:r w:rsidR="002C6526" w:rsidRPr="008F739A">
        <w:rPr>
          <w:rFonts w:cs="Arial"/>
          <w:sz w:val="22"/>
          <w:szCs w:val="22"/>
        </w:rPr>
        <w:t xml:space="preserve"> na celém prodeji dané komplexní nemovitosti</w:t>
      </w:r>
      <w:r w:rsidR="00285BD4" w:rsidRPr="008F739A">
        <w:rPr>
          <w:rFonts w:cs="Arial"/>
          <w:sz w:val="22"/>
          <w:szCs w:val="22"/>
        </w:rPr>
        <w:t xml:space="preserve"> (např. rodinný dům včetně souvisejících pozemků a dalších staveb)</w:t>
      </w:r>
      <w:r w:rsidR="002C6526" w:rsidRPr="008F739A">
        <w:rPr>
          <w:rFonts w:cs="Arial"/>
          <w:sz w:val="22"/>
          <w:szCs w:val="22"/>
        </w:rPr>
        <w:t xml:space="preserve">. </w:t>
      </w:r>
      <w:r w:rsidR="00285BD4" w:rsidRPr="008F739A">
        <w:rPr>
          <w:rFonts w:cs="Arial"/>
          <w:sz w:val="22"/>
          <w:szCs w:val="22"/>
        </w:rPr>
        <w:t xml:space="preserve">Je spočtena z původního datového zdroje; analýzy ukázaly na relativní </w:t>
      </w:r>
      <w:r w:rsidR="00CD1EC5" w:rsidRPr="008F739A">
        <w:rPr>
          <w:rFonts w:cs="Arial"/>
          <w:sz w:val="22"/>
          <w:szCs w:val="22"/>
        </w:rPr>
        <w:t xml:space="preserve">časovou </w:t>
      </w:r>
      <w:r w:rsidR="00285BD4" w:rsidRPr="008F739A">
        <w:rPr>
          <w:rFonts w:cs="Arial"/>
          <w:sz w:val="22"/>
          <w:szCs w:val="22"/>
        </w:rPr>
        <w:t>stabilitu homogenity v dané oblasti. Jednotkovou cenou u rodinných domů je cena za 1 m</w:t>
      </w:r>
      <w:r w:rsidR="00285BD4" w:rsidRPr="004C50F6">
        <w:rPr>
          <w:rFonts w:cs="Arial"/>
          <w:sz w:val="22"/>
          <w:szCs w:val="22"/>
          <w:vertAlign w:val="superscript"/>
        </w:rPr>
        <w:t>2</w:t>
      </w:r>
      <w:r w:rsidR="00285BD4" w:rsidRPr="008F739A">
        <w:rPr>
          <w:rFonts w:cs="Arial"/>
          <w:sz w:val="22"/>
          <w:szCs w:val="22"/>
        </w:rPr>
        <w:t xml:space="preserve"> obytné plochy rodinného domu (v předchozích publikacích se jednalo o cenu za 1 m</w:t>
      </w:r>
      <w:r w:rsidR="00285BD4" w:rsidRPr="004C50F6">
        <w:rPr>
          <w:rFonts w:cs="Arial"/>
          <w:sz w:val="22"/>
          <w:szCs w:val="22"/>
          <w:vertAlign w:val="superscript"/>
        </w:rPr>
        <w:t>3</w:t>
      </w:r>
      <w:r w:rsidR="00285BD4" w:rsidRPr="008F739A">
        <w:rPr>
          <w:rFonts w:cs="Arial"/>
          <w:sz w:val="22"/>
          <w:szCs w:val="22"/>
        </w:rPr>
        <w:t xml:space="preserve"> obestavěného prostoru).</w:t>
      </w:r>
    </w:p>
    <w:p w14:paraId="024CAC9C" w14:textId="77777777" w:rsidR="003F1559" w:rsidRPr="008F739A" w:rsidRDefault="003F1559" w:rsidP="00C67335">
      <w:pPr>
        <w:contextualSpacing/>
        <w:jc w:val="both"/>
        <w:rPr>
          <w:rFonts w:cs="Arial"/>
          <w:sz w:val="22"/>
          <w:szCs w:val="22"/>
        </w:rPr>
      </w:pPr>
    </w:p>
    <w:p w14:paraId="52869D7C" w14:textId="77777777" w:rsidR="00285BD4" w:rsidRPr="008F739A" w:rsidRDefault="002C6526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lastRenderedPageBreak/>
        <w:t xml:space="preserve">Jednotková cena bytu (cena za metr čtvereční) je celková cena </w:t>
      </w:r>
      <w:r w:rsidR="00285BD4" w:rsidRPr="008F739A">
        <w:rPr>
          <w:rFonts w:cs="Arial"/>
          <w:sz w:val="22"/>
          <w:szCs w:val="22"/>
        </w:rPr>
        <w:t xml:space="preserve">bytu </w:t>
      </w:r>
      <w:r w:rsidRPr="008F739A">
        <w:rPr>
          <w:rFonts w:cs="Arial"/>
          <w:sz w:val="22"/>
          <w:szCs w:val="22"/>
        </w:rPr>
        <w:t>dělená celkovou podlahovou plochou.</w:t>
      </w:r>
    </w:p>
    <w:p w14:paraId="11547C76" w14:textId="77777777" w:rsidR="003F1559" w:rsidRPr="008F739A" w:rsidRDefault="003F1559" w:rsidP="00C67335">
      <w:pPr>
        <w:contextualSpacing/>
        <w:jc w:val="both"/>
        <w:rPr>
          <w:rFonts w:cs="Arial"/>
          <w:sz w:val="22"/>
          <w:szCs w:val="22"/>
        </w:rPr>
      </w:pPr>
    </w:p>
    <w:p w14:paraId="71378040" w14:textId="77777777" w:rsidR="005A1448" w:rsidRPr="008F739A" w:rsidRDefault="005A1448" w:rsidP="00C67335">
      <w:pPr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>Cenový vývoj v závislosti na čase je vyjádřen formou cenového indexu. Tento index je vzhledem ke kompatibilitě s jinými cenovými statistikami Laspeyresův s pevnými bazickými váhami. Vzhledem k charakteru získaných cen a jejich množství je nejnižší možnou časovou jednotkou čtvrtletí. Váhy za kraje pro počítání cenových indexů jsou stanoveny jako podíly součtu absolutních kupních cen. Vychází se z celkových korunových objemů, nikoliv pouze z podmnožiny, kterou je možno zpracovat pomocí registrů.</w:t>
      </w:r>
    </w:p>
    <w:p w14:paraId="793FF8BB" w14:textId="77777777" w:rsidR="003F1559" w:rsidRPr="008F739A" w:rsidRDefault="003F1559" w:rsidP="00C67335">
      <w:pPr>
        <w:contextualSpacing/>
        <w:jc w:val="both"/>
        <w:rPr>
          <w:rFonts w:cs="Arial"/>
          <w:sz w:val="22"/>
          <w:szCs w:val="22"/>
        </w:rPr>
      </w:pPr>
    </w:p>
    <w:p w14:paraId="263603EA" w14:textId="77777777" w:rsidR="005A1448" w:rsidRPr="008F739A" w:rsidRDefault="005A1448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Indexním bazickým obdobím pro konstrukci indexu byl vybrán rok 2015 (celoroční období), je také uvedena řada s původní bází 2010 = 100 a dále je uvedený index meziroční (o základu stejné čtvrtletí minulého roku), který se v cenové statistice typicky užívá pro měření intenzity cenového růstu. Váhy </w:t>
      </w:r>
      <w:r w:rsidR="00CD1EC5" w:rsidRPr="008F739A">
        <w:rPr>
          <w:rFonts w:cs="Arial"/>
          <w:sz w:val="22"/>
          <w:szCs w:val="22"/>
        </w:rPr>
        <w:t>pro</w:t>
      </w:r>
      <w:r w:rsidRPr="008F739A">
        <w:rPr>
          <w:rFonts w:cs="Arial"/>
          <w:sz w:val="22"/>
          <w:szCs w:val="22"/>
        </w:rPr>
        <w:t xml:space="preserve"> </w:t>
      </w:r>
      <w:r w:rsidR="00CD1EC5" w:rsidRPr="008F739A">
        <w:rPr>
          <w:rFonts w:cs="Arial"/>
          <w:sz w:val="22"/>
          <w:szCs w:val="22"/>
        </w:rPr>
        <w:t xml:space="preserve">byty </w:t>
      </w:r>
      <w:r w:rsidRPr="008F739A">
        <w:rPr>
          <w:rFonts w:cs="Arial"/>
          <w:sz w:val="22"/>
          <w:szCs w:val="22"/>
        </w:rPr>
        <w:t xml:space="preserve">a </w:t>
      </w:r>
      <w:r w:rsidR="00CD1EC5" w:rsidRPr="008F739A">
        <w:rPr>
          <w:rFonts w:cs="Arial"/>
          <w:sz w:val="22"/>
          <w:szCs w:val="22"/>
        </w:rPr>
        <w:t>rodinné domy za</w:t>
      </w:r>
      <w:r w:rsidRPr="008F739A">
        <w:rPr>
          <w:rFonts w:cs="Arial"/>
          <w:sz w:val="22"/>
          <w:szCs w:val="22"/>
        </w:rPr>
        <w:t xml:space="preserve"> kraje jsou spočteny jako relativní podíly objemů skutečných transakcí, tedy z původních dat ČÚZK nezávisle na úspěšnost následujícího propojení s registrem RSO (viz výše). </w:t>
      </w:r>
    </w:p>
    <w:p w14:paraId="0140E3BB" w14:textId="77777777" w:rsidR="003F1559" w:rsidRPr="008F739A" w:rsidRDefault="003F1559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</w:p>
    <w:p w14:paraId="316D277E" w14:textId="42621A53" w:rsidR="00FF3BFB" w:rsidRPr="008F739A" w:rsidRDefault="005A1448" w:rsidP="00C67335">
      <w:pPr>
        <w:contextualSpacing/>
        <w:jc w:val="both"/>
        <w:rPr>
          <w:rFonts w:eastAsia="MS Gothic"/>
          <w:b/>
          <w:bCs/>
          <w:sz w:val="22"/>
          <w:szCs w:val="22"/>
          <w:u w:val="single"/>
        </w:rPr>
      </w:pPr>
      <w:r w:rsidRPr="008F739A">
        <w:rPr>
          <w:rFonts w:cs="Arial"/>
          <w:sz w:val="22"/>
          <w:szCs w:val="22"/>
        </w:rPr>
        <w:t xml:space="preserve">Referenční období pro cenové indexy a absolutní (tj. průměrné) ceny je dáno datem zplatnění, nikoliv podání, což </w:t>
      </w:r>
      <w:r w:rsidR="007B5B4D" w:rsidRPr="008F739A">
        <w:rPr>
          <w:rFonts w:cs="Arial"/>
          <w:sz w:val="22"/>
          <w:szCs w:val="22"/>
        </w:rPr>
        <w:t xml:space="preserve">je v souladu s metodikou </w:t>
      </w:r>
      <w:r w:rsidRPr="008F739A">
        <w:rPr>
          <w:rFonts w:cs="Arial"/>
          <w:sz w:val="22"/>
          <w:szCs w:val="22"/>
        </w:rPr>
        <w:t xml:space="preserve">cenové statistiky </w:t>
      </w:r>
      <w:r w:rsidR="007B5B4D" w:rsidRPr="008F739A">
        <w:rPr>
          <w:rFonts w:cs="Arial"/>
          <w:sz w:val="22"/>
          <w:szCs w:val="22"/>
        </w:rPr>
        <w:t>House Price Index</w:t>
      </w:r>
      <w:r w:rsidRPr="008F739A">
        <w:rPr>
          <w:rFonts w:cs="Arial"/>
          <w:sz w:val="22"/>
          <w:szCs w:val="22"/>
        </w:rPr>
        <w:t xml:space="preserve"> </w:t>
      </w:r>
      <w:r w:rsidR="007B5B4D" w:rsidRPr="008F739A">
        <w:rPr>
          <w:rFonts w:cs="Arial"/>
          <w:sz w:val="22"/>
          <w:szCs w:val="22"/>
        </w:rPr>
        <w:t>vycház</w:t>
      </w:r>
      <w:r w:rsidRPr="008F739A">
        <w:rPr>
          <w:rFonts w:cs="Arial"/>
          <w:sz w:val="22"/>
          <w:szCs w:val="22"/>
        </w:rPr>
        <w:t>ející</w:t>
      </w:r>
      <w:r w:rsidR="007B5B4D" w:rsidRPr="008F739A">
        <w:rPr>
          <w:rFonts w:cs="Arial"/>
          <w:sz w:val="22"/>
          <w:szCs w:val="22"/>
        </w:rPr>
        <w:t xml:space="preserve"> z</w:t>
      </w:r>
      <w:r w:rsidRPr="008F739A">
        <w:rPr>
          <w:rFonts w:cs="Arial"/>
          <w:sz w:val="22"/>
          <w:szCs w:val="22"/>
        </w:rPr>
        <w:t> </w:t>
      </w:r>
      <w:r w:rsidR="007B5B4D" w:rsidRPr="008F739A">
        <w:rPr>
          <w:rFonts w:cs="Arial"/>
          <w:sz w:val="22"/>
          <w:szCs w:val="22"/>
        </w:rPr>
        <w:t>evropsk</w:t>
      </w:r>
      <w:r w:rsidRPr="008F739A">
        <w:rPr>
          <w:rFonts w:cs="Arial"/>
          <w:sz w:val="22"/>
          <w:szCs w:val="22"/>
        </w:rPr>
        <w:t>é legislativy.</w:t>
      </w:r>
      <w:r w:rsidR="007B5B4D" w:rsidRPr="008F739A">
        <w:rPr>
          <w:rFonts w:cs="Arial"/>
          <w:sz w:val="22"/>
          <w:szCs w:val="22"/>
        </w:rPr>
        <w:t xml:space="preserve"> </w:t>
      </w:r>
      <w:r w:rsidRPr="008F739A">
        <w:rPr>
          <w:rFonts w:cs="Arial"/>
          <w:sz w:val="22"/>
          <w:szCs w:val="22"/>
        </w:rPr>
        <w:t>Časový p</w:t>
      </w:r>
      <w:r w:rsidR="007B5B4D" w:rsidRPr="008F739A">
        <w:rPr>
          <w:rFonts w:cs="Arial"/>
          <w:sz w:val="22"/>
          <w:szCs w:val="22"/>
        </w:rPr>
        <w:t xml:space="preserve">osun mezi cenou zplatnění a podání je v průměru </w:t>
      </w:r>
      <w:r w:rsidRPr="008F739A">
        <w:rPr>
          <w:rFonts w:cs="Arial"/>
          <w:sz w:val="22"/>
          <w:szCs w:val="22"/>
        </w:rPr>
        <w:t xml:space="preserve">jeden měsíc. </w:t>
      </w:r>
    </w:p>
    <w:p w14:paraId="4390ED35" w14:textId="77777777" w:rsidR="003A769F" w:rsidRPr="008F739A" w:rsidRDefault="003A769F" w:rsidP="00C67335">
      <w:pPr>
        <w:pStyle w:val="Nadpis1"/>
        <w:jc w:val="both"/>
        <w:rPr>
          <w:sz w:val="22"/>
          <w:szCs w:val="22"/>
          <w:u w:val="single"/>
        </w:rPr>
      </w:pPr>
    </w:p>
    <w:p w14:paraId="29E8E6D4" w14:textId="77777777" w:rsidR="00EE7426" w:rsidRPr="008F739A" w:rsidRDefault="00EE7426" w:rsidP="00C67335">
      <w:pPr>
        <w:pStyle w:val="Nadpis1"/>
        <w:jc w:val="both"/>
        <w:rPr>
          <w:sz w:val="22"/>
          <w:szCs w:val="22"/>
          <w:u w:val="single"/>
        </w:rPr>
      </w:pPr>
      <w:r w:rsidRPr="008F739A">
        <w:rPr>
          <w:sz w:val="22"/>
          <w:szCs w:val="22"/>
          <w:u w:val="single"/>
        </w:rPr>
        <w:t>Vypovída</w:t>
      </w:r>
      <w:r w:rsidR="0049661C" w:rsidRPr="008F739A">
        <w:rPr>
          <w:sz w:val="22"/>
          <w:szCs w:val="22"/>
          <w:u w:val="single"/>
        </w:rPr>
        <w:t>jí</w:t>
      </w:r>
      <w:r w:rsidRPr="008F739A">
        <w:rPr>
          <w:sz w:val="22"/>
          <w:szCs w:val="22"/>
          <w:u w:val="single"/>
        </w:rPr>
        <w:t xml:space="preserve">cí schopnost </w:t>
      </w:r>
      <w:r w:rsidR="00C67335" w:rsidRPr="008F739A">
        <w:rPr>
          <w:sz w:val="22"/>
          <w:szCs w:val="22"/>
          <w:u w:val="single"/>
        </w:rPr>
        <w:t xml:space="preserve">statistiky a </w:t>
      </w:r>
      <w:r w:rsidR="00443336" w:rsidRPr="008F739A">
        <w:rPr>
          <w:sz w:val="22"/>
          <w:szCs w:val="22"/>
          <w:u w:val="single"/>
        </w:rPr>
        <w:t>návaznost na předchozí publikaci</w:t>
      </w:r>
    </w:p>
    <w:p w14:paraId="66EC29A1" w14:textId="77777777" w:rsidR="003F1559" w:rsidRPr="008F739A" w:rsidRDefault="003F1559" w:rsidP="00C67335">
      <w:pPr>
        <w:contextualSpacing/>
        <w:jc w:val="both"/>
      </w:pPr>
    </w:p>
    <w:p w14:paraId="0D0604CB" w14:textId="77777777" w:rsidR="00C67335" w:rsidRPr="008F739A" w:rsidRDefault="000C438D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Předkládaná publikace je do jisté míry </w:t>
      </w:r>
      <w:r w:rsidR="003F1559" w:rsidRPr="008F739A">
        <w:rPr>
          <w:rFonts w:cs="Arial"/>
          <w:sz w:val="22"/>
          <w:szCs w:val="22"/>
        </w:rPr>
        <w:t>náhradním</w:t>
      </w:r>
      <w:r w:rsidRPr="008F739A">
        <w:rPr>
          <w:rFonts w:cs="Arial"/>
          <w:sz w:val="22"/>
          <w:szCs w:val="22"/>
        </w:rPr>
        <w:t xml:space="preserve"> řešením v důsledku zániku původního zdroje. ČSÚ sice počítal perspektivně s využitím údajů z katastru nemovitostí, ale původně jenom jako doplňujícího zdroje. </w:t>
      </w:r>
      <w:r w:rsidR="003F1559" w:rsidRPr="008F739A">
        <w:rPr>
          <w:rFonts w:cs="Arial"/>
          <w:sz w:val="22"/>
          <w:szCs w:val="22"/>
        </w:rPr>
        <w:t>P</w:t>
      </w:r>
      <w:r w:rsidRPr="008F739A">
        <w:rPr>
          <w:rFonts w:cs="Arial"/>
          <w:sz w:val="22"/>
          <w:szCs w:val="22"/>
        </w:rPr>
        <w:t>ublikace představuje svou formou stav, kter</w:t>
      </w:r>
      <w:r w:rsidR="003F1559" w:rsidRPr="008F739A">
        <w:rPr>
          <w:rFonts w:cs="Arial"/>
          <w:sz w:val="22"/>
          <w:szCs w:val="22"/>
        </w:rPr>
        <w:t>ý umožnily</w:t>
      </w:r>
      <w:r w:rsidRPr="008F739A">
        <w:rPr>
          <w:rFonts w:cs="Arial"/>
          <w:sz w:val="22"/>
          <w:szCs w:val="22"/>
        </w:rPr>
        <w:t xml:space="preserve"> dosavadní analýzy a metody zpracování</w:t>
      </w:r>
      <w:r w:rsidR="003F1559" w:rsidRPr="008F739A">
        <w:rPr>
          <w:rFonts w:cs="Arial"/>
          <w:sz w:val="22"/>
          <w:szCs w:val="22"/>
        </w:rPr>
        <w:t xml:space="preserve">. </w:t>
      </w:r>
      <w:r w:rsidR="00C67335" w:rsidRPr="008F739A">
        <w:rPr>
          <w:rFonts w:cs="Arial"/>
          <w:sz w:val="22"/>
          <w:szCs w:val="22"/>
        </w:rPr>
        <w:t xml:space="preserve">Statistiky jsou revidovatelné a budou se v příštích publikacích dále zpřesňovat. Rovněž používaná metodika není definitivní. </w:t>
      </w:r>
    </w:p>
    <w:p w14:paraId="3AF2AA86" w14:textId="77777777" w:rsidR="00C67335" w:rsidRPr="008F739A" w:rsidRDefault="00C67335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</w:p>
    <w:p w14:paraId="0A84BB2A" w14:textId="77777777" w:rsidR="003F1559" w:rsidRPr="008F739A" w:rsidRDefault="00EE7426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Výsledné hodnoty je třeba interpretovat vzhledem ke všem možným okolním souvislostem. Pro </w:t>
      </w:r>
      <w:r w:rsidR="003F1559" w:rsidRPr="008F739A">
        <w:rPr>
          <w:rFonts w:cs="Arial"/>
          <w:sz w:val="22"/>
          <w:szCs w:val="22"/>
        </w:rPr>
        <w:t>územní detail</w:t>
      </w:r>
      <w:r w:rsidRPr="008F739A">
        <w:rPr>
          <w:rFonts w:cs="Arial"/>
          <w:sz w:val="22"/>
          <w:szCs w:val="22"/>
        </w:rPr>
        <w:t xml:space="preserve"> může být prezentovaná průměrná jednotková cena zatížena neznámými specifickými charakteristikami</w:t>
      </w:r>
      <w:r w:rsidR="00C67335" w:rsidRPr="008F739A">
        <w:rPr>
          <w:rFonts w:cs="Arial"/>
          <w:sz w:val="22"/>
          <w:szCs w:val="22"/>
        </w:rPr>
        <w:t xml:space="preserve"> (např. větší podíl převodů nemovitostí s netržní cenou).</w:t>
      </w:r>
    </w:p>
    <w:p w14:paraId="210CDDA0" w14:textId="77777777" w:rsidR="003F1559" w:rsidRPr="008F739A" w:rsidRDefault="003F1559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</w:p>
    <w:p w14:paraId="059F12C7" w14:textId="27DDE086" w:rsidR="003F1559" w:rsidRPr="008F739A" w:rsidRDefault="003F1559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>Původní publikace</w:t>
      </w:r>
      <w:r w:rsidR="00EE7426" w:rsidRPr="008F739A">
        <w:rPr>
          <w:rFonts w:cs="Arial"/>
          <w:sz w:val="22"/>
          <w:szCs w:val="22"/>
        </w:rPr>
        <w:t xml:space="preserve"> </w:t>
      </w:r>
      <w:r w:rsidRPr="008F739A">
        <w:rPr>
          <w:rFonts w:cs="Arial"/>
          <w:i/>
          <w:sz w:val="22"/>
          <w:szCs w:val="22"/>
        </w:rPr>
        <w:t xml:space="preserve">Ceny sledovaných druhů nemovitostí </w:t>
      </w:r>
      <w:r w:rsidR="009525DB" w:rsidRPr="008F739A">
        <w:rPr>
          <w:rFonts w:cs="Arial"/>
          <w:i/>
          <w:sz w:val="22"/>
          <w:szCs w:val="22"/>
        </w:rPr>
        <w:t>2017–2019</w:t>
      </w:r>
      <w:r w:rsidRPr="008F739A">
        <w:rPr>
          <w:rFonts w:cs="Arial"/>
          <w:i/>
          <w:sz w:val="22"/>
          <w:szCs w:val="22"/>
        </w:rPr>
        <w:t xml:space="preserve"> </w:t>
      </w:r>
      <w:r w:rsidR="00177260">
        <w:rPr>
          <w:rFonts w:cs="Arial"/>
          <w:sz w:val="22"/>
          <w:szCs w:val="22"/>
        </w:rPr>
        <w:t>a dřívější</w:t>
      </w:r>
      <w:r w:rsidR="00AB3281" w:rsidRPr="008F739A">
        <w:rPr>
          <w:rFonts w:cs="Arial"/>
          <w:sz w:val="22"/>
          <w:szCs w:val="22"/>
        </w:rPr>
        <w:t xml:space="preserve"> publikace</w:t>
      </w:r>
      <w:r w:rsidRPr="008F739A">
        <w:rPr>
          <w:rFonts w:cs="Arial"/>
          <w:i/>
          <w:sz w:val="22"/>
          <w:szCs w:val="22"/>
        </w:rPr>
        <w:t xml:space="preserve"> Ceny nemovitostí 2019-2021 </w:t>
      </w:r>
      <w:r w:rsidRPr="008F739A">
        <w:rPr>
          <w:rFonts w:cs="Arial"/>
          <w:sz w:val="22"/>
          <w:szCs w:val="22"/>
        </w:rPr>
        <w:t xml:space="preserve">se </w:t>
      </w:r>
      <w:r w:rsidR="00C67335" w:rsidRPr="008F739A">
        <w:rPr>
          <w:rFonts w:cs="Arial"/>
          <w:sz w:val="22"/>
          <w:szCs w:val="22"/>
        </w:rPr>
        <w:t xml:space="preserve">ohledně absolutních (průměrných) cen </w:t>
      </w:r>
      <w:r w:rsidRPr="008F739A">
        <w:rPr>
          <w:rFonts w:cs="Arial"/>
          <w:sz w:val="22"/>
          <w:szCs w:val="22"/>
        </w:rPr>
        <w:t>časové překrývají v roce 2019.</w:t>
      </w:r>
      <w:r w:rsidRPr="008F739A">
        <w:rPr>
          <w:rFonts w:cs="Arial"/>
          <w:i/>
          <w:sz w:val="22"/>
          <w:szCs w:val="22"/>
        </w:rPr>
        <w:t xml:space="preserve"> </w:t>
      </w:r>
      <w:r w:rsidRPr="008F739A">
        <w:rPr>
          <w:rFonts w:cs="Arial"/>
          <w:sz w:val="22"/>
          <w:szCs w:val="22"/>
        </w:rPr>
        <w:t>Vzhledem k rozdílným zdrojům i metodikám, které se charakteru zdrojů musí přizpůsobit</w:t>
      </w:r>
      <w:r w:rsidR="00A04778" w:rsidRPr="008F739A">
        <w:rPr>
          <w:rFonts w:cs="Arial"/>
          <w:sz w:val="22"/>
          <w:szCs w:val="22"/>
        </w:rPr>
        <w:t>,</w:t>
      </w:r>
      <w:r w:rsidRPr="008F739A">
        <w:rPr>
          <w:rFonts w:cs="Arial"/>
          <w:sz w:val="22"/>
          <w:szCs w:val="22"/>
        </w:rPr>
        <w:t xml:space="preserve"> nejsou údaje srovnatelné.</w:t>
      </w:r>
      <w:r w:rsidR="00A04778" w:rsidRPr="008F739A">
        <w:rPr>
          <w:rFonts w:cs="Arial"/>
          <w:sz w:val="22"/>
          <w:szCs w:val="22"/>
        </w:rPr>
        <w:t xml:space="preserve"> To platí zejména pro rodinné domy. </w:t>
      </w:r>
    </w:p>
    <w:p w14:paraId="42A012FE" w14:textId="77777777" w:rsidR="00C67335" w:rsidRPr="008F739A" w:rsidRDefault="00C67335" w:rsidP="00C67335">
      <w:pPr>
        <w:tabs>
          <w:tab w:val="num" w:pos="0"/>
        </w:tabs>
        <w:contextualSpacing/>
        <w:jc w:val="both"/>
        <w:rPr>
          <w:rFonts w:cs="Arial"/>
          <w:i/>
          <w:sz w:val="22"/>
          <w:szCs w:val="22"/>
        </w:rPr>
      </w:pPr>
    </w:p>
    <w:p w14:paraId="120564AE" w14:textId="6DD61597" w:rsidR="000C438D" w:rsidRDefault="000C438D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  <w:r w:rsidRPr="008F739A">
        <w:rPr>
          <w:rFonts w:cs="Arial"/>
          <w:sz w:val="22"/>
          <w:szCs w:val="22"/>
        </w:rPr>
        <w:t xml:space="preserve">Pro </w:t>
      </w:r>
      <w:r w:rsidR="00A04778" w:rsidRPr="008F739A">
        <w:rPr>
          <w:rFonts w:cs="Arial"/>
          <w:sz w:val="22"/>
          <w:szCs w:val="22"/>
        </w:rPr>
        <w:t xml:space="preserve">časové </w:t>
      </w:r>
      <w:r w:rsidRPr="008F739A">
        <w:rPr>
          <w:rFonts w:cs="Arial"/>
          <w:sz w:val="22"/>
          <w:szCs w:val="22"/>
        </w:rPr>
        <w:t>převody je možno užít řad cenových indexů, kt</w:t>
      </w:r>
      <w:r w:rsidR="006F6688">
        <w:rPr>
          <w:rFonts w:cs="Arial"/>
          <w:sz w:val="22"/>
          <w:szCs w:val="22"/>
        </w:rPr>
        <w:t xml:space="preserve">eré pokrývají období </w:t>
      </w:r>
      <w:r w:rsidR="009525DB">
        <w:rPr>
          <w:rFonts w:cs="Arial"/>
          <w:sz w:val="22"/>
          <w:szCs w:val="22"/>
        </w:rPr>
        <w:t>2015–202</w:t>
      </w:r>
      <w:r w:rsidR="00571E15">
        <w:rPr>
          <w:rFonts w:cs="Arial"/>
          <w:sz w:val="22"/>
          <w:szCs w:val="22"/>
        </w:rPr>
        <w:t>5</w:t>
      </w:r>
      <w:r w:rsidRPr="008F739A">
        <w:rPr>
          <w:rFonts w:cs="Arial"/>
          <w:sz w:val="22"/>
          <w:szCs w:val="22"/>
        </w:rPr>
        <w:t xml:space="preserve">. </w:t>
      </w:r>
      <w:r w:rsidR="00A04778" w:rsidRPr="008F739A">
        <w:rPr>
          <w:rFonts w:cs="Arial"/>
          <w:sz w:val="22"/>
          <w:szCs w:val="22"/>
        </w:rPr>
        <w:t>Tyto cenové</w:t>
      </w:r>
      <w:r w:rsidRPr="008F739A">
        <w:rPr>
          <w:rFonts w:cs="Arial"/>
          <w:sz w:val="22"/>
          <w:szCs w:val="22"/>
        </w:rPr>
        <w:t xml:space="preserve"> index</w:t>
      </w:r>
      <w:r w:rsidR="00A04778" w:rsidRPr="008F739A">
        <w:rPr>
          <w:rFonts w:cs="Arial"/>
          <w:sz w:val="22"/>
          <w:szCs w:val="22"/>
        </w:rPr>
        <w:t>y</w:t>
      </w:r>
      <w:r w:rsidRPr="008F739A">
        <w:rPr>
          <w:rFonts w:cs="Arial"/>
          <w:sz w:val="22"/>
          <w:szCs w:val="22"/>
        </w:rPr>
        <w:t xml:space="preserve"> j</w:t>
      </w:r>
      <w:r w:rsidR="00A04778" w:rsidRPr="008F739A">
        <w:rPr>
          <w:rFonts w:cs="Arial"/>
          <w:sz w:val="22"/>
          <w:szCs w:val="22"/>
        </w:rPr>
        <w:t>sou</w:t>
      </w:r>
      <w:r w:rsidRPr="008F739A">
        <w:rPr>
          <w:rFonts w:cs="Arial"/>
          <w:sz w:val="22"/>
          <w:szCs w:val="22"/>
        </w:rPr>
        <w:t xml:space="preserve"> spočten</w:t>
      </w:r>
      <w:r w:rsidR="00A04778" w:rsidRPr="008F739A">
        <w:rPr>
          <w:rFonts w:cs="Arial"/>
          <w:sz w:val="22"/>
          <w:szCs w:val="22"/>
        </w:rPr>
        <w:t>y</w:t>
      </w:r>
      <w:r w:rsidRPr="008F739A">
        <w:rPr>
          <w:rFonts w:cs="Arial"/>
          <w:sz w:val="22"/>
          <w:szCs w:val="22"/>
        </w:rPr>
        <w:t xml:space="preserve"> na srovnatelných datech nového zdroje. </w:t>
      </w:r>
      <w:r w:rsidR="00A04778" w:rsidRPr="008F739A">
        <w:rPr>
          <w:rFonts w:cs="Arial"/>
          <w:sz w:val="22"/>
          <w:szCs w:val="22"/>
        </w:rPr>
        <w:t>V období</w:t>
      </w:r>
      <w:r w:rsidRPr="008F739A">
        <w:rPr>
          <w:rFonts w:cs="Arial"/>
          <w:sz w:val="22"/>
          <w:szCs w:val="22"/>
        </w:rPr>
        <w:t xml:space="preserve">, kde se cenový index </w:t>
      </w:r>
      <w:r w:rsidR="00A04778" w:rsidRPr="008F739A">
        <w:rPr>
          <w:rFonts w:cs="Arial"/>
          <w:sz w:val="22"/>
          <w:szCs w:val="22"/>
        </w:rPr>
        <w:t xml:space="preserve">časově </w:t>
      </w:r>
      <w:r w:rsidRPr="008F739A">
        <w:rPr>
          <w:rFonts w:cs="Arial"/>
          <w:sz w:val="22"/>
          <w:szCs w:val="22"/>
        </w:rPr>
        <w:t xml:space="preserve">překrývá mezi původní a novou publikací, je vhodnější užití </w:t>
      </w:r>
      <w:r w:rsidR="00A04778" w:rsidRPr="008F739A">
        <w:rPr>
          <w:rFonts w:cs="Arial"/>
          <w:sz w:val="22"/>
          <w:szCs w:val="22"/>
        </w:rPr>
        <w:t xml:space="preserve">tohoto </w:t>
      </w:r>
      <w:r w:rsidRPr="008F739A">
        <w:rPr>
          <w:rFonts w:cs="Arial"/>
          <w:sz w:val="22"/>
          <w:szCs w:val="22"/>
        </w:rPr>
        <w:t>nového zdroje.</w:t>
      </w:r>
    </w:p>
    <w:p w14:paraId="73F428D8" w14:textId="77777777" w:rsidR="00A04778" w:rsidRPr="0049661C" w:rsidRDefault="00A04778" w:rsidP="00C67335">
      <w:pPr>
        <w:tabs>
          <w:tab w:val="num" w:pos="0"/>
        </w:tabs>
        <w:contextualSpacing/>
        <w:jc w:val="both"/>
        <w:rPr>
          <w:rFonts w:cs="Arial"/>
          <w:sz w:val="22"/>
          <w:szCs w:val="22"/>
        </w:rPr>
      </w:pPr>
    </w:p>
    <w:bookmarkEnd w:id="0"/>
    <w:p w14:paraId="78CFEB2A" w14:textId="77777777" w:rsidR="00EE7426" w:rsidRPr="0049661C" w:rsidRDefault="00EE7426" w:rsidP="00C67335">
      <w:pPr>
        <w:contextualSpacing/>
        <w:jc w:val="both"/>
        <w:rPr>
          <w:color w:val="002060"/>
          <w:sz w:val="22"/>
          <w:szCs w:val="22"/>
        </w:rPr>
      </w:pPr>
    </w:p>
    <w:sectPr w:rsidR="00EE7426" w:rsidRPr="0049661C" w:rsidSect="00C67335">
      <w:footerReference w:type="even" r:id="rId8"/>
      <w:pgSz w:w="11906" w:h="16838" w:code="9"/>
      <w:pgMar w:top="426" w:right="707" w:bottom="426" w:left="85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C5F98" w14:textId="77777777" w:rsidR="0007760B" w:rsidRDefault="0007760B" w:rsidP="00E71A58">
      <w:r>
        <w:separator/>
      </w:r>
    </w:p>
  </w:endnote>
  <w:endnote w:type="continuationSeparator" w:id="0">
    <w:p w14:paraId="3ED46B7A" w14:textId="77777777" w:rsidR="0007760B" w:rsidRDefault="0007760B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809F" w14:textId="77777777" w:rsidR="007661E9" w:rsidRPr="00932443" w:rsidRDefault="005647BF" w:rsidP="00A418BC">
    <w:pPr>
      <w:pStyle w:val="Zpat"/>
      <w:rPr>
        <w:szCs w:val="16"/>
      </w:rPr>
    </w:pPr>
    <w:r w:rsidRPr="00932443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DD67" w14:textId="77777777" w:rsidR="0007760B" w:rsidRDefault="0007760B" w:rsidP="00E71A58">
      <w:r>
        <w:separator/>
      </w:r>
    </w:p>
  </w:footnote>
  <w:footnote w:type="continuationSeparator" w:id="0">
    <w:p w14:paraId="4A3E444E" w14:textId="77777777" w:rsidR="0007760B" w:rsidRDefault="0007760B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41D4"/>
    <w:multiLevelType w:val="hybridMultilevel"/>
    <w:tmpl w:val="C8B09BB4"/>
    <w:lvl w:ilvl="0" w:tplc="C0A8A4C0">
      <w:start w:val="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E639E"/>
    <w:multiLevelType w:val="hybridMultilevel"/>
    <w:tmpl w:val="ECD687CE"/>
    <w:lvl w:ilvl="0" w:tplc="BF6C32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E1C63"/>
    <w:multiLevelType w:val="hybridMultilevel"/>
    <w:tmpl w:val="B8844FE0"/>
    <w:lvl w:ilvl="0" w:tplc="C55839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576984">
    <w:abstractNumId w:val="14"/>
  </w:num>
  <w:num w:numId="2" w16cid:durableId="1053893548">
    <w:abstractNumId w:val="8"/>
  </w:num>
  <w:num w:numId="3" w16cid:durableId="2090303231">
    <w:abstractNumId w:val="3"/>
  </w:num>
  <w:num w:numId="4" w16cid:durableId="212234965">
    <w:abstractNumId w:val="2"/>
  </w:num>
  <w:num w:numId="5" w16cid:durableId="1758594281">
    <w:abstractNumId w:val="1"/>
  </w:num>
  <w:num w:numId="6" w16cid:durableId="781611238">
    <w:abstractNumId w:val="0"/>
  </w:num>
  <w:num w:numId="7" w16cid:durableId="468787438">
    <w:abstractNumId w:val="9"/>
  </w:num>
  <w:num w:numId="8" w16cid:durableId="642469617">
    <w:abstractNumId w:val="7"/>
  </w:num>
  <w:num w:numId="9" w16cid:durableId="982851035">
    <w:abstractNumId w:val="6"/>
  </w:num>
  <w:num w:numId="10" w16cid:durableId="1787697245">
    <w:abstractNumId w:val="5"/>
  </w:num>
  <w:num w:numId="11" w16cid:durableId="1358778552">
    <w:abstractNumId w:val="4"/>
  </w:num>
  <w:num w:numId="12" w16cid:durableId="1748916928">
    <w:abstractNumId w:val="10"/>
  </w:num>
  <w:num w:numId="13" w16cid:durableId="1120104672">
    <w:abstractNumId w:val="15"/>
  </w:num>
  <w:num w:numId="14" w16cid:durableId="1710648358">
    <w:abstractNumId w:val="11"/>
  </w:num>
  <w:num w:numId="15" w16cid:durableId="2015645628">
    <w:abstractNumId w:val="12"/>
  </w:num>
  <w:num w:numId="16" w16cid:durableId="7426059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D7D"/>
    <w:rsid w:val="0000209D"/>
    <w:rsid w:val="00004D5A"/>
    <w:rsid w:val="000056D5"/>
    <w:rsid w:val="0000767A"/>
    <w:rsid w:val="00010702"/>
    <w:rsid w:val="000143A5"/>
    <w:rsid w:val="00017FB1"/>
    <w:rsid w:val="000216BC"/>
    <w:rsid w:val="000234D6"/>
    <w:rsid w:val="00023D29"/>
    <w:rsid w:val="00026389"/>
    <w:rsid w:val="00031AE0"/>
    <w:rsid w:val="000322EF"/>
    <w:rsid w:val="00033FCD"/>
    <w:rsid w:val="000342E0"/>
    <w:rsid w:val="0003560C"/>
    <w:rsid w:val="00041CEC"/>
    <w:rsid w:val="0004694F"/>
    <w:rsid w:val="000522E4"/>
    <w:rsid w:val="000610E1"/>
    <w:rsid w:val="00062EC5"/>
    <w:rsid w:val="00062F22"/>
    <w:rsid w:val="000712B3"/>
    <w:rsid w:val="0007760B"/>
    <w:rsid w:val="0008263E"/>
    <w:rsid w:val="00082C19"/>
    <w:rsid w:val="00085395"/>
    <w:rsid w:val="00087634"/>
    <w:rsid w:val="00087F2B"/>
    <w:rsid w:val="0009677F"/>
    <w:rsid w:val="000974D1"/>
    <w:rsid w:val="0009799E"/>
    <w:rsid w:val="000A1183"/>
    <w:rsid w:val="000A256D"/>
    <w:rsid w:val="000A3A2C"/>
    <w:rsid w:val="000A6BAC"/>
    <w:rsid w:val="000B55D5"/>
    <w:rsid w:val="000C3408"/>
    <w:rsid w:val="000C4084"/>
    <w:rsid w:val="000C438D"/>
    <w:rsid w:val="000C6AFD"/>
    <w:rsid w:val="000C70F8"/>
    <w:rsid w:val="000D1DD7"/>
    <w:rsid w:val="000D5637"/>
    <w:rsid w:val="000D7D7D"/>
    <w:rsid w:val="000E6C0B"/>
    <w:rsid w:val="000E6FBD"/>
    <w:rsid w:val="00100F5C"/>
    <w:rsid w:val="00104C4C"/>
    <w:rsid w:val="0012192F"/>
    <w:rsid w:val="00125D69"/>
    <w:rsid w:val="001405FA"/>
    <w:rsid w:val="001425C3"/>
    <w:rsid w:val="00156848"/>
    <w:rsid w:val="0016256B"/>
    <w:rsid w:val="00163793"/>
    <w:rsid w:val="00165929"/>
    <w:rsid w:val="001706D6"/>
    <w:rsid w:val="001714F2"/>
    <w:rsid w:val="00177260"/>
    <w:rsid w:val="00177B30"/>
    <w:rsid w:val="00181D51"/>
    <w:rsid w:val="00184B08"/>
    <w:rsid w:val="00185010"/>
    <w:rsid w:val="001A552F"/>
    <w:rsid w:val="001B2689"/>
    <w:rsid w:val="001B2CA9"/>
    <w:rsid w:val="001B3110"/>
    <w:rsid w:val="001B4729"/>
    <w:rsid w:val="001B6C09"/>
    <w:rsid w:val="001C05CD"/>
    <w:rsid w:val="001D68B2"/>
    <w:rsid w:val="001F272F"/>
    <w:rsid w:val="001F4597"/>
    <w:rsid w:val="002103CB"/>
    <w:rsid w:val="002118B9"/>
    <w:rsid w:val="0021604D"/>
    <w:rsid w:val="00217C5B"/>
    <w:rsid w:val="0022139E"/>
    <w:rsid w:val="00221FD9"/>
    <w:rsid w:val="002252E0"/>
    <w:rsid w:val="002255F6"/>
    <w:rsid w:val="00227850"/>
    <w:rsid w:val="00227A53"/>
    <w:rsid w:val="00230C6E"/>
    <w:rsid w:val="002316C5"/>
    <w:rsid w:val="00236443"/>
    <w:rsid w:val="002436BA"/>
    <w:rsid w:val="00244A15"/>
    <w:rsid w:val="00247319"/>
    <w:rsid w:val="0024799E"/>
    <w:rsid w:val="00253C0F"/>
    <w:rsid w:val="00271465"/>
    <w:rsid w:val="00274D7C"/>
    <w:rsid w:val="00284BBD"/>
    <w:rsid w:val="00285412"/>
    <w:rsid w:val="00285BD4"/>
    <w:rsid w:val="00295732"/>
    <w:rsid w:val="002A16D4"/>
    <w:rsid w:val="002A230C"/>
    <w:rsid w:val="002C43BD"/>
    <w:rsid w:val="002C6526"/>
    <w:rsid w:val="002D0E59"/>
    <w:rsid w:val="002E02A1"/>
    <w:rsid w:val="002E4E4C"/>
    <w:rsid w:val="002F0CE9"/>
    <w:rsid w:val="002F253C"/>
    <w:rsid w:val="003013A2"/>
    <w:rsid w:val="00304771"/>
    <w:rsid w:val="003052D4"/>
    <w:rsid w:val="0030659E"/>
    <w:rsid w:val="00306C5B"/>
    <w:rsid w:val="00311C1C"/>
    <w:rsid w:val="00312B52"/>
    <w:rsid w:val="003170D8"/>
    <w:rsid w:val="003209D6"/>
    <w:rsid w:val="00321924"/>
    <w:rsid w:val="0032656E"/>
    <w:rsid w:val="00332190"/>
    <w:rsid w:val="00332E7E"/>
    <w:rsid w:val="00344668"/>
    <w:rsid w:val="003462D9"/>
    <w:rsid w:val="00360C86"/>
    <w:rsid w:val="003657F3"/>
    <w:rsid w:val="003818DC"/>
    <w:rsid w:val="00382832"/>
    <w:rsid w:val="00382C38"/>
    <w:rsid w:val="00384327"/>
    <w:rsid w:val="00385D98"/>
    <w:rsid w:val="00394031"/>
    <w:rsid w:val="003A2B4D"/>
    <w:rsid w:val="003A478C"/>
    <w:rsid w:val="003A5525"/>
    <w:rsid w:val="003A6B38"/>
    <w:rsid w:val="003A769F"/>
    <w:rsid w:val="003B07DB"/>
    <w:rsid w:val="003B5A32"/>
    <w:rsid w:val="003C07F6"/>
    <w:rsid w:val="003C3490"/>
    <w:rsid w:val="003D00E9"/>
    <w:rsid w:val="003D6920"/>
    <w:rsid w:val="003E12A0"/>
    <w:rsid w:val="003E4C91"/>
    <w:rsid w:val="003F1559"/>
    <w:rsid w:val="003F313C"/>
    <w:rsid w:val="003F551C"/>
    <w:rsid w:val="003F7D23"/>
    <w:rsid w:val="00407C13"/>
    <w:rsid w:val="00410638"/>
    <w:rsid w:val="004239D2"/>
    <w:rsid w:val="00430E10"/>
    <w:rsid w:val="00432A58"/>
    <w:rsid w:val="00434617"/>
    <w:rsid w:val="00440900"/>
    <w:rsid w:val="00443336"/>
    <w:rsid w:val="004440E7"/>
    <w:rsid w:val="004441A0"/>
    <w:rsid w:val="00460FB3"/>
    <w:rsid w:val="004617BE"/>
    <w:rsid w:val="00462207"/>
    <w:rsid w:val="00476240"/>
    <w:rsid w:val="00476439"/>
    <w:rsid w:val="0047735C"/>
    <w:rsid w:val="004776BC"/>
    <w:rsid w:val="0048139F"/>
    <w:rsid w:val="00481B39"/>
    <w:rsid w:val="00481E40"/>
    <w:rsid w:val="00482F4E"/>
    <w:rsid w:val="00484ECE"/>
    <w:rsid w:val="00485B79"/>
    <w:rsid w:val="004915CB"/>
    <w:rsid w:val="004924DC"/>
    <w:rsid w:val="0049661C"/>
    <w:rsid w:val="004977B2"/>
    <w:rsid w:val="004A14E4"/>
    <w:rsid w:val="004A3212"/>
    <w:rsid w:val="004A61C5"/>
    <w:rsid w:val="004A77DF"/>
    <w:rsid w:val="004B1417"/>
    <w:rsid w:val="004B55B7"/>
    <w:rsid w:val="004B6468"/>
    <w:rsid w:val="004C384C"/>
    <w:rsid w:val="004C3867"/>
    <w:rsid w:val="004C39C1"/>
    <w:rsid w:val="004C4CD0"/>
    <w:rsid w:val="004C50F6"/>
    <w:rsid w:val="004C70DC"/>
    <w:rsid w:val="004D0211"/>
    <w:rsid w:val="004D0794"/>
    <w:rsid w:val="004D4789"/>
    <w:rsid w:val="004E3D41"/>
    <w:rsid w:val="004F06F5"/>
    <w:rsid w:val="004F33A0"/>
    <w:rsid w:val="00502E65"/>
    <w:rsid w:val="005108C0"/>
    <w:rsid w:val="00511873"/>
    <w:rsid w:val="00512A2F"/>
    <w:rsid w:val="00513B7E"/>
    <w:rsid w:val="005153D1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43FCA"/>
    <w:rsid w:val="0055599F"/>
    <w:rsid w:val="00556D68"/>
    <w:rsid w:val="005647BF"/>
    <w:rsid w:val="00571E15"/>
    <w:rsid w:val="0057364B"/>
    <w:rsid w:val="00574773"/>
    <w:rsid w:val="00583FFD"/>
    <w:rsid w:val="005911BE"/>
    <w:rsid w:val="00593152"/>
    <w:rsid w:val="005A10F2"/>
    <w:rsid w:val="005A1448"/>
    <w:rsid w:val="005A21E0"/>
    <w:rsid w:val="005A28FF"/>
    <w:rsid w:val="005A3DF8"/>
    <w:rsid w:val="005A5549"/>
    <w:rsid w:val="005B121D"/>
    <w:rsid w:val="005C06ED"/>
    <w:rsid w:val="005D473F"/>
    <w:rsid w:val="005D5802"/>
    <w:rsid w:val="005D7890"/>
    <w:rsid w:val="005E7C78"/>
    <w:rsid w:val="005E7FFD"/>
    <w:rsid w:val="005F3EB1"/>
    <w:rsid w:val="005F5469"/>
    <w:rsid w:val="006015F6"/>
    <w:rsid w:val="00604307"/>
    <w:rsid w:val="0060487F"/>
    <w:rsid w:val="00604EAD"/>
    <w:rsid w:val="006104FB"/>
    <w:rsid w:val="0061173F"/>
    <w:rsid w:val="00612A2F"/>
    <w:rsid w:val="0061325E"/>
    <w:rsid w:val="006167BC"/>
    <w:rsid w:val="00616E05"/>
    <w:rsid w:val="00624093"/>
    <w:rsid w:val="006404A7"/>
    <w:rsid w:val="006451E4"/>
    <w:rsid w:val="00645B33"/>
    <w:rsid w:val="006516CB"/>
    <w:rsid w:val="00657E87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A2A2A"/>
    <w:rsid w:val="006A571F"/>
    <w:rsid w:val="006B0AE5"/>
    <w:rsid w:val="006B0CFC"/>
    <w:rsid w:val="006B2A74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279A"/>
    <w:rsid w:val="006E313B"/>
    <w:rsid w:val="006F5416"/>
    <w:rsid w:val="006F6688"/>
    <w:rsid w:val="006F7071"/>
    <w:rsid w:val="00702CC4"/>
    <w:rsid w:val="00704DD2"/>
    <w:rsid w:val="00706AD4"/>
    <w:rsid w:val="007140BE"/>
    <w:rsid w:val="007211F5"/>
    <w:rsid w:val="0072465C"/>
    <w:rsid w:val="00725BB5"/>
    <w:rsid w:val="00730AE8"/>
    <w:rsid w:val="00732DC0"/>
    <w:rsid w:val="0073364A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2F74"/>
    <w:rsid w:val="00776169"/>
    <w:rsid w:val="00776527"/>
    <w:rsid w:val="00780EF1"/>
    <w:rsid w:val="00784951"/>
    <w:rsid w:val="007863F0"/>
    <w:rsid w:val="00790764"/>
    <w:rsid w:val="0079453C"/>
    <w:rsid w:val="00794677"/>
    <w:rsid w:val="007970A5"/>
    <w:rsid w:val="007B5B4D"/>
    <w:rsid w:val="007B5C6A"/>
    <w:rsid w:val="007B6689"/>
    <w:rsid w:val="007C714B"/>
    <w:rsid w:val="007D40DF"/>
    <w:rsid w:val="007E5D5E"/>
    <w:rsid w:val="007E7E61"/>
    <w:rsid w:val="007F0845"/>
    <w:rsid w:val="007F698F"/>
    <w:rsid w:val="00803CAC"/>
    <w:rsid w:val="00807C82"/>
    <w:rsid w:val="00816905"/>
    <w:rsid w:val="00821FF6"/>
    <w:rsid w:val="00825927"/>
    <w:rsid w:val="00825C4D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D65"/>
    <w:rsid w:val="00861B41"/>
    <w:rsid w:val="00863434"/>
    <w:rsid w:val="00865E4C"/>
    <w:rsid w:val="008701E4"/>
    <w:rsid w:val="00875A32"/>
    <w:rsid w:val="00876086"/>
    <w:rsid w:val="008858F0"/>
    <w:rsid w:val="008873D4"/>
    <w:rsid w:val="00893E85"/>
    <w:rsid w:val="00894031"/>
    <w:rsid w:val="00895323"/>
    <w:rsid w:val="008A71EB"/>
    <w:rsid w:val="008B7C02"/>
    <w:rsid w:val="008B7D2B"/>
    <w:rsid w:val="008C0049"/>
    <w:rsid w:val="008C0E88"/>
    <w:rsid w:val="008D1E6A"/>
    <w:rsid w:val="008D2A16"/>
    <w:rsid w:val="008E1147"/>
    <w:rsid w:val="008E2C57"/>
    <w:rsid w:val="008E31FF"/>
    <w:rsid w:val="008E45EF"/>
    <w:rsid w:val="008E6F06"/>
    <w:rsid w:val="008F029B"/>
    <w:rsid w:val="008F3FC9"/>
    <w:rsid w:val="008F585B"/>
    <w:rsid w:val="008F739A"/>
    <w:rsid w:val="009003A8"/>
    <w:rsid w:val="00902500"/>
    <w:rsid w:val="00902EFF"/>
    <w:rsid w:val="00906401"/>
    <w:rsid w:val="00910A98"/>
    <w:rsid w:val="0091155E"/>
    <w:rsid w:val="00912A64"/>
    <w:rsid w:val="00912A92"/>
    <w:rsid w:val="0091728D"/>
    <w:rsid w:val="0092180B"/>
    <w:rsid w:val="00921F14"/>
    <w:rsid w:val="00924AC8"/>
    <w:rsid w:val="0092597A"/>
    <w:rsid w:val="00932443"/>
    <w:rsid w:val="00937456"/>
    <w:rsid w:val="00937AE2"/>
    <w:rsid w:val="0094427A"/>
    <w:rsid w:val="00946F58"/>
    <w:rsid w:val="009525DB"/>
    <w:rsid w:val="00974923"/>
    <w:rsid w:val="009766EC"/>
    <w:rsid w:val="00980D3D"/>
    <w:rsid w:val="009853E3"/>
    <w:rsid w:val="00987A30"/>
    <w:rsid w:val="00992CF3"/>
    <w:rsid w:val="009944F5"/>
    <w:rsid w:val="0099551E"/>
    <w:rsid w:val="009968D6"/>
    <w:rsid w:val="009A1CAB"/>
    <w:rsid w:val="009A60D1"/>
    <w:rsid w:val="009B6FD3"/>
    <w:rsid w:val="009C1750"/>
    <w:rsid w:val="009C2E29"/>
    <w:rsid w:val="009C328F"/>
    <w:rsid w:val="009C47E5"/>
    <w:rsid w:val="009C554B"/>
    <w:rsid w:val="009C719E"/>
    <w:rsid w:val="009D3ACD"/>
    <w:rsid w:val="009E2065"/>
    <w:rsid w:val="009E5273"/>
    <w:rsid w:val="009E5DDB"/>
    <w:rsid w:val="009F4CA7"/>
    <w:rsid w:val="00A04778"/>
    <w:rsid w:val="00A07479"/>
    <w:rsid w:val="00A07874"/>
    <w:rsid w:val="00A10D66"/>
    <w:rsid w:val="00A14114"/>
    <w:rsid w:val="00A16413"/>
    <w:rsid w:val="00A23E43"/>
    <w:rsid w:val="00A25684"/>
    <w:rsid w:val="00A30F65"/>
    <w:rsid w:val="00A418BC"/>
    <w:rsid w:val="00A41903"/>
    <w:rsid w:val="00A46DE0"/>
    <w:rsid w:val="00A50D73"/>
    <w:rsid w:val="00A52CAD"/>
    <w:rsid w:val="00A53FC7"/>
    <w:rsid w:val="00A62CE1"/>
    <w:rsid w:val="00A62FFB"/>
    <w:rsid w:val="00A6741E"/>
    <w:rsid w:val="00A75E40"/>
    <w:rsid w:val="00A773ED"/>
    <w:rsid w:val="00A77D1D"/>
    <w:rsid w:val="00A857C0"/>
    <w:rsid w:val="00A85895"/>
    <w:rsid w:val="00A922A6"/>
    <w:rsid w:val="00A9769F"/>
    <w:rsid w:val="00AA2996"/>
    <w:rsid w:val="00AA52BF"/>
    <w:rsid w:val="00AA559A"/>
    <w:rsid w:val="00AB2AF1"/>
    <w:rsid w:val="00AB3281"/>
    <w:rsid w:val="00AD306C"/>
    <w:rsid w:val="00AE09B3"/>
    <w:rsid w:val="00AE1A83"/>
    <w:rsid w:val="00AF1FF5"/>
    <w:rsid w:val="00B00913"/>
    <w:rsid w:val="00B01593"/>
    <w:rsid w:val="00B10A4D"/>
    <w:rsid w:val="00B11F3C"/>
    <w:rsid w:val="00B17E71"/>
    <w:rsid w:val="00B17FDE"/>
    <w:rsid w:val="00B2379C"/>
    <w:rsid w:val="00B260A4"/>
    <w:rsid w:val="00B2687D"/>
    <w:rsid w:val="00B269A3"/>
    <w:rsid w:val="00B32DDB"/>
    <w:rsid w:val="00B34528"/>
    <w:rsid w:val="00B36807"/>
    <w:rsid w:val="00B402FC"/>
    <w:rsid w:val="00B46604"/>
    <w:rsid w:val="00B530CD"/>
    <w:rsid w:val="00B54F20"/>
    <w:rsid w:val="00B55888"/>
    <w:rsid w:val="00B55F5E"/>
    <w:rsid w:val="00B5752E"/>
    <w:rsid w:val="00B63A11"/>
    <w:rsid w:val="00B64C24"/>
    <w:rsid w:val="00B6608F"/>
    <w:rsid w:val="00B679FB"/>
    <w:rsid w:val="00B70584"/>
    <w:rsid w:val="00B719F9"/>
    <w:rsid w:val="00B76CF6"/>
    <w:rsid w:val="00B76D1E"/>
    <w:rsid w:val="00B77467"/>
    <w:rsid w:val="00B80EC6"/>
    <w:rsid w:val="00B84778"/>
    <w:rsid w:val="00B92D1D"/>
    <w:rsid w:val="00B938C5"/>
    <w:rsid w:val="00B95940"/>
    <w:rsid w:val="00BB44A5"/>
    <w:rsid w:val="00BB46F3"/>
    <w:rsid w:val="00BB4CB1"/>
    <w:rsid w:val="00BB4F98"/>
    <w:rsid w:val="00BC1EEF"/>
    <w:rsid w:val="00BC333D"/>
    <w:rsid w:val="00BC7154"/>
    <w:rsid w:val="00BD366B"/>
    <w:rsid w:val="00BD6D50"/>
    <w:rsid w:val="00BD7EC4"/>
    <w:rsid w:val="00BE0174"/>
    <w:rsid w:val="00BE18B9"/>
    <w:rsid w:val="00BE2495"/>
    <w:rsid w:val="00BF1578"/>
    <w:rsid w:val="00C13D65"/>
    <w:rsid w:val="00C156D5"/>
    <w:rsid w:val="00C21F94"/>
    <w:rsid w:val="00C27913"/>
    <w:rsid w:val="00C33B68"/>
    <w:rsid w:val="00C3457A"/>
    <w:rsid w:val="00C369CF"/>
    <w:rsid w:val="00C36A79"/>
    <w:rsid w:val="00C405D4"/>
    <w:rsid w:val="00C41380"/>
    <w:rsid w:val="00C4513B"/>
    <w:rsid w:val="00C54697"/>
    <w:rsid w:val="00C65019"/>
    <w:rsid w:val="00C67335"/>
    <w:rsid w:val="00C73885"/>
    <w:rsid w:val="00C73919"/>
    <w:rsid w:val="00C747B1"/>
    <w:rsid w:val="00C80FAC"/>
    <w:rsid w:val="00C82191"/>
    <w:rsid w:val="00C843D6"/>
    <w:rsid w:val="00C90CF4"/>
    <w:rsid w:val="00C92EB6"/>
    <w:rsid w:val="00C93389"/>
    <w:rsid w:val="00CB4930"/>
    <w:rsid w:val="00CB7366"/>
    <w:rsid w:val="00CC2E7D"/>
    <w:rsid w:val="00CC579A"/>
    <w:rsid w:val="00CC7B73"/>
    <w:rsid w:val="00CD10A5"/>
    <w:rsid w:val="00CD1EC5"/>
    <w:rsid w:val="00CD2076"/>
    <w:rsid w:val="00CD2482"/>
    <w:rsid w:val="00CE670B"/>
    <w:rsid w:val="00CF51EC"/>
    <w:rsid w:val="00CF73AE"/>
    <w:rsid w:val="00D040DD"/>
    <w:rsid w:val="00D13986"/>
    <w:rsid w:val="00D14E24"/>
    <w:rsid w:val="00D235B7"/>
    <w:rsid w:val="00D25F28"/>
    <w:rsid w:val="00D27973"/>
    <w:rsid w:val="00D27ED1"/>
    <w:rsid w:val="00D324D2"/>
    <w:rsid w:val="00D4450F"/>
    <w:rsid w:val="00D4782C"/>
    <w:rsid w:val="00D47E36"/>
    <w:rsid w:val="00D50C6D"/>
    <w:rsid w:val="00D50F46"/>
    <w:rsid w:val="00D66223"/>
    <w:rsid w:val="00D76565"/>
    <w:rsid w:val="00D8084C"/>
    <w:rsid w:val="00DA1279"/>
    <w:rsid w:val="00DA7C0C"/>
    <w:rsid w:val="00DB2EC8"/>
    <w:rsid w:val="00DB4431"/>
    <w:rsid w:val="00DB7D3C"/>
    <w:rsid w:val="00DC4B5D"/>
    <w:rsid w:val="00DC5B3B"/>
    <w:rsid w:val="00DD129F"/>
    <w:rsid w:val="00DE17BA"/>
    <w:rsid w:val="00DF42FF"/>
    <w:rsid w:val="00DF4F96"/>
    <w:rsid w:val="00DF7392"/>
    <w:rsid w:val="00E01C0E"/>
    <w:rsid w:val="00E03481"/>
    <w:rsid w:val="00E03F9A"/>
    <w:rsid w:val="00E04694"/>
    <w:rsid w:val="00E12B1E"/>
    <w:rsid w:val="00E17262"/>
    <w:rsid w:val="00E21A13"/>
    <w:rsid w:val="00E253A2"/>
    <w:rsid w:val="00E3309D"/>
    <w:rsid w:val="00E37624"/>
    <w:rsid w:val="00E47C01"/>
    <w:rsid w:val="00E50156"/>
    <w:rsid w:val="00E52EE0"/>
    <w:rsid w:val="00E53470"/>
    <w:rsid w:val="00E53721"/>
    <w:rsid w:val="00E539F6"/>
    <w:rsid w:val="00E6519D"/>
    <w:rsid w:val="00E67696"/>
    <w:rsid w:val="00E71A58"/>
    <w:rsid w:val="00E72A7A"/>
    <w:rsid w:val="00E75C94"/>
    <w:rsid w:val="00E93820"/>
    <w:rsid w:val="00EA0C68"/>
    <w:rsid w:val="00EA7926"/>
    <w:rsid w:val="00EB005C"/>
    <w:rsid w:val="00EC03D7"/>
    <w:rsid w:val="00ED62C6"/>
    <w:rsid w:val="00ED64C1"/>
    <w:rsid w:val="00EE3446"/>
    <w:rsid w:val="00EE3E78"/>
    <w:rsid w:val="00EE441A"/>
    <w:rsid w:val="00EE4B1B"/>
    <w:rsid w:val="00EE7426"/>
    <w:rsid w:val="00EF150D"/>
    <w:rsid w:val="00EF1F5A"/>
    <w:rsid w:val="00EF47BF"/>
    <w:rsid w:val="00F04811"/>
    <w:rsid w:val="00F0488C"/>
    <w:rsid w:val="00F10F11"/>
    <w:rsid w:val="00F15AAA"/>
    <w:rsid w:val="00F15BEF"/>
    <w:rsid w:val="00F24407"/>
    <w:rsid w:val="00F24FAA"/>
    <w:rsid w:val="00F3364D"/>
    <w:rsid w:val="00F437CC"/>
    <w:rsid w:val="00F47067"/>
    <w:rsid w:val="00F5109C"/>
    <w:rsid w:val="00F525EB"/>
    <w:rsid w:val="00F63DDE"/>
    <w:rsid w:val="00F63FB7"/>
    <w:rsid w:val="00F649D2"/>
    <w:rsid w:val="00F6602B"/>
    <w:rsid w:val="00F72AE5"/>
    <w:rsid w:val="00F73A0C"/>
    <w:rsid w:val="00F75267"/>
    <w:rsid w:val="00F756DB"/>
    <w:rsid w:val="00F83F88"/>
    <w:rsid w:val="00F83FA2"/>
    <w:rsid w:val="00F85066"/>
    <w:rsid w:val="00F97DE2"/>
    <w:rsid w:val="00FA54A7"/>
    <w:rsid w:val="00FA5D4D"/>
    <w:rsid w:val="00FB0EE2"/>
    <w:rsid w:val="00FC0E5F"/>
    <w:rsid w:val="00FC1A95"/>
    <w:rsid w:val="00FC56DE"/>
    <w:rsid w:val="00FC5745"/>
    <w:rsid w:val="00FC684B"/>
    <w:rsid w:val="00FD3265"/>
    <w:rsid w:val="00FD398B"/>
    <w:rsid w:val="00FE01D6"/>
    <w:rsid w:val="00FE2F78"/>
    <w:rsid w:val="00FF3BFB"/>
    <w:rsid w:val="00FF6824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3271AD13"/>
  <w15:docId w15:val="{3F15E633-BB14-45B6-8FA8-52A2517C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84BBD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284BBD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284BBD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284BBD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84BBD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284BBD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284BBD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284BBD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84BBD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284BBD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284BBD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84BBD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84BBD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styleId="Zkladntextodsazen2">
    <w:name w:val="Body Text Indent 2"/>
    <w:basedOn w:val="Normln"/>
    <w:link w:val="Zkladntextodsazen2Char"/>
    <w:semiHidden/>
    <w:rsid w:val="00EE7426"/>
    <w:pPr>
      <w:spacing w:after="160" w:line="240" w:lineRule="auto"/>
      <w:ind w:firstLine="360"/>
      <w:jc w:val="both"/>
    </w:pPr>
    <w:rPr>
      <w:rFonts w:ascii="Times New Roman" w:hAnsi="Times New Roman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E7426"/>
    <w:rPr>
      <w:rFonts w:ascii="Times New Roman" w:eastAsia="Times New Roman" w:hAnsi="Times New Roman"/>
      <w:sz w:val="22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EE7426"/>
    <w:pPr>
      <w:spacing w:after="160" w:line="240" w:lineRule="auto"/>
      <w:ind w:firstLine="708"/>
      <w:jc w:val="both"/>
    </w:pPr>
    <w:rPr>
      <w:rFonts w:ascii="Times New Roman" w:hAnsi="Times New Roman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E7426"/>
    <w:rPr>
      <w:rFonts w:ascii="Times New Roman" w:eastAsia="Times New Roman" w:hAnsi="Times New Roman"/>
      <w:sz w:val="22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E742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E7426"/>
    <w:rPr>
      <w:rFonts w:ascii="Arial" w:eastAsia="Times New Roman" w:hAnsi="Arial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E74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7426"/>
    <w:rPr>
      <w:rFonts w:ascii="Arial" w:eastAsia="Times New Roman" w:hAnsi="Arial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E7426"/>
    <w:pPr>
      <w:spacing w:after="160" w:line="240" w:lineRule="auto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E7426"/>
    <w:rPr>
      <w:rFonts w:ascii="Times New Roman" w:eastAsia="Times New Roman" w:hAnsi="Times New Roman"/>
      <w:lang w:eastAsia="cs-CZ"/>
    </w:rPr>
  </w:style>
  <w:style w:type="character" w:styleId="Znakapoznpodarou">
    <w:name w:val="footnote reference"/>
    <w:basedOn w:val="Standardnpsmoodstavce"/>
    <w:semiHidden/>
    <w:rsid w:val="00EE742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77467"/>
    <w:pPr>
      <w:spacing w:after="220" w:line="36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Reprostredisko\2017\-%20014006-17_%20Ceny%20nemovitost&#237;%202014-16\opr\Publikace%20cb%20CZ_2017-08-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BA9A-CF52-4B3E-9CB5-9043E4B6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cb CZ_2017-08-14.dotx</Template>
  <TotalTime>670</TotalTime>
  <Pages>3</Pages>
  <Words>1353</Words>
  <Characters>7983</Characters>
  <Application>Microsoft Office Word</Application>
  <DocSecurity>0</DocSecurity>
  <Lines>66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Company>CSU</Company>
  <LinksUpToDate>false</LinksUpToDate>
  <CharactersWithSpaces>9318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Kučerová</dc:creator>
  <cp:lastModifiedBy>Kohoutová Barbora</cp:lastModifiedBy>
  <cp:revision>48</cp:revision>
  <cp:lastPrinted>2022-12-23T13:25:00Z</cp:lastPrinted>
  <dcterms:created xsi:type="dcterms:W3CDTF">2020-12-07T12:15:00Z</dcterms:created>
  <dcterms:modified xsi:type="dcterms:W3CDTF">2026-07-09T05:53:00Z</dcterms:modified>
</cp:coreProperties>
</file>