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B7" w:rsidRDefault="00F63FB7" w:rsidP="0060487F">
      <w:pPr>
        <w:pStyle w:val="Styl1"/>
        <w:rPr>
          <w:rFonts w:cs="Arial"/>
          <w:sz w:val="20"/>
        </w:rPr>
      </w:pPr>
    </w:p>
    <w:p w:rsidR="00F63FB7" w:rsidRDefault="00CE74C9">
      <w:pPr>
        <w:spacing w:line="240" w:lineRule="auto"/>
        <w:rPr>
          <w:rFonts w:cs="Arial"/>
          <w:lang w:eastAsia="ar-SA"/>
        </w:rPr>
      </w:pPr>
      <w:r>
        <w:rPr>
          <w:rFonts w:cs="Arial"/>
          <w:noProof/>
        </w:rPr>
        <w:pict>
          <v:group id="Skupina 37" o:spid="_x0000_s1049" style="position:absolute;margin-left:47.9pt;margin-top:39.95pt;width:171.8pt;height:40.55pt;z-index:251662848;mso-position-horizontal-relative:page;mso-position-vertical-relative:page;mso-width-relative:margin;mso-height-relative:margin" coordsize="1671002,395288">
            <o:lock v:ext="edit" aspectratio="t"/>
            <v:rect id="Rectangle 5" o:spid="_x0000_s1050" style="position:absolute;left:395287;top:4763;width:419100;height:98425;visibility:visible" fillcolor="#0071bc" stroked="f"/>
            <v:rect id="Rectangle 6" o:spid="_x0000_s1051" style="position:absolute;top:147638;width:814705;height:97790;visibility:visible" fillcolor="#0071bc" stroked="f"/>
            <v:rect id="Rectangle 7" o:spid="_x0000_s1052" style="position:absolute;left:357187;top:295275;width:457200;height:97790;visibility:visible" fillcolor="#0071bc" stroked="f"/>
            <v:shape id="Freeform 8" o:spid="_x0000_s1053" style="position:absolute;left:862012;top:290513;width:455295;height:104775;visibility:visible;mso-wrap-style:square;v-text-anchor:top"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34559,3175;14268,16193;1268,40640;2536,67628;15536,89535;37096,102235;63729,103823;85923,95250;103044,74613;107483,47308;99873,24448;81167,6350;53900,0;62143,26353;73557,33020;80216,44133;81167,58103;75143,70168;64363,78105;51046,80010;38364,75248;29803,65405;26633,52070;29803,39053;38681,29528;51046,25083;120482,3175;173748,40958;248890,3175;246037,62548;290742,3175;380152,6033;351617,1270;327838,9843;311668,27940;305327,53023;310717,75565;326887,93980;351934,103505;380152,99060;369689,76835;355739,79375;340520,73025;333228,61595;332277,46990;337984,35560;347812,27940;361129,26035;375396,31750;455295,3175;425175,79693;425175,24765" o:connectangles="0,0,0,0,0,0,0,0,0,0,0,0,0,0,0,0,0,0,0,0,0,0,0,0,0,0,0,0,0,0,0,0,0,0,0,0,0,0,0,0,0,0,0,0,0,0,0,0,0,0,0,0"/>
              <o:lock v:ext="edit" verticies="t"/>
            </v:shape>
            <v:shape id="Freeform 9" o:spid="_x0000_s1054" style="position:absolute;left:862012;top:147638;width:808990;height:102870;visibility:visible;mso-wrap-style:square;v-text-anchor:top"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45067,317;20629,3482;6348,19308;5078,41465;18408,56025;44115,66153;41894,78181;25073,79764;4126,94007;33642,102237;59349,95273;71409,75649;67601,52226;47924,40515;30468,31019;36816,21524;53954,24689;79026,23739;244379,100021;204072,63621;240571,1899;320867,1899;419888,2849;393228,317;374186,11078;366886,32918;372916,50327;401163,62672;408462,73433;396402,81030;377042,73433;384024,100654;412588,100021;430996,85778;433852,58240;424331,45896;395767,34184;395450,24689;408462,21524;508435,23739;487489,23739;629673,2849;592857,3798;567785,26904;562389,61405;578575,89260;613487,102870;631260,72167;611900,77865;596666,71534;588097,54758;592540,36400;606187,25638;626499,27221;717268,100021;710921,82929;753767,100021" o:connectangles="0,0,0,0,0,0,0,0,0,0,0,0,0,0,0,0,0,0,0,0,0,0,0,0,0,0,0,0,0,0,0,0,0,0,0,0,0,0,0,0,0,0,0,0,0,0,0,0,0,0,0,0,0,0,0,0,0"/>
              <o:lock v:ext="edit" verticies="t"/>
            </v:shape>
            <v:shape id="Freeform 10" o:spid="_x0000_s1055" style="position:absolute;left:862012;width:421005;height:102870;visibility:visible;mso-wrap-style:square;v-text-anchor:top"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57107,317;36168,2532;18718,12028;6345,26904;635,46529;2221,65837;9835,82296;25698,95590;46637,102553;66942,100338;69797,72167;58693,77548;47906,77548;39340,74383;31409,67419;26967,57607;26967,46212;30774,36084;37754,29120;47272,25005;59010,25322;70115,30703;123732,78181;127222,23739;123732,78181;179570,100021;204950,61405;204950,23739;308060,1266;286804,1266;268085,8863;254126,22790;246194,41148;246194,61405;252540,78181;266499,93058;286169,101604;306791,101604;317578,70268;306791,76599;295687,77865;286804,75332;278238,69635;272844,60456;271892,48745;274748,38616;281093,30703;289976,25955;301398,25005;312819,29120;319799,5064;333758,100021;395624,100021;395624,40198" o:connectangles="0,0,0,0,0,0,0,0,0,0,0,0,0,0,0,0,0,0,0,0,0,0,0,0,0,0,0,0,0,0,0,0,0,0,0,0,0,0,0,0,0,0,0,0,0,0,0,0,0,0,0,0,0,0"/>
              <o:lock v:ext="edit" verticies="t"/>
            </v:shape>
            <w10:wrap anchorx="page" anchory="page"/>
          </v:group>
        </w:pict>
      </w:r>
      <w:r w:rsidRPr="00CE74C9">
        <w:rPr>
          <w:rFonts w:cs="Arial"/>
          <w:noProof/>
          <w:lang w:val="en-US" w:eastAsia="en-US"/>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D36D86" w:rsidRPr="005251DD" w:rsidRDefault="00D36D86" w:rsidP="004F191F">
                  <w:r w:rsidRPr="000844AC">
                    <w:rPr>
                      <w:lang w:val="en-GB"/>
                    </w:rPr>
                    <w:t>Czech Statistical Office, Prague</w:t>
                  </w:r>
                  <w:r>
                    <w:t>, 2015</w:t>
                  </w:r>
                </w:p>
              </w:txbxContent>
            </v:textbox>
            <w10:wrap anchorx="page" anchory="page"/>
            <w10:anchorlock/>
          </v:shape>
        </w:pict>
      </w:r>
      <w:r w:rsidRPr="00CE74C9">
        <w:rPr>
          <w:rFonts w:cs="Arial"/>
          <w:noProof/>
          <w:lang w:val="en-US" w:eastAsia="en-US"/>
        </w:rPr>
        <w:pict>
          <v:shape id="_x0000_s1027" type="#_x0000_t202" style="position:absolute;margin-left:134.75pt;margin-top:602.45pt;width:394.65pt;height:122.2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" filled="f" stroked="f">
            <v:textbox inset="0,0,0,0">
              <w:txbxContent>
                <w:p w:rsidR="00D36D86" w:rsidRPr="00AF0275" w:rsidRDefault="00D36D86" w:rsidP="004F2A73">
                  <w:pPr>
                    <w:pStyle w:val="TL-Identifikace-dole"/>
                    <w:rPr>
                      <w:lang w:val="en-GB"/>
                    </w:rPr>
                  </w:pPr>
                  <w:r w:rsidRPr="00AF0275">
                    <w:rPr>
                      <w:lang w:val="en-GB"/>
                    </w:rPr>
                    <w:t>Prepared by: O</w:t>
                  </w:r>
                  <w:r>
                    <w:rPr>
                      <w:lang w:val="en-GB"/>
                    </w:rPr>
                    <w:t>ffice of the President of the CZSO</w:t>
                  </w:r>
                  <w:r w:rsidRPr="00AF0275">
                    <w:rPr>
                      <w:lang w:val="en-GB"/>
                    </w:rPr>
                    <w:t xml:space="preserve"> </w:t>
                  </w:r>
                </w:p>
                <w:p w:rsidR="00D36D86" w:rsidRPr="00AF0275" w:rsidRDefault="00D36D86" w:rsidP="004F191F">
                  <w:pPr>
                    <w:pStyle w:val="TL-Identifikace-dole"/>
                    <w:rPr>
                      <w:lang w:val="en-GB"/>
                    </w:rPr>
                  </w:pPr>
                  <w:r>
                    <w:rPr>
                      <w:lang w:val="en-GB"/>
                    </w:rPr>
                    <w:t>Office Manager</w:t>
                  </w:r>
                  <w:r w:rsidRPr="00AF0275">
                    <w:rPr>
                      <w:lang w:val="en-GB"/>
                    </w:rPr>
                    <w:t>: Egor Sidorov, Ph.D.</w:t>
                  </w:r>
                </w:p>
                <w:p w:rsidR="00D36D86" w:rsidRPr="00AF0275" w:rsidRDefault="00D36D86" w:rsidP="004F191F">
                  <w:pPr>
                    <w:pStyle w:val="TL-Identifikace-dole"/>
                    <w:rPr>
                      <w:lang w:val="en-GB"/>
                    </w:rPr>
                  </w:pPr>
                  <w:r w:rsidRPr="00AF0275">
                    <w:rPr>
                      <w:lang w:val="en-GB"/>
                    </w:rPr>
                    <w:t xml:space="preserve">Authors of </w:t>
                  </w:r>
                  <w:r>
                    <w:rPr>
                      <w:lang w:val="en-GB"/>
                    </w:rPr>
                    <w:t>P</w:t>
                  </w:r>
                  <w:r w:rsidRPr="00AF0275">
                    <w:rPr>
                      <w:lang w:val="en-GB"/>
                    </w:rPr>
                    <w:t xml:space="preserve">ublication: </w:t>
                  </w:r>
                  <w:proofErr w:type="spellStart"/>
                  <w:r w:rsidRPr="00AF0275">
                    <w:rPr>
                      <w:lang w:val="en-GB"/>
                    </w:rPr>
                    <w:t>Ing</w:t>
                  </w:r>
                  <w:proofErr w:type="spellEnd"/>
                  <w:r w:rsidRPr="00AF0275">
                    <w:rPr>
                      <w:lang w:val="en-GB"/>
                    </w:rPr>
                    <w:t xml:space="preserve">. </w:t>
                  </w:r>
                  <w:proofErr w:type="spellStart"/>
                  <w:r w:rsidRPr="00AF0275">
                    <w:rPr>
                      <w:lang w:val="en-GB"/>
                    </w:rPr>
                    <w:t>Drahomíra</w:t>
                  </w:r>
                  <w:proofErr w:type="spellEnd"/>
                  <w:r w:rsidRPr="00AF0275">
                    <w:rPr>
                      <w:lang w:val="en-GB"/>
                    </w:rPr>
                    <w:t xml:space="preserve"> </w:t>
                  </w:r>
                  <w:proofErr w:type="spellStart"/>
                  <w:r w:rsidRPr="00AF0275">
                    <w:rPr>
                      <w:lang w:val="en-GB"/>
                    </w:rPr>
                    <w:t>Dubská</w:t>
                  </w:r>
                  <w:proofErr w:type="spellEnd"/>
                  <w:r w:rsidRPr="00AF0275">
                    <w:rPr>
                      <w:lang w:val="en-GB"/>
                    </w:rPr>
                    <w:t xml:space="preserve">, </w:t>
                  </w:r>
                  <w:proofErr w:type="spellStart"/>
                  <w:proofErr w:type="gramStart"/>
                  <w:r w:rsidRPr="00AF0275">
                    <w:rPr>
                      <w:lang w:val="en-GB"/>
                    </w:rPr>
                    <w:t>CSc</w:t>
                  </w:r>
                  <w:proofErr w:type="spellEnd"/>
                  <w:r w:rsidRPr="00AF0275">
                    <w:rPr>
                      <w:lang w:val="en-GB"/>
                    </w:rPr>
                    <w:t>.,</w:t>
                  </w:r>
                  <w:proofErr w:type="gramEnd"/>
                  <w:r w:rsidRPr="00AF0275">
                    <w:rPr>
                      <w:lang w:val="en-GB"/>
                    </w:rPr>
                    <w:t xml:space="preserve"> </w:t>
                  </w:r>
                  <w:proofErr w:type="spellStart"/>
                  <w:r w:rsidRPr="00AF0275">
                    <w:rPr>
                      <w:lang w:val="en-GB"/>
                    </w:rPr>
                    <w:t>Ing</w:t>
                  </w:r>
                  <w:proofErr w:type="spellEnd"/>
                  <w:r w:rsidRPr="00AF0275">
                    <w:rPr>
                      <w:lang w:val="en-GB"/>
                    </w:rPr>
                    <w:t xml:space="preserve">. Emilie </w:t>
                  </w:r>
                  <w:proofErr w:type="spellStart"/>
                  <w:r w:rsidRPr="00AF0275">
                    <w:rPr>
                      <w:lang w:val="en-GB"/>
                    </w:rPr>
                    <w:t>Jašová</w:t>
                  </w:r>
                  <w:proofErr w:type="spellEnd"/>
                  <w:r w:rsidRPr="00AF0275">
                    <w:rPr>
                      <w:lang w:val="en-GB"/>
                    </w:rPr>
                    <w:t xml:space="preserve">, </w:t>
                  </w:r>
                  <w:proofErr w:type="spellStart"/>
                  <w:r w:rsidRPr="00AF0275">
                    <w:rPr>
                      <w:lang w:val="en-GB"/>
                    </w:rPr>
                    <w:t>Bc</w:t>
                  </w:r>
                  <w:proofErr w:type="spellEnd"/>
                  <w:r w:rsidRPr="00AF0275">
                    <w:rPr>
                      <w:lang w:val="en-GB"/>
                    </w:rPr>
                    <w:t xml:space="preserve">. </w:t>
                  </w:r>
                  <w:proofErr w:type="spellStart"/>
                  <w:r w:rsidRPr="00AF0275">
                    <w:rPr>
                      <w:lang w:val="en-GB"/>
                    </w:rPr>
                    <w:t>Jiří</w:t>
                  </w:r>
                  <w:proofErr w:type="spellEnd"/>
                  <w:r w:rsidRPr="00AF0275">
                    <w:rPr>
                      <w:lang w:val="en-GB"/>
                    </w:rPr>
                    <w:t xml:space="preserve"> </w:t>
                  </w:r>
                  <w:proofErr w:type="spellStart"/>
                  <w:r w:rsidRPr="00AF0275">
                    <w:rPr>
                      <w:lang w:val="en-GB"/>
                    </w:rPr>
                    <w:t>Kamenický</w:t>
                  </w:r>
                  <w:proofErr w:type="spellEnd"/>
                  <w:r w:rsidRPr="00AF0275">
                    <w:rPr>
                      <w:lang w:val="en-GB"/>
                    </w:rPr>
                    <w:t xml:space="preserve">, </w:t>
                  </w:r>
                  <w:proofErr w:type="spellStart"/>
                  <w:r w:rsidRPr="00AF0275">
                    <w:rPr>
                      <w:lang w:val="en-GB"/>
                    </w:rPr>
                    <w:t>Ing</w:t>
                  </w:r>
                  <w:proofErr w:type="spellEnd"/>
                  <w:r w:rsidRPr="00AF0275">
                    <w:rPr>
                      <w:lang w:val="en-GB"/>
                    </w:rPr>
                    <w:t>. Lukáš Kučera</w:t>
                  </w:r>
                </w:p>
                <w:p w:rsidR="00D36D86" w:rsidRPr="00AF0275" w:rsidRDefault="00D36D86" w:rsidP="00AF0275">
                  <w:pPr>
                    <w:pStyle w:val="TL-Identifikace-dole"/>
                    <w:spacing w:after="0"/>
                    <w:rPr>
                      <w:lang w:val="en-GB"/>
                    </w:rPr>
                  </w:pPr>
                  <w:r w:rsidRPr="00AF0275">
                    <w:rPr>
                      <w:lang w:val="en-GB"/>
                    </w:rPr>
                    <w:t xml:space="preserve">Contact </w:t>
                  </w:r>
                  <w:r>
                    <w:rPr>
                      <w:lang w:val="en-GB"/>
                    </w:rPr>
                    <w:t>P</w:t>
                  </w:r>
                  <w:r w:rsidRPr="00AF0275">
                    <w:rPr>
                      <w:lang w:val="en-GB"/>
                    </w:rPr>
                    <w:t xml:space="preserve">erson: </w:t>
                  </w:r>
                  <w:proofErr w:type="spellStart"/>
                  <w:r w:rsidRPr="00AF0275">
                    <w:rPr>
                      <w:lang w:val="en-GB"/>
                    </w:rPr>
                    <w:t>Ing</w:t>
                  </w:r>
                  <w:proofErr w:type="spellEnd"/>
                  <w:r w:rsidRPr="00AF0275">
                    <w:rPr>
                      <w:lang w:val="en-GB"/>
                    </w:rPr>
                    <w:t xml:space="preserve">. Emilie Jašová, </w:t>
                  </w:r>
                </w:p>
                <w:p w:rsidR="00D36D86" w:rsidRPr="00AF0275" w:rsidRDefault="00D36D86" w:rsidP="00AF0275">
                  <w:pPr>
                    <w:pStyle w:val="TL-Identifikace-dole"/>
                    <w:spacing w:after="0"/>
                    <w:rPr>
                      <w:lang w:val="en-GB"/>
                    </w:rPr>
                  </w:pPr>
                  <w:proofErr w:type="gramStart"/>
                  <w:r w:rsidRPr="00AF0275">
                    <w:rPr>
                      <w:lang w:val="en-GB"/>
                    </w:rPr>
                    <w:t>e-mail</w:t>
                  </w:r>
                  <w:proofErr w:type="gramEnd"/>
                  <w:r w:rsidRPr="00AF0275">
                    <w:rPr>
                      <w:lang w:val="en-GB"/>
                    </w:rPr>
                    <w:t xml:space="preserve">: </w:t>
                  </w:r>
                  <w:hyperlink r:id="rId8" w:history="1">
                    <w:r w:rsidRPr="00AF0275">
                      <w:rPr>
                        <w:rStyle w:val="Hypertextovodkaz"/>
                        <w:lang w:val="en-GB"/>
                      </w:rPr>
                      <w:t>emilie.jasova@czso.cz</w:t>
                    </w:r>
                  </w:hyperlink>
                  <w:r>
                    <w:rPr>
                      <w:lang w:val="en-GB"/>
                    </w:rPr>
                    <w:t>, phone number: (+420) 274 05</w:t>
                  </w:r>
                  <w:r w:rsidRPr="00AF0275">
                    <w:rPr>
                      <w:lang w:val="en-GB"/>
                    </w:rPr>
                    <w:t>4</w:t>
                  </w:r>
                  <w:r>
                    <w:rPr>
                      <w:lang w:val="en-GB"/>
                    </w:rPr>
                    <w:t xml:space="preserve"> </w:t>
                  </w:r>
                  <w:r w:rsidRPr="00AF0275">
                    <w:rPr>
                      <w:lang w:val="en-GB"/>
                    </w:rPr>
                    <w:t>240</w:t>
                  </w:r>
                </w:p>
              </w:txbxContent>
            </v:textbox>
            <w10:wrap anchorx="page" anchory="page"/>
            <w10:anchorlock/>
          </v:shape>
        </w:pict>
      </w:r>
      <w:r w:rsidRPr="00CE74C9">
        <w:rPr>
          <w:rFonts w:cs="Arial"/>
          <w:noProof/>
          <w:lang w:val="en-US" w:eastAsia="en-US"/>
        </w:rPr>
        <w:pict>
          <v:shape id="Text Box 25" o:spid="_x0000_s1028" type="#_x0000_t202" style="position:absolute;margin-left:134.65pt;margin-top:358.2pt;width:394.6pt;height:155.55pt;z-index:2516597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C/tA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" filled="f" stroked="f">
            <v:textbox inset="0,0,0,0">
              <w:txbxContent>
                <w:p w:rsidR="00D36D86" w:rsidRPr="00293CE6" w:rsidRDefault="00D36D86" w:rsidP="004F191F">
                  <w:pPr>
                    <w:pStyle w:val="TL-identifikace-sted"/>
                    <w:rPr>
                      <w:lang w:val="en-GB"/>
                    </w:rPr>
                  </w:pPr>
                  <w:r w:rsidRPr="00293CE6">
                    <w:rPr>
                      <w:lang w:val="en-GB"/>
                    </w:rPr>
                    <w:t>Cross-thematic information</w:t>
                  </w:r>
                </w:p>
                <w:p w:rsidR="00D36D86" w:rsidRPr="00CB2698" w:rsidRDefault="00D36D86" w:rsidP="004F191F">
                  <w:pPr>
                    <w:pStyle w:val="TL-identifikace-sted"/>
                    <w:rPr>
                      <w:lang w:val="en-GB"/>
                    </w:rPr>
                  </w:pPr>
                  <w:r w:rsidRPr="00CB2698">
                    <w:rPr>
                      <w:lang w:val="en-GB"/>
                    </w:rPr>
                    <w:t>Prague, 23</w:t>
                  </w:r>
                  <w:r w:rsidRPr="00CB2698">
                    <w:rPr>
                      <w:vertAlign w:val="superscript"/>
                      <w:lang w:val="en-GB"/>
                    </w:rPr>
                    <w:t>rd</w:t>
                  </w:r>
                  <w:r w:rsidRPr="00CB2698">
                    <w:rPr>
                      <w:lang w:val="en-GB"/>
                    </w:rPr>
                    <w:t xml:space="preserve"> April 2015</w:t>
                  </w:r>
                </w:p>
                <w:p w:rsidR="00D36D86" w:rsidRPr="00293CE6" w:rsidRDefault="00D36D86" w:rsidP="004F191F">
                  <w:pPr>
                    <w:pStyle w:val="TL-identifikace-sted"/>
                    <w:rPr>
                      <w:lang w:val="en-GB"/>
                    </w:rPr>
                  </w:pPr>
                  <w:r>
                    <w:rPr>
                      <w:lang w:val="en-GB"/>
                    </w:rPr>
                    <w:t>Publication code</w:t>
                  </w:r>
                  <w:r w:rsidRPr="00293CE6">
                    <w:rPr>
                      <w:lang w:val="en-GB"/>
                    </w:rPr>
                    <w:t>: 32019</w:t>
                  </w:r>
                  <w:r>
                    <w:rPr>
                      <w:lang w:val="en-GB"/>
                    </w:rPr>
                    <w:t>4</w:t>
                  </w:r>
                  <w:r w:rsidRPr="00293CE6">
                    <w:rPr>
                      <w:lang w:val="en-GB"/>
                    </w:rPr>
                    <w:t>-14</w:t>
                  </w:r>
                </w:p>
                <w:p w:rsidR="00D36D86" w:rsidRPr="00293CE6" w:rsidRDefault="00D36D86" w:rsidP="004F191F">
                  <w:pPr>
                    <w:spacing w:after="200"/>
                    <w:rPr>
                      <w:sz w:val="24"/>
                      <w:lang w:val="en-GB"/>
                    </w:rPr>
                  </w:pPr>
                  <w:r>
                    <w:rPr>
                      <w:sz w:val="24"/>
                      <w:lang w:val="en-GB"/>
                    </w:rPr>
                    <w:t xml:space="preserve">Reference </w:t>
                  </w:r>
                  <w:r w:rsidRPr="00CB2698">
                    <w:rPr>
                      <w:sz w:val="24"/>
                      <w:lang w:val="en-GB"/>
                    </w:rPr>
                    <w:t>No.: 785 / 2015 - 01</w:t>
                  </w:r>
                </w:p>
                <w:p w:rsidR="00D36D86" w:rsidRPr="00293CE6" w:rsidRDefault="00D36D86" w:rsidP="004F191F">
                  <w:pPr>
                    <w:spacing w:after="200"/>
                    <w:rPr>
                      <w:sz w:val="24"/>
                      <w:lang w:val="en-GB"/>
                    </w:rPr>
                  </w:pPr>
                  <w:r>
                    <w:rPr>
                      <w:sz w:val="24"/>
                      <w:lang w:val="en-GB"/>
                    </w:rPr>
                    <w:t>Yearly publication number</w:t>
                  </w:r>
                  <w:r w:rsidRPr="00293CE6">
                    <w:rPr>
                      <w:sz w:val="24"/>
                      <w:lang w:val="en-GB"/>
                    </w:rPr>
                    <w:t xml:space="preserve">: </w:t>
                  </w:r>
                  <w:r>
                    <w:rPr>
                      <w:sz w:val="24"/>
                      <w:lang w:val="en-GB"/>
                    </w:rPr>
                    <w:t>2</w:t>
                  </w:r>
                </w:p>
              </w:txbxContent>
            </v:textbox>
            <w10:wrap anchorx="page" anchory="page"/>
            <w10:anchorlock/>
          </v:shape>
        </w:pict>
      </w:r>
      <w:r w:rsidRPr="00CE74C9">
        <w:rPr>
          <w:rFonts w:cs="Arial"/>
          <w:noProof/>
          <w:lang w:val="en-US" w:eastAsia="en-US"/>
        </w:rPr>
        <w:pict>
          <v:shape id="_x0000_s1029" type="#_x0000_t202" style="position:absolute;margin-left:134.65pt;margin-top:116.25pt;width:371.15pt;height:135.25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Iug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" filled="f" stroked="f">
            <v:textbox style="mso-fit-shape-to-text:t" inset="0,0,0,0">
              <w:txbxContent>
                <w:p w:rsidR="00D36D86" w:rsidRPr="001C357A" w:rsidRDefault="00D36D86" w:rsidP="001C357A">
                  <w:pPr>
                    <w:pStyle w:val="Podtitul"/>
                    <w:rPr>
                      <w:sz w:val="56"/>
                      <w:szCs w:val="56"/>
                    </w:rPr>
                  </w:pPr>
                  <w:r>
                    <w:rPr>
                      <w:sz w:val="56"/>
                      <w:szCs w:val="56"/>
                    </w:rPr>
                    <w:t>THE CZECH ECONOMY DEVELOPMENT IN 2014</w:t>
                  </w:r>
                </w:p>
                <w:p w:rsidR="00D36D86" w:rsidRPr="009B04D0" w:rsidRDefault="00D36D86" w:rsidP="004F191F">
                  <w:pPr>
                    <w:pStyle w:val="Podtitul"/>
                  </w:pPr>
                </w:p>
              </w:txbxContent>
            </v:textbox>
            <w10:wrap anchorx="page" anchory="page"/>
            <w10:anchorlock/>
          </v:shape>
        </w:pict>
      </w:r>
    </w:p>
    <w:p w:rsidR="003F313C" w:rsidRDefault="003F313C" w:rsidP="0060487F">
      <w:pPr>
        <w:pStyle w:val="Styl1"/>
        <w:rPr>
          <w:rFonts w:cs="Arial"/>
          <w:sz w:val="20"/>
        </w:rPr>
      </w:pPr>
    </w:p>
    <w:p w:rsidR="003F313C" w:rsidRDefault="003F313C" w:rsidP="0060487F">
      <w:pPr>
        <w:pStyle w:val="Styl1"/>
        <w:rPr>
          <w:rFonts w:cs="Arial"/>
          <w:sz w:val="20"/>
        </w:rPr>
      </w:pPr>
    </w:p>
    <w:p w:rsidR="00F63FB7" w:rsidRDefault="00F63FB7" w:rsidP="0060487F">
      <w:pPr>
        <w:pStyle w:val="Styl1"/>
        <w:rPr>
          <w:rFonts w:cs="Arial"/>
          <w:sz w:val="20"/>
        </w:rPr>
      </w:pPr>
    </w:p>
    <w:p w:rsidR="001F3E68" w:rsidRDefault="001F3E68" w:rsidP="00D31932">
      <w:pPr>
        <w:autoSpaceDE w:val="0"/>
        <w:autoSpaceDN w:val="0"/>
        <w:adjustRightInd w:val="0"/>
        <w:spacing w:line="240" w:lineRule="auto"/>
        <w:jc w:val="both"/>
        <w:rPr>
          <w:rFonts w:cs="Arial"/>
        </w:rPr>
      </w:pPr>
    </w:p>
    <w:p w:rsidR="00F63FB7" w:rsidRDefault="00CE74C9" w:rsidP="00D31932">
      <w:pPr>
        <w:autoSpaceDE w:val="0"/>
        <w:autoSpaceDN w:val="0"/>
        <w:adjustRightInd w:val="0"/>
        <w:spacing w:line="240" w:lineRule="auto"/>
        <w:jc w:val="both"/>
        <w:rPr>
          <w:rFonts w:cs="Arial"/>
          <w:lang w:eastAsia="ar-SA"/>
        </w:rPr>
      </w:pPr>
      <w:r w:rsidRPr="00CE74C9">
        <w:rPr>
          <w:noProof/>
          <w:lang w:val="en-US" w:eastAsia="en-US"/>
        </w:rPr>
        <w:pict>
          <v:line id="Přímá spojnice 33" o:spid="_x0000_s1040" style="position:absolute;left:0;text-align:left;z-index:251656704;visibility:visible;mso-wrap-distance-top:-6e-5mm;mso-wrap-distance-bottom:-6e-5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rPr>
          <w:rFonts w:cs="Arial"/>
        </w:rPr>
        <w:br w:type="page"/>
      </w:r>
    </w:p>
    <w:p w:rsidR="00F63FB7" w:rsidRDefault="00F63FB7" w:rsidP="0060487F">
      <w:pPr>
        <w:pStyle w:val="Styl1"/>
        <w:rPr>
          <w:rFonts w:cs="Arial"/>
          <w:sz w:val="20"/>
        </w:rPr>
      </w:pPr>
    </w:p>
    <w:p w:rsidR="003F313C" w:rsidRDefault="003F313C" w:rsidP="0060487F">
      <w:pPr>
        <w:pStyle w:val="Styl1"/>
        <w:rPr>
          <w:rFonts w:cs="Arial"/>
          <w:sz w:val="20"/>
        </w:rPr>
      </w:pPr>
    </w:p>
    <w:p w:rsidR="003F313C" w:rsidRDefault="003F313C">
      <w:pPr>
        <w:spacing w:line="240" w:lineRule="auto"/>
        <w:rPr>
          <w:rFonts w:cs="Arial"/>
          <w:lang w:eastAsia="ar-SA"/>
        </w:rPr>
      </w:pPr>
    </w:p>
    <w:p w:rsidR="0060487F" w:rsidRDefault="0060487F" w:rsidP="0060487F">
      <w:pPr>
        <w:pStyle w:val="Styl1"/>
        <w:rPr>
          <w:rFonts w:cs="Arial"/>
          <w:sz w:val="20"/>
        </w:rPr>
      </w:pPr>
    </w:p>
    <w:p w:rsidR="0060487F" w:rsidRPr="006404A7" w:rsidRDefault="00CE74C9" w:rsidP="0060487F">
      <w:pPr>
        <w:pStyle w:val="Styl1"/>
        <w:rPr>
          <w:rFonts w:cs="Arial"/>
          <w:color w:val="7DB41E"/>
          <w:sz w:val="20"/>
          <w:szCs w:val="20"/>
        </w:rPr>
      </w:pPr>
      <w:r w:rsidRPr="00CE74C9">
        <w:rPr>
          <w:noProof/>
          <w:lang w:val="en-US" w:eastAsia="en-US"/>
        </w:rPr>
        <w:pict>
          <v:shape id="_x0000_s1037" type="#_x0000_t202" style="position:absolute;margin-left:56.35pt;margin-top:101.25pt;width:481.9pt;height:639.7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R9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ZDYNwkbWD0BhJYFgQEbYfiC0Un3DaIBNkmP9dUcUxYi/EzAGdu1MgpqEzSQQUcHTHBuMRnFl&#10;xvW06xXbtoA8DpqQ1zAqDXMktjM1RnEcMNgOLpfjJrPr5/G/szrv2+Vv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BUidH29AgAAtwUAAA4AAAAAAAAAAAAAAAAALgIAAGRycy9lMm9Eb2MueG1sUEsBAi0AFAAGAAgA&#10;AAAhADy8ZjjhAAAADQEAAA8AAAAAAAAAAAAAAAAAFwUAAGRycy9kb3ducmV2LnhtbFBLBQYAAAAA&#10;BAAEAPMAAAAlBgAAAAA=&#10;" filled="f" stroked="f">
            <v:textbox inset="0,0,0,0">
              <w:txbxContent>
                <w:p w:rsidR="00D36D86" w:rsidRPr="00437C76" w:rsidRDefault="00D36D86" w:rsidP="00437C76">
                  <w:pPr>
                    <w:pStyle w:val="TL-Kontakty"/>
                  </w:pPr>
                  <w:r>
                    <w:rPr>
                      <w:rStyle w:val="TL-KontaktyChar"/>
                      <w:b/>
                    </w:rPr>
                    <w:t>CONTACTS IN THE HEADQUARTERS</w:t>
                  </w:r>
                </w:p>
                <w:p w:rsidR="00D36D86" w:rsidRPr="00EA4153" w:rsidRDefault="00D36D86" w:rsidP="00BD366B">
                  <w:pPr>
                    <w:spacing w:after="80" w:line="240" w:lineRule="auto"/>
                    <w:rPr>
                      <w:b/>
                      <w:color w:val="0071BC"/>
                    </w:rPr>
                  </w:pPr>
                  <w:r w:rsidRPr="00BD6971">
                    <w:rPr>
                      <w:b/>
                      <w:color w:val="0071BC"/>
                      <w:lang w:val="en-GB"/>
                    </w:rPr>
                    <w:t>Czech Statistical Office</w:t>
                  </w:r>
                  <w:r>
                    <w:rPr>
                      <w:b/>
                      <w:color w:val="0071BC"/>
                    </w:rPr>
                    <w:t xml:space="preserve"> | </w:t>
                  </w:r>
                  <w:r>
                    <w:t xml:space="preserve">Na padesátém 81, 100 82 Praha 10 | </w:t>
                  </w:r>
                  <w:proofErr w:type="spellStart"/>
                  <w:r>
                    <w:t>ph</w:t>
                  </w:r>
                  <w:proofErr w:type="spellEnd"/>
                  <w:r>
                    <w:t xml:space="preserve">.: (+420) 274 051 111 | </w:t>
                  </w:r>
                  <w:r w:rsidRPr="00841D9F">
                    <w:rPr>
                      <w:b/>
                      <w:bCs/>
                    </w:rPr>
                    <w:t>www.czso.cz</w:t>
                  </w:r>
                </w:p>
                <w:p w:rsidR="00D36D86" w:rsidRPr="00B27293" w:rsidRDefault="00D36D86" w:rsidP="00BD366B">
                  <w:pPr>
                    <w:spacing w:after="80" w:line="240" w:lineRule="auto"/>
                  </w:pPr>
                  <w:r w:rsidRPr="00BD6971">
                    <w:rPr>
                      <w:b/>
                      <w:lang w:val="en-GB"/>
                    </w:rPr>
                    <w:t>Information Services</w:t>
                  </w:r>
                  <w:r w:rsidRPr="00EA4153">
                    <w:t xml:space="preserve"> |</w:t>
                  </w:r>
                  <w:r>
                    <w:rPr>
                      <w:b/>
                    </w:rPr>
                    <w:t xml:space="preserve"> </w:t>
                  </w:r>
                  <w:proofErr w:type="spellStart"/>
                  <w:r>
                    <w:t>ph</w:t>
                  </w:r>
                  <w:proofErr w:type="spellEnd"/>
                  <w:r>
                    <w:t>.: (+420) 274 052 648, (+420) 274 052 304, (+420) 274 052 451 | e-mail: infoservis@czso.cz</w:t>
                  </w:r>
                </w:p>
                <w:p w:rsidR="00D36D86" w:rsidRPr="00171840" w:rsidRDefault="00D36D86" w:rsidP="00BD366B">
                  <w:pPr>
                    <w:spacing w:after="80" w:line="240" w:lineRule="auto"/>
                    <w:rPr>
                      <w:b/>
                      <w:lang w:val="en-GB"/>
                    </w:rPr>
                  </w:pPr>
                  <w:r w:rsidRPr="00171840">
                    <w:rPr>
                      <w:b/>
                      <w:lang w:val="en-GB"/>
                    </w:rPr>
                    <w:t xml:space="preserve">CZSO Publications Shop </w:t>
                  </w:r>
                  <w:r w:rsidRPr="00171840">
                    <w:rPr>
                      <w:lang w:val="en-GB"/>
                    </w:rPr>
                    <w:t xml:space="preserve">| ph.: </w:t>
                  </w:r>
                  <w:r>
                    <w:t xml:space="preserve">(+420) </w:t>
                  </w:r>
                  <w:r w:rsidRPr="00171840">
                    <w:rPr>
                      <w:lang w:val="en-GB"/>
                    </w:rPr>
                    <w:t>274 052 361 | e-mail: prodejna@czso.cz</w:t>
                  </w:r>
                </w:p>
                <w:p w:rsidR="00D36D86" w:rsidRPr="00171840" w:rsidRDefault="00D36D86" w:rsidP="00BD366B">
                  <w:pPr>
                    <w:spacing w:after="80" w:line="240" w:lineRule="auto"/>
                    <w:rPr>
                      <w:b/>
                      <w:lang w:val="en-GB"/>
                    </w:rPr>
                  </w:pPr>
                  <w:r>
                    <w:rPr>
                      <w:b/>
                      <w:lang w:val="en-GB"/>
                    </w:rPr>
                    <w:t>European D</w:t>
                  </w:r>
                  <w:r w:rsidRPr="00171840">
                    <w:rPr>
                      <w:b/>
                      <w:lang w:val="en-GB"/>
                    </w:rPr>
                    <w:t>ata (ESDS), international comparison</w:t>
                  </w:r>
                  <w:r w:rsidRPr="00171840">
                    <w:rPr>
                      <w:lang w:val="en-GB"/>
                    </w:rPr>
                    <w:t xml:space="preserve"> | ph.: </w:t>
                  </w:r>
                  <w:r>
                    <w:t xml:space="preserve">(+420) </w:t>
                  </w:r>
                  <w:r w:rsidRPr="00171840">
                    <w:rPr>
                      <w:lang w:val="en-GB"/>
                    </w:rPr>
                    <w:t xml:space="preserve">274 052 347, </w:t>
                  </w:r>
                  <w:r>
                    <w:t xml:space="preserve">(+420) </w:t>
                  </w:r>
                  <w:r w:rsidRPr="00171840">
                    <w:rPr>
                      <w:lang w:val="en-GB"/>
                    </w:rPr>
                    <w:t>274 052 757 | e-mail: esds@czso.cz</w:t>
                  </w:r>
                </w:p>
                <w:p w:rsidR="00D36D86" w:rsidRPr="00EA4153" w:rsidRDefault="00D36D86" w:rsidP="00BD366B">
                  <w:pPr>
                    <w:spacing w:after="80" w:line="240" w:lineRule="auto"/>
                    <w:rPr>
                      <w:b/>
                    </w:rPr>
                  </w:pPr>
                  <w:r w:rsidRPr="00171840">
                    <w:rPr>
                      <w:b/>
                      <w:lang w:val="en-GB"/>
                    </w:rPr>
                    <w:t xml:space="preserve">Central Statistical Library </w:t>
                  </w:r>
                  <w:r w:rsidRPr="00171840">
                    <w:rPr>
                      <w:lang w:val="en-GB"/>
                    </w:rPr>
                    <w:t>| ph.:</w:t>
                  </w:r>
                  <w:r>
                    <w:t xml:space="preserve"> (+420) 274 052 361 | e-mail: knihovna@czso.cz</w:t>
                  </w:r>
                </w:p>
                <w:p w:rsidR="00D36D86" w:rsidRDefault="00D36D86" w:rsidP="00BD366B">
                  <w:pPr>
                    <w:spacing w:line="240" w:lineRule="auto"/>
                  </w:pPr>
                </w:p>
                <w:p w:rsidR="00D36D86" w:rsidRPr="0071229A" w:rsidRDefault="00D36D86" w:rsidP="004F06F5">
                  <w:pPr>
                    <w:pStyle w:val="TL-Kontakty"/>
                  </w:pPr>
                  <w:r w:rsidRPr="0071229A">
                    <w:t>INFORMA</w:t>
                  </w:r>
                  <w:r>
                    <w:t>tion SERVICES IN THE REGIONS</w:t>
                  </w:r>
                </w:p>
                <w:p w:rsidR="00D36D86" w:rsidRDefault="00D36D86" w:rsidP="00BD366B">
                  <w:pPr>
                    <w:spacing w:line="240" w:lineRule="auto"/>
                  </w:pPr>
                  <w:proofErr w:type="spellStart"/>
                  <w:r>
                    <w:rPr>
                      <w:b/>
                      <w:color w:val="0071BC"/>
                    </w:rPr>
                    <w:t>Capital</w:t>
                  </w:r>
                  <w:proofErr w:type="spellEnd"/>
                  <w:r>
                    <w:rPr>
                      <w:b/>
                      <w:color w:val="0071BC"/>
                    </w:rPr>
                    <w:t xml:space="preserve"> City </w:t>
                  </w:r>
                  <w:proofErr w:type="spellStart"/>
                  <w:r>
                    <w:rPr>
                      <w:b/>
                      <w:color w:val="0071BC"/>
                    </w:rPr>
                    <w:t>of</w:t>
                  </w:r>
                  <w:proofErr w:type="spellEnd"/>
                  <w:r>
                    <w:rPr>
                      <w:b/>
                      <w:color w:val="0071BC"/>
                    </w:rPr>
                    <w:t xml:space="preserve"> </w:t>
                  </w:r>
                  <w:proofErr w:type="spellStart"/>
                  <w:r>
                    <w:rPr>
                      <w:b/>
                      <w:color w:val="0071BC"/>
                    </w:rPr>
                    <w:t>Prague</w:t>
                  </w:r>
                  <w:proofErr w:type="spellEnd"/>
                  <w:r>
                    <w:t xml:space="preserve"> | Na padesátém 81, 100 82 Praha 10 | </w:t>
                  </w:r>
                  <w:proofErr w:type="spellStart"/>
                  <w:r>
                    <w:t>ph</w:t>
                  </w:r>
                  <w:proofErr w:type="spellEnd"/>
                  <w:r>
                    <w:t>.: (+420) 274 052 673, (+420) 274 054 223</w:t>
                  </w:r>
                </w:p>
                <w:p w:rsidR="00D36D86" w:rsidRPr="00100014" w:rsidRDefault="00D36D86" w:rsidP="00BD366B">
                  <w:pPr>
                    <w:spacing w:line="240" w:lineRule="auto"/>
                    <w:rPr>
                      <w:b/>
                    </w:rPr>
                  </w:pPr>
                  <w:r>
                    <w:t xml:space="preserve">e-mail: infoservispraha@czso.cz | </w:t>
                  </w:r>
                  <w:r w:rsidRPr="00100014">
                    <w:rPr>
                      <w:b/>
                    </w:rPr>
                    <w:t>www.praha.czso.cz</w:t>
                  </w:r>
                </w:p>
                <w:p w:rsidR="00D36D86" w:rsidRDefault="00D36D86" w:rsidP="00BD366B">
                  <w:pPr>
                    <w:spacing w:line="240" w:lineRule="auto"/>
                  </w:pPr>
                </w:p>
                <w:p w:rsidR="00D36D86" w:rsidRPr="00B27293" w:rsidRDefault="00D36D86" w:rsidP="00BD366B">
                  <w:pPr>
                    <w:spacing w:line="240" w:lineRule="auto"/>
                    <w:rPr>
                      <w:b/>
                      <w:color w:val="0071BC"/>
                    </w:rPr>
                  </w:pPr>
                  <w:r>
                    <w:rPr>
                      <w:b/>
                      <w:color w:val="0071BC"/>
                    </w:rPr>
                    <w:t>Středočeský kraj</w:t>
                  </w:r>
                  <w:r>
                    <w:t xml:space="preserve"> | Na padesátém 81, 100 82 Praha 10</w:t>
                  </w:r>
                  <w:r w:rsidRPr="00B27293">
                    <w:t xml:space="preserve"> |</w:t>
                  </w:r>
                  <w:r w:rsidRPr="00B27293">
                    <w:rPr>
                      <w:b/>
                    </w:rPr>
                    <w:t xml:space="preserve"> </w:t>
                  </w:r>
                  <w:proofErr w:type="spellStart"/>
                  <w:r w:rsidRPr="008A44C5">
                    <w:t>ph</w:t>
                  </w:r>
                  <w:proofErr w:type="spellEnd"/>
                  <w:r w:rsidRPr="008A44C5">
                    <w:t>.:</w:t>
                  </w:r>
                  <w:r>
                    <w:t xml:space="preserve"> (+420) 274 054 175</w:t>
                  </w:r>
                </w:p>
                <w:p w:rsidR="00D36D86" w:rsidRPr="00B27293" w:rsidRDefault="00D36D86" w:rsidP="00BD366B">
                  <w:pPr>
                    <w:spacing w:line="240" w:lineRule="auto"/>
                  </w:pPr>
                  <w:r>
                    <w:t xml:space="preserve">e-mail: infoservisstc@czso.cz | </w:t>
                  </w:r>
                  <w:r w:rsidRPr="00100014">
                    <w:rPr>
                      <w:b/>
                    </w:rPr>
                    <w:t>www.stredocesky.czso.cz</w:t>
                  </w:r>
                </w:p>
                <w:p w:rsidR="00D36D86" w:rsidRDefault="00D36D86" w:rsidP="00BD366B">
                  <w:pPr>
                    <w:spacing w:line="240" w:lineRule="auto"/>
                  </w:pPr>
                </w:p>
                <w:p w:rsidR="00D36D86" w:rsidRPr="00B27293" w:rsidRDefault="00D36D86" w:rsidP="00BD366B">
                  <w:pPr>
                    <w:spacing w:line="240" w:lineRule="auto"/>
                    <w:rPr>
                      <w:b/>
                      <w:color w:val="0071BC"/>
                    </w:rPr>
                  </w:pPr>
                  <w:r w:rsidRPr="00100014">
                    <w:rPr>
                      <w:b/>
                      <w:color w:val="0071BC"/>
                    </w:rPr>
                    <w:t>České Budějovice</w:t>
                  </w:r>
                  <w:r>
                    <w:t xml:space="preserve"> | Žižkova 1, 370 77 České Budějovice | </w:t>
                  </w:r>
                  <w:proofErr w:type="spellStart"/>
                  <w:r>
                    <w:t>ph</w:t>
                  </w:r>
                  <w:proofErr w:type="spellEnd"/>
                  <w:r>
                    <w:t>.: (+420) 386 718 440</w:t>
                  </w:r>
                </w:p>
                <w:p w:rsidR="00D36D86" w:rsidRPr="00B27293" w:rsidRDefault="00D36D86" w:rsidP="00BD366B">
                  <w:pPr>
                    <w:spacing w:line="240" w:lineRule="auto"/>
                  </w:pPr>
                  <w:r>
                    <w:t xml:space="preserve">e-mail: infoserviscb@czso.cz | </w:t>
                  </w:r>
                  <w:r w:rsidRPr="00100014">
                    <w:rPr>
                      <w:b/>
                    </w:rPr>
                    <w:t>www.cbudejovice.czso.cz</w:t>
                  </w:r>
                </w:p>
                <w:p w:rsidR="00D36D86" w:rsidRDefault="00D36D86" w:rsidP="00BD366B">
                  <w:pPr>
                    <w:spacing w:line="240" w:lineRule="auto"/>
                  </w:pPr>
                </w:p>
                <w:p w:rsidR="00D36D86" w:rsidRPr="00B27293" w:rsidRDefault="00D36D86" w:rsidP="00BD366B">
                  <w:pPr>
                    <w:spacing w:line="240" w:lineRule="auto"/>
                    <w:rPr>
                      <w:b/>
                      <w:color w:val="0071BC"/>
                    </w:rPr>
                  </w:pPr>
                  <w:r w:rsidRPr="0071229A">
                    <w:rPr>
                      <w:b/>
                      <w:color w:val="0071BC"/>
                    </w:rPr>
                    <w:t>Plzeň</w:t>
                  </w:r>
                  <w:r>
                    <w:t xml:space="preserve"> | Slovanská alej 36, 326 64 Plzeň | </w:t>
                  </w:r>
                  <w:proofErr w:type="spellStart"/>
                  <w:r>
                    <w:t>ph</w:t>
                  </w:r>
                  <w:proofErr w:type="spellEnd"/>
                  <w:r>
                    <w:t>.: (+420) 377 612 108, (+420) 377 612 249</w:t>
                  </w:r>
                </w:p>
                <w:p w:rsidR="00D36D86" w:rsidRPr="00B27293" w:rsidRDefault="00D36D86" w:rsidP="00BD366B">
                  <w:pPr>
                    <w:spacing w:line="240" w:lineRule="auto"/>
                  </w:pPr>
                  <w:r>
                    <w:t xml:space="preserve">e-mail: infoservisplzen@czso.cz | </w:t>
                  </w:r>
                  <w:r w:rsidRPr="0071229A">
                    <w:rPr>
                      <w:b/>
                    </w:rPr>
                    <w:t>www.plzen.czso.cz</w:t>
                  </w:r>
                </w:p>
                <w:p w:rsidR="00D36D86" w:rsidRDefault="00D36D86" w:rsidP="00BD366B">
                  <w:pPr>
                    <w:spacing w:line="240" w:lineRule="auto"/>
                  </w:pPr>
                </w:p>
                <w:p w:rsidR="00D36D86" w:rsidRPr="00B27293" w:rsidRDefault="00D36D86" w:rsidP="00BD366B">
                  <w:pPr>
                    <w:spacing w:line="240" w:lineRule="auto"/>
                    <w:rPr>
                      <w:b/>
                      <w:color w:val="0071BC"/>
                    </w:rPr>
                  </w:pPr>
                  <w:r w:rsidRPr="0071229A">
                    <w:rPr>
                      <w:b/>
                      <w:color w:val="0071BC"/>
                    </w:rPr>
                    <w:t>Karlovy Vary</w:t>
                  </w:r>
                  <w:r>
                    <w:t xml:space="preserve"> | Sportovní 28, 360 01 Karlovy Vary | </w:t>
                  </w:r>
                  <w:proofErr w:type="spellStart"/>
                  <w:r>
                    <w:t>ph</w:t>
                  </w:r>
                  <w:proofErr w:type="spellEnd"/>
                  <w:r>
                    <w:t>.: (+420) 353 114 529, (+420) 353 114 525</w:t>
                  </w:r>
                </w:p>
                <w:p w:rsidR="00D36D86" w:rsidRDefault="00D36D86" w:rsidP="00BD366B">
                  <w:pPr>
                    <w:spacing w:line="240" w:lineRule="auto"/>
                    <w:rPr>
                      <w:b/>
                    </w:rPr>
                  </w:pPr>
                  <w:r>
                    <w:t xml:space="preserve">e-mail: infoserviskv@czso.cz | </w:t>
                  </w:r>
                  <w:r>
                    <w:rPr>
                      <w:b/>
                    </w:rPr>
                    <w:t>www.kvary.czso.cz</w:t>
                  </w:r>
                </w:p>
                <w:p w:rsidR="00D36D86" w:rsidRDefault="00D36D86" w:rsidP="00BD366B">
                  <w:pPr>
                    <w:spacing w:line="240" w:lineRule="auto"/>
                  </w:pPr>
                </w:p>
                <w:p w:rsidR="00D36D86" w:rsidRPr="00B27293" w:rsidRDefault="00D36D86"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proofErr w:type="spellStart"/>
                  <w:r>
                    <w:t>ph</w:t>
                  </w:r>
                  <w:proofErr w:type="spellEnd"/>
                  <w:r w:rsidRPr="0071229A">
                    <w:rPr>
                      <w:bCs/>
                    </w:rPr>
                    <w:t xml:space="preserve">.: </w:t>
                  </w:r>
                  <w:r>
                    <w:t xml:space="preserve">(+420) </w:t>
                  </w:r>
                  <w:r w:rsidRPr="0071229A">
                    <w:rPr>
                      <w:bCs/>
                    </w:rPr>
                    <w:t xml:space="preserve">472 706 176, </w:t>
                  </w:r>
                  <w:r>
                    <w:t xml:space="preserve">(+420) </w:t>
                  </w:r>
                  <w:r w:rsidRPr="0071229A">
                    <w:rPr>
                      <w:bCs/>
                    </w:rPr>
                    <w:t>472 706 121</w:t>
                  </w:r>
                </w:p>
                <w:p w:rsidR="00D36D86" w:rsidRPr="00B27293" w:rsidRDefault="00D36D86" w:rsidP="00BD366B">
                  <w:pPr>
                    <w:spacing w:line="240" w:lineRule="auto"/>
                    <w:rPr>
                      <w:bCs/>
                    </w:rPr>
                  </w:pPr>
                  <w:r w:rsidRPr="0071229A">
                    <w:rPr>
                      <w:bCs/>
                    </w:rPr>
                    <w:t>e-mail: infoservisul@czso.cz</w:t>
                  </w:r>
                  <w:r>
                    <w:t xml:space="preserve"> | </w:t>
                  </w:r>
                  <w:r w:rsidRPr="0071229A">
                    <w:rPr>
                      <w:b/>
                      <w:bCs/>
                    </w:rPr>
                    <w:t>www.ustinadlabem.czso.cz</w:t>
                  </w:r>
                </w:p>
                <w:p w:rsidR="00D36D86" w:rsidRPr="0071229A" w:rsidRDefault="00D36D86" w:rsidP="00BD366B">
                  <w:pPr>
                    <w:spacing w:line="240" w:lineRule="auto"/>
                    <w:rPr>
                      <w:bCs/>
                    </w:rPr>
                  </w:pPr>
                </w:p>
                <w:p w:rsidR="00D36D86" w:rsidRPr="00B27293" w:rsidRDefault="00D36D86"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proofErr w:type="spellStart"/>
                  <w:r>
                    <w:t>ph</w:t>
                  </w:r>
                  <w:proofErr w:type="spellEnd"/>
                  <w:r w:rsidRPr="0071229A">
                    <w:rPr>
                      <w:bCs/>
                    </w:rPr>
                    <w:t xml:space="preserve">.: </w:t>
                  </w:r>
                  <w:r>
                    <w:t xml:space="preserve">(+420) </w:t>
                  </w:r>
                  <w:r w:rsidRPr="0071229A">
                    <w:rPr>
                      <w:bCs/>
                    </w:rPr>
                    <w:t>485 238 811</w:t>
                  </w:r>
                </w:p>
                <w:p w:rsidR="00D36D86" w:rsidRPr="00B27293" w:rsidRDefault="00D36D86" w:rsidP="00BD366B">
                  <w:pPr>
                    <w:spacing w:line="240" w:lineRule="auto"/>
                    <w:rPr>
                      <w:bCs/>
                    </w:rPr>
                  </w:pPr>
                  <w:r w:rsidRPr="0071229A">
                    <w:rPr>
                      <w:bCs/>
                    </w:rPr>
                    <w:t>e-mail: infoservislbc@czso.cz</w:t>
                  </w:r>
                  <w:r>
                    <w:t xml:space="preserve"> | </w:t>
                  </w:r>
                  <w:r w:rsidRPr="0071229A">
                    <w:rPr>
                      <w:b/>
                      <w:bCs/>
                    </w:rPr>
                    <w:t>www.liberec.czso.cz</w:t>
                  </w:r>
                </w:p>
                <w:p w:rsidR="00D36D86" w:rsidRPr="0071229A" w:rsidRDefault="00D36D86" w:rsidP="00BD366B">
                  <w:pPr>
                    <w:spacing w:line="240" w:lineRule="auto"/>
                    <w:rPr>
                      <w:bCs/>
                    </w:rPr>
                  </w:pPr>
                </w:p>
                <w:p w:rsidR="00D36D86" w:rsidRPr="00B27293" w:rsidRDefault="00D36D86"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w:t>
                  </w:r>
                  <w:proofErr w:type="spellStart"/>
                  <w:r>
                    <w:t>ph</w:t>
                  </w:r>
                  <w:proofErr w:type="spellEnd"/>
                  <w:r w:rsidRPr="0071229A">
                    <w:rPr>
                      <w:bCs/>
                    </w:rPr>
                    <w:t xml:space="preserve">.: </w:t>
                  </w:r>
                  <w:r>
                    <w:t xml:space="preserve">(+420) </w:t>
                  </w:r>
                  <w:r w:rsidRPr="0071229A">
                    <w:rPr>
                      <w:bCs/>
                    </w:rPr>
                    <w:t xml:space="preserve">495 762 322, </w:t>
                  </w:r>
                  <w:r>
                    <w:t xml:space="preserve">(+420) </w:t>
                  </w:r>
                  <w:r w:rsidRPr="0071229A">
                    <w:rPr>
                      <w:bCs/>
                    </w:rPr>
                    <w:t>495 762 317</w:t>
                  </w:r>
                </w:p>
                <w:p w:rsidR="00D36D86" w:rsidRPr="00B27293" w:rsidRDefault="00D36D86" w:rsidP="00BD366B">
                  <w:pPr>
                    <w:spacing w:line="240" w:lineRule="auto"/>
                    <w:rPr>
                      <w:bCs/>
                    </w:rPr>
                  </w:pPr>
                  <w:r w:rsidRPr="0071229A">
                    <w:rPr>
                      <w:bCs/>
                    </w:rPr>
                    <w:t>e-mail: infoservishk@czso.cz</w:t>
                  </w:r>
                  <w:r>
                    <w:t xml:space="preserve"> | </w:t>
                  </w:r>
                  <w:r w:rsidRPr="0071229A">
                    <w:rPr>
                      <w:b/>
                      <w:bCs/>
                    </w:rPr>
                    <w:t>www.hradeckralove.czso.cz</w:t>
                  </w:r>
                </w:p>
                <w:p w:rsidR="00D36D86" w:rsidRPr="0071229A" w:rsidRDefault="00D36D86" w:rsidP="00BD366B">
                  <w:pPr>
                    <w:spacing w:line="240" w:lineRule="auto"/>
                    <w:rPr>
                      <w:bCs/>
                    </w:rPr>
                  </w:pPr>
                </w:p>
                <w:p w:rsidR="00D36D86" w:rsidRPr="00B27293" w:rsidRDefault="00D36D86"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proofErr w:type="spellStart"/>
                  <w:r>
                    <w:t>ph</w:t>
                  </w:r>
                  <w:proofErr w:type="spellEnd"/>
                  <w:r w:rsidRPr="0071229A">
                    <w:rPr>
                      <w:bCs/>
                    </w:rPr>
                    <w:t xml:space="preserve">.: </w:t>
                  </w:r>
                  <w:r>
                    <w:t xml:space="preserve">(+420) </w:t>
                  </w:r>
                  <w:r w:rsidRPr="0071229A">
                    <w:rPr>
                      <w:bCs/>
                    </w:rPr>
                    <w:t xml:space="preserve">466 743 480, </w:t>
                  </w:r>
                  <w:r>
                    <w:t xml:space="preserve">(+420) </w:t>
                  </w:r>
                  <w:r w:rsidRPr="0071229A">
                    <w:rPr>
                      <w:bCs/>
                    </w:rPr>
                    <w:t>466 743 418</w:t>
                  </w:r>
                </w:p>
                <w:p w:rsidR="00D36D86" w:rsidRPr="00B27293" w:rsidRDefault="00D36D86" w:rsidP="00BD366B">
                  <w:pPr>
                    <w:spacing w:line="240" w:lineRule="auto"/>
                    <w:rPr>
                      <w:bCs/>
                    </w:rPr>
                  </w:pPr>
                  <w:r w:rsidRPr="0071229A">
                    <w:rPr>
                      <w:bCs/>
                    </w:rPr>
                    <w:t>e-mail: infoservispa@czso.cz</w:t>
                  </w:r>
                  <w:r>
                    <w:t xml:space="preserve"> | </w:t>
                  </w:r>
                  <w:r w:rsidRPr="0071229A">
                    <w:rPr>
                      <w:b/>
                      <w:bCs/>
                    </w:rPr>
                    <w:t>www.pardubice.czso.cz</w:t>
                  </w:r>
                </w:p>
                <w:p w:rsidR="00D36D86" w:rsidRPr="0071229A" w:rsidRDefault="00D36D86" w:rsidP="00BD366B">
                  <w:pPr>
                    <w:spacing w:line="240" w:lineRule="auto"/>
                    <w:rPr>
                      <w:bCs/>
                    </w:rPr>
                  </w:pPr>
                </w:p>
                <w:p w:rsidR="00D36D86" w:rsidRPr="00B27293" w:rsidRDefault="00D36D86"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w:t>
                  </w:r>
                  <w:proofErr w:type="spellStart"/>
                  <w:r>
                    <w:t>ph</w:t>
                  </w:r>
                  <w:proofErr w:type="spellEnd"/>
                  <w:r w:rsidRPr="0071229A">
                    <w:rPr>
                      <w:bCs/>
                    </w:rPr>
                    <w:t xml:space="preserve">.: </w:t>
                  </w:r>
                  <w:r>
                    <w:t xml:space="preserve">(+420) </w:t>
                  </w:r>
                  <w:r w:rsidRPr="0071229A">
                    <w:rPr>
                      <w:bCs/>
                    </w:rPr>
                    <w:t xml:space="preserve">567 109 062, </w:t>
                  </w:r>
                  <w:r>
                    <w:t xml:space="preserve">(+420) </w:t>
                  </w:r>
                  <w:r w:rsidRPr="0071229A">
                    <w:rPr>
                      <w:bCs/>
                    </w:rPr>
                    <w:t>567 109 080</w:t>
                  </w:r>
                </w:p>
                <w:p w:rsidR="00D36D86" w:rsidRPr="00B27293" w:rsidRDefault="00D36D86" w:rsidP="00BD366B">
                  <w:pPr>
                    <w:spacing w:line="240" w:lineRule="auto"/>
                    <w:rPr>
                      <w:bCs/>
                    </w:rPr>
                  </w:pPr>
                  <w:r w:rsidRPr="0071229A">
                    <w:rPr>
                      <w:bCs/>
                    </w:rPr>
                    <w:t>e-mail: infoservisvys@czso.cz</w:t>
                  </w:r>
                  <w:r>
                    <w:t xml:space="preserve"> | </w:t>
                  </w:r>
                  <w:r w:rsidRPr="0071229A">
                    <w:rPr>
                      <w:b/>
                      <w:bCs/>
                    </w:rPr>
                    <w:t>www.jihlava.czso.cz</w:t>
                  </w:r>
                </w:p>
                <w:p w:rsidR="00D36D86" w:rsidRPr="0071229A" w:rsidRDefault="00D36D86" w:rsidP="00BD366B">
                  <w:pPr>
                    <w:spacing w:line="240" w:lineRule="auto"/>
                    <w:rPr>
                      <w:bCs/>
                    </w:rPr>
                  </w:pPr>
                </w:p>
                <w:p w:rsidR="00D36D86" w:rsidRPr="00B27293" w:rsidRDefault="00D36D86" w:rsidP="00BD366B">
                  <w:pPr>
                    <w:spacing w:line="240" w:lineRule="auto"/>
                    <w:rPr>
                      <w:b/>
                      <w:bCs/>
                    </w:rPr>
                  </w:pPr>
                  <w:r w:rsidRPr="0071229A">
                    <w:rPr>
                      <w:b/>
                      <w:bCs/>
                      <w:color w:val="0071BC"/>
                    </w:rPr>
                    <w:t>Brno</w:t>
                  </w:r>
                  <w:r>
                    <w:t xml:space="preserve"> | </w:t>
                  </w:r>
                  <w:r w:rsidRPr="0071229A">
                    <w:rPr>
                      <w:bCs/>
                    </w:rPr>
                    <w:t>Jezuitská 2, 601 59 Brno</w:t>
                  </w:r>
                  <w:r>
                    <w:t xml:space="preserve"> | </w:t>
                  </w:r>
                  <w:proofErr w:type="spellStart"/>
                  <w:r>
                    <w:t>ph</w:t>
                  </w:r>
                  <w:proofErr w:type="spellEnd"/>
                  <w:r w:rsidRPr="0071229A">
                    <w:rPr>
                      <w:bCs/>
                    </w:rPr>
                    <w:t xml:space="preserve">.: </w:t>
                  </w:r>
                  <w:r>
                    <w:t xml:space="preserve">(+420) </w:t>
                  </w:r>
                  <w:r w:rsidRPr="0071229A">
                    <w:rPr>
                      <w:bCs/>
                    </w:rPr>
                    <w:t xml:space="preserve">542 528 115, </w:t>
                  </w:r>
                  <w:r>
                    <w:t xml:space="preserve">(+420) </w:t>
                  </w:r>
                  <w:r w:rsidRPr="0071229A">
                    <w:rPr>
                      <w:bCs/>
                    </w:rPr>
                    <w:t>542 528 105</w:t>
                  </w:r>
                </w:p>
                <w:p w:rsidR="00D36D86" w:rsidRPr="00B27293" w:rsidRDefault="00D36D86" w:rsidP="00BD366B">
                  <w:pPr>
                    <w:spacing w:line="240" w:lineRule="auto"/>
                    <w:rPr>
                      <w:bCs/>
                    </w:rPr>
                  </w:pPr>
                  <w:r w:rsidRPr="0071229A">
                    <w:rPr>
                      <w:bCs/>
                    </w:rPr>
                    <w:t>e-mail: infoservisbrno@czso.cz</w:t>
                  </w:r>
                  <w:r>
                    <w:t xml:space="preserve"> | </w:t>
                  </w:r>
                  <w:r w:rsidRPr="0071229A">
                    <w:rPr>
                      <w:b/>
                      <w:bCs/>
                    </w:rPr>
                    <w:t>www.brno.czso.cz</w:t>
                  </w:r>
                </w:p>
                <w:p w:rsidR="00D36D86" w:rsidRPr="0071229A" w:rsidRDefault="00D36D86" w:rsidP="00BD366B">
                  <w:pPr>
                    <w:spacing w:line="240" w:lineRule="auto"/>
                    <w:rPr>
                      <w:bCs/>
                    </w:rPr>
                  </w:pPr>
                </w:p>
                <w:p w:rsidR="00D36D86" w:rsidRPr="00B27293" w:rsidRDefault="00D36D86"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proofErr w:type="spellStart"/>
                  <w:r>
                    <w:t>ph</w:t>
                  </w:r>
                  <w:proofErr w:type="spellEnd"/>
                  <w:r w:rsidRPr="0071229A">
                    <w:rPr>
                      <w:bCs/>
                    </w:rPr>
                    <w:t xml:space="preserve">.: </w:t>
                  </w:r>
                  <w:r>
                    <w:t xml:space="preserve">(+420) </w:t>
                  </w:r>
                  <w:r w:rsidRPr="0071229A">
                    <w:rPr>
                      <w:bCs/>
                    </w:rPr>
                    <w:t xml:space="preserve">585 731 516, </w:t>
                  </w:r>
                  <w:r>
                    <w:t xml:space="preserve">(+420) </w:t>
                  </w:r>
                  <w:r w:rsidRPr="0071229A">
                    <w:rPr>
                      <w:bCs/>
                    </w:rPr>
                    <w:t>585 731 509</w:t>
                  </w:r>
                </w:p>
                <w:p w:rsidR="00D36D86" w:rsidRPr="00B27293" w:rsidRDefault="00D36D86" w:rsidP="00BD366B">
                  <w:pPr>
                    <w:spacing w:line="240" w:lineRule="auto"/>
                    <w:rPr>
                      <w:bCs/>
                    </w:rPr>
                  </w:pPr>
                  <w:r w:rsidRPr="0071229A">
                    <w:rPr>
                      <w:bCs/>
                    </w:rPr>
                    <w:t>e-mail: infoservisolom@czso.cz</w:t>
                  </w:r>
                  <w:r>
                    <w:t xml:space="preserve"> | </w:t>
                  </w:r>
                  <w:r w:rsidRPr="0071229A">
                    <w:rPr>
                      <w:b/>
                      <w:bCs/>
                    </w:rPr>
                    <w:t>www.olomouc.czso.cz</w:t>
                  </w:r>
                </w:p>
                <w:p w:rsidR="00D36D86" w:rsidRPr="0071229A" w:rsidRDefault="00D36D86" w:rsidP="00BD366B">
                  <w:pPr>
                    <w:spacing w:line="240" w:lineRule="auto"/>
                    <w:rPr>
                      <w:bCs/>
                    </w:rPr>
                  </w:pPr>
                </w:p>
                <w:p w:rsidR="00D36D86" w:rsidRPr="00B27293" w:rsidRDefault="00D36D86" w:rsidP="00BD366B">
                  <w:pPr>
                    <w:spacing w:line="240" w:lineRule="auto"/>
                    <w:rPr>
                      <w:b/>
                      <w:bCs/>
                    </w:rPr>
                  </w:pPr>
                  <w:r w:rsidRPr="0071229A">
                    <w:rPr>
                      <w:b/>
                      <w:bCs/>
                      <w:color w:val="0071BC"/>
                    </w:rPr>
                    <w:t>Ostrava</w:t>
                  </w:r>
                  <w:r>
                    <w:t xml:space="preserve"> | </w:t>
                  </w:r>
                  <w:r w:rsidRPr="0071229A">
                    <w:rPr>
                      <w:bCs/>
                    </w:rPr>
                    <w:t>Repinova 17, 702 03 Ostrava</w:t>
                  </w:r>
                  <w:r>
                    <w:t xml:space="preserve"> | </w:t>
                  </w:r>
                  <w:proofErr w:type="spellStart"/>
                  <w:r>
                    <w:t>ph</w:t>
                  </w:r>
                  <w:proofErr w:type="spellEnd"/>
                  <w:r w:rsidRPr="0071229A">
                    <w:rPr>
                      <w:bCs/>
                    </w:rPr>
                    <w:t xml:space="preserve">.: </w:t>
                  </w:r>
                  <w:r>
                    <w:t xml:space="preserve">(+420) </w:t>
                  </w:r>
                  <w:r w:rsidRPr="0071229A">
                    <w:rPr>
                      <w:bCs/>
                    </w:rPr>
                    <w:t xml:space="preserve">595 131 230, </w:t>
                  </w:r>
                  <w:r>
                    <w:t xml:space="preserve">(+420) </w:t>
                  </w:r>
                  <w:r w:rsidRPr="0071229A">
                    <w:rPr>
                      <w:bCs/>
                    </w:rPr>
                    <w:t>595 131 232</w:t>
                  </w:r>
                </w:p>
                <w:p w:rsidR="00D36D86" w:rsidRPr="00B27293" w:rsidRDefault="00D36D86" w:rsidP="00BD366B">
                  <w:pPr>
                    <w:spacing w:line="240" w:lineRule="auto"/>
                    <w:rPr>
                      <w:bCs/>
                    </w:rPr>
                  </w:pPr>
                  <w:r w:rsidRPr="0071229A">
                    <w:rPr>
                      <w:bCs/>
                    </w:rPr>
                    <w:t>e-mail: infoservis_ov@czso.cz</w:t>
                  </w:r>
                  <w:r>
                    <w:t xml:space="preserve"> | </w:t>
                  </w:r>
                  <w:r w:rsidRPr="0071229A">
                    <w:rPr>
                      <w:b/>
                      <w:bCs/>
                    </w:rPr>
                    <w:t>www.ostrava.czso.cz</w:t>
                  </w:r>
                </w:p>
                <w:p w:rsidR="00D36D86" w:rsidRPr="0071229A" w:rsidRDefault="00D36D86" w:rsidP="00BD366B">
                  <w:pPr>
                    <w:spacing w:line="240" w:lineRule="auto"/>
                    <w:rPr>
                      <w:bCs/>
                    </w:rPr>
                  </w:pPr>
                </w:p>
                <w:p w:rsidR="00D36D86" w:rsidRPr="0071229A" w:rsidRDefault="00D36D86"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proofErr w:type="spellStart"/>
                  <w:r>
                    <w:t>ph</w:t>
                  </w:r>
                  <w:proofErr w:type="spellEnd"/>
                  <w:r w:rsidRPr="0071229A">
                    <w:rPr>
                      <w:bCs/>
                    </w:rPr>
                    <w:t xml:space="preserve">.: </w:t>
                  </w:r>
                  <w:r>
                    <w:rPr>
                      <w:bCs/>
                    </w:rPr>
                    <w:t xml:space="preserve">(+420) </w:t>
                  </w:r>
                  <w:r w:rsidRPr="0071229A">
                    <w:rPr>
                      <w:bCs/>
                    </w:rPr>
                    <w:t xml:space="preserve">577 004 931, </w:t>
                  </w:r>
                  <w:r>
                    <w:rPr>
                      <w:bCs/>
                    </w:rPr>
                    <w:t xml:space="preserve">(+420) </w:t>
                  </w:r>
                  <w:r w:rsidRPr="0071229A">
                    <w:rPr>
                      <w:bCs/>
                    </w:rPr>
                    <w:t>577 004 935</w:t>
                  </w:r>
                </w:p>
                <w:p w:rsidR="00D36D86" w:rsidRPr="00B27293" w:rsidRDefault="00D36D86" w:rsidP="00BD366B">
                  <w:pPr>
                    <w:spacing w:line="240" w:lineRule="auto"/>
                    <w:rPr>
                      <w:bCs/>
                    </w:rPr>
                  </w:pPr>
                  <w:r w:rsidRPr="0071229A">
                    <w:rPr>
                      <w:bCs/>
                    </w:rPr>
                    <w:t>e-mail: infoservis-zl@czso.cz</w:t>
                  </w:r>
                  <w:r>
                    <w:t xml:space="preserve"> | </w:t>
                  </w:r>
                  <w:r w:rsidRPr="0071229A">
                    <w:rPr>
                      <w:b/>
                      <w:bCs/>
                    </w:rPr>
                    <w:t>www.zlin.czso.cz</w:t>
                  </w:r>
                </w:p>
                <w:p w:rsidR="00D36D86" w:rsidRPr="00B27293" w:rsidRDefault="00D36D86" w:rsidP="00BD366B">
                  <w:pPr>
                    <w:spacing w:line="240" w:lineRule="auto"/>
                  </w:pPr>
                </w:p>
              </w:txbxContent>
            </v:textbox>
            <w10:wrap anchorx="page" anchory="page"/>
            <w10:anchorlock/>
          </v:shape>
        </w:pict>
      </w:r>
      <w:r w:rsidRPr="00CE74C9">
        <w:rPr>
          <w:noProof/>
          <w:lang w:val="en-US" w:eastAsia="en-US"/>
        </w:rPr>
        <w:pict>
          <v:shape id="_x0000_s1038" type="#_x0000_t202" style="position:absolute;margin-left:56.4pt;margin-top:56.4pt;width:498.2pt;height:33.1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" filled="f" stroked="f">
            <v:textbox style="mso-fit-shape-to-text:t" inset="0,0,0,0">
              <w:txbxContent>
                <w:p w:rsidR="00D36D86" w:rsidRPr="00737BB0" w:rsidRDefault="00D36D86" w:rsidP="0060487F">
                  <w:pPr>
                    <w:rPr>
                      <w:b/>
                      <w:bCs/>
                      <w:sz w:val="24"/>
                      <w:lang w:val="en-GB"/>
                    </w:rPr>
                  </w:pPr>
                  <w:r w:rsidRPr="00737BB0">
                    <w:rPr>
                      <w:b/>
                      <w:color w:val="0071BC"/>
                      <w:sz w:val="24"/>
                      <w:lang w:val="en-GB"/>
                    </w:rPr>
                    <w:t xml:space="preserve">Are you interested in the latest data connected with inflation, GDP, population, average wages and much more? You can find them on the CZSO web page: </w:t>
                  </w:r>
                  <w:r w:rsidRPr="00737BB0">
                    <w:rPr>
                      <w:b/>
                      <w:bCs/>
                      <w:sz w:val="24"/>
                      <w:lang w:val="en-GB"/>
                    </w:rPr>
                    <w:t>www.czso.cz</w:t>
                  </w:r>
                </w:p>
              </w:txbxContent>
            </v:textbox>
            <w10:wrap anchorx="page" anchory="page"/>
            <w10:anchorlock/>
          </v:shape>
        </w:pict>
      </w:r>
      <w:r w:rsidRPr="00CE74C9">
        <w:rPr>
          <w:noProof/>
          <w:lang w:val="en-US" w:eastAsia="en-US"/>
        </w:rPr>
        <w:pict>
          <v:shape id="_x0000_s1039" type="#_x0000_t202" style="position:absolute;margin-left:56.35pt;margin-top:747pt;width:481.9pt;height:28.35pt;z-index:2516546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Hrw&#10;C0G6AgAAtgUAAA4AAAAAAAAAAAAAAAAALgIAAGRycy9lMm9Eb2MueG1sUEsBAi0AFAAGAAgAAAAh&#10;AOVfJPrhAAAADgEAAA8AAAAAAAAAAAAAAAAAFAUAAGRycy9kb3ducmV2LnhtbFBLBQYAAAAABAAE&#10;APMAAAAiBgAAAAA=&#10;" filled="f" stroked="f">
            <v:textbox inset="0,0,0,0">
              <w:txbxContent>
                <w:p w:rsidR="00D36D86" w:rsidRPr="00841D9F" w:rsidRDefault="00D36D86" w:rsidP="004F06F5"/>
                <w:p w:rsidR="00D36D86" w:rsidRPr="00AF2852" w:rsidRDefault="00D36D86" w:rsidP="004F06F5">
                  <w:r>
                    <w:t xml:space="preserve">© </w:t>
                  </w:r>
                  <w:r w:rsidRPr="00AD5DC2">
                    <w:rPr>
                      <w:lang w:val="en-GB"/>
                    </w:rPr>
                    <w:t>Czech Statistical Office, Prague, 2015</w:t>
                  </w:r>
                </w:p>
              </w:txbxContent>
            </v:textbox>
            <w10:wrap anchorx="page" anchory="page"/>
            <w10:anchorlock/>
          </v:shape>
        </w:pict>
      </w:r>
    </w:p>
    <w:p w:rsidR="00A75E40" w:rsidRDefault="00A75E40" w:rsidP="00F04811">
      <w:pPr>
        <w:pStyle w:val="Zkladnodstavec"/>
        <w:spacing w:after="240"/>
        <w:rPr>
          <w:rFonts w:ascii="Arial" w:hAnsi="Arial" w:cs="Arial"/>
          <w:b/>
          <w:color w:val="A5007B"/>
          <w:sz w:val="32"/>
          <w:szCs w:val="32"/>
        </w:rPr>
      </w:pPr>
    </w:p>
    <w:p w:rsidR="00A75E40" w:rsidRPr="0060487F" w:rsidRDefault="00A75E40">
      <w:pPr>
        <w:rPr>
          <w:rFonts w:cs="Arial"/>
          <w:b/>
          <w:color w:val="A5007B"/>
          <w:sz w:val="32"/>
          <w:szCs w:val="32"/>
        </w:rPr>
        <w:sectPr w:rsidR="00A75E40" w:rsidRPr="0060487F" w:rsidSect="00D5626D">
          <w:pgSz w:w="11906" w:h="16838" w:code="9"/>
          <w:pgMar w:top="1134" w:right="1134" w:bottom="1418" w:left="1134" w:header="709" w:footer="709" w:gutter="0"/>
          <w:cols w:space="708"/>
          <w:titlePg/>
          <w:docGrid w:linePitch="360"/>
        </w:sectPr>
      </w:pPr>
    </w:p>
    <w:p w:rsidR="00D31932" w:rsidRPr="001C357A" w:rsidRDefault="00BF1CD9" w:rsidP="008C6CB8">
      <w:pPr>
        <w:pStyle w:val="Nadpis1"/>
        <w:rPr>
          <w:rFonts w:cs="Arial"/>
          <w:color w:val="808080" w:themeColor="background1" w:themeShade="80"/>
        </w:rPr>
      </w:pPr>
      <w:bookmarkStart w:id="0" w:name="_Toc412459447"/>
      <w:bookmarkStart w:id="1" w:name="_Toc417454521"/>
      <w:r>
        <w:lastRenderedPageBreak/>
        <w:t>Contents</w:t>
      </w:r>
      <w:bookmarkEnd w:id="0"/>
      <w:bookmarkEnd w:id="1"/>
    </w:p>
    <w:p w:rsidR="0065657A" w:rsidRDefault="00CE74C9">
      <w:pPr>
        <w:pStyle w:val="Obsah1"/>
        <w:rPr>
          <w:rFonts w:asciiTheme="minorHAnsi" w:eastAsiaTheme="minorEastAsia" w:hAnsiTheme="minorHAnsi" w:cstheme="minorBidi"/>
          <w:b w:val="0"/>
          <w:sz w:val="22"/>
          <w:szCs w:val="22"/>
          <w:lang w:eastAsia="cs-CZ"/>
        </w:rPr>
      </w:pPr>
      <w:r w:rsidRPr="00CE74C9">
        <w:rPr>
          <w:rFonts w:eastAsia="Times New Roman"/>
        </w:rPr>
        <w:fldChar w:fldCharType="begin"/>
      </w:r>
      <w:r w:rsidR="005545E0" w:rsidRPr="00E921C7">
        <w:rPr>
          <w:rFonts w:eastAsia="Times New Roman"/>
        </w:rPr>
        <w:instrText xml:space="preserve"> TOC \o "1-3" \h \z \u </w:instrText>
      </w:r>
      <w:r w:rsidRPr="00CE74C9">
        <w:rPr>
          <w:rFonts w:eastAsia="Times New Roman"/>
        </w:rPr>
        <w:fldChar w:fldCharType="separate"/>
      </w:r>
      <w:hyperlink w:anchor="_Toc417454521" w:history="1">
        <w:r w:rsidR="0065657A" w:rsidRPr="00833F66">
          <w:rPr>
            <w:rStyle w:val="Hypertextovodkaz"/>
          </w:rPr>
          <w:t>Contents</w:t>
        </w:r>
        <w:r w:rsidR="0065657A">
          <w:rPr>
            <w:webHidden/>
          </w:rPr>
          <w:tab/>
        </w:r>
        <w:r>
          <w:rPr>
            <w:webHidden/>
          </w:rPr>
          <w:fldChar w:fldCharType="begin"/>
        </w:r>
        <w:r w:rsidR="0065657A">
          <w:rPr>
            <w:webHidden/>
          </w:rPr>
          <w:instrText xml:space="preserve"> PAGEREF _Toc417454521 \h </w:instrText>
        </w:r>
        <w:r>
          <w:rPr>
            <w:webHidden/>
          </w:rPr>
        </w:r>
        <w:r>
          <w:rPr>
            <w:webHidden/>
          </w:rPr>
          <w:fldChar w:fldCharType="separate"/>
        </w:r>
        <w:r w:rsidR="00D36D86">
          <w:rPr>
            <w:webHidden/>
          </w:rPr>
          <w:t>3</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2" w:history="1">
        <w:r w:rsidR="0065657A" w:rsidRPr="00833F66">
          <w:rPr>
            <w:rStyle w:val="Hypertextovodkaz"/>
            <w:lang w:val="en-GB"/>
          </w:rPr>
          <w:t>1.</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Summary</w:t>
        </w:r>
        <w:r w:rsidR="0065657A">
          <w:rPr>
            <w:webHidden/>
          </w:rPr>
          <w:tab/>
        </w:r>
        <w:r>
          <w:rPr>
            <w:webHidden/>
          </w:rPr>
          <w:fldChar w:fldCharType="begin"/>
        </w:r>
        <w:r w:rsidR="0065657A">
          <w:rPr>
            <w:webHidden/>
          </w:rPr>
          <w:instrText xml:space="preserve"> PAGEREF _Toc417454522 \h </w:instrText>
        </w:r>
        <w:r>
          <w:rPr>
            <w:webHidden/>
          </w:rPr>
        </w:r>
        <w:r>
          <w:rPr>
            <w:webHidden/>
          </w:rPr>
          <w:fldChar w:fldCharType="separate"/>
        </w:r>
        <w:r w:rsidR="00D36D86">
          <w:rPr>
            <w:webHidden/>
          </w:rPr>
          <w:t>4</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3" w:history="1">
        <w:r w:rsidR="0065657A" w:rsidRPr="00833F66">
          <w:rPr>
            <w:rStyle w:val="Hypertextovodkaz"/>
            <w:lang w:val="en-GB"/>
          </w:rPr>
          <w:t>2.</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Overall Economic Performance</w:t>
        </w:r>
        <w:r w:rsidR="0065657A">
          <w:rPr>
            <w:webHidden/>
          </w:rPr>
          <w:tab/>
        </w:r>
        <w:r>
          <w:rPr>
            <w:webHidden/>
          </w:rPr>
          <w:fldChar w:fldCharType="begin"/>
        </w:r>
        <w:r w:rsidR="0065657A">
          <w:rPr>
            <w:webHidden/>
          </w:rPr>
          <w:instrText xml:space="preserve"> PAGEREF _Toc417454523 \h </w:instrText>
        </w:r>
        <w:r>
          <w:rPr>
            <w:webHidden/>
          </w:rPr>
        </w:r>
        <w:r>
          <w:rPr>
            <w:webHidden/>
          </w:rPr>
          <w:fldChar w:fldCharType="separate"/>
        </w:r>
        <w:r w:rsidR="00D36D86">
          <w:rPr>
            <w:webHidden/>
          </w:rPr>
          <w:t>5</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4" w:history="1">
        <w:r w:rsidR="0065657A" w:rsidRPr="00833F66">
          <w:rPr>
            <w:rStyle w:val="Hypertextovodkaz"/>
            <w:lang w:val="en-GB"/>
          </w:rPr>
          <w:t>3.</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Branches Performance</w:t>
        </w:r>
        <w:r w:rsidR="0065657A">
          <w:rPr>
            <w:webHidden/>
          </w:rPr>
          <w:tab/>
        </w:r>
        <w:r>
          <w:rPr>
            <w:webHidden/>
          </w:rPr>
          <w:fldChar w:fldCharType="begin"/>
        </w:r>
        <w:r w:rsidR="0065657A">
          <w:rPr>
            <w:webHidden/>
          </w:rPr>
          <w:instrText xml:space="preserve"> PAGEREF _Toc417454524 \h </w:instrText>
        </w:r>
        <w:r>
          <w:rPr>
            <w:webHidden/>
          </w:rPr>
        </w:r>
        <w:r>
          <w:rPr>
            <w:webHidden/>
          </w:rPr>
          <w:fldChar w:fldCharType="separate"/>
        </w:r>
        <w:r w:rsidR="00D36D86">
          <w:rPr>
            <w:webHidden/>
          </w:rPr>
          <w:t>8</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5" w:history="1">
        <w:r w:rsidR="0065657A" w:rsidRPr="00833F66">
          <w:rPr>
            <w:rStyle w:val="Hypertextovodkaz"/>
            <w:lang w:val="en-GB"/>
          </w:rPr>
          <w:t>4.</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External Economic Relations</w:t>
        </w:r>
        <w:r w:rsidR="0065657A">
          <w:rPr>
            <w:webHidden/>
          </w:rPr>
          <w:tab/>
        </w:r>
        <w:r>
          <w:rPr>
            <w:webHidden/>
          </w:rPr>
          <w:fldChar w:fldCharType="begin"/>
        </w:r>
        <w:r w:rsidR="0065657A">
          <w:rPr>
            <w:webHidden/>
          </w:rPr>
          <w:instrText xml:space="preserve"> PAGEREF _Toc417454525 \h </w:instrText>
        </w:r>
        <w:r>
          <w:rPr>
            <w:webHidden/>
          </w:rPr>
        </w:r>
        <w:r>
          <w:rPr>
            <w:webHidden/>
          </w:rPr>
          <w:fldChar w:fldCharType="separate"/>
        </w:r>
        <w:r w:rsidR="00D36D86">
          <w:rPr>
            <w:webHidden/>
          </w:rPr>
          <w:t>13</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6" w:history="1">
        <w:r w:rsidR="0065657A" w:rsidRPr="00833F66">
          <w:rPr>
            <w:rStyle w:val="Hypertextovodkaz"/>
            <w:lang w:val="en-GB"/>
          </w:rPr>
          <w:t>5.</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Prices</w:t>
        </w:r>
        <w:r w:rsidR="0065657A">
          <w:rPr>
            <w:webHidden/>
          </w:rPr>
          <w:tab/>
        </w:r>
        <w:r>
          <w:rPr>
            <w:webHidden/>
          </w:rPr>
          <w:fldChar w:fldCharType="begin"/>
        </w:r>
        <w:r w:rsidR="0065657A">
          <w:rPr>
            <w:webHidden/>
          </w:rPr>
          <w:instrText xml:space="preserve"> PAGEREF _Toc417454526 \h </w:instrText>
        </w:r>
        <w:r>
          <w:rPr>
            <w:webHidden/>
          </w:rPr>
        </w:r>
        <w:r>
          <w:rPr>
            <w:webHidden/>
          </w:rPr>
          <w:fldChar w:fldCharType="separate"/>
        </w:r>
        <w:r w:rsidR="00D36D86">
          <w:rPr>
            <w:webHidden/>
          </w:rPr>
          <w:t>15</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7" w:history="1">
        <w:r w:rsidR="0065657A" w:rsidRPr="00833F66">
          <w:rPr>
            <w:rStyle w:val="Hypertextovodkaz"/>
            <w:lang w:val="en-GB"/>
          </w:rPr>
          <w:t>6.</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Labour Market</w:t>
        </w:r>
        <w:r w:rsidR="0065657A">
          <w:rPr>
            <w:webHidden/>
          </w:rPr>
          <w:tab/>
        </w:r>
        <w:r>
          <w:rPr>
            <w:webHidden/>
          </w:rPr>
          <w:fldChar w:fldCharType="begin"/>
        </w:r>
        <w:r w:rsidR="0065657A">
          <w:rPr>
            <w:webHidden/>
          </w:rPr>
          <w:instrText xml:space="preserve"> PAGEREF _Toc417454527 \h </w:instrText>
        </w:r>
        <w:r>
          <w:rPr>
            <w:webHidden/>
          </w:rPr>
        </w:r>
        <w:r>
          <w:rPr>
            <w:webHidden/>
          </w:rPr>
          <w:fldChar w:fldCharType="separate"/>
        </w:r>
        <w:r w:rsidR="00D36D86">
          <w:rPr>
            <w:webHidden/>
          </w:rPr>
          <w:t>18</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8" w:history="1">
        <w:r w:rsidR="0065657A" w:rsidRPr="00833F66">
          <w:rPr>
            <w:rStyle w:val="Hypertextovodkaz"/>
            <w:lang w:val="en-GB"/>
          </w:rPr>
          <w:t>7.</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Monetary Conditions</w:t>
        </w:r>
        <w:r w:rsidR="0065657A">
          <w:rPr>
            <w:webHidden/>
          </w:rPr>
          <w:tab/>
        </w:r>
        <w:r>
          <w:rPr>
            <w:webHidden/>
          </w:rPr>
          <w:fldChar w:fldCharType="begin"/>
        </w:r>
        <w:r w:rsidR="0065657A">
          <w:rPr>
            <w:webHidden/>
          </w:rPr>
          <w:instrText xml:space="preserve"> PAGEREF _Toc417454528 \h </w:instrText>
        </w:r>
        <w:r>
          <w:rPr>
            <w:webHidden/>
          </w:rPr>
        </w:r>
        <w:r>
          <w:rPr>
            <w:webHidden/>
          </w:rPr>
          <w:fldChar w:fldCharType="separate"/>
        </w:r>
        <w:r w:rsidR="00D36D86">
          <w:rPr>
            <w:webHidden/>
          </w:rPr>
          <w:t>20</w:t>
        </w:r>
        <w:r>
          <w:rPr>
            <w:webHidden/>
          </w:rPr>
          <w:fldChar w:fldCharType="end"/>
        </w:r>
      </w:hyperlink>
    </w:p>
    <w:p w:rsidR="0065657A" w:rsidRDefault="00CE74C9">
      <w:pPr>
        <w:pStyle w:val="Obsah1"/>
        <w:rPr>
          <w:rFonts w:asciiTheme="minorHAnsi" w:eastAsiaTheme="minorEastAsia" w:hAnsiTheme="minorHAnsi" w:cstheme="minorBidi"/>
          <w:b w:val="0"/>
          <w:sz w:val="22"/>
          <w:szCs w:val="22"/>
          <w:lang w:eastAsia="cs-CZ"/>
        </w:rPr>
      </w:pPr>
      <w:hyperlink w:anchor="_Toc417454529" w:history="1">
        <w:r w:rsidR="0065657A" w:rsidRPr="00833F66">
          <w:rPr>
            <w:rStyle w:val="Hypertextovodkaz"/>
            <w:lang w:val="en-GB"/>
          </w:rPr>
          <w:t>8.</w:t>
        </w:r>
        <w:r w:rsidR="0065657A">
          <w:rPr>
            <w:rFonts w:asciiTheme="minorHAnsi" w:eastAsiaTheme="minorEastAsia" w:hAnsiTheme="minorHAnsi" w:cstheme="minorBidi"/>
            <w:b w:val="0"/>
            <w:sz w:val="22"/>
            <w:szCs w:val="22"/>
            <w:lang w:eastAsia="cs-CZ"/>
          </w:rPr>
          <w:tab/>
        </w:r>
        <w:r w:rsidR="0065657A" w:rsidRPr="00833F66">
          <w:rPr>
            <w:rStyle w:val="Hypertextovodkaz"/>
            <w:lang w:val="en-GB"/>
          </w:rPr>
          <w:t>State Budget</w:t>
        </w:r>
        <w:r w:rsidR="0065657A">
          <w:rPr>
            <w:webHidden/>
          </w:rPr>
          <w:tab/>
        </w:r>
        <w:r>
          <w:rPr>
            <w:webHidden/>
          </w:rPr>
          <w:fldChar w:fldCharType="begin"/>
        </w:r>
        <w:r w:rsidR="0065657A">
          <w:rPr>
            <w:webHidden/>
          </w:rPr>
          <w:instrText xml:space="preserve"> PAGEREF _Toc417454529 \h </w:instrText>
        </w:r>
        <w:r>
          <w:rPr>
            <w:webHidden/>
          </w:rPr>
        </w:r>
        <w:r>
          <w:rPr>
            <w:webHidden/>
          </w:rPr>
          <w:fldChar w:fldCharType="separate"/>
        </w:r>
        <w:r w:rsidR="00D36D86">
          <w:rPr>
            <w:webHidden/>
          </w:rPr>
          <w:t>22</w:t>
        </w:r>
        <w:r>
          <w:rPr>
            <w:webHidden/>
          </w:rPr>
          <w:fldChar w:fldCharType="end"/>
        </w:r>
      </w:hyperlink>
    </w:p>
    <w:p w:rsidR="001E3DA4" w:rsidRDefault="00CE74C9" w:rsidP="00E921C7">
      <w:pPr>
        <w:pStyle w:val="Nadpis1"/>
        <w:spacing w:before="200"/>
        <w:rPr>
          <w:rFonts w:cs="Arial"/>
          <w:sz w:val="20"/>
          <w:szCs w:val="20"/>
        </w:rPr>
      </w:pPr>
      <w:r w:rsidRPr="00E921C7">
        <w:rPr>
          <w:rFonts w:eastAsia="Times New Roman" w:cs="Arial"/>
          <w:color w:val="808080" w:themeColor="background1" w:themeShade="80"/>
          <w:sz w:val="20"/>
          <w:szCs w:val="20"/>
          <w:lang w:eastAsia="en-US"/>
        </w:rPr>
        <w:fldChar w:fldCharType="end"/>
      </w:r>
    </w:p>
    <w:p w:rsidR="003406BD" w:rsidRPr="00D9423F" w:rsidRDefault="00D9423F" w:rsidP="003406BD">
      <w:pPr>
        <w:rPr>
          <w:rFonts w:cs="Arial"/>
          <w:b/>
          <w:lang w:val="en-GB"/>
        </w:rPr>
      </w:pPr>
      <w:r w:rsidRPr="00D9423F">
        <w:rPr>
          <w:rFonts w:cs="Arial"/>
          <w:b/>
          <w:lang w:val="en-GB"/>
        </w:rPr>
        <w:t>Chapters prepared</w:t>
      </w:r>
      <w:r w:rsidR="003406BD" w:rsidRPr="00D9423F">
        <w:rPr>
          <w:rFonts w:cs="Arial"/>
          <w:b/>
          <w:lang w:val="en-GB"/>
        </w:rPr>
        <w:t>:</w:t>
      </w:r>
    </w:p>
    <w:p w:rsidR="003406BD" w:rsidRPr="00D9423F" w:rsidRDefault="003406BD" w:rsidP="003406BD">
      <w:pPr>
        <w:rPr>
          <w:rFonts w:cs="Arial"/>
          <w:lang w:val="en-GB"/>
        </w:rPr>
      </w:pPr>
    </w:p>
    <w:p w:rsidR="003406BD" w:rsidRPr="00D9423F" w:rsidRDefault="003406BD" w:rsidP="003406BD">
      <w:pPr>
        <w:spacing w:after="120" w:line="276" w:lineRule="auto"/>
        <w:rPr>
          <w:rFonts w:cs="Arial"/>
          <w:lang w:val="en-GB"/>
        </w:rPr>
      </w:pPr>
      <w:r w:rsidRPr="00D9423F">
        <w:rPr>
          <w:rFonts w:cs="Arial"/>
          <w:lang w:val="en-GB"/>
        </w:rPr>
        <w:t xml:space="preserve">Drahomíra Dubská </w:t>
      </w:r>
      <w:r w:rsidRPr="00D9423F">
        <w:rPr>
          <w:rFonts w:cs="Arial"/>
          <w:lang w:val="en-GB"/>
        </w:rPr>
        <w:tab/>
        <w:t>S</w:t>
      </w:r>
      <w:r w:rsidR="00C06D85" w:rsidRPr="00D9423F">
        <w:rPr>
          <w:rFonts w:cs="Arial"/>
          <w:lang w:val="en-GB"/>
        </w:rPr>
        <w:t>ummary</w:t>
      </w:r>
      <w:r w:rsidRPr="00D9423F">
        <w:rPr>
          <w:rFonts w:cs="Arial"/>
          <w:lang w:val="en-GB"/>
        </w:rPr>
        <w:t xml:space="preserve"> (</w:t>
      </w:r>
      <w:r w:rsidR="00C06D85" w:rsidRPr="00D9423F">
        <w:rPr>
          <w:rFonts w:cs="Arial"/>
          <w:lang w:val="en-GB"/>
        </w:rPr>
        <w:t>Chap</w:t>
      </w:r>
      <w:r w:rsidRPr="00D9423F">
        <w:rPr>
          <w:rFonts w:cs="Arial"/>
          <w:lang w:val="en-GB"/>
        </w:rPr>
        <w:t xml:space="preserve">. 1), </w:t>
      </w:r>
      <w:r w:rsidR="00C06D85" w:rsidRPr="00D9423F">
        <w:rPr>
          <w:rFonts w:cs="Arial"/>
          <w:lang w:val="en-GB"/>
        </w:rPr>
        <w:t>Chap</w:t>
      </w:r>
      <w:r w:rsidRPr="00D9423F">
        <w:rPr>
          <w:rFonts w:cs="Arial"/>
          <w:lang w:val="en-GB"/>
        </w:rPr>
        <w:t xml:space="preserve">. 4, </w:t>
      </w:r>
      <w:r w:rsidR="00C06D85" w:rsidRPr="00D9423F">
        <w:rPr>
          <w:rFonts w:cs="Arial"/>
          <w:lang w:val="en-GB"/>
        </w:rPr>
        <w:t>Chap</w:t>
      </w:r>
      <w:r w:rsidRPr="00D9423F">
        <w:rPr>
          <w:rFonts w:cs="Arial"/>
          <w:lang w:val="en-GB"/>
        </w:rPr>
        <w:t>. 7</w:t>
      </w:r>
    </w:p>
    <w:p w:rsidR="003406BD" w:rsidRPr="00D9423F" w:rsidRDefault="003406BD" w:rsidP="003406BD">
      <w:pPr>
        <w:spacing w:after="120" w:line="276" w:lineRule="auto"/>
        <w:rPr>
          <w:rFonts w:cs="Arial"/>
          <w:lang w:val="en-GB"/>
        </w:rPr>
      </w:pPr>
      <w:r w:rsidRPr="00D9423F">
        <w:rPr>
          <w:rFonts w:cs="Arial"/>
          <w:lang w:val="en-GB"/>
        </w:rPr>
        <w:t xml:space="preserve">Emilie Jašová           </w:t>
      </w:r>
      <w:r w:rsidRPr="00D9423F">
        <w:rPr>
          <w:rFonts w:cs="Arial"/>
          <w:lang w:val="en-GB"/>
        </w:rPr>
        <w:tab/>
        <w:t>S</w:t>
      </w:r>
      <w:r w:rsidR="00C06D85" w:rsidRPr="00D9423F">
        <w:rPr>
          <w:rFonts w:cs="Arial"/>
          <w:lang w:val="en-GB"/>
        </w:rPr>
        <w:t>ummary</w:t>
      </w:r>
      <w:r w:rsidRPr="00D9423F">
        <w:rPr>
          <w:rFonts w:cs="Arial"/>
          <w:lang w:val="en-GB"/>
        </w:rPr>
        <w:t xml:space="preserve"> (</w:t>
      </w:r>
      <w:r w:rsidR="00C06D85" w:rsidRPr="00D9423F">
        <w:rPr>
          <w:rFonts w:cs="Arial"/>
          <w:lang w:val="en-GB"/>
        </w:rPr>
        <w:t>Chap</w:t>
      </w:r>
      <w:r w:rsidRPr="00D9423F">
        <w:rPr>
          <w:rFonts w:cs="Arial"/>
          <w:lang w:val="en-GB"/>
        </w:rPr>
        <w:t xml:space="preserve">. 1), </w:t>
      </w:r>
      <w:r w:rsidR="00C06D85" w:rsidRPr="00D9423F">
        <w:rPr>
          <w:rFonts w:cs="Arial"/>
          <w:lang w:val="en-GB"/>
        </w:rPr>
        <w:t>Chap</w:t>
      </w:r>
      <w:r w:rsidRPr="00D9423F">
        <w:rPr>
          <w:rFonts w:cs="Arial"/>
          <w:lang w:val="en-GB"/>
        </w:rPr>
        <w:t>. 6</w:t>
      </w:r>
    </w:p>
    <w:p w:rsidR="003406BD" w:rsidRPr="00D9423F" w:rsidRDefault="003406BD" w:rsidP="003406BD">
      <w:pPr>
        <w:spacing w:after="120" w:line="276" w:lineRule="auto"/>
        <w:rPr>
          <w:rFonts w:cs="Arial"/>
          <w:lang w:val="en-GB"/>
        </w:rPr>
      </w:pPr>
      <w:r w:rsidRPr="00D9423F">
        <w:rPr>
          <w:rFonts w:cs="Arial"/>
          <w:lang w:val="en-GB"/>
        </w:rPr>
        <w:t>Jiří Kamenický</w:t>
      </w:r>
      <w:r w:rsidRPr="00D9423F">
        <w:rPr>
          <w:rFonts w:cs="Arial"/>
          <w:lang w:val="en-GB"/>
        </w:rPr>
        <w:tab/>
      </w:r>
      <w:r w:rsidRPr="00D9423F">
        <w:rPr>
          <w:rFonts w:cs="Arial"/>
          <w:lang w:val="en-GB"/>
        </w:rPr>
        <w:tab/>
        <w:t>S</w:t>
      </w:r>
      <w:r w:rsidR="00C06D85" w:rsidRPr="00D9423F">
        <w:rPr>
          <w:rFonts w:cs="Arial"/>
          <w:lang w:val="en-GB"/>
        </w:rPr>
        <w:t>ummary</w:t>
      </w:r>
      <w:r w:rsidRPr="00D9423F">
        <w:rPr>
          <w:rFonts w:cs="Arial"/>
          <w:lang w:val="en-GB"/>
        </w:rPr>
        <w:t xml:space="preserve"> (</w:t>
      </w:r>
      <w:r w:rsidR="00C06D85" w:rsidRPr="00D9423F">
        <w:rPr>
          <w:rFonts w:cs="Arial"/>
          <w:lang w:val="en-GB"/>
        </w:rPr>
        <w:t>Chap</w:t>
      </w:r>
      <w:r w:rsidRPr="00D9423F">
        <w:rPr>
          <w:rFonts w:cs="Arial"/>
          <w:lang w:val="en-GB"/>
        </w:rPr>
        <w:t xml:space="preserve">. 1), </w:t>
      </w:r>
      <w:r w:rsidR="00C06D85" w:rsidRPr="00D9423F">
        <w:rPr>
          <w:rFonts w:cs="Arial"/>
          <w:lang w:val="en-GB"/>
        </w:rPr>
        <w:t>Chap</w:t>
      </w:r>
      <w:r w:rsidRPr="00D9423F">
        <w:rPr>
          <w:rFonts w:cs="Arial"/>
          <w:color w:val="000000" w:themeColor="text1"/>
          <w:lang w:val="en-GB"/>
        </w:rPr>
        <w:t>. 3,</w:t>
      </w:r>
      <w:r w:rsidRPr="00D9423F">
        <w:rPr>
          <w:rFonts w:cs="Arial"/>
          <w:lang w:val="en-GB"/>
        </w:rPr>
        <w:t xml:space="preserve"> </w:t>
      </w:r>
      <w:r w:rsidR="00C06D85" w:rsidRPr="00D9423F">
        <w:rPr>
          <w:rFonts w:cs="Arial"/>
          <w:lang w:val="en-GB"/>
        </w:rPr>
        <w:t>Chap</w:t>
      </w:r>
      <w:r w:rsidRPr="00D9423F">
        <w:rPr>
          <w:rFonts w:cs="Arial"/>
          <w:lang w:val="en-GB"/>
        </w:rPr>
        <w:t>. 8</w:t>
      </w:r>
    </w:p>
    <w:p w:rsidR="003406BD" w:rsidRPr="00D9423F" w:rsidRDefault="003406BD" w:rsidP="003406BD">
      <w:pPr>
        <w:spacing w:after="120" w:line="276" w:lineRule="auto"/>
        <w:rPr>
          <w:rFonts w:cs="Arial"/>
          <w:lang w:val="en-GB"/>
        </w:rPr>
      </w:pPr>
      <w:r w:rsidRPr="00D9423F">
        <w:rPr>
          <w:rFonts w:cs="Arial"/>
          <w:lang w:val="en-GB"/>
        </w:rPr>
        <w:t>Lukáš Kučera</w:t>
      </w:r>
      <w:r w:rsidRPr="00D9423F">
        <w:rPr>
          <w:rFonts w:cs="Arial"/>
          <w:lang w:val="en-GB"/>
        </w:rPr>
        <w:tab/>
      </w:r>
      <w:r w:rsidRPr="00D9423F">
        <w:rPr>
          <w:rFonts w:cs="Arial"/>
          <w:lang w:val="en-GB"/>
        </w:rPr>
        <w:tab/>
        <w:t>S</w:t>
      </w:r>
      <w:r w:rsidR="00D9423F">
        <w:rPr>
          <w:rFonts w:cs="Arial"/>
          <w:lang w:val="en-GB"/>
        </w:rPr>
        <w:t xml:space="preserve">ummary </w:t>
      </w:r>
      <w:r w:rsidRPr="00D9423F">
        <w:rPr>
          <w:rFonts w:cs="Arial"/>
          <w:lang w:val="en-GB"/>
        </w:rPr>
        <w:t>(</w:t>
      </w:r>
      <w:r w:rsidR="00D9423F">
        <w:rPr>
          <w:rFonts w:cs="Arial"/>
          <w:lang w:val="en-GB"/>
        </w:rPr>
        <w:t>Chap. 1), Chap</w:t>
      </w:r>
      <w:r w:rsidRPr="00D9423F">
        <w:rPr>
          <w:rFonts w:cs="Arial"/>
          <w:lang w:val="en-GB"/>
        </w:rPr>
        <w:t xml:space="preserve">. 2, </w:t>
      </w:r>
      <w:r w:rsidR="00D9423F">
        <w:rPr>
          <w:rFonts w:cs="Arial"/>
          <w:lang w:val="en-GB"/>
        </w:rPr>
        <w:t>Chap</w:t>
      </w:r>
      <w:r w:rsidRPr="00D9423F">
        <w:rPr>
          <w:rFonts w:cs="Arial"/>
          <w:lang w:val="en-GB"/>
        </w:rPr>
        <w:t xml:space="preserve">. 5  </w:t>
      </w:r>
    </w:p>
    <w:p w:rsidR="005513D5" w:rsidRDefault="005513D5" w:rsidP="001E3DA4"/>
    <w:p w:rsidR="00D43998" w:rsidRDefault="00D43998" w:rsidP="001E3DA4">
      <w:pPr>
        <w:sectPr w:rsidR="00D43998" w:rsidSect="00357449">
          <w:headerReference w:type="even" r:id="rId9"/>
          <w:headerReference w:type="default" r:id="rId10"/>
          <w:footerReference w:type="default" r:id="rId11"/>
          <w:pgSz w:w="11906" w:h="16838" w:code="9"/>
          <w:pgMar w:top="1134" w:right="1134" w:bottom="1418" w:left="1134" w:header="680" w:footer="680" w:gutter="0"/>
          <w:cols w:space="708"/>
          <w:docGrid w:linePitch="360"/>
        </w:sectPr>
      </w:pPr>
    </w:p>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D43998" w:rsidRDefault="00D43998" w:rsidP="001E3DA4"/>
    <w:p w:rsidR="005513D5" w:rsidRDefault="005513D5" w:rsidP="001E3DA4"/>
    <w:p w:rsidR="005513D5" w:rsidRDefault="005513D5" w:rsidP="001E3DA4"/>
    <w:p w:rsidR="005513D5" w:rsidRDefault="005513D5" w:rsidP="001E3DA4"/>
    <w:p w:rsidR="00D43998" w:rsidRDefault="00D43998" w:rsidP="001E3DA4"/>
    <w:p w:rsidR="00D43998" w:rsidRDefault="00D43998" w:rsidP="001E3DA4"/>
    <w:p w:rsidR="0046039A" w:rsidRPr="008E39BC" w:rsidRDefault="00CF42BD" w:rsidP="008E39BC">
      <w:pPr>
        <w:pStyle w:val="Nadpis1"/>
        <w:numPr>
          <w:ilvl w:val="0"/>
          <w:numId w:val="9"/>
        </w:numPr>
        <w:jc w:val="both"/>
        <w:rPr>
          <w:lang w:val="en-GB"/>
        </w:rPr>
      </w:pPr>
      <w:bookmarkStart w:id="2" w:name="_Toc417454522"/>
      <w:r w:rsidRPr="008E39BC">
        <w:rPr>
          <w:lang w:val="en-GB"/>
        </w:rPr>
        <w:lastRenderedPageBreak/>
        <w:t>S</w:t>
      </w:r>
      <w:r w:rsidR="00D9423F" w:rsidRPr="008E39BC">
        <w:rPr>
          <w:lang w:val="en-GB"/>
        </w:rPr>
        <w:t>ummary</w:t>
      </w:r>
      <w:bookmarkEnd w:id="2"/>
    </w:p>
    <w:p w:rsidR="0097564D" w:rsidRPr="00B52537" w:rsidRDefault="0098515C" w:rsidP="00A40874">
      <w:pPr>
        <w:pStyle w:val="Textpoznpodarou"/>
        <w:numPr>
          <w:ilvl w:val="0"/>
          <w:numId w:val="2"/>
        </w:numPr>
        <w:ind w:left="425" w:hanging="357"/>
        <w:jc w:val="both"/>
        <w:rPr>
          <w:lang w:val="en-GB" w:eastAsia="ar-SA"/>
        </w:rPr>
      </w:pPr>
      <w:r>
        <w:rPr>
          <w:lang w:val="en-GB" w:eastAsia="ar-SA"/>
        </w:rPr>
        <w:t>The recovery of the Czech R</w:t>
      </w:r>
      <w:r w:rsidR="0097564D" w:rsidRPr="00B52537">
        <w:rPr>
          <w:lang w:val="en-GB" w:eastAsia="ar-SA"/>
        </w:rPr>
        <w:t xml:space="preserve">epublic economy – which started based on the year-on-year dynamics in the last quarter of 2013 and in the quarter-on-quarter comparison already in Q2 2013 – continued also in 2014 with the rate of </w:t>
      </w:r>
      <w:r w:rsidR="0009670C">
        <w:rPr>
          <w:lang w:val="en-GB" w:eastAsia="ar-SA"/>
        </w:rPr>
        <w:t>GDP</w:t>
      </w:r>
      <w:r w:rsidR="009252A4">
        <w:rPr>
          <w:rStyle w:val="Znakapoznpodarou"/>
          <w:lang w:val="en-GB" w:eastAsia="ar-SA"/>
        </w:rPr>
        <w:footnoteReference w:id="1"/>
      </w:r>
      <w:r w:rsidR="0009670C">
        <w:rPr>
          <w:lang w:val="en-GB" w:eastAsia="ar-SA"/>
        </w:rPr>
        <w:t xml:space="preserve"> growth</w:t>
      </w:r>
      <w:r w:rsidR="0097564D" w:rsidRPr="00B52537">
        <w:rPr>
          <w:lang w:val="en-GB" w:eastAsia="ar-SA"/>
        </w:rPr>
        <w:t xml:space="preserve"> already starting to weaken </w:t>
      </w:r>
      <w:r w:rsidR="0009670C">
        <w:rPr>
          <w:lang w:val="en-GB" w:eastAsia="ar-SA"/>
        </w:rPr>
        <w:t xml:space="preserve">in trend </w:t>
      </w:r>
      <w:r w:rsidR="0097564D" w:rsidRPr="00B52537">
        <w:rPr>
          <w:lang w:val="en-GB" w:eastAsia="ar-SA"/>
        </w:rPr>
        <w:t xml:space="preserve">year-on-year. The Czech GDP grew </w:t>
      </w:r>
      <w:r w:rsidR="0009670C">
        <w:rPr>
          <w:lang w:val="en-GB" w:eastAsia="ar-SA"/>
        </w:rPr>
        <w:t xml:space="preserve">faster </w:t>
      </w:r>
      <w:r w:rsidR="0097564D" w:rsidRPr="00B52537">
        <w:rPr>
          <w:lang w:val="en-GB" w:eastAsia="ar-SA"/>
        </w:rPr>
        <w:t>compared to the dynamics of the EU economy in the year-on-year comparison during the year 2014, quarter-on-quarter only in Q2 and Q3.</w:t>
      </w:r>
    </w:p>
    <w:p w:rsidR="00754253" w:rsidRPr="00B52537" w:rsidRDefault="00754253" w:rsidP="00754253">
      <w:pPr>
        <w:pStyle w:val="Textpoznpodarou"/>
        <w:ind w:left="425"/>
        <w:jc w:val="both"/>
        <w:rPr>
          <w:sz w:val="10"/>
          <w:szCs w:val="10"/>
          <w:lang w:val="en-GB" w:eastAsia="ar-SA"/>
        </w:rPr>
      </w:pPr>
    </w:p>
    <w:p w:rsidR="00B167B1" w:rsidRPr="00B52537" w:rsidRDefault="00B167B1" w:rsidP="00A40874">
      <w:pPr>
        <w:pStyle w:val="Textpoznpodarou"/>
        <w:numPr>
          <w:ilvl w:val="0"/>
          <w:numId w:val="2"/>
        </w:numPr>
        <w:ind w:left="425" w:hanging="357"/>
        <w:jc w:val="both"/>
        <w:rPr>
          <w:lang w:val="en-GB" w:eastAsia="ar-SA"/>
        </w:rPr>
      </w:pPr>
      <w:r w:rsidRPr="00B52537">
        <w:rPr>
          <w:spacing w:val="-2"/>
          <w:lang w:val="en-GB" w:eastAsia="ar-SA"/>
        </w:rPr>
        <w:t>The</w:t>
      </w:r>
      <w:r w:rsidR="00B52537" w:rsidRPr="00B52537">
        <w:rPr>
          <w:spacing w:val="-2"/>
          <w:lang w:val="en-GB" w:eastAsia="ar-SA"/>
        </w:rPr>
        <w:t xml:space="preserve"> </w:t>
      </w:r>
      <w:r w:rsidRPr="00B52537">
        <w:rPr>
          <w:lang w:val="en-GB"/>
        </w:rPr>
        <w:t>performance of the Czech economy grew even faster than GDP according to the gross value added dynamics practically in every quarter of 2014. The cause was the pre-stocking with tobacco products by the end of year 2013, which affected the resulting balance of the taxes on products and subsidies on products for the whole year of 2014. The economic growth occurred in the relatively stabilized environment – both external and internal imbalance</w:t>
      </w:r>
      <w:r w:rsidR="0009670C">
        <w:rPr>
          <w:lang w:val="en-GB"/>
        </w:rPr>
        <w:t>s</w:t>
      </w:r>
      <w:r w:rsidRPr="00B52537">
        <w:rPr>
          <w:lang w:val="en-GB"/>
        </w:rPr>
        <w:t xml:space="preserve"> </w:t>
      </w:r>
      <w:r w:rsidR="0009670C">
        <w:rPr>
          <w:lang w:val="en-GB"/>
        </w:rPr>
        <w:t>were</w:t>
      </w:r>
      <w:r w:rsidRPr="00B52537">
        <w:rPr>
          <w:lang w:val="en-GB"/>
        </w:rPr>
        <w:t xml:space="preserve"> improving. The labour market also experienced a positive development.</w:t>
      </w:r>
      <w:r w:rsidR="00B52537">
        <w:rPr>
          <w:lang w:val="en-GB"/>
        </w:rPr>
        <w:t xml:space="preserve"> </w:t>
      </w:r>
      <w:r w:rsidR="0098515C">
        <w:rPr>
          <w:lang w:val="en-GB"/>
        </w:rPr>
        <w:t>Easier</w:t>
      </w:r>
      <w:r w:rsidR="00B52537">
        <w:rPr>
          <w:lang w:val="en-GB"/>
        </w:rPr>
        <w:t xml:space="preserve"> monetary and fiscal conditions supported the growth</w:t>
      </w:r>
      <w:r w:rsidR="00882A18">
        <w:rPr>
          <w:lang w:val="en-GB"/>
        </w:rPr>
        <w:t xml:space="preserve"> as well</w:t>
      </w:r>
      <w:r w:rsidR="00B52537">
        <w:rPr>
          <w:lang w:val="en-GB"/>
        </w:rPr>
        <w:t xml:space="preserve">. </w:t>
      </w:r>
      <w:r w:rsidRPr="00B52537">
        <w:rPr>
          <w:lang w:val="en-GB" w:eastAsia="ar-SA"/>
        </w:rPr>
        <w:t xml:space="preserve"> </w:t>
      </w:r>
      <w:r w:rsidR="00B52537">
        <w:rPr>
          <w:lang w:val="en-GB" w:eastAsia="ar-SA"/>
        </w:rPr>
        <w:t xml:space="preserve"> </w:t>
      </w:r>
      <w:r w:rsidRPr="00B52537">
        <w:rPr>
          <w:lang w:val="en-GB" w:eastAsia="ar-SA"/>
        </w:rPr>
        <w:t xml:space="preserve"> </w:t>
      </w:r>
    </w:p>
    <w:p w:rsidR="00476D29" w:rsidRPr="00B52537" w:rsidRDefault="00476D29" w:rsidP="00476D29">
      <w:pPr>
        <w:pStyle w:val="Textpoznpodarou"/>
        <w:ind w:left="425"/>
        <w:jc w:val="both"/>
        <w:rPr>
          <w:sz w:val="10"/>
          <w:szCs w:val="10"/>
          <w:lang w:val="en-GB" w:eastAsia="ar-SA"/>
        </w:rPr>
      </w:pPr>
    </w:p>
    <w:p w:rsidR="00B52537" w:rsidRPr="00B52537" w:rsidRDefault="00B52537" w:rsidP="00A40874">
      <w:pPr>
        <w:pStyle w:val="Textpoznpodarou"/>
        <w:numPr>
          <w:ilvl w:val="0"/>
          <w:numId w:val="2"/>
        </w:numPr>
        <w:ind w:left="425" w:hanging="357"/>
        <w:jc w:val="both"/>
        <w:rPr>
          <w:spacing w:val="-2"/>
          <w:lang w:val="en-US" w:eastAsia="ar-SA"/>
        </w:rPr>
      </w:pPr>
      <w:r w:rsidRPr="005B349E">
        <w:rPr>
          <w:spacing w:val="-4"/>
          <w:lang w:val="en-US" w:eastAsia="ar-SA"/>
        </w:rPr>
        <w:t>The GDP of the CR increased by 2 % in total for the whole year 2014, the gross value added increased by 2.6 %. The manufacturing industry contributed to the growth the most, being strongly oriented on the foreign demand (+</w:t>
      </w:r>
      <w:proofErr w:type="gramStart"/>
      <w:r w:rsidRPr="005B349E">
        <w:rPr>
          <w:spacing w:val="-4"/>
          <w:lang w:val="en-US" w:eastAsia="ar-SA"/>
        </w:rPr>
        <w:t>1.5 p.p</w:t>
      </w:r>
      <w:proofErr w:type="gramEnd"/>
      <w:r w:rsidRPr="005B349E">
        <w:rPr>
          <w:spacing w:val="-4"/>
          <w:lang w:val="en-US" w:eastAsia="ar-SA"/>
        </w:rPr>
        <w:t>.). The remaining industries</w:t>
      </w:r>
      <w:r w:rsidR="005B349E" w:rsidRPr="005B349E">
        <w:rPr>
          <w:spacing w:val="-4"/>
          <w:lang w:val="en-US" w:eastAsia="ar-SA"/>
        </w:rPr>
        <w:t xml:space="preserve"> in total</w:t>
      </w:r>
      <w:r w:rsidRPr="005B349E">
        <w:rPr>
          <w:spacing w:val="-4"/>
          <w:lang w:val="en-US" w:eastAsia="ar-SA"/>
        </w:rPr>
        <w:t xml:space="preserve"> were slowing down the economic growth (-0.1 p. p.).</w:t>
      </w:r>
      <w:r w:rsidRPr="00B52537">
        <w:rPr>
          <w:spacing w:val="-2"/>
          <w:lang w:val="en-US" w:eastAsia="ar-SA"/>
        </w:rPr>
        <w:t xml:space="preserve"> The group of </w:t>
      </w:r>
      <w:r w:rsidR="005B349E">
        <w:rPr>
          <w:spacing w:val="-2"/>
          <w:lang w:val="en-US" w:eastAsia="ar-SA"/>
        </w:rPr>
        <w:t>branches</w:t>
      </w:r>
      <w:r w:rsidRPr="00B52537">
        <w:rPr>
          <w:spacing w:val="-2"/>
          <w:lang w:val="en-US" w:eastAsia="ar-SA"/>
        </w:rPr>
        <w:t xml:space="preserve"> agriculture, forestry and fishing (+ 0.2 p.p.) and construction also for the first time since 2010 (+ 0.1 p.p.) participated on the growth of the gross value added compared to the preceding year. Services as a whole contributed to the growth already for the second time, their positive effect in addition strengthened from + 0.6 p. p. in 2013 to + 0.9 p. p. in 2014. While the gross value added has already overtaken its level from 2008 (+0.5 %), the GDP remained slightly lower (-0.2 %).</w:t>
      </w:r>
    </w:p>
    <w:p w:rsidR="00301D04" w:rsidRPr="00B52537" w:rsidRDefault="00301D04" w:rsidP="00301D04">
      <w:pPr>
        <w:rPr>
          <w:rFonts w:cs="Arial"/>
          <w:spacing w:val="-2"/>
          <w:sz w:val="10"/>
          <w:szCs w:val="10"/>
          <w:lang w:val="en-GB"/>
        </w:rPr>
      </w:pPr>
    </w:p>
    <w:p w:rsidR="00083803" w:rsidRPr="00A40874" w:rsidRDefault="005960F7" w:rsidP="00A40874">
      <w:pPr>
        <w:pStyle w:val="Textpoznpodarou"/>
        <w:numPr>
          <w:ilvl w:val="0"/>
          <w:numId w:val="2"/>
        </w:numPr>
        <w:ind w:left="425" w:hanging="357"/>
        <w:jc w:val="both"/>
        <w:rPr>
          <w:spacing w:val="-4"/>
          <w:lang w:val="en-GB" w:eastAsia="ar-SA"/>
        </w:rPr>
      </w:pPr>
      <w:r w:rsidRPr="00A40874">
        <w:rPr>
          <w:rFonts w:cs="Arial"/>
          <w:spacing w:val="-4"/>
          <w:lang w:val="en-GB"/>
        </w:rPr>
        <w:t xml:space="preserve">The volume of the industrial production and retail sales exceeded the </w:t>
      </w:r>
      <w:r w:rsidR="00882A18">
        <w:rPr>
          <w:rFonts w:cs="Arial"/>
          <w:spacing w:val="-4"/>
          <w:lang w:val="en-GB"/>
        </w:rPr>
        <w:t xml:space="preserve">boom </w:t>
      </w:r>
      <w:r w:rsidRPr="00A40874">
        <w:rPr>
          <w:rFonts w:cs="Arial"/>
          <w:spacing w:val="-4"/>
          <w:lang w:val="en-GB"/>
        </w:rPr>
        <w:t xml:space="preserve">top from year 2008 for the first time. The consumer confidence was also higher against the year 2008. The construction production hiked up after five years. Despite the growth of newly commenced dwellings, which occurred for the first time after seven years, their number reached however </w:t>
      </w:r>
      <w:r w:rsidRPr="001870CB">
        <w:rPr>
          <w:rFonts w:cs="Arial"/>
          <w:spacing w:val="-4"/>
          <w:lang w:val="en-GB"/>
        </w:rPr>
        <w:t>roughly one half of their number in 2007. The stock of construction works on the public</w:t>
      </w:r>
      <w:r w:rsidRPr="00A40874">
        <w:rPr>
          <w:rFonts w:cs="Arial"/>
          <w:spacing w:val="-4"/>
          <w:lang w:val="en-GB"/>
        </w:rPr>
        <w:t xml:space="preserve"> orders also increased after five years</w:t>
      </w:r>
      <w:r w:rsidR="00882A18">
        <w:rPr>
          <w:rFonts w:cs="Arial"/>
          <w:spacing w:val="-4"/>
          <w:lang w:val="en-GB"/>
        </w:rPr>
        <w:t xml:space="preserve"> in construction firms</w:t>
      </w:r>
      <w:r w:rsidRPr="00A40874">
        <w:rPr>
          <w:rFonts w:cs="Arial"/>
          <w:spacing w:val="-4"/>
          <w:lang w:val="en-GB"/>
        </w:rPr>
        <w:t>.</w:t>
      </w:r>
    </w:p>
    <w:p w:rsidR="00301D04" w:rsidRPr="00A40874" w:rsidRDefault="00301D04" w:rsidP="00301D04">
      <w:pPr>
        <w:pStyle w:val="Textpoznpodarou"/>
        <w:jc w:val="both"/>
        <w:rPr>
          <w:spacing w:val="-2"/>
          <w:sz w:val="10"/>
          <w:szCs w:val="10"/>
          <w:lang w:val="en-GB" w:eastAsia="ar-SA"/>
        </w:rPr>
      </w:pPr>
    </w:p>
    <w:p w:rsidR="00B570BD" w:rsidRPr="00B570BD" w:rsidRDefault="00B570BD" w:rsidP="00B570BD">
      <w:pPr>
        <w:pStyle w:val="Textpoznpodarou"/>
        <w:numPr>
          <w:ilvl w:val="0"/>
          <w:numId w:val="2"/>
        </w:numPr>
        <w:ind w:left="426"/>
        <w:jc w:val="both"/>
        <w:rPr>
          <w:lang w:val="en-US" w:eastAsia="ar-SA"/>
        </w:rPr>
      </w:pPr>
      <w:r>
        <w:rPr>
          <w:lang w:val="en-GB" w:eastAsia="ar-SA"/>
        </w:rPr>
        <w:t xml:space="preserve">The </w:t>
      </w:r>
      <w:r w:rsidRPr="00B570BD">
        <w:rPr>
          <w:lang w:val="en-US" w:eastAsia="ar-SA"/>
        </w:rPr>
        <w:t>fact that all main components of the domestic demand contributed to the growth of GDP was a positive feature of t</w:t>
      </w:r>
      <w:r w:rsidR="005B349E">
        <w:rPr>
          <w:lang w:val="en-US" w:eastAsia="ar-SA"/>
        </w:rPr>
        <w:t>he economic development in 2014</w:t>
      </w:r>
      <w:r w:rsidRPr="00B570BD">
        <w:rPr>
          <w:lang w:val="en-US" w:eastAsia="ar-SA"/>
        </w:rPr>
        <w:t xml:space="preserve"> </w:t>
      </w:r>
      <w:r w:rsidR="005B349E">
        <w:rPr>
          <w:lang w:val="en-US" w:eastAsia="ar-SA"/>
        </w:rPr>
        <w:t>(only exception was</w:t>
      </w:r>
      <w:r w:rsidRPr="00B570BD">
        <w:rPr>
          <w:lang w:val="en-US" w:eastAsia="ar-SA"/>
        </w:rPr>
        <w:t xml:space="preserve"> </w:t>
      </w:r>
      <w:r w:rsidR="005B349E">
        <w:rPr>
          <w:lang w:val="en-US" w:eastAsia="ar-SA"/>
        </w:rPr>
        <w:t>the change in</w:t>
      </w:r>
      <w:r w:rsidRPr="001870CB">
        <w:rPr>
          <w:lang w:val="en-US" w:eastAsia="ar-SA"/>
        </w:rPr>
        <w:t xml:space="preserve"> inventories</w:t>
      </w:r>
      <w:r w:rsidR="005B349E">
        <w:rPr>
          <w:lang w:val="en-US" w:eastAsia="ar-SA"/>
        </w:rPr>
        <w:t>)</w:t>
      </w:r>
      <w:r w:rsidRPr="001870CB">
        <w:rPr>
          <w:lang w:val="en-US" w:eastAsia="ar-SA"/>
        </w:rPr>
        <w:t xml:space="preserve">. Investment – which increased in </w:t>
      </w:r>
      <w:r w:rsidRPr="00DD51C0">
        <w:rPr>
          <w:lang w:val="en-US" w:eastAsia="ar-SA"/>
        </w:rPr>
        <w:t xml:space="preserve">the quarter-on-quarter comparison already for the sixth time in the last quarter of 2014 – contributed by 1.2 p. p. (based on </w:t>
      </w:r>
      <w:r w:rsidR="00DD51C0">
        <w:rPr>
          <w:lang w:val="en-US" w:eastAsia="ar-SA"/>
        </w:rPr>
        <w:t>classical decomposition</w:t>
      </w:r>
      <w:r w:rsidRPr="00DD51C0">
        <w:rPr>
          <w:lang w:val="en-US" w:eastAsia="ar-SA"/>
        </w:rPr>
        <w:t xml:space="preserve">), the total final consumption expenditure also participated on the economic growth </w:t>
      </w:r>
      <w:r w:rsidR="00EF6AE7">
        <w:rPr>
          <w:lang w:val="en-US" w:eastAsia="ar-SA"/>
        </w:rPr>
        <w:t>with the same force</w:t>
      </w:r>
      <w:r w:rsidRPr="00DD51C0">
        <w:rPr>
          <w:lang w:val="en-US" w:eastAsia="ar-SA"/>
        </w:rPr>
        <w:t>. While</w:t>
      </w:r>
      <w:r w:rsidRPr="00B570BD">
        <w:rPr>
          <w:lang w:val="en-US" w:eastAsia="ar-SA"/>
        </w:rPr>
        <w:t xml:space="preserve"> the household consumption itself, positively influenced by the turn on the labour market, contributed to the GDP growth markedly more than in the previous year (+0.2 p. p. </w:t>
      </w:r>
      <w:r w:rsidR="00882A18">
        <w:rPr>
          <w:lang w:val="en-US" w:eastAsia="ar-SA"/>
        </w:rPr>
        <w:t>i</w:t>
      </w:r>
      <w:r w:rsidRPr="00B570BD">
        <w:rPr>
          <w:lang w:val="en-US" w:eastAsia="ar-SA"/>
        </w:rPr>
        <w:t xml:space="preserve">n 2013, +0.8 p. p. </w:t>
      </w:r>
      <w:r w:rsidR="00731212">
        <w:rPr>
          <w:lang w:val="en-US" w:eastAsia="ar-SA"/>
        </w:rPr>
        <w:t>i</w:t>
      </w:r>
      <w:r w:rsidRPr="00B570BD">
        <w:rPr>
          <w:lang w:val="en-US" w:eastAsia="ar-SA"/>
        </w:rPr>
        <w:t xml:space="preserve">n 2014), the contribution of the government consumption mildly weakened (+0.4 p. p. </w:t>
      </w:r>
      <w:r w:rsidR="00731212">
        <w:rPr>
          <w:lang w:val="en-US" w:eastAsia="ar-SA"/>
        </w:rPr>
        <w:t>i</w:t>
      </w:r>
      <w:r w:rsidRPr="00B570BD">
        <w:rPr>
          <w:lang w:val="en-US" w:eastAsia="ar-SA"/>
        </w:rPr>
        <w:t>n 20</w:t>
      </w:r>
      <w:r w:rsidR="00EF6AE7">
        <w:rPr>
          <w:lang w:val="en-US" w:eastAsia="ar-SA"/>
        </w:rPr>
        <w:t>13, +0.3 p. p. in 2</w:t>
      </w:r>
      <w:r w:rsidRPr="001870CB">
        <w:rPr>
          <w:lang w:val="en-US" w:eastAsia="ar-SA"/>
        </w:rPr>
        <w:t>014). The c</w:t>
      </w:r>
      <w:r w:rsidR="00F92C35">
        <w:rPr>
          <w:lang w:val="en-US" w:eastAsia="ar-SA"/>
        </w:rPr>
        <w:t>hange in</w:t>
      </w:r>
      <w:r w:rsidRPr="001870CB">
        <w:rPr>
          <w:lang w:val="en-US" w:eastAsia="ar-SA"/>
        </w:rPr>
        <w:t xml:space="preserve"> inventor</w:t>
      </w:r>
      <w:r w:rsidR="001870CB">
        <w:rPr>
          <w:lang w:val="en-US" w:eastAsia="ar-SA"/>
        </w:rPr>
        <w:t xml:space="preserve">ies </w:t>
      </w:r>
      <w:r w:rsidRPr="001870CB">
        <w:rPr>
          <w:lang w:val="en-US" w:eastAsia="ar-SA"/>
        </w:rPr>
        <w:t>(-0.2</w:t>
      </w:r>
      <w:r w:rsidRPr="00B570BD">
        <w:rPr>
          <w:lang w:val="en-US" w:eastAsia="ar-SA"/>
        </w:rPr>
        <w:t xml:space="preserve"> p. p.) hindered the growth of the Czech economy similarly to the two preceding years. The result of the foreign trade – which was in real terms adversely affected by the strength of the domestic demand being reflected in the higher rate of growth of imports (+ 9.6 %) compared to exports (+ 8.8 %) – also contributed negatively to the GDP growth (- 0.1 p. p.), in fact for the first time since 2007.</w:t>
      </w:r>
    </w:p>
    <w:p w:rsidR="00281416" w:rsidRPr="00A40874" w:rsidRDefault="00281416" w:rsidP="009560B0">
      <w:pPr>
        <w:rPr>
          <w:sz w:val="10"/>
          <w:szCs w:val="10"/>
          <w:lang w:val="en-GB" w:eastAsia="ar-SA"/>
        </w:rPr>
      </w:pPr>
    </w:p>
    <w:p w:rsidR="00AC1836" w:rsidRDefault="00AC1836" w:rsidP="00AC1836">
      <w:pPr>
        <w:pStyle w:val="Textpoznpodarou"/>
        <w:numPr>
          <w:ilvl w:val="0"/>
          <w:numId w:val="2"/>
        </w:numPr>
        <w:ind w:left="426"/>
        <w:jc w:val="both"/>
        <w:rPr>
          <w:lang w:val="en-US" w:eastAsia="ar-SA"/>
        </w:rPr>
      </w:pPr>
      <w:r w:rsidRPr="00AC1836">
        <w:rPr>
          <w:lang w:val="en-US" w:eastAsia="ar-SA"/>
        </w:rPr>
        <w:t>The CR registered several historical improvements in the external relations – the surplus on the current account (just second since 1993), record trade balance or „</w:t>
      </w:r>
      <w:r w:rsidR="0098515C">
        <w:rPr>
          <w:lang w:val="en-US" w:eastAsia="ar-SA"/>
        </w:rPr>
        <w:t>salary</w:t>
      </w:r>
      <w:r w:rsidRPr="00AC1836">
        <w:rPr>
          <w:lang w:val="en-US" w:eastAsia="ar-SA"/>
        </w:rPr>
        <w:t xml:space="preserve"> balance</w:t>
      </w:r>
      <w:proofErr w:type="gramStart"/>
      <w:r w:rsidR="00F12BC8" w:rsidRPr="00AC1836">
        <w:rPr>
          <w:lang w:val="en-US" w:eastAsia="ar-SA"/>
        </w:rPr>
        <w:t>“</w:t>
      </w:r>
      <w:r w:rsidR="002627E0">
        <w:rPr>
          <w:lang w:val="en-US" w:eastAsia="ar-SA"/>
        </w:rPr>
        <w:t xml:space="preserve"> </w:t>
      </w:r>
      <w:r w:rsidR="00F12BC8" w:rsidRPr="00AC1836">
        <w:rPr>
          <w:lang w:val="en-US" w:eastAsia="ar-SA"/>
        </w:rPr>
        <w:t>with</w:t>
      </w:r>
      <w:proofErr w:type="gramEnd"/>
      <w:r w:rsidRPr="00AC1836">
        <w:rPr>
          <w:lang w:val="en-US" w:eastAsia="ar-SA"/>
        </w:rPr>
        <w:t xml:space="preserve"> foreign countries. The outflow of dividends of direct investment was also historically the highest based on the balance of payments </w:t>
      </w:r>
      <w:proofErr w:type="gramStart"/>
      <w:r w:rsidRPr="00AC1836">
        <w:rPr>
          <w:lang w:val="en-US" w:eastAsia="ar-SA"/>
        </w:rPr>
        <w:t>data,</w:t>
      </w:r>
      <w:proofErr w:type="gramEnd"/>
      <w:r w:rsidRPr="00AC1836">
        <w:rPr>
          <w:lang w:val="en-US" w:eastAsia="ar-SA"/>
        </w:rPr>
        <w:t xml:space="preserve"> the amount of reinvested profits was the second highest. This development </w:t>
      </w:r>
      <w:r w:rsidR="007C38EF">
        <w:rPr>
          <w:lang w:val="en-US" w:eastAsia="ar-SA"/>
        </w:rPr>
        <w:t xml:space="preserve">was </w:t>
      </w:r>
      <w:r w:rsidRPr="00AC1836">
        <w:rPr>
          <w:lang w:val="en-US" w:eastAsia="ar-SA"/>
        </w:rPr>
        <w:t xml:space="preserve">enabled </w:t>
      </w:r>
      <w:r w:rsidR="007C38EF">
        <w:rPr>
          <w:lang w:val="en-US" w:eastAsia="ar-SA"/>
        </w:rPr>
        <w:t xml:space="preserve">by </w:t>
      </w:r>
      <w:r w:rsidRPr="00AC1836">
        <w:rPr>
          <w:lang w:val="en-US" w:eastAsia="ar-SA"/>
        </w:rPr>
        <w:t>the strong dynamics of sales, especially from exports</w:t>
      </w:r>
      <w:r w:rsidR="007C38EF">
        <w:rPr>
          <w:lang w:val="en-US" w:eastAsia="ar-SA"/>
        </w:rPr>
        <w:t>,</w:t>
      </w:r>
      <w:r w:rsidRPr="00AC1836">
        <w:rPr>
          <w:lang w:val="en-US" w:eastAsia="ar-SA"/>
        </w:rPr>
        <w:t xml:space="preserve"> and profits</w:t>
      </w:r>
      <w:r w:rsidR="007C38EF">
        <w:rPr>
          <w:lang w:val="en-US" w:eastAsia="ar-SA"/>
        </w:rPr>
        <w:t>,</w:t>
      </w:r>
      <w:r w:rsidRPr="00AC1836">
        <w:rPr>
          <w:lang w:val="en-US" w:eastAsia="ar-SA"/>
        </w:rPr>
        <w:t xml:space="preserve"> also generated by the weak </w:t>
      </w:r>
      <w:r w:rsidR="0098515C">
        <w:rPr>
          <w:lang w:val="en-US" w:eastAsia="ar-SA"/>
        </w:rPr>
        <w:t>koruna</w:t>
      </w:r>
      <w:r w:rsidRPr="00AC1836">
        <w:rPr>
          <w:lang w:val="en-US" w:eastAsia="ar-SA"/>
        </w:rPr>
        <w:t>. The inflow of direct investment from abroad was below the average of the previous three as well as ten years.   </w:t>
      </w:r>
    </w:p>
    <w:p w:rsidR="00AC1836" w:rsidRPr="00AC1836" w:rsidRDefault="00AC1836" w:rsidP="00AC1836">
      <w:pPr>
        <w:pStyle w:val="Odstavecseseznamem"/>
        <w:rPr>
          <w:sz w:val="10"/>
          <w:szCs w:val="10"/>
          <w:lang w:val="en-US" w:eastAsia="ar-SA"/>
        </w:rPr>
      </w:pPr>
    </w:p>
    <w:p w:rsidR="00AC1836" w:rsidRPr="00AC1836" w:rsidRDefault="007B33A4" w:rsidP="00AC1836">
      <w:pPr>
        <w:pStyle w:val="Textpoznpodarou"/>
        <w:numPr>
          <w:ilvl w:val="0"/>
          <w:numId w:val="2"/>
        </w:numPr>
        <w:ind w:left="426"/>
        <w:jc w:val="both"/>
        <w:rPr>
          <w:lang w:val="en-US" w:eastAsia="ar-SA"/>
        </w:rPr>
      </w:pPr>
      <w:r>
        <w:rPr>
          <w:lang w:val="en-GB" w:eastAsia="ar-SA"/>
        </w:rPr>
        <w:t>Total</w:t>
      </w:r>
      <w:r w:rsidR="00AC1836">
        <w:rPr>
          <w:lang w:val="en-GB" w:eastAsia="ar-SA"/>
        </w:rPr>
        <w:t xml:space="preserve"> </w:t>
      </w:r>
      <w:r w:rsidR="00AC1836" w:rsidRPr="00AC1836">
        <w:rPr>
          <w:lang w:val="en-US" w:eastAsia="ar-SA"/>
        </w:rPr>
        <w:t>price level in the economy increased based on the implicit GDP deflator by 2.3 % in 2014, mostly thanks to the favourable development of prices in the foreign trade with goods. The prices in the industry crossed over into the deflation (- 0.8 %), the consumer price index moved up only by 0.4 %.</w:t>
      </w:r>
    </w:p>
    <w:p w:rsidR="00A23545" w:rsidRPr="00301D04" w:rsidRDefault="00A23545" w:rsidP="00A23545">
      <w:pPr>
        <w:pStyle w:val="Textpoznpodarou"/>
        <w:jc w:val="both"/>
        <w:rPr>
          <w:sz w:val="10"/>
          <w:szCs w:val="10"/>
          <w:lang w:eastAsia="ar-SA"/>
        </w:rPr>
      </w:pPr>
    </w:p>
    <w:p w:rsidR="001645BB" w:rsidRPr="001645BB" w:rsidRDefault="001645BB" w:rsidP="001645BB">
      <w:pPr>
        <w:pStyle w:val="Textpoznpodarou"/>
        <w:numPr>
          <w:ilvl w:val="0"/>
          <w:numId w:val="2"/>
        </w:numPr>
        <w:ind w:left="426"/>
        <w:jc w:val="both"/>
        <w:rPr>
          <w:color w:val="000000" w:themeColor="text1"/>
          <w:lang w:val="en-US"/>
        </w:rPr>
      </w:pPr>
      <w:r>
        <w:rPr>
          <w:color w:val="000000" w:themeColor="text1"/>
        </w:rPr>
        <w:t xml:space="preserve">The </w:t>
      </w:r>
      <w:r w:rsidRPr="001645BB">
        <w:rPr>
          <w:color w:val="000000" w:themeColor="text1"/>
          <w:lang w:val="en-US"/>
        </w:rPr>
        <w:t xml:space="preserve">changes on the labour market were of a complex nature. The unemployment rate fell significantly (to 6.2 %), the </w:t>
      </w:r>
      <w:r w:rsidR="00FF168C">
        <w:rPr>
          <w:color w:val="000000" w:themeColor="text1"/>
          <w:lang w:val="en-US"/>
        </w:rPr>
        <w:t>total</w:t>
      </w:r>
      <w:r w:rsidRPr="001645BB">
        <w:rPr>
          <w:color w:val="000000" w:themeColor="text1"/>
          <w:lang w:val="en-US"/>
        </w:rPr>
        <w:t xml:space="preserve"> employment in the national account conception climbed up by 0.4 % accompanied by an increase of the number of</w:t>
      </w:r>
      <w:r w:rsidR="00FF168C">
        <w:rPr>
          <w:color w:val="000000" w:themeColor="text1"/>
          <w:lang w:val="en-US"/>
        </w:rPr>
        <w:t xml:space="preserve"> job vacancies</w:t>
      </w:r>
      <w:r w:rsidRPr="001645BB">
        <w:rPr>
          <w:color w:val="000000" w:themeColor="text1"/>
          <w:lang w:val="en-US"/>
        </w:rPr>
        <w:t xml:space="preserve">. The proportion of part-time jobs however already </w:t>
      </w:r>
      <w:r w:rsidRPr="001645BB">
        <w:rPr>
          <w:color w:val="000000" w:themeColor="text1"/>
          <w:lang w:val="en-US"/>
        </w:rPr>
        <w:lastRenderedPageBreak/>
        <w:t xml:space="preserve">decreased. The average nominal wage increased by 2.4 % following </w:t>
      </w:r>
      <w:r w:rsidR="00F12BC8" w:rsidRPr="001645BB">
        <w:rPr>
          <w:color w:val="000000" w:themeColor="text1"/>
          <w:lang w:val="en-US"/>
        </w:rPr>
        <w:t>stagnation</w:t>
      </w:r>
      <w:r w:rsidRPr="001645BB">
        <w:rPr>
          <w:color w:val="000000" w:themeColor="text1"/>
          <w:lang w:val="en-US"/>
        </w:rPr>
        <w:t xml:space="preserve"> in 2013, the average real wage was higher by 2.0 % after two years of fall. </w:t>
      </w:r>
    </w:p>
    <w:p w:rsidR="00D478E2" w:rsidRPr="00301D04" w:rsidRDefault="00D478E2" w:rsidP="00301D04">
      <w:pPr>
        <w:rPr>
          <w:sz w:val="10"/>
          <w:szCs w:val="10"/>
          <w:lang w:eastAsia="ar-SA"/>
        </w:rPr>
      </w:pPr>
    </w:p>
    <w:p w:rsidR="00680F07" w:rsidRPr="00680F07" w:rsidRDefault="00680F07" w:rsidP="00680F07">
      <w:pPr>
        <w:pStyle w:val="Textpoznpodarou"/>
        <w:numPr>
          <w:ilvl w:val="0"/>
          <w:numId w:val="2"/>
        </w:numPr>
        <w:ind w:left="426"/>
        <w:jc w:val="both"/>
        <w:rPr>
          <w:spacing w:val="-4"/>
          <w:lang w:val="en-US" w:eastAsia="ar-SA"/>
        </w:rPr>
      </w:pPr>
      <w:r w:rsidRPr="00680F07">
        <w:rPr>
          <w:spacing w:val="-4"/>
          <w:lang w:val="en-US" w:eastAsia="ar-SA"/>
        </w:rPr>
        <w:t>The economic growth was recorded with</w:t>
      </w:r>
      <w:r w:rsidR="00731212">
        <w:rPr>
          <w:spacing w:val="-4"/>
          <w:lang w:val="en-US" w:eastAsia="ar-SA"/>
        </w:rPr>
        <w:t>out</w:t>
      </w:r>
      <w:r w:rsidRPr="00680F07">
        <w:rPr>
          <w:spacing w:val="-4"/>
          <w:lang w:val="en-US" w:eastAsia="ar-SA"/>
        </w:rPr>
        <w:t xml:space="preserve"> a credit </w:t>
      </w:r>
      <w:proofErr w:type="gramStart"/>
      <w:r w:rsidRPr="00680F07">
        <w:rPr>
          <w:spacing w:val="-4"/>
          <w:lang w:val="en-US" w:eastAsia="ar-SA"/>
        </w:rPr>
        <w:t>expansion,</w:t>
      </w:r>
      <w:proofErr w:type="gramEnd"/>
      <w:r w:rsidRPr="00680F07">
        <w:rPr>
          <w:spacing w:val="-4"/>
          <w:lang w:val="en-US" w:eastAsia="ar-SA"/>
        </w:rPr>
        <w:t xml:space="preserve"> the companies probably utilized the funds accumulated from the favourable development of their profits to finance the gross fixed capital formation. The decrease of funds on the term deposits continued, since the deposit interest rates for clients including the rates on non-term deposits kept falling.</w:t>
      </w:r>
    </w:p>
    <w:p w:rsidR="00724666" w:rsidRPr="00301D04" w:rsidRDefault="00724666" w:rsidP="00301D04">
      <w:pPr>
        <w:rPr>
          <w:color w:val="000000" w:themeColor="text1"/>
          <w:sz w:val="10"/>
          <w:szCs w:val="10"/>
        </w:rPr>
      </w:pPr>
    </w:p>
    <w:p w:rsidR="00680F07" w:rsidRDefault="00680F07" w:rsidP="00680F07">
      <w:pPr>
        <w:pStyle w:val="Textpoznpodarou"/>
        <w:numPr>
          <w:ilvl w:val="0"/>
          <w:numId w:val="2"/>
        </w:numPr>
        <w:ind w:left="426"/>
        <w:jc w:val="both"/>
        <w:rPr>
          <w:color w:val="000000" w:themeColor="text1"/>
          <w:lang w:val="en-US"/>
        </w:rPr>
      </w:pPr>
      <w:r>
        <w:rPr>
          <w:color w:val="000000" w:themeColor="text1"/>
        </w:rPr>
        <w:t xml:space="preserve">The </w:t>
      </w:r>
      <w:r w:rsidRPr="00680F07">
        <w:rPr>
          <w:color w:val="000000" w:themeColor="text1"/>
          <w:lang w:val="en-US"/>
        </w:rPr>
        <w:t>state budget deficit in the amount of 1.8 % of the nominal GDP was the most favourable since year 2008. Its reduction occurred already for the fifth time in a row. The economic revival as</w:t>
      </w:r>
      <w:r w:rsidR="00E742C2">
        <w:rPr>
          <w:color w:val="000000" w:themeColor="text1"/>
          <w:lang w:val="en-US"/>
        </w:rPr>
        <w:t>sisted to the high growth of VAT</w:t>
      </w:r>
      <w:r w:rsidRPr="00680F07">
        <w:rPr>
          <w:color w:val="000000" w:themeColor="text1"/>
          <w:lang w:val="en-US"/>
        </w:rPr>
        <w:t xml:space="preserve"> as well as corporate tax collection, it also decreased the pension account deficit. Its balance recorded the largest positive year-on-year progress since 2007. The three years lasting </w:t>
      </w:r>
      <w:r w:rsidR="00E742C2">
        <w:rPr>
          <w:color w:val="000000" w:themeColor="text1"/>
          <w:lang w:val="en-US"/>
        </w:rPr>
        <w:t>decrease</w:t>
      </w:r>
      <w:r w:rsidRPr="00680F07">
        <w:rPr>
          <w:color w:val="000000" w:themeColor="text1"/>
          <w:lang w:val="en-US"/>
        </w:rPr>
        <w:t xml:space="preserve"> of state expenditure on investment also halted (+ 9.8 % year-on-year) due to the intensive drawing of resources from the European funds. </w:t>
      </w:r>
    </w:p>
    <w:p w:rsidR="008E39BC" w:rsidRDefault="008E39BC" w:rsidP="008E39BC">
      <w:pPr>
        <w:pStyle w:val="Textpoznpodarou"/>
        <w:jc w:val="both"/>
        <w:rPr>
          <w:color w:val="000000" w:themeColor="text1"/>
          <w:lang w:val="en-US"/>
        </w:rPr>
      </w:pPr>
    </w:p>
    <w:p w:rsidR="008E39BC" w:rsidRDefault="008E39BC" w:rsidP="008E39BC">
      <w:pPr>
        <w:pStyle w:val="Textpoznpodarou"/>
        <w:jc w:val="both"/>
        <w:rPr>
          <w:color w:val="000000" w:themeColor="text1"/>
          <w:lang w:val="en-US"/>
        </w:rPr>
      </w:pPr>
    </w:p>
    <w:p w:rsidR="008E39BC" w:rsidRPr="008E39BC" w:rsidRDefault="008E39BC" w:rsidP="008E39BC">
      <w:pPr>
        <w:pStyle w:val="Nadpis1"/>
        <w:numPr>
          <w:ilvl w:val="0"/>
          <w:numId w:val="9"/>
        </w:numPr>
        <w:jc w:val="both"/>
        <w:rPr>
          <w:lang w:val="en-GB"/>
        </w:rPr>
      </w:pPr>
      <w:bookmarkStart w:id="3" w:name="_Toc414264321"/>
      <w:bookmarkStart w:id="4" w:name="_Toc417454523"/>
      <w:r w:rsidRPr="008E39BC">
        <w:rPr>
          <w:lang w:val="en-GB"/>
        </w:rPr>
        <w:t>Overall Economic Performance</w:t>
      </w:r>
      <w:bookmarkEnd w:id="3"/>
      <w:bookmarkEnd w:id="4"/>
    </w:p>
    <w:tbl>
      <w:tblPr>
        <w:tblW w:w="5000" w:type="pct"/>
        <w:tblLayout w:type="fixed"/>
        <w:tblLook w:val="00A0"/>
      </w:tblPr>
      <w:tblGrid>
        <w:gridCol w:w="2077"/>
        <w:gridCol w:w="282"/>
        <w:gridCol w:w="7495"/>
      </w:tblGrid>
      <w:tr w:rsidR="008E39BC" w:rsidRPr="007D44C3" w:rsidTr="008E39BC">
        <w:tc>
          <w:tcPr>
            <w:tcW w:w="1054" w:type="pct"/>
          </w:tcPr>
          <w:p w:rsidR="008E39BC" w:rsidRPr="00FD31DC" w:rsidRDefault="008E39BC" w:rsidP="008E39BC">
            <w:pPr>
              <w:spacing w:line="240" w:lineRule="auto"/>
              <w:rPr>
                <w:sz w:val="16"/>
                <w:szCs w:val="16"/>
                <w:lang w:val="en-GB"/>
              </w:rPr>
            </w:pPr>
            <w:r w:rsidRPr="00FD31DC">
              <w:rPr>
                <w:sz w:val="16"/>
                <w:szCs w:val="16"/>
                <w:lang w:val="en-GB"/>
              </w:rPr>
              <w:t>Czech economy</w:t>
            </w:r>
            <w:r>
              <w:rPr>
                <w:sz w:val="16"/>
                <w:szCs w:val="16"/>
                <w:lang w:val="en-GB"/>
              </w:rPr>
              <w:t xml:space="preserve"> was</w:t>
            </w:r>
            <w:r w:rsidRPr="00FD31DC">
              <w:rPr>
                <w:sz w:val="16"/>
                <w:szCs w:val="16"/>
                <w:lang w:val="en-GB"/>
              </w:rPr>
              <w:t xml:space="preserve"> further reviving during 2014, …</w:t>
            </w:r>
          </w:p>
        </w:tc>
        <w:tc>
          <w:tcPr>
            <w:tcW w:w="143" w:type="pct"/>
          </w:tcPr>
          <w:p w:rsidR="008E39BC" w:rsidRPr="00FD31DC" w:rsidRDefault="008E39BC" w:rsidP="008E39BC">
            <w:pPr>
              <w:pStyle w:val="Textpoznpodarou"/>
              <w:jc w:val="both"/>
              <w:rPr>
                <w:lang w:val="en-GB"/>
              </w:rPr>
            </w:pPr>
          </w:p>
        </w:tc>
        <w:tc>
          <w:tcPr>
            <w:tcW w:w="3803" w:type="pct"/>
          </w:tcPr>
          <w:p w:rsidR="008E39BC" w:rsidRPr="00FD31DC" w:rsidRDefault="008E39BC" w:rsidP="008E39BC">
            <w:pPr>
              <w:pStyle w:val="Textpoznpodarou"/>
              <w:jc w:val="both"/>
              <w:rPr>
                <w:spacing w:val="-2"/>
                <w:lang w:val="en-GB"/>
              </w:rPr>
            </w:pPr>
            <w:r w:rsidRPr="00FD31DC">
              <w:rPr>
                <w:spacing w:val="-2"/>
                <w:lang w:val="en-GB"/>
              </w:rPr>
              <w:t>The CR economy, which extricated itself out of the recession in Q2 2013, kept further recovering during the year 2014</w:t>
            </w:r>
            <w:r>
              <w:rPr>
                <w:rStyle w:val="Znakapoznpodarou"/>
                <w:spacing w:val="-2"/>
                <w:lang w:val="en-GB"/>
              </w:rPr>
              <w:footnoteReference w:id="2"/>
            </w:r>
            <w:r w:rsidRPr="00FD31DC">
              <w:rPr>
                <w:spacing w:val="-2"/>
                <w:lang w:val="en-GB"/>
              </w:rPr>
              <w:t xml:space="preserve">. Its performance was improving – gauged by the quarter-on-quarter </w:t>
            </w:r>
            <w:proofErr w:type="spellStart"/>
            <w:r w:rsidRPr="00FD31DC">
              <w:rPr>
                <w:spacing w:val="-2"/>
                <w:lang w:val="en-GB"/>
              </w:rPr>
              <w:t>change</w:t>
            </w:r>
            <w:proofErr w:type="spellEnd"/>
            <w:r w:rsidRPr="00FD31DC">
              <w:rPr>
                <w:spacing w:val="-2"/>
                <w:lang w:val="en-GB"/>
              </w:rPr>
              <w:t xml:space="preserve"> of the gross domestic product (GDP) – without exception thro</w:t>
            </w:r>
            <w:r>
              <w:rPr>
                <w:spacing w:val="-2"/>
                <w:lang w:val="en-GB"/>
              </w:rPr>
              <w:t>ughout the whole year. If in Q1</w:t>
            </w:r>
            <w:r w:rsidRPr="00FD31DC">
              <w:rPr>
                <w:spacing w:val="-2"/>
                <w:lang w:val="en-GB"/>
              </w:rPr>
              <w:t xml:space="preserve"> the GDP increased by 0.3 % and in Q2 as well, it grew identically by 0.4 % in the two remaining quarters. The development of the economy recorded in this way, already favourable, was however underestimated. The pre-stocking with the tobacco</w:t>
            </w:r>
            <w:r>
              <w:rPr>
                <w:spacing w:val="-2"/>
                <w:lang w:val="en-GB"/>
              </w:rPr>
              <w:t xml:space="preserve"> products at the end of 2013 leading to</w:t>
            </w:r>
            <w:r w:rsidRPr="00FD31DC">
              <w:rPr>
                <w:spacing w:val="-2"/>
                <w:lang w:val="en-GB"/>
              </w:rPr>
              <w:t xml:space="preserve"> increase of the collection of consumption taxes led in fact to the situation, that the balance of taxes on products – which is part of the GDP calculation – considerably increased in the last quarter of 2013 and heightened the dynamics of the GDP growth, nevertheless it was continuously falling during the year 2014 and on the contrary pressed down the GDP dynamics. If we proceed from the quarter-on-quarter changes of the gross value added (GVA), which does not contain this balance and is more suitable for the purpose of capturing the true development, the picture regarding the development of the domestic economy changes for the better. If the GVA increased by 0.7 % quarter-on-quarter in Q1 2014 and identically by 0.5</w:t>
            </w:r>
            <w:r>
              <w:rPr>
                <w:spacing w:val="-2"/>
                <w:lang w:val="en-GB"/>
              </w:rPr>
              <w:t> </w:t>
            </w:r>
            <w:r w:rsidRPr="00FD31DC">
              <w:rPr>
                <w:spacing w:val="-2"/>
                <w:lang w:val="en-GB"/>
              </w:rPr>
              <w:t xml:space="preserve">% in Q2 and </w:t>
            </w:r>
            <w:r>
              <w:rPr>
                <w:spacing w:val="-2"/>
                <w:lang w:val="en-GB"/>
              </w:rPr>
              <w:t>Q</w:t>
            </w:r>
            <w:r w:rsidRPr="00FD31DC">
              <w:rPr>
                <w:spacing w:val="-2"/>
                <w:lang w:val="en-GB"/>
              </w:rPr>
              <w:t xml:space="preserve">3, it rose by high 1.1 % in the last three months of the year. As it was evident from the data related to GDP, that the Czech economy kept further reviving in 2014, </w:t>
            </w:r>
            <w:proofErr w:type="gramStart"/>
            <w:r w:rsidRPr="00FD31DC">
              <w:rPr>
                <w:spacing w:val="-2"/>
                <w:lang w:val="en-GB"/>
              </w:rPr>
              <w:t>then</w:t>
            </w:r>
            <w:proofErr w:type="gramEnd"/>
            <w:r w:rsidRPr="00FD31DC">
              <w:rPr>
                <w:spacing w:val="-2"/>
                <w:lang w:val="en-GB"/>
              </w:rPr>
              <w:t xml:space="preserve"> it followed from the GVA indicator, that its growth accelerated towards the end of the year.</w:t>
            </w:r>
          </w:p>
          <w:p w:rsidR="008E39BC" w:rsidRPr="008E39BC" w:rsidRDefault="008E39BC" w:rsidP="008E39BC">
            <w:pPr>
              <w:pStyle w:val="Textpoznpodarou"/>
              <w:jc w:val="both"/>
              <w:rPr>
                <w:sz w:val="18"/>
                <w:szCs w:val="18"/>
                <w:lang w:val="en-GB"/>
              </w:rPr>
            </w:pPr>
          </w:p>
        </w:tc>
      </w:tr>
      <w:tr w:rsidR="008E39BC" w:rsidRPr="007D44C3" w:rsidTr="008E39BC">
        <w:tc>
          <w:tcPr>
            <w:tcW w:w="1054" w:type="pct"/>
          </w:tcPr>
          <w:p w:rsidR="008E39BC" w:rsidRPr="00FD31DC" w:rsidRDefault="008E39BC" w:rsidP="008E39BC">
            <w:pPr>
              <w:spacing w:line="240" w:lineRule="auto"/>
              <w:rPr>
                <w:sz w:val="16"/>
                <w:szCs w:val="16"/>
                <w:lang w:val="en-GB"/>
              </w:rPr>
            </w:pPr>
            <w:r w:rsidRPr="00FD31DC">
              <w:rPr>
                <w:sz w:val="16"/>
                <w:szCs w:val="16"/>
                <w:lang w:val="en-GB"/>
              </w:rPr>
              <w:t>... GDP formed in 2014 already nearly balanced out its level from 2008</w:t>
            </w:r>
          </w:p>
        </w:tc>
        <w:tc>
          <w:tcPr>
            <w:tcW w:w="143" w:type="pct"/>
          </w:tcPr>
          <w:p w:rsidR="008E39BC" w:rsidRPr="00FD31DC" w:rsidRDefault="008E39BC" w:rsidP="008E39BC">
            <w:pPr>
              <w:pStyle w:val="Textpoznpodarou"/>
              <w:jc w:val="both"/>
              <w:rPr>
                <w:lang w:val="en-GB"/>
              </w:rPr>
            </w:pPr>
          </w:p>
        </w:tc>
        <w:tc>
          <w:tcPr>
            <w:tcW w:w="3803" w:type="pct"/>
          </w:tcPr>
          <w:p w:rsidR="008E39BC" w:rsidRPr="0056747E" w:rsidRDefault="008E39BC" w:rsidP="008E39BC">
            <w:pPr>
              <w:pStyle w:val="Textpoznpodarou"/>
              <w:jc w:val="both"/>
              <w:rPr>
                <w:rFonts w:cs="Arial"/>
                <w:spacing w:val="-6"/>
                <w:lang w:val="en-US"/>
              </w:rPr>
            </w:pPr>
            <w:r w:rsidRPr="0056747E">
              <w:rPr>
                <w:rFonts w:cs="Arial"/>
                <w:spacing w:val="-6"/>
                <w:lang w:val="en-GB"/>
              </w:rPr>
              <w:t xml:space="preserve">The </w:t>
            </w:r>
            <w:r w:rsidRPr="0056747E">
              <w:rPr>
                <w:rFonts w:cs="Arial"/>
                <w:spacing w:val="-6"/>
                <w:lang w:val="en-US"/>
              </w:rPr>
              <w:t xml:space="preserve">data for year 2014 confirmed, that the Czech economy already overcame the two </w:t>
            </w:r>
            <w:proofErr w:type="gramStart"/>
            <w:r w:rsidRPr="0056747E">
              <w:rPr>
                <w:rFonts w:cs="Arial"/>
                <w:spacing w:val="-6"/>
                <w:lang w:val="en-US"/>
              </w:rPr>
              <w:t>years</w:t>
            </w:r>
            <w:r w:rsidRPr="0056747E">
              <w:rPr>
                <w:rFonts w:cs="Arial"/>
                <w:spacing w:val="-6"/>
                <w:lang w:val="de-DE"/>
              </w:rPr>
              <w:t>‘</w:t>
            </w:r>
            <w:r w:rsidRPr="0056747E">
              <w:rPr>
                <w:rFonts w:cs="Arial"/>
                <w:spacing w:val="-6"/>
                <w:lang w:val="en-US"/>
              </w:rPr>
              <w:t xml:space="preserve"> recession</w:t>
            </w:r>
            <w:proofErr w:type="gramEnd"/>
            <w:r w:rsidRPr="0056747E">
              <w:rPr>
                <w:rFonts w:cs="Arial"/>
                <w:spacing w:val="-6"/>
                <w:lang w:val="en-US"/>
              </w:rPr>
              <w:t>. As the GDP dropped in total by 1.4 % in the CR in years 2012 and 2013, the rise by precise 2.0 %</w:t>
            </w:r>
            <w:r>
              <w:rPr>
                <w:rFonts w:cs="Arial"/>
                <w:spacing w:val="-6"/>
                <w:lang w:val="en-US"/>
              </w:rPr>
              <w:t xml:space="preserve"> in year 2014</w:t>
            </w:r>
            <w:r w:rsidRPr="0056747E">
              <w:rPr>
                <w:rFonts w:cs="Arial"/>
                <w:spacing w:val="-6"/>
                <w:lang w:val="en-US"/>
              </w:rPr>
              <w:t xml:space="preserve"> more than compensated for this slump. The GDP created in 2014 already nearly balanced out its level from the top of boom in 2008 (it was lower only by 0.2 %).</w:t>
            </w:r>
          </w:p>
          <w:p w:rsidR="008E39BC" w:rsidRPr="008E39BC" w:rsidRDefault="008E39BC" w:rsidP="008E39BC">
            <w:pPr>
              <w:pStyle w:val="Textpoznpodarou"/>
              <w:jc w:val="both"/>
              <w:rPr>
                <w:sz w:val="18"/>
                <w:szCs w:val="18"/>
                <w:lang w:val="en-GB"/>
              </w:rPr>
            </w:pPr>
          </w:p>
        </w:tc>
      </w:tr>
      <w:tr w:rsidR="008E39BC" w:rsidRPr="00B924CA" w:rsidTr="008E39BC">
        <w:tc>
          <w:tcPr>
            <w:tcW w:w="1054" w:type="pct"/>
          </w:tcPr>
          <w:p w:rsidR="008E39BC" w:rsidRPr="00F45EF5" w:rsidRDefault="008E39BC" w:rsidP="008E39BC">
            <w:pPr>
              <w:spacing w:line="240" w:lineRule="auto"/>
              <w:rPr>
                <w:sz w:val="16"/>
                <w:szCs w:val="16"/>
                <w:lang w:val="en-GB"/>
              </w:rPr>
            </w:pPr>
            <w:r w:rsidRPr="00F45EF5">
              <w:rPr>
                <w:sz w:val="16"/>
                <w:szCs w:val="16"/>
                <w:lang w:val="en-GB"/>
              </w:rPr>
              <w:t>All main components of domestic demand</w:t>
            </w:r>
            <w:r>
              <w:rPr>
                <w:sz w:val="16"/>
                <w:szCs w:val="16"/>
                <w:lang w:val="en-GB"/>
              </w:rPr>
              <w:t>,</w:t>
            </w:r>
            <w:r w:rsidRPr="00F45EF5">
              <w:rPr>
                <w:sz w:val="16"/>
                <w:szCs w:val="16"/>
                <w:lang w:val="en-GB"/>
              </w:rPr>
              <w:t xml:space="preserve"> apart from change in the inventories</w:t>
            </w:r>
            <w:r>
              <w:rPr>
                <w:sz w:val="16"/>
                <w:szCs w:val="16"/>
                <w:lang w:val="en-GB"/>
              </w:rPr>
              <w:t>,</w:t>
            </w:r>
            <w:r w:rsidRPr="00F45EF5">
              <w:rPr>
                <w:sz w:val="16"/>
                <w:szCs w:val="16"/>
                <w:lang w:val="en-GB"/>
              </w:rPr>
              <w:t xml:space="preserve"> contributed to the GDP growth in 2014. Investment was „the driving force“, …</w:t>
            </w:r>
          </w:p>
        </w:tc>
        <w:tc>
          <w:tcPr>
            <w:tcW w:w="143" w:type="pct"/>
          </w:tcPr>
          <w:p w:rsidR="008E39BC" w:rsidRPr="00F45EF5" w:rsidRDefault="008E39BC" w:rsidP="008E39BC">
            <w:pPr>
              <w:pStyle w:val="Textpoznpodarou"/>
              <w:jc w:val="both"/>
              <w:rPr>
                <w:lang w:val="en-GB"/>
              </w:rPr>
            </w:pPr>
          </w:p>
        </w:tc>
        <w:tc>
          <w:tcPr>
            <w:tcW w:w="3803" w:type="pct"/>
          </w:tcPr>
          <w:p w:rsidR="008E39BC" w:rsidRPr="00F45EF5" w:rsidRDefault="008E39BC" w:rsidP="008E39BC">
            <w:pPr>
              <w:pStyle w:val="Textpoznpodarou"/>
              <w:jc w:val="both"/>
              <w:rPr>
                <w:spacing w:val="-2"/>
                <w:lang w:val="en-GB"/>
              </w:rPr>
            </w:pPr>
            <w:r w:rsidRPr="00F45EF5">
              <w:rPr>
                <w:spacing w:val="-2"/>
                <w:lang w:val="en-GB"/>
              </w:rPr>
              <w:t>The renewed growth of the gross fixed capital formation, that is investment, contributed the most to the GDP growth in 2014</w:t>
            </w:r>
            <w:r>
              <w:rPr>
                <w:rStyle w:val="Znakapoznpodarou"/>
                <w:spacing w:val="-2"/>
                <w:lang w:val="en-GB"/>
              </w:rPr>
              <w:footnoteReference w:id="3"/>
            </w:r>
            <w:r w:rsidRPr="00F45EF5">
              <w:rPr>
                <w:spacing w:val="-2"/>
                <w:lang w:val="en-GB"/>
              </w:rPr>
              <w:t>. Its contribution reached 1.2 p.p., it wa</w:t>
            </w:r>
            <w:r>
              <w:rPr>
                <w:spacing w:val="-2"/>
                <w:lang w:val="en-GB"/>
              </w:rPr>
              <w:t>s positive for the first time after</w:t>
            </w:r>
            <w:r w:rsidRPr="00F45EF5">
              <w:rPr>
                <w:spacing w:val="-2"/>
                <w:lang w:val="en-GB"/>
              </w:rPr>
              <w:t xml:space="preserve"> two years and the highest since a strong year 2007, when not only the domestic and foreign companies, but also households significantly invested in the Czech economy. </w:t>
            </w:r>
            <w:r>
              <w:rPr>
                <w:spacing w:val="-2"/>
                <w:lang w:val="en-GB"/>
              </w:rPr>
              <w:t>Household final consumption expenditure and government final consumption expenditure share in the economic growth less in 2014</w:t>
            </w:r>
            <w:r w:rsidRPr="00F45EF5">
              <w:rPr>
                <w:spacing w:val="-2"/>
                <w:lang w:val="en-GB"/>
              </w:rPr>
              <w:t xml:space="preserve">, however they were growing opposed to investment already for a second year. While the favourable impact of the government consumption slightly weakened (from +0.4 p. p. </w:t>
            </w:r>
            <w:r>
              <w:rPr>
                <w:spacing w:val="-2"/>
                <w:lang w:val="en-GB"/>
              </w:rPr>
              <w:t>i</w:t>
            </w:r>
            <w:r w:rsidRPr="00F45EF5">
              <w:rPr>
                <w:spacing w:val="-2"/>
                <w:lang w:val="en-GB"/>
              </w:rPr>
              <w:t>n 2013 to +0.3 p. p. in 2014), the size of the household consumption c</w:t>
            </w:r>
            <w:r>
              <w:rPr>
                <w:spacing w:val="-2"/>
                <w:lang w:val="en-GB"/>
              </w:rPr>
              <w:t>ontribution notably increased (</w:t>
            </w:r>
            <w:r w:rsidRPr="00F45EF5">
              <w:rPr>
                <w:spacing w:val="-2"/>
                <w:lang w:val="en-GB"/>
              </w:rPr>
              <w:t xml:space="preserve">from +0.2 p. p. to +0.8 p. p.). </w:t>
            </w:r>
            <w:r w:rsidRPr="00B07094">
              <w:rPr>
                <w:spacing w:val="-4"/>
                <w:lang w:val="en-GB"/>
              </w:rPr>
              <w:t xml:space="preserve">The remaining components of the demand, that is the change in the inventories (-0.2 p. p.) </w:t>
            </w:r>
            <w:r w:rsidRPr="00F45EF5">
              <w:rPr>
                <w:spacing w:val="-2"/>
                <w:lang w:val="en-GB"/>
              </w:rPr>
              <w:t>and the result of the foreign trade (-0.1 p. p.), slowed down the growth of the Czech economy in 2014.</w:t>
            </w:r>
          </w:p>
          <w:p w:rsidR="008E39BC" w:rsidRPr="00F45EF5" w:rsidRDefault="008E39BC" w:rsidP="008E39BC">
            <w:pPr>
              <w:pStyle w:val="Textpoznpodarou"/>
              <w:jc w:val="both"/>
              <w:rPr>
                <w:sz w:val="14"/>
                <w:szCs w:val="14"/>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lastRenderedPageBreak/>
              <w:t>… however if we remove the imports meant for final uses from the total i</w:t>
            </w:r>
            <w:r>
              <w:rPr>
                <w:sz w:val="16"/>
                <w:szCs w:val="16"/>
                <w:lang w:val="en-GB"/>
              </w:rPr>
              <w:t xml:space="preserve">mports, then the result of </w:t>
            </w:r>
            <w:r w:rsidRPr="00501BF5">
              <w:rPr>
                <w:sz w:val="16"/>
                <w:szCs w:val="16"/>
                <w:lang w:val="en-GB"/>
              </w:rPr>
              <w:t xml:space="preserve">modified foreign trade participated the most on the Czech economy growth </w:t>
            </w:r>
          </w:p>
        </w:tc>
        <w:tc>
          <w:tcPr>
            <w:tcW w:w="143" w:type="pct"/>
          </w:tcPr>
          <w:p w:rsidR="008E39BC" w:rsidRPr="00501BF5" w:rsidRDefault="008E39BC" w:rsidP="008E39BC">
            <w:pPr>
              <w:pStyle w:val="Textpoznpodarou"/>
              <w:jc w:val="both"/>
              <w:rPr>
                <w:lang w:val="en-GB"/>
              </w:rPr>
            </w:pPr>
          </w:p>
        </w:tc>
        <w:tc>
          <w:tcPr>
            <w:tcW w:w="3803" w:type="pct"/>
          </w:tcPr>
          <w:p w:rsidR="008E39BC" w:rsidRPr="00B07094" w:rsidRDefault="008E39BC" w:rsidP="008E39BC">
            <w:pPr>
              <w:pStyle w:val="Textpoznpodarou"/>
              <w:jc w:val="both"/>
              <w:rPr>
                <w:spacing w:val="-4"/>
                <w:lang w:val="en-GB"/>
              </w:rPr>
            </w:pPr>
            <w:r w:rsidRPr="00501BF5">
              <w:rPr>
                <w:spacing w:val="-2"/>
                <w:lang w:val="en-GB"/>
              </w:rPr>
              <w:t xml:space="preserve">If we exclude the imports meant for final uses from the </w:t>
            </w:r>
            <w:r>
              <w:rPr>
                <w:spacing w:val="-2"/>
                <w:lang w:val="en-GB"/>
              </w:rPr>
              <w:t>total</w:t>
            </w:r>
            <w:r w:rsidRPr="00501BF5">
              <w:rPr>
                <w:spacing w:val="-2"/>
                <w:lang w:val="en-GB"/>
              </w:rPr>
              <w:t xml:space="preserve"> volume of imports of goods and services into the CR, since it has in fact nothing in common with the growth of the Czech economy, then the contributions of individual components of demand to the GDP growth change significantly. Investment and final consumption expenditure</w:t>
            </w:r>
            <w:r>
              <w:rPr>
                <w:spacing w:val="-2"/>
                <w:lang w:val="en-GB"/>
              </w:rPr>
              <w:t xml:space="preserve"> of households</w:t>
            </w:r>
            <w:r w:rsidRPr="00501BF5">
              <w:rPr>
                <w:spacing w:val="-2"/>
                <w:lang w:val="en-GB"/>
              </w:rPr>
              <w:t xml:space="preserve">, which are generally satisfied to a large extent by imports – and that was also evident in data for 2014 – contributed in this modified conception by only 0.6 p. p. and 0.2 p. p. </w:t>
            </w:r>
            <w:r>
              <w:rPr>
                <w:spacing w:val="-2"/>
                <w:lang w:val="en-GB"/>
              </w:rPr>
              <w:t>r</w:t>
            </w:r>
            <w:r w:rsidRPr="00501BF5">
              <w:rPr>
                <w:spacing w:val="-2"/>
                <w:lang w:val="en-GB"/>
              </w:rPr>
              <w:t xml:space="preserve">espectively. </w:t>
            </w:r>
            <w:r w:rsidRPr="00B07094">
              <w:rPr>
                <w:spacing w:val="-4"/>
                <w:lang w:val="en-GB"/>
              </w:rPr>
              <w:t>The final consumption</w:t>
            </w:r>
            <w:r>
              <w:rPr>
                <w:spacing w:val="-4"/>
                <w:lang w:val="en-GB"/>
              </w:rPr>
              <w:t xml:space="preserve"> expenditure of government</w:t>
            </w:r>
            <w:r w:rsidRPr="00B07094">
              <w:rPr>
                <w:spacing w:val="-4"/>
                <w:lang w:val="en-GB"/>
              </w:rPr>
              <w:t xml:space="preserve"> also participated on the economic growth less than in the classical conception (+0.2 p. p.), </w:t>
            </w:r>
            <w:r w:rsidRPr="00A90FC1">
              <w:rPr>
                <w:spacing w:val="-6"/>
                <w:lang w:val="en-GB"/>
              </w:rPr>
              <w:t>the contribution of the change in inventories did not alter on the contrary, it remained negative (-0.2 p. p.). The foreign trade without imports meant for final uses was thus the main factor in the growth in 2014 (+1.3 p. p.).</w:t>
            </w:r>
          </w:p>
          <w:p w:rsidR="008E39BC" w:rsidRPr="008E39BC" w:rsidRDefault="008E39BC" w:rsidP="008E39BC">
            <w:pPr>
              <w:pStyle w:val="Textpoznpodarou"/>
              <w:jc w:val="both"/>
              <w:rPr>
                <w:spacing w:val="-2"/>
                <w:sz w:val="18"/>
                <w:szCs w:val="18"/>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t xml:space="preserve">Czech economy keeps expanding faster compared to the EU countries and markedly faster than the Euro area </w:t>
            </w:r>
          </w:p>
        </w:tc>
        <w:tc>
          <w:tcPr>
            <w:tcW w:w="143" w:type="pct"/>
          </w:tcPr>
          <w:p w:rsidR="008E39BC" w:rsidRPr="00501BF5" w:rsidRDefault="008E39BC" w:rsidP="008E39BC">
            <w:pPr>
              <w:pStyle w:val="Textpoznpodarou"/>
              <w:jc w:val="both"/>
              <w:rPr>
                <w:lang w:val="en-GB"/>
              </w:rPr>
            </w:pPr>
          </w:p>
        </w:tc>
        <w:tc>
          <w:tcPr>
            <w:tcW w:w="3803" w:type="pct"/>
          </w:tcPr>
          <w:p w:rsidR="008E39BC" w:rsidRPr="00501BF5" w:rsidRDefault="008E39BC" w:rsidP="008E39BC">
            <w:pPr>
              <w:pStyle w:val="Textpoznpodarou"/>
              <w:jc w:val="both"/>
              <w:rPr>
                <w:spacing w:val="-2"/>
                <w:lang w:val="en-GB"/>
              </w:rPr>
            </w:pPr>
            <w:r w:rsidRPr="00501BF5">
              <w:rPr>
                <w:spacing w:val="-2"/>
                <w:lang w:val="en-GB"/>
              </w:rPr>
              <w:t xml:space="preserve">The GDP expanded by 1.5 % in the CR in Q4 2014 </w:t>
            </w:r>
            <w:r>
              <w:rPr>
                <w:spacing w:val="-2"/>
                <w:lang w:val="en-GB"/>
              </w:rPr>
              <w:t>year-on-year</w:t>
            </w:r>
            <w:r w:rsidRPr="00501BF5">
              <w:rPr>
                <w:spacing w:val="-2"/>
                <w:lang w:val="en-GB"/>
              </w:rPr>
              <w:t>. Although the rate of growth was adversely affected by the high comparative basis of the previous year (linked to the already mentioned imbalance collection of the consumption taxes), the domestic GDP strengthened more than</w:t>
            </w:r>
            <w:r>
              <w:rPr>
                <w:spacing w:val="-2"/>
                <w:lang w:val="en-GB"/>
              </w:rPr>
              <w:t xml:space="preserve"> in</w:t>
            </w:r>
            <w:r w:rsidRPr="00501BF5">
              <w:rPr>
                <w:spacing w:val="-2"/>
                <w:lang w:val="en-GB"/>
              </w:rPr>
              <w:t xml:space="preserve"> the EU economy </w:t>
            </w:r>
            <w:r>
              <w:rPr>
                <w:spacing w:val="-2"/>
                <w:lang w:val="en-GB"/>
              </w:rPr>
              <w:t>as a whole</w:t>
            </w:r>
            <w:r w:rsidRPr="00501BF5">
              <w:rPr>
                <w:spacing w:val="-2"/>
                <w:lang w:val="en-GB"/>
              </w:rPr>
              <w:t xml:space="preserve"> (+1.3 %) and markedly more than in countries paying by euro (+0.9 %). The Czech economy was expanding faster compared to both economic areas already five quarters in a row.</w:t>
            </w:r>
          </w:p>
          <w:p w:rsidR="008E39BC" w:rsidRPr="008E39BC" w:rsidRDefault="008E39BC" w:rsidP="008E39BC">
            <w:pPr>
              <w:pStyle w:val="Textpoznpodarou"/>
              <w:jc w:val="both"/>
              <w:rPr>
                <w:spacing w:val="-2"/>
                <w:sz w:val="18"/>
                <w:szCs w:val="18"/>
                <w:lang w:val="en-GB"/>
              </w:rPr>
            </w:pPr>
          </w:p>
        </w:tc>
      </w:tr>
      <w:tr w:rsidR="008E39BC" w:rsidRPr="00B924CA" w:rsidTr="008E39BC">
        <w:tc>
          <w:tcPr>
            <w:tcW w:w="1054" w:type="pct"/>
          </w:tcPr>
          <w:p w:rsidR="008E39BC" w:rsidRPr="00501BF5" w:rsidRDefault="008E39BC" w:rsidP="008E39BC">
            <w:pPr>
              <w:spacing w:line="240" w:lineRule="auto"/>
              <w:rPr>
                <w:sz w:val="16"/>
                <w:szCs w:val="16"/>
                <w:lang w:val="en-GB"/>
              </w:rPr>
            </w:pPr>
            <w:r w:rsidRPr="00501BF5">
              <w:rPr>
                <w:sz w:val="16"/>
                <w:szCs w:val="16"/>
                <w:lang w:val="en-GB"/>
              </w:rPr>
              <w:t>Economic development was considerably differentiated in the four biggest union economi</w:t>
            </w:r>
            <w:r>
              <w:rPr>
                <w:sz w:val="16"/>
                <w:szCs w:val="16"/>
                <w:lang w:val="en-GB"/>
              </w:rPr>
              <w:t>es</w:t>
            </w:r>
            <w:r w:rsidRPr="00501BF5">
              <w:rPr>
                <w:sz w:val="16"/>
                <w:szCs w:val="16"/>
                <w:lang w:val="en-GB"/>
              </w:rPr>
              <w:t xml:space="preserve"> towards the end of 2014</w:t>
            </w:r>
          </w:p>
        </w:tc>
        <w:tc>
          <w:tcPr>
            <w:tcW w:w="143" w:type="pct"/>
          </w:tcPr>
          <w:p w:rsidR="008E39BC" w:rsidRPr="00501BF5" w:rsidRDefault="008E39BC" w:rsidP="008E39BC">
            <w:pPr>
              <w:pStyle w:val="Textpoznpodarou"/>
              <w:jc w:val="both"/>
              <w:rPr>
                <w:lang w:val="en-GB"/>
              </w:rPr>
            </w:pPr>
          </w:p>
        </w:tc>
        <w:tc>
          <w:tcPr>
            <w:tcW w:w="3803" w:type="pct"/>
          </w:tcPr>
          <w:p w:rsidR="008E39BC" w:rsidRPr="00501BF5" w:rsidRDefault="008E39BC" w:rsidP="008E39BC">
            <w:pPr>
              <w:pStyle w:val="Textpoznpodarou"/>
              <w:jc w:val="both"/>
              <w:rPr>
                <w:lang w:val="en-GB"/>
              </w:rPr>
            </w:pPr>
            <w:r w:rsidRPr="00501BF5">
              <w:rPr>
                <w:lang w:val="en-GB"/>
              </w:rPr>
              <w:t>Only Germany grew faster than the CR out of the four biggest EU economie</w:t>
            </w:r>
            <w:r>
              <w:rPr>
                <w:lang w:val="en-GB"/>
              </w:rPr>
              <w:t>s quarter-on-quarter in Q4 2014 (i</w:t>
            </w:r>
            <w:r w:rsidRPr="00501BF5">
              <w:rPr>
                <w:lang w:val="en-GB"/>
              </w:rPr>
              <w:t>t recorded based on the available data the fifth largest addition to GDP out of all EU countries (+0.7 %), following a factual stagnatio</w:t>
            </w:r>
            <w:r>
              <w:rPr>
                <w:lang w:val="en-GB"/>
              </w:rPr>
              <w:t>n from the two previous quarter), but also</w:t>
            </w:r>
            <w:r w:rsidRPr="00501BF5">
              <w:rPr>
                <w:lang w:val="en-GB"/>
              </w:rPr>
              <w:t xml:space="preserve"> The Great Britain (+0.5 %). The GDP growth decelerated from +0.3 % in France in Q3 2014 to mere +0.1 % in the last quarter, Italy – which faced recession in the first three quarters of 2014 – just stagnated.</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3B3B35" w:rsidRDefault="008E39BC" w:rsidP="008E39BC">
            <w:pPr>
              <w:spacing w:line="240" w:lineRule="auto"/>
              <w:rPr>
                <w:sz w:val="16"/>
                <w:szCs w:val="16"/>
                <w:lang w:val="en-GB"/>
              </w:rPr>
            </w:pPr>
            <w:r w:rsidRPr="003B3B35">
              <w:rPr>
                <w:sz w:val="16"/>
                <w:szCs w:val="16"/>
                <w:lang w:val="en-GB"/>
              </w:rPr>
              <w:t>Improving situation on the labour market transferred into higher incomes for households and consequently also into higher consumption expenditure in 2014</w:t>
            </w:r>
            <w:r>
              <w:rPr>
                <w:sz w:val="16"/>
                <w:szCs w:val="16"/>
                <w:lang w:val="en-GB"/>
              </w:rPr>
              <w:t>...</w:t>
            </w:r>
          </w:p>
        </w:tc>
        <w:tc>
          <w:tcPr>
            <w:tcW w:w="143" w:type="pct"/>
          </w:tcPr>
          <w:p w:rsidR="008E39BC" w:rsidRPr="003B3B35" w:rsidRDefault="008E39BC" w:rsidP="008E39BC">
            <w:pPr>
              <w:pStyle w:val="Textpoznpodarou"/>
              <w:jc w:val="both"/>
              <w:rPr>
                <w:lang w:val="en-GB"/>
              </w:rPr>
            </w:pPr>
          </w:p>
        </w:tc>
        <w:tc>
          <w:tcPr>
            <w:tcW w:w="3803" w:type="pct"/>
          </w:tcPr>
          <w:p w:rsidR="008E39BC" w:rsidRPr="003B3B35" w:rsidRDefault="008E39BC" w:rsidP="008E39BC">
            <w:pPr>
              <w:pStyle w:val="Textpoznpodarou"/>
              <w:jc w:val="both"/>
              <w:rPr>
                <w:lang w:val="en-GB"/>
              </w:rPr>
            </w:pPr>
            <w:r w:rsidRPr="003B3B35">
              <w:rPr>
                <w:lang w:val="en-GB"/>
              </w:rPr>
              <w:t>The</w:t>
            </w:r>
            <w:r>
              <w:rPr>
                <w:lang w:val="en-GB"/>
              </w:rPr>
              <w:t xml:space="preserve"> </w:t>
            </w:r>
            <w:r w:rsidRPr="003B3B35">
              <w:rPr>
                <w:lang w:val="en-GB"/>
              </w:rPr>
              <w:t>income situation of Czech households already improved (according to the so far known data) in 2014, following three years 2011, 2012 and 2013, which hit their total incomes</w:t>
            </w:r>
            <w:r>
              <w:rPr>
                <w:lang w:val="en-GB"/>
              </w:rPr>
              <w:t xml:space="preserve"> hard</w:t>
            </w:r>
            <w:r w:rsidRPr="003B3B35">
              <w:rPr>
                <w:lang w:val="en-GB"/>
              </w:rPr>
              <w:t xml:space="preserve">. Continuing growth of the number of employees, lengthening of the real hours worked, growth of real wages in both the business and non-business </w:t>
            </w:r>
            <w:r>
              <w:rPr>
                <w:lang w:val="en-GB"/>
              </w:rPr>
              <w:t>sphere</w:t>
            </w:r>
            <w:r w:rsidRPr="003B3B35">
              <w:rPr>
                <w:lang w:val="en-GB"/>
              </w:rPr>
              <w:t>, but also for instance the increase of the number of self-employed (especially entrepreneurs) – is only a concise outline of the changes on the labour market, which had a positive effect on the household income in 2014, and were consequently also transferred into higher consumption expenditure. If household final consumption expenditure fell in total by 1.2 % in years 2011-2013, they strengthened by 1.7 % in the year of a renewed growth of the Czech economy 2014. They increased the most in the last six years.</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E03F9A" w:rsidRDefault="008E39BC" w:rsidP="008E39BC">
            <w:pPr>
              <w:spacing w:line="240" w:lineRule="auto"/>
              <w:rPr>
                <w:sz w:val="16"/>
                <w:szCs w:val="16"/>
                <w:lang w:val="en-GB"/>
              </w:rPr>
            </w:pPr>
            <w:r w:rsidRPr="00E03F9A">
              <w:rPr>
                <w:sz w:val="16"/>
                <w:szCs w:val="16"/>
                <w:lang w:val="en-GB"/>
              </w:rPr>
              <w:t>… household final consumption expenditure increased by 1.2 % quarter-on-quarter in Q4 2014 itself, the most since Q1 2010</w:t>
            </w:r>
          </w:p>
        </w:tc>
        <w:tc>
          <w:tcPr>
            <w:tcW w:w="143" w:type="pct"/>
          </w:tcPr>
          <w:p w:rsidR="008E39BC" w:rsidRPr="00E03F9A" w:rsidRDefault="008E39BC" w:rsidP="008E39BC">
            <w:pPr>
              <w:pStyle w:val="Textpoznpodarou"/>
              <w:jc w:val="both"/>
              <w:rPr>
                <w:lang w:val="en-GB"/>
              </w:rPr>
            </w:pPr>
          </w:p>
        </w:tc>
        <w:tc>
          <w:tcPr>
            <w:tcW w:w="3803" w:type="pct"/>
          </w:tcPr>
          <w:p w:rsidR="008E39BC" w:rsidRPr="00E03F9A" w:rsidRDefault="008E39BC" w:rsidP="008E39BC">
            <w:pPr>
              <w:pStyle w:val="Textpoznpodarou"/>
              <w:jc w:val="both"/>
              <w:rPr>
                <w:spacing w:val="-2"/>
                <w:lang w:val="en-GB"/>
              </w:rPr>
            </w:pPr>
            <w:r w:rsidRPr="00E03F9A">
              <w:rPr>
                <w:spacing w:val="-2"/>
                <w:lang w:val="en-GB"/>
              </w:rPr>
              <w:t xml:space="preserve">The household consumption expenditure rose by 1.2 % quarter-on-quarter in Q4 itself, more than corresponded to the average for individual quarters of 2014 and the most since the beginning of year 2010. </w:t>
            </w:r>
            <w:r>
              <w:rPr>
                <w:spacing w:val="-2"/>
                <w:lang w:val="en-GB"/>
              </w:rPr>
              <w:t>N</w:t>
            </w:r>
            <w:r w:rsidRPr="00E03F9A">
              <w:rPr>
                <w:spacing w:val="-2"/>
                <w:lang w:val="en-GB"/>
              </w:rPr>
              <w:t xml:space="preserve">ot only the </w:t>
            </w:r>
            <w:r>
              <w:rPr>
                <w:spacing w:val="-2"/>
                <w:lang w:val="en-GB"/>
              </w:rPr>
              <w:t>announced</w:t>
            </w:r>
            <w:r w:rsidRPr="00E03F9A">
              <w:rPr>
                <w:spacing w:val="-2"/>
                <w:lang w:val="en-GB"/>
              </w:rPr>
              <w:t xml:space="preserve"> wage increases of state employees effective from the beginning of November 2014</w:t>
            </w:r>
            <w:r>
              <w:rPr>
                <w:spacing w:val="-2"/>
                <w:lang w:val="en-GB"/>
              </w:rPr>
              <w:t xml:space="preserve"> most likely affected the household expenditure, but also the positive expectations of households with respect to future economy development</w:t>
            </w:r>
            <w:r w:rsidRPr="00E03F9A">
              <w:rPr>
                <w:spacing w:val="-2"/>
                <w:lang w:val="en-GB"/>
              </w:rPr>
              <w:t>. The results of business cycle surveys from the end of the year also proved this. The consumer confidence in the economy was already so high in the last three months of 2014, that it „</w:t>
            </w:r>
            <w:r>
              <w:rPr>
                <w:spacing w:val="-2"/>
                <w:lang w:val="en-GB"/>
              </w:rPr>
              <w:t>attacked</w:t>
            </w:r>
            <w:r w:rsidRPr="00E03F9A">
              <w:rPr>
                <w:spacing w:val="-2"/>
                <w:lang w:val="en-GB"/>
              </w:rPr>
              <w:t>“ </w:t>
            </w:r>
            <w:r>
              <w:rPr>
                <w:spacing w:val="-2"/>
                <w:lang w:val="en-GB"/>
              </w:rPr>
              <w:t xml:space="preserve">at </w:t>
            </w:r>
            <w:r w:rsidRPr="00E03F9A">
              <w:rPr>
                <w:spacing w:val="-2"/>
                <w:lang w:val="en-GB"/>
              </w:rPr>
              <w:t>the historically highest confidence level from the turn of the boom years 2006 and 2007.</w:t>
            </w:r>
          </w:p>
          <w:p w:rsidR="008E39BC" w:rsidRPr="008E39BC" w:rsidRDefault="008E39BC" w:rsidP="008E39BC">
            <w:pPr>
              <w:pStyle w:val="Textpoznpodarou"/>
              <w:jc w:val="both"/>
              <w:rPr>
                <w:sz w:val="16"/>
                <w:szCs w:val="16"/>
                <w:lang w:val="en-GB"/>
              </w:rPr>
            </w:pPr>
          </w:p>
        </w:tc>
      </w:tr>
      <w:tr w:rsidR="008E39BC" w:rsidRPr="00DB4FB8" w:rsidTr="008E39BC">
        <w:tc>
          <w:tcPr>
            <w:tcW w:w="1054" w:type="pct"/>
          </w:tcPr>
          <w:p w:rsidR="008E39BC" w:rsidRPr="002E3734" w:rsidRDefault="008E39BC" w:rsidP="008E39BC">
            <w:pPr>
              <w:spacing w:line="240" w:lineRule="auto"/>
              <w:rPr>
                <w:sz w:val="16"/>
                <w:szCs w:val="16"/>
                <w:lang w:val="en-GB"/>
              </w:rPr>
            </w:pPr>
            <w:r>
              <w:rPr>
                <w:sz w:val="16"/>
                <w:szCs w:val="16"/>
                <w:lang w:val="en-GB"/>
              </w:rPr>
              <w:t>Easier</w:t>
            </w:r>
            <w:r w:rsidRPr="002E3734">
              <w:rPr>
                <w:sz w:val="16"/>
                <w:szCs w:val="16"/>
                <w:lang w:val="en-GB"/>
              </w:rPr>
              <w:t xml:space="preserve"> fiscal policy stimulated the domestic demand via growth of the government consumption also in 2014 </w:t>
            </w:r>
          </w:p>
        </w:tc>
        <w:tc>
          <w:tcPr>
            <w:tcW w:w="143" w:type="pct"/>
          </w:tcPr>
          <w:p w:rsidR="008E39BC" w:rsidRPr="002E3734" w:rsidRDefault="008E39BC" w:rsidP="008E39BC">
            <w:pPr>
              <w:pStyle w:val="Textpoznpodarou"/>
              <w:jc w:val="both"/>
              <w:rPr>
                <w:lang w:val="en-GB"/>
              </w:rPr>
            </w:pPr>
          </w:p>
        </w:tc>
        <w:tc>
          <w:tcPr>
            <w:tcW w:w="3803" w:type="pct"/>
          </w:tcPr>
          <w:p w:rsidR="008E39BC" w:rsidRPr="002E3734" w:rsidRDefault="008E39BC" w:rsidP="008E39BC">
            <w:pPr>
              <w:pStyle w:val="Textpoznpodarou"/>
              <w:jc w:val="both"/>
              <w:rPr>
                <w:lang w:val="en-GB"/>
              </w:rPr>
            </w:pPr>
            <w:r w:rsidRPr="002E3734">
              <w:rPr>
                <w:lang w:val="en-GB"/>
              </w:rPr>
              <w:t>Despite the dynamics of final consumption</w:t>
            </w:r>
            <w:r>
              <w:rPr>
                <w:lang w:val="en-GB"/>
              </w:rPr>
              <w:t xml:space="preserve"> expenditure of</w:t>
            </w:r>
            <w:r w:rsidRPr="002E3734">
              <w:rPr>
                <w:lang w:val="en-GB"/>
              </w:rPr>
              <w:t xml:space="preserve"> government being considerabl</w:t>
            </w:r>
            <w:r>
              <w:rPr>
                <w:lang w:val="en-GB"/>
              </w:rPr>
              <w:t>y</w:t>
            </w:r>
            <w:r w:rsidRPr="002E3734">
              <w:rPr>
                <w:lang w:val="en-GB"/>
              </w:rPr>
              <w:t xml:space="preserve"> unbalanced during 2014 (with positive quarter-on-quarter additions in Q2 and </w:t>
            </w:r>
            <w:r>
              <w:rPr>
                <w:lang w:val="en-GB"/>
              </w:rPr>
              <w:t>Q</w:t>
            </w:r>
            <w:r w:rsidRPr="002E3734">
              <w:rPr>
                <w:lang w:val="en-GB"/>
              </w:rPr>
              <w:t xml:space="preserve">4 and negative in Q1 and </w:t>
            </w:r>
            <w:r>
              <w:rPr>
                <w:lang w:val="en-GB"/>
              </w:rPr>
              <w:t>Q</w:t>
            </w:r>
            <w:r w:rsidRPr="002E3734">
              <w:rPr>
                <w:lang w:val="en-GB"/>
              </w:rPr>
              <w:t xml:space="preserve">3), the growth </w:t>
            </w:r>
            <w:r>
              <w:rPr>
                <w:lang w:val="en-GB"/>
              </w:rPr>
              <w:t>tendencies prevailed. T</w:t>
            </w:r>
            <w:r w:rsidRPr="002E3734">
              <w:rPr>
                <w:lang w:val="en-GB"/>
              </w:rPr>
              <w:t xml:space="preserve">he government consumption strengthened by 1.6 % for the whole 2014, the </w:t>
            </w:r>
            <w:r>
              <w:rPr>
                <w:lang w:val="en-GB"/>
              </w:rPr>
              <w:t>easier</w:t>
            </w:r>
            <w:r w:rsidRPr="002E3734">
              <w:rPr>
                <w:lang w:val="en-GB"/>
              </w:rPr>
              <w:t xml:space="preserve"> fiscal policy stimulated the domestic demand already for the second year.</w:t>
            </w:r>
          </w:p>
          <w:p w:rsidR="008E39BC" w:rsidRPr="0056747E" w:rsidRDefault="008E39BC" w:rsidP="008E39BC">
            <w:pPr>
              <w:pStyle w:val="Textpoznpodarou"/>
              <w:jc w:val="both"/>
              <w:rPr>
                <w:sz w:val="14"/>
                <w:szCs w:val="14"/>
                <w:lang w:val="en-GB"/>
              </w:rPr>
            </w:pP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t xml:space="preserve">Investment increases in quarter-on-quarter comparison already six </w:t>
            </w:r>
            <w:r>
              <w:rPr>
                <w:sz w:val="16"/>
                <w:szCs w:val="16"/>
                <w:lang w:val="en-GB"/>
              </w:rPr>
              <w:t xml:space="preserve">consecutive </w:t>
            </w:r>
            <w:r w:rsidRPr="002E3734">
              <w:rPr>
                <w:sz w:val="16"/>
                <w:szCs w:val="16"/>
                <w:lang w:val="en-GB"/>
              </w:rPr>
              <w:t>quarters, …</w:t>
            </w:r>
          </w:p>
        </w:tc>
        <w:tc>
          <w:tcPr>
            <w:tcW w:w="143" w:type="pct"/>
          </w:tcPr>
          <w:p w:rsidR="008E39BC" w:rsidRPr="002E3734" w:rsidRDefault="008E39BC" w:rsidP="008E39BC">
            <w:pPr>
              <w:pStyle w:val="Textpoznpodarou"/>
              <w:jc w:val="both"/>
              <w:rPr>
                <w:lang w:val="en-GB"/>
              </w:rPr>
            </w:pPr>
          </w:p>
        </w:tc>
        <w:tc>
          <w:tcPr>
            <w:tcW w:w="3803" w:type="pct"/>
          </w:tcPr>
          <w:p w:rsidR="008E39BC" w:rsidRPr="0056747E" w:rsidRDefault="008E39BC" w:rsidP="008E39BC">
            <w:pPr>
              <w:pStyle w:val="Textpoznpodarou"/>
              <w:jc w:val="both"/>
              <w:rPr>
                <w:spacing w:val="-2"/>
                <w:sz w:val="14"/>
                <w:szCs w:val="14"/>
                <w:lang w:val="en-GB"/>
              </w:rPr>
            </w:pPr>
            <w:r w:rsidRPr="000A5D7B">
              <w:rPr>
                <w:lang w:val="en-GB"/>
              </w:rPr>
              <w:t>The Czech economy growth was for the most part built on the higher demand for investment in 2014. Even though investment was still markedly lower (-10.4 %) in</w:t>
            </w:r>
            <w:r>
              <w:rPr>
                <w:lang w:val="en-GB"/>
              </w:rPr>
              <w:t> </w:t>
            </w:r>
            <w:r w:rsidRPr="000A5D7B">
              <w:rPr>
                <w:lang w:val="en-GB"/>
              </w:rPr>
              <w:t xml:space="preserve">comparison to year 2008 (it was invested historically the highest 1168 </w:t>
            </w:r>
            <w:proofErr w:type="spellStart"/>
            <w:r w:rsidRPr="000A5D7B">
              <w:rPr>
                <w:lang w:val="en-GB"/>
              </w:rPr>
              <w:t>bn</w:t>
            </w:r>
            <w:proofErr w:type="spellEnd"/>
            <w:r w:rsidRPr="000A5D7B">
              <w:rPr>
                <w:lang w:val="en-GB"/>
              </w:rPr>
              <w:t xml:space="preserve"> CZK (in 2010 prices) in the CR), domestic investment activity evidently improved (+4.7</w:t>
            </w:r>
            <w:r>
              <w:rPr>
                <w:lang w:val="en-GB"/>
              </w:rPr>
              <w:t> </w:t>
            </w:r>
            <w:r w:rsidRPr="000A5D7B">
              <w:rPr>
                <w:lang w:val="en-GB"/>
              </w:rPr>
              <w:t>%) against the year 2013. The fact that investment increases progressively and not occasionally can be assessed in a very positive way. The already six quarters lasting quarter-on-quarter growth suggests, that the investment moods are not only positive, but also stable in the CR.</w:t>
            </w: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lastRenderedPageBreak/>
              <w:t xml:space="preserve">… it was invested especially into ICT, machinery and equipment; buildings and </w:t>
            </w:r>
            <w:r>
              <w:rPr>
                <w:sz w:val="16"/>
                <w:szCs w:val="16"/>
                <w:lang w:val="en-GB"/>
              </w:rPr>
              <w:t>structures</w:t>
            </w:r>
            <w:r w:rsidRPr="002E3734">
              <w:rPr>
                <w:sz w:val="16"/>
                <w:szCs w:val="16"/>
                <w:lang w:val="en-GB"/>
              </w:rPr>
              <w:t>; but also housing more than in 2013</w:t>
            </w:r>
          </w:p>
        </w:tc>
        <w:tc>
          <w:tcPr>
            <w:tcW w:w="143" w:type="pct"/>
          </w:tcPr>
          <w:p w:rsidR="008E39BC" w:rsidRPr="00DB4FB8" w:rsidRDefault="008E39BC" w:rsidP="008E39BC">
            <w:pPr>
              <w:pStyle w:val="Textpoznpodarou"/>
              <w:jc w:val="both"/>
            </w:pPr>
          </w:p>
        </w:tc>
        <w:tc>
          <w:tcPr>
            <w:tcW w:w="3803" w:type="pct"/>
          </w:tcPr>
          <w:p w:rsidR="008E39BC" w:rsidRPr="002E3734" w:rsidRDefault="008E39BC" w:rsidP="008E39BC">
            <w:pPr>
              <w:pStyle w:val="Textpoznpodarou"/>
              <w:jc w:val="both"/>
              <w:rPr>
                <w:spacing w:val="-4"/>
                <w:lang w:val="en-US"/>
              </w:rPr>
            </w:pPr>
            <w:r>
              <w:rPr>
                <w:spacing w:val="-4"/>
              </w:rPr>
              <w:t>As f</w:t>
            </w:r>
            <w:proofErr w:type="spellStart"/>
            <w:r w:rsidRPr="002E3734">
              <w:rPr>
                <w:spacing w:val="-4"/>
                <w:lang w:val="en-US"/>
              </w:rPr>
              <w:t>ollows</w:t>
            </w:r>
            <w:proofErr w:type="spellEnd"/>
            <w:r w:rsidRPr="002E3734">
              <w:rPr>
                <w:spacing w:val="-4"/>
                <w:lang w:val="en-US"/>
              </w:rPr>
              <w:t xml:space="preserve"> from th</w:t>
            </w:r>
            <w:r>
              <w:rPr>
                <w:spacing w:val="-4"/>
                <w:lang w:val="en-US"/>
              </w:rPr>
              <w:t>e type</w:t>
            </w:r>
            <w:r w:rsidRPr="002E3734">
              <w:rPr>
                <w:spacing w:val="-4"/>
                <w:lang w:val="en-US"/>
              </w:rPr>
              <w:t xml:space="preserve"> classification of the gross fixed capital formation not seasonally adjusted, investment into ICT, machinery and equipment rose the most in 2014 (+7.4 %), however the investment into buildings and </w:t>
            </w:r>
            <w:r>
              <w:rPr>
                <w:spacing w:val="-4"/>
                <w:lang w:val="en-US"/>
              </w:rPr>
              <w:t>structures</w:t>
            </w:r>
            <w:r w:rsidRPr="002E3734">
              <w:rPr>
                <w:spacing w:val="-4"/>
                <w:lang w:val="en-US"/>
              </w:rPr>
              <w:t xml:space="preserve"> (+6.4 %) did not – with respect to the recorded dynamics – lag too much behind either. While the higher purchases of ICT, machinery and equipment were justified especially in expanding the production capacities of the manufacturing companies, the growth of investment into buildings and </w:t>
            </w:r>
            <w:r>
              <w:rPr>
                <w:spacing w:val="-4"/>
                <w:lang w:val="en-US"/>
              </w:rPr>
              <w:t>structures</w:t>
            </w:r>
            <w:r w:rsidRPr="002E3734">
              <w:rPr>
                <w:spacing w:val="-4"/>
                <w:lang w:val="en-US"/>
              </w:rPr>
              <w:t xml:space="preserve"> can also be attributed to the renewed construction of large infrastructure developments financed from the public funds.</w:t>
            </w:r>
            <w:r>
              <w:rPr>
                <w:spacing w:val="-4"/>
                <w:lang w:val="en-US"/>
              </w:rPr>
              <w:t xml:space="preserve"> Purchases of the transport</w:t>
            </w:r>
            <w:r w:rsidRPr="002E3734">
              <w:rPr>
                <w:spacing w:val="-4"/>
                <w:lang w:val="en-US"/>
              </w:rPr>
              <w:t xml:space="preserve"> equipment – which flourished in 2013 – did not strengthen further (-2.8 %), investment into housing (houses and flats), where especially the households put their resources, on the contrary increased (+1.1 %) for the first time since 2010. Higher incomes of househo</w:t>
            </w:r>
            <w:r>
              <w:rPr>
                <w:spacing w:val="-4"/>
                <w:lang w:val="en-US"/>
              </w:rPr>
              <w:t>l</w:t>
            </w:r>
            <w:r w:rsidRPr="002E3734">
              <w:rPr>
                <w:spacing w:val="-4"/>
                <w:lang w:val="en-US"/>
              </w:rPr>
              <w:t xml:space="preserve">ds, effort to create financial reserves for the future, but also the very low interest rates on </w:t>
            </w:r>
            <w:r>
              <w:rPr>
                <w:spacing w:val="-4"/>
                <w:lang w:val="en-US"/>
              </w:rPr>
              <w:t>loans for housing</w:t>
            </w:r>
            <w:r w:rsidRPr="002E3734">
              <w:rPr>
                <w:spacing w:val="-4"/>
                <w:lang w:val="en-US"/>
              </w:rPr>
              <w:t xml:space="preserve"> were reflected there.</w:t>
            </w:r>
          </w:p>
          <w:p w:rsidR="008E39BC" w:rsidRPr="008E39BC" w:rsidRDefault="008E39BC" w:rsidP="008E39BC">
            <w:pPr>
              <w:pStyle w:val="Textpoznpodarou"/>
              <w:jc w:val="both"/>
              <w:rPr>
                <w:spacing w:val="-4"/>
                <w:sz w:val="18"/>
                <w:szCs w:val="18"/>
              </w:rPr>
            </w:pPr>
          </w:p>
        </w:tc>
      </w:tr>
      <w:tr w:rsidR="008E39BC" w:rsidRPr="00DB4FB8" w:rsidTr="008E39BC">
        <w:tc>
          <w:tcPr>
            <w:tcW w:w="1054" w:type="pct"/>
          </w:tcPr>
          <w:p w:rsidR="008E39BC" w:rsidRPr="002E3734" w:rsidRDefault="008E39BC" w:rsidP="008E39BC">
            <w:pPr>
              <w:spacing w:line="240" w:lineRule="auto"/>
              <w:rPr>
                <w:sz w:val="16"/>
                <w:szCs w:val="16"/>
                <w:lang w:val="en-GB"/>
              </w:rPr>
            </w:pPr>
            <w:r w:rsidRPr="002E3734">
              <w:rPr>
                <w:sz w:val="16"/>
                <w:szCs w:val="16"/>
                <w:lang w:val="en-GB"/>
              </w:rPr>
              <w:t xml:space="preserve">Notable drop of value of inventories in Q1 and Q4 2014 was also projected in the result for the whole year </w:t>
            </w:r>
          </w:p>
        </w:tc>
        <w:tc>
          <w:tcPr>
            <w:tcW w:w="143" w:type="pct"/>
          </w:tcPr>
          <w:p w:rsidR="008E39BC" w:rsidRPr="002E3734" w:rsidRDefault="008E39BC" w:rsidP="008E39BC">
            <w:pPr>
              <w:pStyle w:val="Textpoznpodarou"/>
              <w:jc w:val="both"/>
              <w:rPr>
                <w:lang w:val="en-GB"/>
              </w:rPr>
            </w:pPr>
          </w:p>
        </w:tc>
        <w:tc>
          <w:tcPr>
            <w:tcW w:w="3803" w:type="pct"/>
          </w:tcPr>
          <w:p w:rsidR="008E39BC" w:rsidRPr="002E3734" w:rsidRDefault="008E39BC" w:rsidP="008E39BC">
            <w:pPr>
              <w:pStyle w:val="Textpoznpodarou"/>
              <w:jc w:val="both"/>
              <w:rPr>
                <w:lang w:val="en-GB"/>
              </w:rPr>
            </w:pPr>
            <w:r w:rsidRPr="002E3734">
              <w:rPr>
                <w:lang w:val="en-GB"/>
              </w:rPr>
              <w:t>Value of inventories declined i</w:t>
            </w:r>
            <w:r>
              <w:rPr>
                <w:lang w:val="en-GB"/>
              </w:rPr>
              <w:t>n total for the whole year 2014</w:t>
            </w:r>
            <w:r w:rsidRPr="002E3734">
              <w:rPr>
                <w:lang w:val="en-GB"/>
              </w:rPr>
              <w:t xml:space="preserve"> by 9.3 </w:t>
            </w:r>
            <w:proofErr w:type="spellStart"/>
            <w:r w:rsidRPr="002E3734">
              <w:rPr>
                <w:lang w:val="en-GB"/>
              </w:rPr>
              <w:t>bn</w:t>
            </w:r>
            <w:proofErr w:type="spellEnd"/>
            <w:r w:rsidRPr="002E3734">
              <w:rPr>
                <w:lang w:val="en-GB"/>
              </w:rPr>
              <w:t xml:space="preserve"> </w:t>
            </w:r>
            <w:r>
              <w:rPr>
                <w:lang w:val="en-GB"/>
              </w:rPr>
              <w:t>CZK</w:t>
            </w:r>
            <w:r w:rsidRPr="002E3734">
              <w:rPr>
                <w:lang w:val="en-GB"/>
              </w:rPr>
              <w:t xml:space="preserve"> (in nominal terms, not seasonally adjusted) due to marked emptying of stores at the beginning and end of the year. While</w:t>
            </w:r>
            <w:r>
              <w:rPr>
                <w:lang w:val="en-GB"/>
              </w:rPr>
              <w:t xml:space="preserve"> in Q1 2014</w:t>
            </w:r>
            <w:r w:rsidRPr="002E3734">
              <w:rPr>
                <w:lang w:val="en-GB"/>
              </w:rPr>
              <w:t xml:space="preserve"> the inventories of tobacco products stored up within the frame of the tax optimization in the previous quarter were gradually dissolved, </w:t>
            </w:r>
            <w:r>
              <w:rPr>
                <w:lang w:val="en-GB"/>
              </w:rPr>
              <w:t xml:space="preserve">in Q4 2014 </w:t>
            </w:r>
            <w:r w:rsidRPr="002E3734">
              <w:rPr>
                <w:lang w:val="en-GB"/>
              </w:rPr>
              <w:t>a reduction of inventories of goods and incomplete products occurred thanks to the further strengthening demand.</w:t>
            </w:r>
          </w:p>
          <w:p w:rsidR="008E39BC" w:rsidRPr="008E39BC" w:rsidRDefault="008E39BC" w:rsidP="008E39BC">
            <w:pPr>
              <w:pStyle w:val="Textpoznpodarou"/>
              <w:jc w:val="both"/>
              <w:rPr>
                <w:sz w:val="18"/>
                <w:szCs w:val="18"/>
                <w:lang w:val="en-GB"/>
              </w:rPr>
            </w:pPr>
          </w:p>
        </w:tc>
      </w:tr>
      <w:tr w:rsidR="008E39BC" w:rsidRPr="00DB4FB8" w:rsidTr="008E39BC">
        <w:tc>
          <w:tcPr>
            <w:tcW w:w="1054" w:type="pct"/>
          </w:tcPr>
          <w:p w:rsidR="008E39BC" w:rsidRPr="002E3734" w:rsidRDefault="008E39BC" w:rsidP="008E39BC">
            <w:pPr>
              <w:spacing w:line="240" w:lineRule="auto"/>
              <w:rPr>
                <w:spacing w:val="-6"/>
                <w:sz w:val="16"/>
                <w:szCs w:val="16"/>
                <w:lang w:val="en-GB"/>
              </w:rPr>
            </w:pPr>
            <w:r w:rsidRPr="002E3734">
              <w:rPr>
                <w:spacing w:val="-6"/>
                <w:sz w:val="16"/>
                <w:szCs w:val="16"/>
                <w:lang w:val="en-GB"/>
              </w:rPr>
              <w:t xml:space="preserve">Foreign trade surplus shrank in constant prices due to a strong growth of domestic demand in 2014, … </w:t>
            </w:r>
          </w:p>
        </w:tc>
        <w:tc>
          <w:tcPr>
            <w:tcW w:w="143" w:type="pct"/>
          </w:tcPr>
          <w:p w:rsidR="008E39BC" w:rsidRPr="00ED336F" w:rsidRDefault="008E39BC" w:rsidP="008E39BC">
            <w:pPr>
              <w:pStyle w:val="Textpoznpodarou"/>
              <w:jc w:val="both"/>
            </w:pPr>
          </w:p>
        </w:tc>
        <w:tc>
          <w:tcPr>
            <w:tcW w:w="3803" w:type="pct"/>
          </w:tcPr>
          <w:p w:rsidR="008E39BC" w:rsidRPr="002E3734" w:rsidRDefault="008E39BC" w:rsidP="008E39BC">
            <w:pPr>
              <w:pStyle w:val="Textpoznpodarou"/>
              <w:jc w:val="both"/>
              <w:rPr>
                <w:lang w:val="en-US"/>
              </w:rPr>
            </w:pPr>
            <w:r w:rsidRPr="00F5516D">
              <w:rPr>
                <w:lang w:val="en-GB"/>
              </w:rPr>
              <w:t xml:space="preserve">Renewed economic growth in the euro area together with a weaker </w:t>
            </w:r>
            <w:r>
              <w:rPr>
                <w:lang w:val="en-GB"/>
              </w:rPr>
              <w:t>koruna</w:t>
            </w:r>
            <w:r w:rsidRPr="00F5516D">
              <w:rPr>
                <w:lang w:val="en-GB"/>
              </w:rPr>
              <w:t>, which assisted the competitiveness of the domestic exporters on the world markets, had a very favo</w:t>
            </w:r>
            <w:r>
              <w:rPr>
                <w:lang w:val="en-GB"/>
              </w:rPr>
              <w:t>u</w:t>
            </w:r>
            <w:r w:rsidRPr="00F5516D">
              <w:rPr>
                <w:lang w:val="en-GB"/>
              </w:rPr>
              <w:t>rable impact</w:t>
            </w:r>
            <w:r w:rsidRPr="002E3734">
              <w:rPr>
                <w:lang w:val="en-US"/>
              </w:rPr>
              <w:t xml:space="preserve"> on the exports volume of goods and services from the CR abroad. It jump</w:t>
            </w:r>
            <w:r>
              <w:rPr>
                <w:lang w:val="en-US"/>
              </w:rPr>
              <w:t>ed</w:t>
            </w:r>
            <w:r w:rsidRPr="002E3734">
              <w:rPr>
                <w:lang w:val="en-US"/>
              </w:rPr>
              <w:t xml:space="preserve"> by 8.8 %, markedly more than in „poor</w:t>
            </w:r>
            <w:proofErr w:type="gramStart"/>
            <w:r w:rsidRPr="002E3734">
              <w:rPr>
                <w:lang w:val="en-US"/>
              </w:rPr>
              <w:t>“</w:t>
            </w:r>
            <w:r>
              <w:rPr>
                <w:lang w:val="en-US"/>
              </w:rPr>
              <w:t xml:space="preserve"> </w:t>
            </w:r>
            <w:r w:rsidRPr="002E3734">
              <w:rPr>
                <w:lang w:val="en-US"/>
              </w:rPr>
              <w:t>year</w:t>
            </w:r>
            <w:proofErr w:type="gramEnd"/>
            <w:r w:rsidRPr="002E3734">
              <w:rPr>
                <w:lang w:val="en-US"/>
              </w:rPr>
              <w:t xml:space="preserve"> 2013 (+0.3 %), however it was not enough on the addition </w:t>
            </w:r>
            <w:r>
              <w:rPr>
                <w:lang w:val="en-US"/>
              </w:rPr>
              <w:t>to the imports volume (+9.6 %),</w:t>
            </w:r>
            <w:r w:rsidRPr="002E3734">
              <w:rPr>
                <w:lang w:val="en-US"/>
              </w:rPr>
              <w:t xml:space="preserve"> which was boosted by the force of the domestic demand.</w:t>
            </w:r>
          </w:p>
          <w:p w:rsidR="008E39BC" w:rsidRPr="008E39BC" w:rsidRDefault="008E39BC" w:rsidP="008E39BC">
            <w:pPr>
              <w:pStyle w:val="Textpoznpodarou"/>
              <w:jc w:val="both"/>
              <w:rPr>
                <w:sz w:val="18"/>
                <w:szCs w:val="18"/>
              </w:rPr>
            </w:pPr>
          </w:p>
        </w:tc>
      </w:tr>
      <w:tr w:rsidR="008E39BC" w:rsidRPr="00DB4FB8" w:rsidTr="008E39BC">
        <w:tc>
          <w:tcPr>
            <w:tcW w:w="1054" w:type="pct"/>
          </w:tcPr>
          <w:p w:rsidR="008E39BC" w:rsidRPr="00F347CE" w:rsidRDefault="008E39BC" w:rsidP="008E39BC">
            <w:pPr>
              <w:spacing w:line="240" w:lineRule="auto"/>
              <w:rPr>
                <w:sz w:val="16"/>
                <w:szCs w:val="16"/>
                <w:lang w:val="en-GB"/>
              </w:rPr>
            </w:pPr>
            <w:r w:rsidRPr="00F347CE">
              <w:rPr>
                <w:sz w:val="16"/>
                <w:szCs w:val="16"/>
                <w:lang w:val="en-GB"/>
              </w:rPr>
              <w:t xml:space="preserve">… however in the current prices – thanks to the favourable price development in trade with goods </w:t>
            </w:r>
            <w:r>
              <w:rPr>
                <w:sz w:val="16"/>
                <w:szCs w:val="16"/>
                <w:lang w:val="en-GB"/>
              </w:rPr>
              <w:t xml:space="preserve"> - it rose to historic maximum</w:t>
            </w:r>
          </w:p>
        </w:tc>
        <w:tc>
          <w:tcPr>
            <w:tcW w:w="143" w:type="pct"/>
          </w:tcPr>
          <w:p w:rsidR="008E39BC" w:rsidRPr="00F347CE" w:rsidRDefault="008E39BC" w:rsidP="008E39BC">
            <w:pPr>
              <w:pStyle w:val="Textpoznpodarou"/>
              <w:jc w:val="both"/>
              <w:rPr>
                <w:lang w:val="en-GB"/>
              </w:rPr>
            </w:pPr>
          </w:p>
        </w:tc>
        <w:tc>
          <w:tcPr>
            <w:tcW w:w="3803" w:type="pct"/>
          </w:tcPr>
          <w:p w:rsidR="008E39BC" w:rsidRPr="00F347CE" w:rsidRDefault="008E39BC" w:rsidP="008E39BC">
            <w:pPr>
              <w:pStyle w:val="Textpoznpodarou"/>
              <w:jc w:val="both"/>
              <w:rPr>
                <w:lang w:val="en-GB"/>
              </w:rPr>
            </w:pPr>
            <w:r w:rsidRPr="00F347CE">
              <w:rPr>
                <w:lang w:val="en-GB"/>
              </w:rPr>
              <w:t>Result of the foreign trade with goods and services rose t</w:t>
            </w:r>
            <w:r>
              <w:rPr>
                <w:lang w:val="en-GB"/>
              </w:rPr>
              <w:t>o the historically highest 292.6</w:t>
            </w:r>
            <w:r w:rsidRPr="00F347CE">
              <w:rPr>
                <w:lang w:val="en-GB"/>
              </w:rPr>
              <w:t xml:space="preserve">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in nominal terms in 2014. While the surplus of the foreign trade wit</w:t>
            </w:r>
            <w:r>
              <w:rPr>
                <w:lang w:val="en-GB"/>
              </w:rPr>
              <w:t>h services itself shrank by 14.4</w:t>
            </w:r>
            <w:r w:rsidRPr="00F347CE">
              <w:rPr>
                <w:lang w:val="en-GB"/>
              </w:rPr>
              <w:t xml:space="preserve">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compared to year 2013, excess of exports of goods over its imports increased by 71.4 </w:t>
            </w:r>
            <w:proofErr w:type="spellStart"/>
            <w:r w:rsidRPr="00F347CE">
              <w:rPr>
                <w:lang w:val="en-GB"/>
              </w:rPr>
              <w:t>bn</w:t>
            </w:r>
            <w:proofErr w:type="spellEnd"/>
            <w:r w:rsidRPr="00F347CE">
              <w:rPr>
                <w:lang w:val="en-GB"/>
              </w:rPr>
              <w:t xml:space="preserve"> </w:t>
            </w:r>
            <w:r>
              <w:rPr>
                <w:lang w:val="en-GB"/>
              </w:rPr>
              <w:t>CZK</w:t>
            </w:r>
            <w:r w:rsidRPr="00F347CE">
              <w:rPr>
                <w:lang w:val="en-GB"/>
              </w:rPr>
              <w:t xml:space="preserve"> thanks to the positive terms of trade.</w:t>
            </w:r>
          </w:p>
          <w:p w:rsidR="008E39BC" w:rsidRPr="008E39BC" w:rsidRDefault="008E39BC" w:rsidP="008E39BC">
            <w:pPr>
              <w:pStyle w:val="Textpoznpodarou"/>
              <w:jc w:val="both"/>
              <w:rPr>
                <w:spacing w:val="-4"/>
                <w:sz w:val="18"/>
                <w:szCs w:val="18"/>
                <w:lang w:val="en-GB"/>
              </w:rPr>
            </w:pPr>
          </w:p>
        </w:tc>
      </w:tr>
      <w:tr w:rsidR="008E39BC" w:rsidRPr="00DB4FB8" w:rsidTr="008E39BC">
        <w:tc>
          <w:tcPr>
            <w:tcW w:w="1054" w:type="pct"/>
          </w:tcPr>
          <w:p w:rsidR="008E39BC" w:rsidRPr="009B3199" w:rsidRDefault="008E39BC" w:rsidP="008E39BC">
            <w:pPr>
              <w:spacing w:line="240" w:lineRule="auto"/>
              <w:rPr>
                <w:sz w:val="16"/>
                <w:szCs w:val="16"/>
                <w:lang w:val="en-GB"/>
              </w:rPr>
            </w:pPr>
            <w:r w:rsidRPr="009B3199">
              <w:rPr>
                <w:sz w:val="16"/>
                <w:szCs w:val="16"/>
                <w:lang w:val="en-GB"/>
              </w:rPr>
              <w:t xml:space="preserve">The Czech economy has already surpassed the year 2008 according to the gross value added </w:t>
            </w:r>
          </w:p>
        </w:tc>
        <w:tc>
          <w:tcPr>
            <w:tcW w:w="143" w:type="pct"/>
          </w:tcPr>
          <w:p w:rsidR="008E39BC" w:rsidRPr="00F347CE" w:rsidRDefault="008E39BC" w:rsidP="008E39BC">
            <w:pPr>
              <w:pStyle w:val="Textpoznpodarou"/>
              <w:jc w:val="both"/>
              <w:rPr>
                <w:lang w:val="en-GB"/>
              </w:rPr>
            </w:pPr>
          </w:p>
        </w:tc>
        <w:tc>
          <w:tcPr>
            <w:tcW w:w="3803" w:type="pct"/>
          </w:tcPr>
          <w:p w:rsidR="008E39BC" w:rsidRPr="009B3199" w:rsidRDefault="008E39BC" w:rsidP="008E39BC">
            <w:pPr>
              <w:pStyle w:val="Textpoznpodarou"/>
              <w:jc w:val="both"/>
              <w:rPr>
                <w:spacing w:val="-2"/>
                <w:lang w:val="en-US"/>
              </w:rPr>
            </w:pPr>
            <w:r>
              <w:rPr>
                <w:spacing w:val="-2"/>
                <w:lang w:val="en-GB"/>
              </w:rPr>
              <w:t>Total</w:t>
            </w:r>
            <w:r w:rsidRPr="00E32A49">
              <w:rPr>
                <w:spacing w:val="-2"/>
                <w:lang w:val="en-GB"/>
              </w:rPr>
              <w:t xml:space="preserve"> performance of the Czech economy, gauged by the gross value added, increased by 2.6 % in 2014</w:t>
            </w:r>
            <w:r w:rsidRPr="009B3199">
              <w:rPr>
                <w:spacing w:val="-2"/>
                <w:lang w:val="en-US"/>
              </w:rPr>
              <w:t>. All industries of the Czech economy together produced goods and services in the volume, which overtook the level of 2008 for the first time. It was higher by 0.5 %.</w:t>
            </w:r>
          </w:p>
          <w:p w:rsidR="008E39BC" w:rsidRPr="008E39BC" w:rsidRDefault="008E39BC" w:rsidP="008E39BC">
            <w:pPr>
              <w:pStyle w:val="Textpoznpodarou"/>
              <w:jc w:val="both"/>
              <w:rPr>
                <w:spacing w:val="-2"/>
                <w:sz w:val="18"/>
                <w:szCs w:val="18"/>
                <w:lang w:val="en-GB"/>
              </w:rPr>
            </w:pPr>
          </w:p>
        </w:tc>
      </w:tr>
      <w:tr w:rsidR="008E39BC" w:rsidRPr="00DB4FB8" w:rsidTr="008E39BC">
        <w:tc>
          <w:tcPr>
            <w:tcW w:w="1054" w:type="pct"/>
          </w:tcPr>
          <w:p w:rsidR="008E39BC" w:rsidRPr="00E32A49" w:rsidRDefault="008E39BC" w:rsidP="008E39BC">
            <w:pPr>
              <w:spacing w:line="240" w:lineRule="auto"/>
              <w:rPr>
                <w:sz w:val="16"/>
                <w:szCs w:val="16"/>
                <w:lang w:val="en-GB"/>
              </w:rPr>
            </w:pPr>
            <w:r w:rsidRPr="00E32A49">
              <w:rPr>
                <w:sz w:val="16"/>
                <w:szCs w:val="16"/>
                <w:lang w:val="en-GB"/>
              </w:rPr>
              <w:t>Manufacturing industry</w:t>
            </w:r>
            <w:r>
              <w:rPr>
                <w:sz w:val="16"/>
                <w:szCs w:val="16"/>
                <w:lang w:val="en-GB"/>
              </w:rPr>
              <w:t>,</w:t>
            </w:r>
            <w:r w:rsidRPr="00E32A49">
              <w:rPr>
                <w:sz w:val="16"/>
                <w:szCs w:val="16"/>
                <w:lang w:val="en-GB"/>
              </w:rPr>
              <w:t xml:space="preserve"> which is strongly oriented on the foreign demand</w:t>
            </w:r>
            <w:r>
              <w:rPr>
                <w:sz w:val="16"/>
                <w:szCs w:val="16"/>
                <w:lang w:val="en-GB"/>
              </w:rPr>
              <w:t>,</w:t>
            </w:r>
            <w:r w:rsidRPr="00E32A49">
              <w:rPr>
                <w:sz w:val="16"/>
                <w:szCs w:val="16"/>
                <w:lang w:val="en-GB"/>
              </w:rPr>
              <w:t xml:space="preserve"> together with the </w:t>
            </w:r>
            <w:r>
              <w:rPr>
                <w:sz w:val="16"/>
                <w:szCs w:val="16"/>
                <w:lang w:val="en-GB"/>
              </w:rPr>
              <w:t xml:space="preserve">services significant by volume </w:t>
            </w:r>
            <w:r w:rsidRPr="00E32A49">
              <w:rPr>
                <w:sz w:val="16"/>
                <w:szCs w:val="16"/>
                <w:lang w:val="en-GB"/>
              </w:rPr>
              <w:t xml:space="preserve">contributed the most to the growth of the gross value added in 2014 </w:t>
            </w:r>
          </w:p>
        </w:tc>
        <w:tc>
          <w:tcPr>
            <w:tcW w:w="143" w:type="pct"/>
          </w:tcPr>
          <w:p w:rsidR="008E39BC" w:rsidRPr="00E32A49" w:rsidRDefault="008E39BC" w:rsidP="008E39BC">
            <w:pPr>
              <w:pStyle w:val="Textpoznpodarou"/>
              <w:jc w:val="both"/>
              <w:rPr>
                <w:lang w:val="en-GB"/>
              </w:rPr>
            </w:pPr>
          </w:p>
        </w:tc>
        <w:tc>
          <w:tcPr>
            <w:tcW w:w="3803" w:type="pct"/>
          </w:tcPr>
          <w:p w:rsidR="008E39BC" w:rsidRPr="00E32A49" w:rsidRDefault="008E39BC" w:rsidP="008E39BC">
            <w:pPr>
              <w:pStyle w:val="Textpoznpodarou"/>
              <w:jc w:val="both"/>
              <w:rPr>
                <w:spacing w:val="-4"/>
                <w:sz w:val="18"/>
                <w:szCs w:val="18"/>
                <w:lang w:val="en-GB"/>
              </w:rPr>
            </w:pPr>
            <w:r w:rsidRPr="00E32A49">
              <w:rPr>
                <w:spacing w:val="-4"/>
                <w:lang w:val="en-GB"/>
              </w:rPr>
              <w:t xml:space="preserve">Manufacturing industry benefiting from the higher demand both abroad and at home already from the half of 2013, contributed by the largest share (+1.5 p. p.) from the view of the supply side to the growth of the CR economy in 2014. The remaining industrial activities in total (CZ-NACE B, D, E) – affected especially by the protracted decline of prices of coal on the world market (mining and quarrying) and a mild winter (energy industry) – slowed down the growth of the economy (-0.1 p. p.). Fine harvest of the agricultural crop was favourably reflected in the performance of the group of </w:t>
            </w:r>
            <w:r>
              <w:rPr>
                <w:spacing w:val="-4"/>
                <w:lang w:val="en-GB"/>
              </w:rPr>
              <w:t>activities involving agriculture</w:t>
            </w:r>
            <w:r w:rsidRPr="00E32A49">
              <w:rPr>
                <w:spacing w:val="-4"/>
                <w:lang w:val="en-GB"/>
              </w:rPr>
              <w:t>, forestry and fishing (+0.2 p. p.), the rise of demand for construction activities on part of private persons as well as public clients in the gross value added of construction (+0.1 p. p.). Services as a whole (CZ-NACE G-U), which share in the total performance of the Czech economy roughly by three fifths, participated on the economic growth by 0.9 p. p. force in 2014.</w:t>
            </w:r>
          </w:p>
        </w:tc>
      </w:tr>
    </w:tbl>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p w:rsidR="008E39BC" w:rsidRDefault="008E39BC" w:rsidP="008E39BC">
      <w:pPr>
        <w:rPr>
          <w:b/>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
        <w:gridCol w:w="3867"/>
        <w:gridCol w:w="996"/>
        <w:gridCol w:w="3929"/>
      </w:tblGrid>
      <w:tr w:rsidR="008E39BC" w:rsidRPr="003D4760" w:rsidTr="008E39BC">
        <w:tc>
          <w:tcPr>
            <w:tcW w:w="538" w:type="pct"/>
          </w:tcPr>
          <w:p w:rsidR="008E39BC" w:rsidRPr="003D4760" w:rsidRDefault="008E39BC" w:rsidP="008E39BC">
            <w:pPr>
              <w:pStyle w:val="Textpoznpodarou"/>
              <w:rPr>
                <w:sz w:val="20"/>
              </w:rPr>
            </w:pPr>
            <w:r>
              <w:rPr>
                <w:sz w:val="20"/>
              </w:rPr>
              <w:lastRenderedPageBreak/>
              <w:t xml:space="preserve">Chart </w:t>
            </w:r>
            <w:r w:rsidRPr="003D4760">
              <w:rPr>
                <w:sz w:val="20"/>
              </w:rPr>
              <w:t>1</w:t>
            </w:r>
          </w:p>
        </w:tc>
        <w:tc>
          <w:tcPr>
            <w:tcW w:w="1962" w:type="pct"/>
          </w:tcPr>
          <w:p w:rsidR="008E39BC" w:rsidRPr="001870CB" w:rsidRDefault="008E39BC" w:rsidP="008E39BC">
            <w:pPr>
              <w:pStyle w:val="Textpoznpodarou"/>
              <w:rPr>
                <w:sz w:val="20"/>
                <w:lang w:val="en-GB"/>
              </w:rPr>
            </w:pPr>
            <w:r w:rsidRPr="001870CB">
              <w:rPr>
                <w:b/>
                <w:sz w:val="20"/>
                <w:lang w:val="en-GB"/>
              </w:rPr>
              <w:t xml:space="preserve">GDP </w:t>
            </w:r>
            <w:r w:rsidRPr="001870CB">
              <w:rPr>
                <w:sz w:val="20"/>
                <w:lang w:val="en-GB"/>
              </w:rPr>
              <w:t xml:space="preserve">(constant </w:t>
            </w:r>
            <w:proofErr w:type="gramStart"/>
            <w:r w:rsidRPr="001870CB">
              <w:rPr>
                <w:sz w:val="20"/>
                <w:lang w:val="en-GB"/>
              </w:rPr>
              <w:t>prices</w:t>
            </w:r>
            <w:r>
              <w:rPr>
                <w:sz w:val="20"/>
                <w:lang w:val="en-GB"/>
              </w:rPr>
              <w:t>,</w:t>
            </w:r>
            <w:proofErr w:type="gramEnd"/>
            <w:r w:rsidRPr="001870CB">
              <w:rPr>
                <w:sz w:val="20"/>
                <w:lang w:val="en-GB"/>
              </w:rPr>
              <w:t xml:space="preserve"> adjusted for seasonal and calendar effects, in %)</w:t>
            </w:r>
          </w:p>
        </w:tc>
        <w:tc>
          <w:tcPr>
            <w:tcW w:w="505" w:type="pct"/>
          </w:tcPr>
          <w:p w:rsidR="008E39BC" w:rsidRPr="003D4760" w:rsidRDefault="008E39BC" w:rsidP="008E39BC">
            <w:pPr>
              <w:pStyle w:val="Textpoznpodarou"/>
              <w:rPr>
                <w:sz w:val="20"/>
              </w:rPr>
            </w:pPr>
            <w:r>
              <w:rPr>
                <w:sz w:val="20"/>
              </w:rPr>
              <w:t xml:space="preserve">Chart </w:t>
            </w:r>
            <w:r w:rsidRPr="003D4760">
              <w:rPr>
                <w:sz w:val="20"/>
              </w:rPr>
              <w:t>2</w:t>
            </w:r>
          </w:p>
        </w:tc>
        <w:tc>
          <w:tcPr>
            <w:tcW w:w="1995" w:type="pct"/>
          </w:tcPr>
          <w:p w:rsidR="008E39BC" w:rsidRPr="003D4760" w:rsidRDefault="008E39BC" w:rsidP="008E39BC">
            <w:pPr>
              <w:pStyle w:val="Textpoznpodarou"/>
              <w:rPr>
                <w:spacing w:val="-2"/>
                <w:sz w:val="20"/>
              </w:rPr>
            </w:pPr>
            <w:r>
              <w:rPr>
                <w:b/>
                <w:spacing w:val="-2"/>
                <w:sz w:val="20"/>
              </w:rPr>
              <w:t>GDP</w:t>
            </w:r>
            <w:r w:rsidRPr="003D4760">
              <w:rPr>
                <w:b/>
                <w:spacing w:val="-2"/>
                <w:sz w:val="20"/>
              </w:rPr>
              <w:t xml:space="preserve"> </w:t>
            </w:r>
            <w:r w:rsidRPr="001870CB">
              <w:rPr>
                <w:spacing w:val="-2"/>
                <w:sz w:val="20"/>
                <w:lang w:val="en-GB"/>
              </w:rPr>
              <w:t xml:space="preserve">(constant prices, adjusted for seasonal and calendar effects, y/y in %, right axis) </w:t>
            </w:r>
            <w:r w:rsidRPr="001870CB">
              <w:rPr>
                <w:b/>
                <w:spacing w:val="-2"/>
                <w:sz w:val="20"/>
                <w:lang w:val="en-GB"/>
              </w:rPr>
              <w:t xml:space="preserve">and confidence indicator </w:t>
            </w:r>
            <w:r w:rsidRPr="001870CB">
              <w:rPr>
                <w:spacing w:val="-2"/>
                <w:sz w:val="20"/>
                <w:lang w:val="en-GB"/>
              </w:rPr>
              <w:t>(2005=100, left axis)</w:t>
            </w:r>
          </w:p>
        </w:tc>
      </w:tr>
      <w:tr w:rsidR="008E39BC" w:rsidRPr="007D44C3" w:rsidTr="008E39BC">
        <w:tc>
          <w:tcPr>
            <w:tcW w:w="2501" w:type="pct"/>
            <w:gridSpan w:val="2"/>
          </w:tcPr>
          <w:p w:rsidR="008E39BC" w:rsidRPr="007D44C3" w:rsidRDefault="008E39BC" w:rsidP="008E39BC">
            <w:pPr>
              <w:pStyle w:val="Textpoznpodarou"/>
              <w:jc w:val="both"/>
            </w:pPr>
            <w:r w:rsidRPr="00445DF2">
              <w:rPr>
                <w:noProof/>
              </w:rPr>
              <w:drawing>
                <wp:inline distT="0" distB="0" distL="0" distR="0">
                  <wp:extent cx="3011805" cy="2377440"/>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11805" cy="2377440"/>
                          </a:xfrm>
                          <a:prstGeom prst="rect">
                            <a:avLst/>
                          </a:prstGeom>
                          <a:noFill/>
                        </pic:spPr>
                      </pic:pic>
                    </a:graphicData>
                  </a:graphic>
                </wp:inline>
              </w:drawing>
            </w:r>
          </w:p>
        </w:tc>
        <w:tc>
          <w:tcPr>
            <w:tcW w:w="2499" w:type="pct"/>
            <w:gridSpan w:val="2"/>
          </w:tcPr>
          <w:p w:rsidR="008E39BC" w:rsidRPr="007D44C3" w:rsidRDefault="008E39BC" w:rsidP="008E39BC">
            <w:pPr>
              <w:pStyle w:val="Textpoznpodarou"/>
              <w:jc w:val="both"/>
            </w:pPr>
            <w:r w:rsidRPr="00445DF2">
              <w:rPr>
                <w:noProof/>
              </w:rPr>
              <w:drawing>
                <wp:inline distT="0" distB="0" distL="0" distR="0">
                  <wp:extent cx="3005455" cy="2377440"/>
                  <wp:effectExtent l="19050" t="0" r="4445" b="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005455" cy="2377440"/>
                          </a:xfrm>
                          <a:prstGeom prst="rect">
                            <a:avLst/>
                          </a:prstGeom>
                          <a:noFill/>
                        </pic:spPr>
                      </pic:pic>
                    </a:graphicData>
                  </a:graphic>
                </wp:inline>
              </w:drawing>
            </w:r>
          </w:p>
        </w:tc>
      </w:tr>
      <w:tr w:rsidR="008E39BC" w:rsidRPr="007D44C3" w:rsidTr="008E39BC">
        <w:tc>
          <w:tcPr>
            <w:tcW w:w="5000" w:type="pct"/>
            <w:gridSpan w:val="4"/>
          </w:tcPr>
          <w:p w:rsidR="008E39BC" w:rsidRPr="007D44C3" w:rsidRDefault="008E39BC" w:rsidP="008E39BC">
            <w:pPr>
              <w:pStyle w:val="Textpoznpodarou"/>
              <w:jc w:val="right"/>
              <w:rPr>
                <w:sz w:val="18"/>
                <w:szCs w:val="18"/>
              </w:rPr>
            </w:pPr>
            <w:proofErr w:type="spellStart"/>
            <w:r>
              <w:rPr>
                <w:sz w:val="18"/>
                <w:szCs w:val="18"/>
              </w:rPr>
              <w:t>Source</w:t>
            </w:r>
            <w:proofErr w:type="spellEnd"/>
            <w:r w:rsidRPr="007D44C3">
              <w:rPr>
                <w:sz w:val="18"/>
                <w:szCs w:val="18"/>
              </w:rPr>
              <w:t xml:space="preserve">: </w:t>
            </w:r>
            <w:r>
              <w:rPr>
                <w:sz w:val="18"/>
                <w:szCs w:val="18"/>
              </w:rPr>
              <w:t>CZSO</w:t>
            </w:r>
            <w:r w:rsidRPr="007D44C3">
              <w:rPr>
                <w:sz w:val="18"/>
                <w:szCs w:val="18"/>
              </w:rPr>
              <w:t xml:space="preserve">, </w:t>
            </w:r>
            <w:proofErr w:type="spellStart"/>
            <w:r w:rsidRPr="007D44C3">
              <w:rPr>
                <w:sz w:val="18"/>
                <w:szCs w:val="18"/>
              </w:rPr>
              <w:t>Eurostat</w:t>
            </w:r>
            <w:proofErr w:type="spellEnd"/>
          </w:p>
        </w:tc>
      </w:tr>
    </w:tbl>
    <w:p w:rsidR="008E39BC" w:rsidRDefault="008E39BC" w:rsidP="008E39BC">
      <w:pPr>
        <w:rPr>
          <w:b/>
          <w:sz w:val="16"/>
          <w:szCs w:val="16"/>
        </w:rPr>
      </w:pPr>
    </w:p>
    <w:tbl>
      <w:tblPr>
        <w:tblStyle w:val="Mkatabulk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
        <w:gridCol w:w="3955"/>
        <w:gridCol w:w="862"/>
        <w:gridCol w:w="1547"/>
        <w:gridCol w:w="2525"/>
      </w:tblGrid>
      <w:tr w:rsidR="008E39BC" w:rsidRPr="000D6CA7" w:rsidTr="008E39BC">
        <w:tc>
          <w:tcPr>
            <w:tcW w:w="489" w:type="pct"/>
          </w:tcPr>
          <w:p w:rsidR="008E39BC" w:rsidRPr="003D4760" w:rsidRDefault="008E39BC" w:rsidP="008E39BC">
            <w:pPr>
              <w:pStyle w:val="Textpoznpodarou"/>
              <w:rPr>
                <w:sz w:val="20"/>
              </w:rPr>
            </w:pPr>
            <w:r>
              <w:rPr>
                <w:sz w:val="20"/>
              </w:rPr>
              <w:t xml:space="preserve">Chart </w:t>
            </w:r>
            <w:r w:rsidRPr="003D4760">
              <w:rPr>
                <w:sz w:val="20"/>
              </w:rPr>
              <w:t>3</w:t>
            </w:r>
          </w:p>
        </w:tc>
        <w:tc>
          <w:tcPr>
            <w:tcW w:w="2008" w:type="pct"/>
          </w:tcPr>
          <w:p w:rsidR="008E39BC" w:rsidRPr="000D6CA7" w:rsidRDefault="008E39BC" w:rsidP="008E39BC">
            <w:pPr>
              <w:pStyle w:val="Textpoznpodarou"/>
              <w:rPr>
                <w:spacing w:val="-6"/>
                <w:sz w:val="20"/>
                <w:lang w:val="en-GB"/>
              </w:rPr>
            </w:pPr>
            <w:r w:rsidRPr="000D6CA7">
              <w:rPr>
                <w:b/>
                <w:spacing w:val="-6"/>
                <w:sz w:val="20"/>
                <w:lang w:val="en-GB"/>
              </w:rPr>
              <w:t>Contributions of expenditure components to GDP change*</w:t>
            </w:r>
            <w:r w:rsidRPr="000D6CA7">
              <w:rPr>
                <w:spacing w:val="-6"/>
                <w:sz w:val="20"/>
                <w:lang w:val="en-GB"/>
              </w:rPr>
              <w:t xml:space="preserve"> (constant prices, y/y, contributions in p. p., GDP in %)</w:t>
            </w:r>
          </w:p>
        </w:tc>
        <w:tc>
          <w:tcPr>
            <w:tcW w:w="437" w:type="pct"/>
          </w:tcPr>
          <w:p w:rsidR="008E39BC" w:rsidRPr="003D4760" w:rsidRDefault="008E39BC" w:rsidP="008E39BC">
            <w:pPr>
              <w:pStyle w:val="Textpoznpodarou"/>
              <w:rPr>
                <w:sz w:val="20"/>
              </w:rPr>
            </w:pPr>
            <w:r>
              <w:rPr>
                <w:sz w:val="20"/>
              </w:rPr>
              <w:t xml:space="preserve">Chart </w:t>
            </w:r>
            <w:r w:rsidRPr="003D4760">
              <w:rPr>
                <w:sz w:val="20"/>
              </w:rPr>
              <w:t>4</w:t>
            </w:r>
          </w:p>
        </w:tc>
        <w:tc>
          <w:tcPr>
            <w:tcW w:w="2066" w:type="pct"/>
            <w:gridSpan w:val="2"/>
          </w:tcPr>
          <w:p w:rsidR="008E39BC" w:rsidRPr="000D6CA7" w:rsidRDefault="008E39BC" w:rsidP="008E39BC">
            <w:pPr>
              <w:pStyle w:val="Textpoznpodarou"/>
              <w:rPr>
                <w:sz w:val="20"/>
                <w:lang w:val="en-GB"/>
              </w:rPr>
            </w:pPr>
            <w:r w:rsidRPr="000D6CA7">
              <w:rPr>
                <w:b/>
                <w:sz w:val="20"/>
                <w:lang w:val="en-GB"/>
              </w:rPr>
              <w:t xml:space="preserve">Contributions of </w:t>
            </w:r>
            <w:r>
              <w:rPr>
                <w:b/>
                <w:sz w:val="20"/>
                <w:lang w:val="en-GB"/>
              </w:rPr>
              <w:t>branches</w:t>
            </w:r>
            <w:r w:rsidRPr="000D6CA7">
              <w:rPr>
                <w:b/>
                <w:sz w:val="20"/>
                <w:lang w:val="en-GB"/>
              </w:rPr>
              <w:t xml:space="preserve"> to GVA change </w:t>
            </w:r>
            <w:r w:rsidRPr="000D6CA7">
              <w:rPr>
                <w:sz w:val="20"/>
                <w:lang w:val="en-GB"/>
              </w:rPr>
              <w:t>(constant prices, y/y, contributions in p. p., GVA in %)</w:t>
            </w:r>
          </w:p>
        </w:tc>
      </w:tr>
      <w:tr w:rsidR="008E39BC" w:rsidRPr="007D44C3" w:rsidTr="008E39BC">
        <w:tc>
          <w:tcPr>
            <w:tcW w:w="2496" w:type="pct"/>
            <w:gridSpan w:val="2"/>
          </w:tcPr>
          <w:p w:rsidR="008E39BC" w:rsidRPr="007D44C3" w:rsidRDefault="008E39BC" w:rsidP="008E39BC">
            <w:pPr>
              <w:pStyle w:val="Textpoznpodarou"/>
              <w:jc w:val="both"/>
            </w:pPr>
            <w:r w:rsidRPr="00445DF2">
              <w:rPr>
                <w:noProof/>
              </w:rPr>
              <w:drawing>
                <wp:inline distT="0" distB="0" distL="0" distR="0">
                  <wp:extent cx="3005455" cy="2377440"/>
                  <wp:effectExtent l="19050" t="0" r="4445" b="0"/>
                  <wp:docPr id="2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005455" cy="2377440"/>
                          </a:xfrm>
                          <a:prstGeom prst="rect">
                            <a:avLst/>
                          </a:prstGeom>
                          <a:noFill/>
                        </pic:spPr>
                      </pic:pic>
                    </a:graphicData>
                  </a:graphic>
                </wp:inline>
              </w:drawing>
            </w:r>
          </w:p>
        </w:tc>
        <w:tc>
          <w:tcPr>
            <w:tcW w:w="2504" w:type="pct"/>
            <w:gridSpan w:val="3"/>
          </w:tcPr>
          <w:p w:rsidR="008E39BC" w:rsidRPr="007D44C3" w:rsidRDefault="008E39BC" w:rsidP="008E39BC">
            <w:pPr>
              <w:pStyle w:val="Textpoznpodarou"/>
              <w:jc w:val="both"/>
            </w:pPr>
            <w:r w:rsidRPr="00445DF2">
              <w:rPr>
                <w:noProof/>
              </w:rPr>
              <w:drawing>
                <wp:inline distT="0" distB="0" distL="0" distR="0">
                  <wp:extent cx="3017520" cy="2377440"/>
                  <wp:effectExtent l="19050" t="0" r="0" b="0"/>
                  <wp:docPr id="2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017520" cy="2377440"/>
                          </a:xfrm>
                          <a:prstGeom prst="rect">
                            <a:avLst/>
                          </a:prstGeom>
                          <a:noFill/>
                        </pic:spPr>
                      </pic:pic>
                    </a:graphicData>
                  </a:graphic>
                </wp:inline>
              </w:drawing>
            </w:r>
          </w:p>
        </w:tc>
      </w:tr>
      <w:tr w:rsidR="008E39BC" w:rsidRPr="003D4760" w:rsidTr="008E39BC">
        <w:tc>
          <w:tcPr>
            <w:tcW w:w="3719" w:type="pct"/>
            <w:gridSpan w:val="4"/>
          </w:tcPr>
          <w:p w:rsidR="008E39BC" w:rsidRPr="005F20FC" w:rsidRDefault="008E39BC" w:rsidP="008E39BC">
            <w:pPr>
              <w:pStyle w:val="Textpoznpodarou"/>
              <w:rPr>
                <w:sz w:val="18"/>
                <w:szCs w:val="18"/>
                <w:lang w:val="en-GB"/>
              </w:rPr>
            </w:pPr>
            <w:r w:rsidRPr="003D4760">
              <w:rPr>
                <w:sz w:val="18"/>
                <w:szCs w:val="18"/>
              </w:rPr>
              <w:t>*</w:t>
            </w:r>
            <w:r w:rsidRPr="000D6CA7">
              <w:rPr>
                <w:sz w:val="18"/>
                <w:szCs w:val="18"/>
                <w:lang w:val="en-GB"/>
              </w:rPr>
              <w:t xml:space="preserve">contributions to GDP change </w:t>
            </w:r>
            <w:r>
              <w:rPr>
                <w:sz w:val="18"/>
                <w:szCs w:val="18"/>
                <w:lang w:val="en-GB"/>
              </w:rPr>
              <w:t>without the exclusion of</w:t>
            </w:r>
            <w:r w:rsidRPr="000D6CA7">
              <w:rPr>
                <w:sz w:val="18"/>
                <w:szCs w:val="18"/>
                <w:lang w:val="en-GB"/>
              </w:rPr>
              <w:t xml:space="preserve"> imports for final uses</w:t>
            </w:r>
          </w:p>
        </w:tc>
        <w:tc>
          <w:tcPr>
            <w:tcW w:w="1281" w:type="pct"/>
          </w:tcPr>
          <w:p w:rsidR="008E39BC" w:rsidRPr="003D4760" w:rsidRDefault="008E39BC" w:rsidP="008E39BC">
            <w:pPr>
              <w:pStyle w:val="Textpoznpodarou"/>
              <w:jc w:val="right"/>
              <w:rPr>
                <w:sz w:val="18"/>
                <w:szCs w:val="18"/>
              </w:rPr>
            </w:pPr>
            <w:proofErr w:type="spellStart"/>
            <w:r>
              <w:rPr>
                <w:sz w:val="18"/>
                <w:szCs w:val="18"/>
              </w:rPr>
              <w:t>Source</w:t>
            </w:r>
            <w:proofErr w:type="spellEnd"/>
            <w:r w:rsidRPr="003D4760">
              <w:rPr>
                <w:sz w:val="18"/>
                <w:szCs w:val="18"/>
              </w:rPr>
              <w:t xml:space="preserve">: </w:t>
            </w:r>
            <w:r>
              <w:rPr>
                <w:sz w:val="18"/>
                <w:szCs w:val="18"/>
              </w:rPr>
              <w:t>CZSO</w:t>
            </w:r>
          </w:p>
        </w:tc>
      </w:tr>
    </w:tbl>
    <w:p w:rsidR="008E39BC" w:rsidRPr="00680F07" w:rsidRDefault="008E39BC" w:rsidP="008E39BC">
      <w:pPr>
        <w:pStyle w:val="Textpoznpodarou"/>
        <w:jc w:val="both"/>
        <w:rPr>
          <w:color w:val="000000" w:themeColor="text1"/>
          <w:lang w:val="en-US"/>
        </w:rPr>
      </w:pPr>
    </w:p>
    <w:p w:rsidR="00A23545" w:rsidRPr="00460164" w:rsidRDefault="00A23545" w:rsidP="00680F07">
      <w:pPr>
        <w:pStyle w:val="Textpoznpodarou"/>
        <w:ind w:left="426"/>
        <w:jc w:val="both"/>
        <w:rPr>
          <w:lang w:eastAsia="ar-SA"/>
        </w:rPr>
      </w:pPr>
    </w:p>
    <w:p w:rsidR="00F4591F" w:rsidRPr="008E39BC" w:rsidRDefault="007B324A" w:rsidP="008E39BC">
      <w:pPr>
        <w:pStyle w:val="Nadpis1"/>
        <w:numPr>
          <w:ilvl w:val="0"/>
          <w:numId w:val="9"/>
        </w:numPr>
        <w:jc w:val="both"/>
        <w:rPr>
          <w:lang w:val="en-GB"/>
        </w:rPr>
      </w:pPr>
      <w:bookmarkStart w:id="5" w:name="_Toc417454524"/>
      <w:r>
        <w:rPr>
          <w:lang w:val="en-GB"/>
        </w:rPr>
        <w:t>Branches</w:t>
      </w:r>
      <w:r w:rsidR="00361C1C" w:rsidRPr="008E39BC">
        <w:rPr>
          <w:lang w:val="en-GB"/>
        </w:rPr>
        <w:t xml:space="preserve"> Performance</w:t>
      </w:r>
      <w:bookmarkEnd w:id="5"/>
    </w:p>
    <w:tbl>
      <w:tblPr>
        <w:tblW w:w="5000" w:type="pct"/>
        <w:tblCellMar>
          <w:left w:w="28" w:type="dxa"/>
          <w:right w:w="28" w:type="dxa"/>
        </w:tblCellMar>
        <w:tblLook w:val="04A0"/>
      </w:tblPr>
      <w:tblGrid>
        <w:gridCol w:w="2115"/>
        <w:gridCol w:w="283"/>
        <w:gridCol w:w="7296"/>
      </w:tblGrid>
      <w:tr w:rsidR="000F401E" w:rsidTr="000F401E">
        <w:tc>
          <w:tcPr>
            <w:tcW w:w="1091" w:type="pct"/>
          </w:tcPr>
          <w:p w:rsidR="00670954" w:rsidRPr="00670954" w:rsidRDefault="00670954" w:rsidP="00670954">
            <w:pPr>
              <w:spacing w:line="240" w:lineRule="auto"/>
              <w:rPr>
                <w:sz w:val="16"/>
                <w:szCs w:val="16"/>
                <w:lang w:val="en-GB"/>
              </w:rPr>
            </w:pPr>
            <w:r w:rsidRPr="00670954">
              <w:rPr>
                <w:sz w:val="16"/>
                <w:szCs w:val="16"/>
                <w:lang w:val="en-GB"/>
              </w:rPr>
              <w:t xml:space="preserve">Growth of GVA regularly accelerated during 2014, despite gradual transfer to higher last year's </w:t>
            </w:r>
          </w:p>
          <w:p w:rsidR="000F401E" w:rsidRPr="00670954" w:rsidRDefault="00670954" w:rsidP="000F401E">
            <w:pPr>
              <w:spacing w:line="240" w:lineRule="auto"/>
              <w:rPr>
                <w:sz w:val="16"/>
                <w:szCs w:val="16"/>
                <w:lang w:val="en-GB"/>
              </w:rPr>
            </w:pPr>
            <w:r w:rsidRPr="00670954">
              <w:rPr>
                <w:sz w:val="16"/>
                <w:szCs w:val="16"/>
                <w:lang w:val="en-GB"/>
              </w:rPr>
              <w:t>basis</w:t>
            </w:r>
            <w:r w:rsidR="000F401E" w:rsidRPr="00670954">
              <w:rPr>
                <w:sz w:val="16"/>
                <w:szCs w:val="16"/>
                <w:lang w:val="en-GB"/>
              </w:rPr>
              <w:t xml:space="preserve"> </w:t>
            </w:r>
          </w:p>
          <w:p w:rsidR="000F401E" w:rsidRPr="00670954" w:rsidRDefault="000F401E" w:rsidP="000F401E">
            <w:pPr>
              <w:spacing w:line="240" w:lineRule="auto"/>
              <w:rPr>
                <w:sz w:val="16"/>
                <w:szCs w:val="16"/>
                <w:lang w:val="en-GB"/>
              </w:rPr>
            </w:pPr>
          </w:p>
          <w:p w:rsidR="000F401E" w:rsidRPr="00670954" w:rsidRDefault="000F401E" w:rsidP="000F401E">
            <w:pPr>
              <w:spacing w:line="240" w:lineRule="auto"/>
              <w:rPr>
                <w:sz w:val="16"/>
                <w:szCs w:val="16"/>
                <w:lang w:val="en-GB"/>
              </w:rPr>
            </w:pPr>
          </w:p>
          <w:p w:rsidR="00670954" w:rsidRPr="00A95390" w:rsidRDefault="00670954" w:rsidP="00670954">
            <w:pPr>
              <w:spacing w:line="240" w:lineRule="auto"/>
              <w:rPr>
                <w:sz w:val="16"/>
                <w:szCs w:val="16"/>
                <w:lang w:val="en-GB"/>
              </w:rPr>
            </w:pPr>
            <w:r w:rsidRPr="00A95390">
              <w:rPr>
                <w:sz w:val="16"/>
                <w:szCs w:val="16"/>
                <w:lang w:val="en-GB"/>
              </w:rPr>
              <w:t>Manufacturing industry secured three fifths of GVA growth, construction also contributed positively for the first time since 2010</w:t>
            </w:r>
          </w:p>
          <w:p w:rsidR="000F401E" w:rsidRPr="00670954" w:rsidRDefault="000F401E" w:rsidP="000F401E">
            <w:pPr>
              <w:spacing w:line="240" w:lineRule="auto"/>
              <w:rPr>
                <w:sz w:val="16"/>
                <w:szCs w:val="16"/>
                <w:lang w:val="en-GB"/>
              </w:rPr>
            </w:pPr>
          </w:p>
          <w:p w:rsidR="000F401E" w:rsidRPr="00670954" w:rsidRDefault="000F401E" w:rsidP="000F401E">
            <w:pPr>
              <w:spacing w:line="240" w:lineRule="auto"/>
              <w:rPr>
                <w:sz w:val="16"/>
                <w:szCs w:val="16"/>
                <w:lang w:val="en-GB"/>
              </w:rPr>
            </w:pPr>
          </w:p>
        </w:tc>
        <w:tc>
          <w:tcPr>
            <w:tcW w:w="146" w:type="pct"/>
          </w:tcPr>
          <w:p w:rsidR="000F401E" w:rsidRPr="00670954" w:rsidRDefault="000F401E" w:rsidP="000F401E">
            <w:pPr>
              <w:pStyle w:val="Textpoznpodarou"/>
              <w:jc w:val="both"/>
              <w:rPr>
                <w:lang w:val="en-GB"/>
              </w:rPr>
            </w:pPr>
          </w:p>
        </w:tc>
        <w:tc>
          <w:tcPr>
            <w:tcW w:w="3763" w:type="pct"/>
          </w:tcPr>
          <w:p w:rsidR="00670954" w:rsidRPr="00670954" w:rsidRDefault="00670954" w:rsidP="00670954">
            <w:pPr>
              <w:pStyle w:val="Textpoznpodarou"/>
              <w:jc w:val="both"/>
              <w:rPr>
                <w:spacing w:val="-4"/>
                <w:lang w:val="en-US"/>
              </w:rPr>
            </w:pPr>
            <w:r>
              <w:rPr>
                <w:spacing w:val="-4"/>
                <w:lang w:val="en-GB"/>
              </w:rPr>
              <w:t xml:space="preserve">Year </w:t>
            </w:r>
            <w:r w:rsidRPr="00670954">
              <w:rPr>
                <w:spacing w:val="-4"/>
                <w:lang w:val="en-US"/>
              </w:rPr>
              <w:t>2014 brought a confirmation as well as stronger anchoring of gro</w:t>
            </w:r>
            <w:r w:rsidR="0049363D">
              <w:rPr>
                <w:spacing w:val="-4"/>
                <w:lang w:val="en-US"/>
              </w:rPr>
              <w:t>wth tendencies in key branches</w:t>
            </w:r>
            <w:r w:rsidRPr="00670954">
              <w:rPr>
                <w:spacing w:val="-4"/>
                <w:lang w:val="en-US"/>
              </w:rPr>
              <w:t xml:space="preserve"> of the Czech eco</w:t>
            </w:r>
            <w:r w:rsidR="00065070">
              <w:rPr>
                <w:spacing w:val="-4"/>
                <w:lang w:val="en-US"/>
              </w:rPr>
              <w:t>nomy. S</w:t>
            </w:r>
            <w:r w:rsidRPr="00670954">
              <w:rPr>
                <w:spacing w:val="-4"/>
                <w:lang w:val="en-US"/>
              </w:rPr>
              <w:t xml:space="preserve">easonally adjusted </w:t>
            </w:r>
            <w:r w:rsidR="00065070">
              <w:rPr>
                <w:spacing w:val="-4"/>
                <w:lang w:val="en-US"/>
              </w:rPr>
              <w:t xml:space="preserve">aggregate </w:t>
            </w:r>
            <w:r w:rsidRPr="00670954">
              <w:rPr>
                <w:spacing w:val="-4"/>
                <w:lang w:val="en-US"/>
              </w:rPr>
              <w:t xml:space="preserve">size of gross value added (GVA) carried on in the continued growth initiated in Q4 2013 (in the year-on-year expression), respectively already in Q2 2013 (in the quarter-on-quarter </w:t>
            </w:r>
            <w:r w:rsidR="004A1D01">
              <w:rPr>
                <w:spacing w:val="-4"/>
                <w:lang w:val="en-US"/>
              </w:rPr>
              <w:t>expression</w:t>
            </w:r>
            <w:r w:rsidRPr="00670954">
              <w:rPr>
                <w:spacing w:val="-4"/>
                <w:lang w:val="en-US"/>
              </w:rPr>
              <w:t>). It swayed over the pre-crisis level during Q3 2014 (similar quarter of 2008) and mildly accelerate</w:t>
            </w:r>
            <w:r w:rsidR="00D604D1">
              <w:rPr>
                <w:spacing w:val="-4"/>
                <w:lang w:val="en-US"/>
              </w:rPr>
              <w:t>d during the last quarter (by +2.9 % year-on-year, by +2.6</w:t>
            </w:r>
            <w:r w:rsidR="00D604D1">
              <w:rPr>
                <w:spacing w:val="-4"/>
              </w:rPr>
              <w:t> </w:t>
            </w:r>
            <w:r w:rsidRPr="00670954">
              <w:rPr>
                <w:spacing w:val="-4"/>
                <w:lang w:val="en-US"/>
              </w:rPr>
              <w:t>% for the whole year). The GVA growth was driven in three fifths by the export oriented manufacturing industry in 2014. Construction as well as the majority of significant groupings of services (apart from the financial</w:t>
            </w:r>
            <w:r w:rsidR="00D604D1">
              <w:rPr>
                <w:spacing w:val="-4"/>
                <w:lang w:val="en-US"/>
              </w:rPr>
              <w:t xml:space="preserve"> sector and the real estate activities</w:t>
            </w:r>
            <w:r w:rsidRPr="00670954">
              <w:rPr>
                <w:spacing w:val="-4"/>
                <w:lang w:val="en-US"/>
              </w:rPr>
              <w:t>, which did not follow up on the previous successful years) contributed positively (similarly to years of strong boom).</w:t>
            </w:r>
          </w:p>
          <w:p w:rsidR="000F401E" w:rsidRPr="0056747E" w:rsidRDefault="000F401E" w:rsidP="00A95390">
            <w:pPr>
              <w:pStyle w:val="Textpoznpodarou"/>
              <w:jc w:val="both"/>
              <w:rPr>
                <w:spacing w:val="-4"/>
                <w:sz w:val="14"/>
                <w:szCs w:val="14"/>
                <w:lang w:val="en-GB"/>
              </w:rPr>
            </w:pPr>
          </w:p>
        </w:tc>
      </w:tr>
      <w:tr w:rsidR="000F401E" w:rsidTr="000F401E">
        <w:tc>
          <w:tcPr>
            <w:tcW w:w="1091" w:type="pct"/>
          </w:tcPr>
          <w:p w:rsidR="00361C1C" w:rsidRPr="00361C1C" w:rsidRDefault="00361C1C" w:rsidP="00361C1C">
            <w:pPr>
              <w:spacing w:line="240" w:lineRule="auto"/>
              <w:rPr>
                <w:sz w:val="16"/>
                <w:szCs w:val="16"/>
                <w:lang w:val="en-US"/>
              </w:rPr>
            </w:pPr>
            <w:r>
              <w:rPr>
                <w:sz w:val="16"/>
                <w:szCs w:val="16"/>
              </w:rPr>
              <w:t xml:space="preserve">GVA </w:t>
            </w:r>
            <w:r w:rsidRPr="00361C1C">
              <w:rPr>
                <w:sz w:val="16"/>
                <w:szCs w:val="16"/>
                <w:lang w:val="en-US"/>
              </w:rPr>
              <w:t xml:space="preserve">growth exceeded the dynamics of both aggregate employment and hours worked, which strengthened </w:t>
            </w:r>
            <w:r w:rsidRPr="00361C1C">
              <w:rPr>
                <w:sz w:val="16"/>
                <w:szCs w:val="16"/>
                <w:lang w:val="en-US"/>
              </w:rPr>
              <w:lastRenderedPageBreak/>
              <w:t>mostly in selected services year-on-year</w:t>
            </w:r>
          </w:p>
          <w:p w:rsidR="000F401E" w:rsidRDefault="000F401E" w:rsidP="000F401E">
            <w:pPr>
              <w:spacing w:line="240" w:lineRule="auto"/>
              <w:rPr>
                <w:sz w:val="16"/>
                <w:szCs w:val="16"/>
              </w:rPr>
            </w:pPr>
          </w:p>
          <w:p w:rsidR="000F401E" w:rsidRDefault="000F401E" w:rsidP="000F401E">
            <w:pPr>
              <w:spacing w:line="240" w:lineRule="auto"/>
              <w:rPr>
                <w:sz w:val="16"/>
                <w:szCs w:val="16"/>
              </w:rPr>
            </w:pPr>
          </w:p>
          <w:p w:rsidR="00FD5C2E" w:rsidRDefault="00FD5C2E" w:rsidP="00361C1C">
            <w:pPr>
              <w:spacing w:line="240" w:lineRule="auto"/>
              <w:rPr>
                <w:spacing w:val="-4"/>
                <w:sz w:val="16"/>
                <w:szCs w:val="16"/>
              </w:rPr>
            </w:pPr>
          </w:p>
          <w:p w:rsidR="00361C1C" w:rsidRPr="00361C1C" w:rsidRDefault="000F401E" w:rsidP="00361C1C">
            <w:pPr>
              <w:spacing w:line="240" w:lineRule="auto"/>
              <w:rPr>
                <w:spacing w:val="-4"/>
                <w:sz w:val="16"/>
                <w:szCs w:val="16"/>
                <w:lang w:val="en-US"/>
              </w:rPr>
            </w:pPr>
            <w:r w:rsidRPr="000F401E">
              <w:rPr>
                <w:spacing w:val="-4"/>
                <w:sz w:val="16"/>
                <w:szCs w:val="16"/>
              </w:rPr>
              <w:t>Ve</w:t>
            </w:r>
            <w:r w:rsidR="00361C1C">
              <w:rPr>
                <w:spacing w:val="-4"/>
                <w:sz w:val="16"/>
                <w:szCs w:val="16"/>
              </w:rPr>
              <w:t xml:space="preserve">ry </w:t>
            </w:r>
            <w:r w:rsidR="00D604D1">
              <w:rPr>
                <w:spacing w:val="-4"/>
                <w:sz w:val="16"/>
                <w:szCs w:val="16"/>
                <w:lang w:val="en-US"/>
              </w:rPr>
              <w:t>good harvest (cereals</w:t>
            </w:r>
            <w:r w:rsidR="00361C1C" w:rsidRPr="00361C1C">
              <w:rPr>
                <w:spacing w:val="-4"/>
                <w:sz w:val="16"/>
                <w:szCs w:val="16"/>
                <w:lang w:val="en-US"/>
              </w:rPr>
              <w:t>, sugar beet and oilseed rape) pulled up the GVA in agriculture to the highest level since 2009</w:t>
            </w:r>
          </w:p>
          <w:p w:rsidR="000F401E" w:rsidRDefault="000F401E" w:rsidP="000F401E">
            <w:pPr>
              <w:spacing w:line="240" w:lineRule="auto"/>
              <w:rPr>
                <w:sz w:val="16"/>
                <w:szCs w:val="16"/>
              </w:rPr>
            </w:pPr>
          </w:p>
          <w:p w:rsidR="00FD5C2E" w:rsidRDefault="00FD5C2E" w:rsidP="000F401E">
            <w:pPr>
              <w:spacing w:line="240" w:lineRule="auto"/>
              <w:rPr>
                <w:sz w:val="16"/>
                <w:szCs w:val="16"/>
              </w:rPr>
            </w:pPr>
          </w:p>
          <w:p w:rsidR="00361C1C" w:rsidRPr="00361C1C" w:rsidRDefault="00361C1C" w:rsidP="00361C1C">
            <w:pPr>
              <w:spacing w:line="240" w:lineRule="auto"/>
              <w:rPr>
                <w:spacing w:val="-4"/>
                <w:sz w:val="16"/>
                <w:szCs w:val="16"/>
                <w:lang w:val="en-US"/>
              </w:rPr>
            </w:pPr>
            <w:r>
              <w:rPr>
                <w:spacing w:val="-4"/>
                <w:sz w:val="16"/>
                <w:szCs w:val="16"/>
              </w:rPr>
              <w:t xml:space="preserve">Public </w:t>
            </w:r>
            <w:r w:rsidRPr="00361C1C">
              <w:rPr>
                <w:spacing w:val="-4"/>
                <w:sz w:val="16"/>
                <w:szCs w:val="16"/>
                <w:lang w:val="en-US"/>
              </w:rPr>
              <w:t>orders as well as mild winter revived construction, where the number of self-employed also grew</w:t>
            </w:r>
          </w:p>
          <w:p w:rsidR="000F401E" w:rsidRDefault="000F401E" w:rsidP="00361C1C">
            <w:pPr>
              <w:spacing w:line="240" w:lineRule="auto"/>
              <w:rPr>
                <w:sz w:val="16"/>
                <w:szCs w:val="16"/>
              </w:rPr>
            </w:pPr>
          </w:p>
        </w:tc>
        <w:tc>
          <w:tcPr>
            <w:tcW w:w="146" w:type="pct"/>
          </w:tcPr>
          <w:p w:rsidR="000F401E" w:rsidRDefault="000F401E" w:rsidP="000F401E">
            <w:pPr>
              <w:pStyle w:val="Textpoznpodarou"/>
              <w:jc w:val="both"/>
            </w:pPr>
          </w:p>
        </w:tc>
        <w:tc>
          <w:tcPr>
            <w:tcW w:w="3763" w:type="pct"/>
          </w:tcPr>
          <w:p w:rsidR="00361C1C" w:rsidRPr="00361C1C" w:rsidRDefault="00361C1C" w:rsidP="00361C1C">
            <w:pPr>
              <w:pStyle w:val="Textpoznpodarou"/>
              <w:jc w:val="both"/>
              <w:rPr>
                <w:spacing w:val="-4"/>
                <w:lang w:val="en-GB"/>
              </w:rPr>
            </w:pPr>
            <w:r w:rsidRPr="00361C1C">
              <w:rPr>
                <w:spacing w:val="-4"/>
                <w:lang w:val="en-GB"/>
              </w:rPr>
              <w:t>Year-on-year GVA growth was accompanied by a milder growth of employment in 2014 (0.4 %, in the national accounts conception), which however persisted with a similar intensity also in the recent period of a slight re</w:t>
            </w:r>
            <w:r w:rsidR="00D604D1">
              <w:rPr>
                <w:spacing w:val="-4"/>
                <w:lang w:val="en-GB"/>
              </w:rPr>
              <w:t>cession. The growth of total</w:t>
            </w:r>
            <w:r w:rsidRPr="00361C1C">
              <w:rPr>
                <w:spacing w:val="-4"/>
                <w:lang w:val="en-GB"/>
              </w:rPr>
              <w:t xml:space="preserve"> </w:t>
            </w:r>
            <w:r w:rsidRPr="00361C1C">
              <w:rPr>
                <w:spacing w:val="-4"/>
                <w:lang w:val="en-GB"/>
              </w:rPr>
              <w:lastRenderedPageBreak/>
              <w:t xml:space="preserve">hours worked (1.0 %) was also only moderate, with higher dynamics focussed (similarly to the employment) mainly in the services sector – in the professional, scientific, technical and administrative activities (5.8 %) or real estate activities (3.9 %). The manufacturing industry reacted to a stable increase of </w:t>
            </w:r>
            <w:r w:rsidR="00D604D1">
              <w:rPr>
                <w:spacing w:val="-4"/>
                <w:lang w:val="en-GB"/>
              </w:rPr>
              <w:t xml:space="preserve">new </w:t>
            </w:r>
            <w:r w:rsidRPr="00361C1C">
              <w:rPr>
                <w:spacing w:val="-4"/>
                <w:lang w:val="en-GB"/>
              </w:rPr>
              <w:t xml:space="preserve">orders only with a certain delay (the number of employees grew only by 0.3 % year-on-year in the H1 2014, in H2 already by 1.6 %, the fastest since the end of 2011). The agriculture also fared well </w:t>
            </w:r>
            <w:r w:rsidR="00D604D1">
              <w:rPr>
                <w:spacing w:val="-4"/>
                <w:lang w:val="en-GB"/>
              </w:rPr>
              <w:t>(</w:t>
            </w:r>
            <w:r w:rsidRPr="00361C1C">
              <w:rPr>
                <w:spacing w:val="-4"/>
                <w:lang w:val="en-GB"/>
              </w:rPr>
              <w:t>especially thanks to the plant production</w:t>
            </w:r>
            <w:r w:rsidR="00D604D1">
              <w:rPr>
                <w:spacing w:val="-4"/>
                <w:lang w:val="en-GB"/>
              </w:rPr>
              <w:t>)</w:t>
            </w:r>
            <w:r w:rsidRPr="00361C1C">
              <w:rPr>
                <w:spacing w:val="-4"/>
                <w:lang w:val="en-GB"/>
              </w:rPr>
              <w:t xml:space="preserve">, with its GVA growing by a similar rate to the manufacturing industry (6 %) in 2014. Revival of the </w:t>
            </w:r>
            <w:r w:rsidR="00D604D1">
              <w:rPr>
                <w:spacing w:val="-4"/>
                <w:lang w:val="en-GB"/>
              </w:rPr>
              <w:t xml:space="preserve">new </w:t>
            </w:r>
            <w:r w:rsidRPr="00361C1C">
              <w:rPr>
                <w:spacing w:val="-4"/>
                <w:lang w:val="en-GB"/>
              </w:rPr>
              <w:t xml:space="preserve">public orders mainly in the area of civil engineering construction was reflected in the growth of </w:t>
            </w:r>
            <w:r w:rsidR="00D604D1">
              <w:rPr>
                <w:spacing w:val="-4"/>
                <w:lang w:val="en-GB"/>
              </w:rPr>
              <w:t xml:space="preserve">the whole </w:t>
            </w:r>
            <w:r w:rsidRPr="00361C1C">
              <w:rPr>
                <w:spacing w:val="-4"/>
                <w:lang w:val="en-GB"/>
              </w:rPr>
              <w:t>construction (2.6 %), which however kept losing the job positions, the number of self-employed however increased in contrast to the previous years (by 7 % year-on-year). Simila</w:t>
            </w:r>
            <w:r w:rsidR="00D604D1">
              <w:rPr>
                <w:spacing w:val="-4"/>
                <w:lang w:val="en-GB"/>
              </w:rPr>
              <w:t>r situation arose in construction</w:t>
            </w:r>
            <w:r w:rsidRPr="00361C1C">
              <w:rPr>
                <w:spacing w:val="-4"/>
                <w:lang w:val="en-GB"/>
              </w:rPr>
              <w:t xml:space="preserve"> even in the period closely after the deep recession of the economy.</w:t>
            </w:r>
          </w:p>
          <w:p w:rsidR="000F401E" w:rsidRPr="0056747E" w:rsidRDefault="000F401E" w:rsidP="00FD5C2E">
            <w:pPr>
              <w:pStyle w:val="Textpoznpodarou"/>
              <w:jc w:val="both"/>
              <w:rPr>
                <w:spacing w:val="-4"/>
                <w:sz w:val="14"/>
                <w:szCs w:val="14"/>
                <w:lang w:val="en-GB"/>
              </w:rPr>
            </w:pPr>
            <w:r w:rsidRPr="00361C1C">
              <w:rPr>
                <w:spacing w:val="-4"/>
                <w:lang w:val="en-GB"/>
              </w:rPr>
              <w:t xml:space="preserve"> </w:t>
            </w:r>
          </w:p>
        </w:tc>
      </w:tr>
      <w:tr w:rsidR="000F401E" w:rsidTr="000F401E">
        <w:tc>
          <w:tcPr>
            <w:tcW w:w="1091" w:type="pct"/>
          </w:tcPr>
          <w:p w:rsidR="00FD5C2E" w:rsidRPr="00FD5C2E" w:rsidRDefault="00FD5C2E" w:rsidP="00FD5C2E">
            <w:pPr>
              <w:spacing w:line="240" w:lineRule="auto"/>
              <w:rPr>
                <w:sz w:val="16"/>
                <w:szCs w:val="16"/>
                <w:lang w:val="en-US"/>
              </w:rPr>
            </w:pPr>
            <w:r>
              <w:rPr>
                <w:sz w:val="16"/>
                <w:szCs w:val="16"/>
              </w:rPr>
              <w:lastRenderedPageBreak/>
              <w:t xml:space="preserve">Public </w:t>
            </w:r>
            <w:r w:rsidRPr="00FD5C2E">
              <w:rPr>
                <w:sz w:val="16"/>
                <w:szCs w:val="16"/>
                <w:lang w:val="en-US"/>
              </w:rPr>
              <w:t>services participated on the GVA growth of th</w:t>
            </w:r>
            <w:r w:rsidR="0063496E">
              <w:rPr>
                <w:sz w:val="16"/>
                <w:szCs w:val="16"/>
                <w:lang w:val="en-US"/>
              </w:rPr>
              <w:t>e whole tertiary sector from 40</w:t>
            </w:r>
            <w:r w:rsidR="0063496E" w:rsidRPr="0063496E">
              <w:rPr>
                <w:spacing w:val="-4"/>
                <w:sz w:val="16"/>
                <w:szCs w:val="16"/>
              </w:rPr>
              <w:t> </w:t>
            </w:r>
            <w:r w:rsidRPr="00FD5C2E">
              <w:rPr>
                <w:sz w:val="16"/>
                <w:szCs w:val="16"/>
                <w:lang w:val="en-US"/>
              </w:rPr>
              <w:t xml:space="preserve">%, most of other activities however also thrived except for finance and insurance activities, where the GVA exceptionally fell – the most since 2002 </w:t>
            </w:r>
          </w:p>
          <w:p w:rsidR="000F401E" w:rsidRDefault="000F401E" w:rsidP="000F401E">
            <w:pPr>
              <w:spacing w:line="240" w:lineRule="auto"/>
              <w:rPr>
                <w:sz w:val="16"/>
                <w:szCs w:val="16"/>
              </w:rPr>
            </w:pPr>
            <w:r>
              <w:rPr>
                <w:sz w:val="16"/>
                <w:szCs w:val="16"/>
              </w:rPr>
              <w:t xml:space="preserve"> </w:t>
            </w:r>
          </w:p>
          <w:p w:rsidR="000F401E" w:rsidRPr="00DA1318" w:rsidRDefault="000F401E" w:rsidP="000F401E">
            <w:pPr>
              <w:spacing w:line="240" w:lineRule="auto"/>
              <w:rPr>
                <w:sz w:val="16"/>
                <w:szCs w:val="16"/>
              </w:rPr>
            </w:pPr>
          </w:p>
        </w:tc>
        <w:tc>
          <w:tcPr>
            <w:tcW w:w="146" w:type="pct"/>
          </w:tcPr>
          <w:p w:rsidR="000F401E" w:rsidRDefault="000F401E" w:rsidP="000F401E">
            <w:pPr>
              <w:pStyle w:val="Textpoznpodarou"/>
              <w:jc w:val="both"/>
              <w:rPr>
                <w:spacing w:val="-2"/>
              </w:rPr>
            </w:pPr>
          </w:p>
        </w:tc>
        <w:tc>
          <w:tcPr>
            <w:tcW w:w="3763" w:type="pct"/>
          </w:tcPr>
          <w:p w:rsidR="00FD5C2E" w:rsidRPr="00FD5C2E" w:rsidRDefault="00FD5C2E" w:rsidP="00FD5C2E">
            <w:pPr>
              <w:pStyle w:val="Textpoznpodarou"/>
              <w:jc w:val="both"/>
              <w:rPr>
                <w:spacing w:val="-4"/>
                <w:lang w:val="en-US"/>
              </w:rPr>
            </w:pPr>
            <w:r>
              <w:rPr>
                <w:spacing w:val="-4"/>
                <w:lang w:val="en-GB"/>
              </w:rPr>
              <w:t>The</w:t>
            </w:r>
            <w:r w:rsidR="00560FCF">
              <w:rPr>
                <w:spacing w:val="-4"/>
                <w:lang w:val="en-GB"/>
              </w:rPr>
              <w:t xml:space="preserve"> </w:t>
            </w:r>
            <w:r w:rsidRPr="00FD5C2E">
              <w:rPr>
                <w:spacing w:val="-4"/>
                <w:lang w:val="en-US"/>
              </w:rPr>
              <w:t>GVA within the bounds of services increased the most in the long-time growing professional, scientific, technical and administrative activities (+ 4.2 %) and in the information and communication acti</w:t>
            </w:r>
            <w:r w:rsidR="004332B4">
              <w:rPr>
                <w:spacing w:val="-4"/>
                <w:lang w:val="en-US"/>
              </w:rPr>
              <w:t>vities (+ 3.5 %). The growing</w:t>
            </w:r>
            <w:r w:rsidRPr="00FD5C2E">
              <w:rPr>
                <w:spacing w:val="-4"/>
                <w:lang w:val="en-US"/>
              </w:rPr>
              <w:t xml:space="preserve"> demand in these activities converted also into higher numbers of self-employed persons. Public services helped the most within the tertiary sector to the growth of value added in the whole economy thanks to their weight as well as dynamics (+ 2.4 %). The gradual departure from tighter saving measures contributed</w:t>
            </w:r>
            <w:r w:rsidR="004332B4">
              <w:rPr>
                <w:spacing w:val="-4"/>
                <w:lang w:val="en-US"/>
              </w:rPr>
              <w:t xml:space="preserve"> to this growth, supported also by a more intensive</w:t>
            </w:r>
            <w:r w:rsidRPr="00FD5C2E">
              <w:rPr>
                <w:spacing w:val="-4"/>
                <w:lang w:val="en-US"/>
              </w:rPr>
              <w:t xml:space="preserve"> activity of the state in the area of active employment policy. Finance and insurance activities experienced a worse year, with the GVA falling by whole 3 % year-on-year (however it stays by near</w:t>
            </w:r>
            <w:r w:rsidR="00560FCF">
              <w:rPr>
                <w:spacing w:val="-4"/>
                <w:lang w:val="en-US"/>
              </w:rPr>
              <w:t>l</w:t>
            </w:r>
            <w:r w:rsidRPr="00FD5C2E">
              <w:rPr>
                <w:spacing w:val="-4"/>
                <w:lang w:val="en-US"/>
              </w:rPr>
              <w:t xml:space="preserve">y one third higher compared to year 2008, while „only“ by one tenth in the manufacturing industry), which was also reflected in the decrease in the number of </w:t>
            </w:r>
            <w:r w:rsidR="0063496E">
              <w:rPr>
                <w:spacing w:val="-4"/>
                <w:lang w:val="en-US"/>
              </w:rPr>
              <w:t>jobs</w:t>
            </w:r>
            <w:r w:rsidRPr="00FD5C2E">
              <w:rPr>
                <w:spacing w:val="-4"/>
                <w:lang w:val="en-US"/>
              </w:rPr>
              <w:t xml:space="preserve">. On the contrary the GVA keeps falling in the mining, quarrying and energy activities already six years in a row, affected by adverse prices of </w:t>
            </w:r>
            <w:r w:rsidR="0063496E">
              <w:rPr>
                <w:spacing w:val="-4"/>
                <w:lang w:val="en-US"/>
              </w:rPr>
              <w:t>commodities on the world market</w:t>
            </w:r>
            <w:r w:rsidRPr="00FD5C2E">
              <w:rPr>
                <w:spacing w:val="-4"/>
                <w:lang w:val="en-US"/>
              </w:rPr>
              <w:t xml:space="preserve">, also </w:t>
            </w:r>
            <w:r w:rsidR="0063496E">
              <w:rPr>
                <w:spacing w:val="-4"/>
                <w:lang w:val="en-US"/>
              </w:rPr>
              <w:t xml:space="preserve">by </w:t>
            </w:r>
            <w:r w:rsidRPr="00FD5C2E">
              <w:rPr>
                <w:spacing w:val="-4"/>
                <w:lang w:val="en-US"/>
              </w:rPr>
              <w:t>weather fluctuations in the last two years.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117F53" w:rsidRPr="00117F53" w:rsidRDefault="000F401E" w:rsidP="00117F53">
            <w:pPr>
              <w:spacing w:line="240" w:lineRule="auto"/>
              <w:rPr>
                <w:spacing w:val="-4"/>
                <w:sz w:val="16"/>
                <w:szCs w:val="16"/>
                <w:lang w:val="en-GB"/>
              </w:rPr>
            </w:pPr>
            <w:r w:rsidRPr="00117F53">
              <w:rPr>
                <w:spacing w:val="-4"/>
                <w:sz w:val="16"/>
                <w:szCs w:val="16"/>
                <w:lang w:val="en-GB"/>
              </w:rPr>
              <w:t>Produ</w:t>
            </w:r>
            <w:r w:rsidR="00117F53" w:rsidRPr="00117F53">
              <w:rPr>
                <w:spacing w:val="-4"/>
                <w:sz w:val="16"/>
                <w:szCs w:val="16"/>
                <w:lang w:val="en-GB"/>
              </w:rPr>
              <w:t>ction increased across nearly all manufacturing activities, apart from „small</w:t>
            </w:r>
            <w:r w:rsidR="0072014C">
              <w:rPr>
                <w:spacing w:val="-4"/>
                <w:sz w:val="16"/>
                <w:szCs w:val="16"/>
                <w:lang w:val="en-GB"/>
              </w:rPr>
              <w:t>“ activities – printing, wood industry</w:t>
            </w:r>
            <w:r w:rsidR="00117F53" w:rsidRPr="00117F53">
              <w:rPr>
                <w:spacing w:val="-4"/>
                <w:sz w:val="16"/>
                <w:szCs w:val="16"/>
                <w:lang w:val="en-GB"/>
              </w:rPr>
              <w:t xml:space="preserve"> and manufacture of wearing apparel</w:t>
            </w:r>
          </w:p>
          <w:p w:rsidR="000F401E" w:rsidRPr="00117F53" w:rsidRDefault="000F401E" w:rsidP="000F401E">
            <w:pPr>
              <w:spacing w:line="240" w:lineRule="auto"/>
              <w:rPr>
                <w:spacing w:val="-4"/>
                <w:sz w:val="16"/>
                <w:szCs w:val="16"/>
                <w:lang w:val="en-GB"/>
              </w:rPr>
            </w:pPr>
          </w:p>
          <w:p w:rsidR="000F401E" w:rsidRPr="00117F53" w:rsidRDefault="000F401E" w:rsidP="000F401E">
            <w:pPr>
              <w:spacing w:line="240" w:lineRule="auto"/>
              <w:rPr>
                <w:spacing w:val="-4"/>
                <w:sz w:val="16"/>
                <w:szCs w:val="16"/>
                <w:lang w:val="en-GB"/>
              </w:rPr>
            </w:pPr>
          </w:p>
          <w:p w:rsidR="000F401E" w:rsidRPr="00117F53" w:rsidRDefault="000F401E" w:rsidP="000F401E">
            <w:pPr>
              <w:spacing w:line="240" w:lineRule="auto"/>
              <w:rPr>
                <w:spacing w:val="-4"/>
                <w:sz w:val="16"/>
                <w:szCs w:val="16"/>
                <w:lang w:val="en-GB"/>
              </w:rPr>
            </w:pPr>
          </w:p>
          <w:p w:rsidR="000F401E" w:rsidRPr="00117F53" w:rsidRDefault="00117F53" w:rsidP="004A1D01">
            <w:pPr>
              <w:spacing w:line="240" w:lineRule="auto"/>
              <w:rPr>
                <w:sz w:val="16"/>
                <w:szCs w:val="16"/>
                <w:lang w:val="en-GB"/>
              </w:rPr>
            </w:pPr>
            <w:r w:rsidRPr="00117F53">
              <w:rPr>
                <w:spacing w:val="-4"/>
                <w:sz w:val="16"/>
                <w:szCs w:val="16"/>
                <w:lang w:val="en-GB"/>
              </w:rPr>
              <w:t>The mining industry continued in the sharp slump of production from 2013 by further year-on-year fall</w:t>
            </w:r>
            <w:r w:rsidR="004A1D01">
              <w:rPr>
                <w:spacing w:val="-4"/>
                <w:sz w:val="16"/>
                <w:szCs w:val="16"/>
                <w:lang w:val="en-GB"/>
              </w:rPr>
              <w:t xml:space="preserve">          </w:t>
            </w:r>
            <w:r w:rsidRPr="00117F53">
              <w:rPr>
                <w:spacing w:val="-4"/>
                <w:sz w:val="16"/>
                <w:szCs w:val="16"/>
                <w:lang w:val="en-GB"/>
              </w:rPr>
              <w:t>(-2.8 %), milder slump further persists also in the energy activities (nevertheless without deeper impact on employment)</w:t>
            </w:r>
            <w:r w:rsidR="000F401E" w:rsidRPr="00117F53">
              <w:rPr>
                <w:spacing w:val="-4"/>
                <w:sz w:val="16"/>
                <w:szCs w:val="16"/>
                <w:lang w:val="en-GB"/>
              </w:rPr>
              <w:t xml:space="preserve"> </w:t>
            </w:r>
          </w:p>
        </w:tc>
        <w:tc>
          <w:tcPr>
            <w:tcW w:w="146" w:type="pct"/>
          </w:tcPr>
          <w:p w:rsidR="000F401E" w:rsidRPr="00117F53" w:rsidRDefault="000F401E" w:rsidP="000F401E">
            <w:pPr>
              <w:pStyle w:val="Textpoznpodarou"/>
              <w:jc w:val="both"/>
              <w:rPr>
                <w:spacing w:val="-2"/>
                <w:lang w:val="en-GB"/>
              </w:rPr>
            </w:pPr>
          </w:p>
        </w:tc>
        <w:tc>
          <w:tcPr>
            <w:tcW w:w="3763" w:type="pct"/>
          </w:tcPr>
          <w:p w:rsidR="00117F53" w:rsidRPr="00117F53" w:rsidRDefault="00117F53" w:rsidP="00117F53">
            <w:pPr>
              <w:pStyle w:val="Textpoznpodarou"/>
              <w:jc w:val="both"/>
              <w:rPr>
                <w:spacing w:val="-4"/>
                <w:lang w:val="en-GB"/>
              </w:rPr>
            </w:pPr>
            <w:r w:rsidRPr="00117F53">
              <w:rPr>
                <w:spacing w:val="-4"/>
                <w:lang w:val="en-GB"/>
              </w:rPr>
              <w:t>Industry performance</w:t>
            </w:r>
            <w:r w:rsidR="009252A4">
              <w:rPr>
                <w:rStyle w:val="Znakapoznpodarou"/>
                <w:spacing w:val="-4"/>
                <w:lang w:val="en-GB"/>
              </w:rPr>
              <w:footnoteReference w:id="4"/>
            </w:r>
            <w:r w:rsidRPr="00117F53">
              <w:rPr>
                <w:spacing w:val="-4"/>
                <w:lang w:val="en-GB"/>
              </w:rPr>
              <w:t xml:space="preserve"> (gauged by the industrial production index in real terms) added nearly 5 % for the whole year 2014 year-on-year (following </w:t>
            </w:r>
            <w:r w:rsidR="00F12BC8" w:rsidRPr="00117F53">
              <w:rPr>
                <w:spacing w:val="-4"/>
                <w:lang w:val="en-GB"/>
              </w:rPr>
              <w:t>stagnation</w:t>
            </w:r>
            <w:r w:rsidRPr="00117F53">
              <w:rPr>
                <w:spacing w:val="-4"/>
                <w:lang w:val="en-GB"/>
              </w:rPr>
              <w:t xml:space="preserve"> in the previous year). While it grew similarly by more than 6 % in the first two quarters (adjusted for calendar effects), it hit the strong last year's basis in H2 and strengthened by 3.5 %. The revival of foreign demand stood behind the growth, at the beginning especially for transportation vehic</w:t>
            </w:r>
            <w:r w:rsidR="00F452E2">
              <w:rPr>
                <w:spacing w:val="-4"/>
                <w:lang w:val="en-GB"/>
              </w:rPr>
              <w:t>les, which gradually spread out</w:t>
            </w:r>
            <w:r w:rsidRPr="00117F53">
              <w:rPr>
                <w:spacing w:val="-4"/>
                <w:lang w:val="en-GB"/>
              </w:rPr>
              <w:t xml:space="preserve"> </w:t>
            </w:r>
            <w:r w:rsidR="00F452E2">
              <w:rPr>
                <w:spacing w:val="-4"/>
                <w:lang w:val="en-GB"/>
              </w:rPr>
              <w:t>(</w:t>
            </w:r>
            <w:r w:rsidRPr="00117F53">
              <w:rPr>
                <w:spacing w:val="-4"/>
                <w:lang w:val="en-GB"/>
              </w:rPr>
              <w:t>not only by the direct sub supplier relationships</w:t>
            </w:r>
            <w:r w:rsidR="00F452E2">
              <w:rPr>
                <w:spacing w:val="-4"/>
                <w:lang w:val="en-GB"/>
              </w:rPr>
              <w:t>)</w:t>
            </w:r>
            <w:r w:rsidRPr="00117F53">
              <w:rPr>
                <w:spacing w:val="-4"/>
                <w:lang w:val="en-GB"/>
              </w:rPr>
              <w:t xml:space="preserve"> also to a majority of other manufacturing activities, even in case of the domestic demand. Only the marginal activ</w:t>
            </w:r>
            <w:r w:rsidR="0072014C">
              <w:rPr>
                <w:spacing w:val="-4"/>
                <w:lang w:val="en-GB"/>
              </w:rPr>
              <w:t>ities by production – printing and wood industry</w:t>
            </w:r>
            <w:r w:rsidRPr="00117F53">
              <w:rPr>
                <w:spacing w:val="-4"/>
                <w:lang w:val="en-GB"/>
              </w:rPr>
              <w:t>, but mainly the manufacture of wearing apparel, whose production was by one third weaker compared to year 20008, remained below the level of year 2013. Outside the manufacturing segment, mining industry contin</w:t>
            </w:r>
            <w:r w:rsidR="0072014C">
              <w:rPr>
                <w:spacing w:val="-4"/>
                <w:lang w:val="en-GB"/>
              </w:rPr>
              <w:t>ued in the long-term falls (by -</w:t>
            </w:r>
            <w:r w:rsidRPr="00117F53">
              <w:rPr>
                <w:spacing w:val="-4"/>
                <w:lang w:val="en-GB"/>
              </w:rPr>
              <w:t>2.8 % year-on-year, by whole one fifth compared to 2007), also energy industry with a similar intensity (and already four years</w:t>
            </w:r>
            <w:r w:rsidR="0072014C">
              <w:rPr>
                <w:spacing w:val="-4"/>
                <w:lang w:val="en-GB"/>
              </w:rPr>
              <w:t xml:space="preserve"> in a row</w:t>
            </w:r>
            <w:r w:rsidRPr="00117F53">
              <w:rPr>
                <w:spacing w:val="-4"/>
                <w:lang w:val="en-GB"/>
              </w:rPr>
              <w:t>), where however the reduc</w:t>
            </w:r>
            <w:r w:rsidR="0072014C">
              <w:rPr>
                <w:spacing w:val="-4"/>
                <w:lang w:val="en-GB"/>
              </w:rPr>
              <w:t>tion of the production</w:t>
            </w:r>
            <w:r w:rsidRPr="00117F53">
              <w:rPr>
                <w:spacing w:val="-4"/>
                <w:lang w:val="en-GB"/>
              </w:rPr>
              <w:t xml:space="preserve"> was not accompanied by a resolute decline of job positions.</w:t>
            </w:r>
          </w:p>
          <w:p w:rsidR="000F401E" w:rsidRPr="0056747E" w:rsidRDefault="000F401E" w:rsidP="00117F53">
            <w:pPr>
              <w:pStyle w:val="Textpoznpodarou"/>
              <w:jc w:val="both"/>
              <w:rPr>
                <w:spacing w:val="-4"/>
                <w:sz w:val="14"/>
                <w:szCs w:val="14"/>
                <w:lang w:val="en-GB"/>
              </w:rPr>
            </w:pPr>
          </w:p>
        </w:tc>
      </w:tr>
      <w:tr w:rsidR="000F401E" w:rsidTr="000F401E">
        <w:trPr>
          <w:cantSplit/>
          <w:trHeight w:val="203"/>
        </w:trPr>
        <w:tc>
          <w:tcPr>
            <w:tcW w:w="1091" w:type="pct"/>
          </w:tcPr>
          <w:p w:rsidR="000F401E" w:rsidRPr="00703000" w:rsidRDefault="00703000" w:rsidP="00703000">
            <w:pPr>
              <w:spacing w:line="240" w:lineRule="auto"/>
              <w:rPr>
                <w:sz w:val="16"/>
                <w:szCs w:val="16"/>
                <w:lang w:val="en-GB"/>
              </w:rPr>
            </w:pPr>
            <w:r w:rsidRPr="00703000">
              <w:rPr>
                <w:sz w:val="16"/>
                <w:szCs w:val="16"/>
                <w:lang w:val="en-GB"/>
              </w:rPr>
              <w:t xml:space="preserve">The motor vehicle industry remained the key growth generator throughout </w:t>
            </w:r>
            <w:r>
              <w:rPr>
                <w:sz w:val="16"/>
                <w:szCs w:val="16"/>
                <w:lang w:val="en-GB"/>
              </w:rPr>
              <w:t>the</w:t>
            </w:r>
            <w:r w:rsidRPr="00703000">
              <w:rPr>
                <w:sz w:val="16"/>
                <w:szCs w:val="16"/>
                <w:lang w:val="en-GB"/>
              </w:rPr>
              <w:t xml:space="preserve"> whole year, participating together with the closest follow-up activities on the growth of production of the whole industry in two thirds</w:t>
            </w:r>
            <w:r w:rsidR="000F401E" w:rsidRPr="00703000">
              <w:rPr>
                <w:sz w:val="16"/>
                <w:szCs w:val="16"/>
                <w:lang w:val="en-GB"/>
              </w:rPr>
              <w:t xml:space="preserve"> </w:t>
            </w:r>
          </w:p>
        </w:tc>
        <w:tc>
          <w:tcPr>
            <w:tcW w:w="146" w:type="pct"/>
          </w:tcPr>
          <w:p w:rsidR="000F401E" w:rsidRPr="00703000" w:rsidRDefault="000F401E" w:rsidP="000F401E">
            <w:pPr>
              <w:rPr>
                <w:szCs w:val="16"/>
                <w:lang w:val="en-GB"/>
              </w:rPr>
            </w:pPr>
          </w:p>
        </w:tc>
        <w:tc>
          <w:tcPr>
            <w:tcW w:w="3763" w:type="pct"/>
          </w:tcPr>
          <w:p w:rsidR="00703000" w:rsidRPr="00703000" w:rsidRDefault="00703000" w:rsidP="00703000">
            <w:pPr>
              <w:pStyle w:val="Textpoznpodarou"/>
              <w:jc w:val="both"/>
              <w:rPr>
                <w:spacing w:val="-4"/>
                <w:lang w:val="en-GB"/>
              </w:rPr>
            </w:pPr>
            <w:r w:rsidRPr="00703000">
              <w:rPr>
                <w:spacing w:val="-4"/>
                <w:lang w:val="en-GB"/>
              </w:rPr>
              <w:t xml:space="preserve">The manufacture of motor vehicles together with other transportation vehicles contributed nearly by one half to the higher productions in the whole industry in 2014, individual sub supplier activities identically also added one tenth – manufacture of </w:t>
            </w:r>
            <w:r w:rsidR="0072014C">
              <w:rPr>
                <w:spacing w:val="-4"/>
                <w:lang w:val="en-GB"/>
              </w:rPr>
              <w:t xml:space="preserve">rubber (incl. plastic) products as well as </w:t>
            </w:r>
            <w:r w:rsidRPr="00703000">
              <w:rPr>
                <w:spacing w:val="-4"/>
                <w:lang w:val="en-GB"/>
              </w:rPr>
              <w:t xml:space="preserve">manufacture of electrical equipment. The output grew dynamically also in the </w:t>
            </w:r>
            <w:proofErr w:type="spellStart"/>
            <w:r w:rsidRPr="00703000">
              <w:rPr>
                <w:spacing w:val="-4"/>
                <w:lang w:val="en-GB"/>
              </w:rPr>
              <w:t>procyclical</w:t>
            </w:r>
            <w:proofErr w:type="spellEnd"/>
            <w:r w:rsidRPr="00703000">
              <w:rPr>
                <w:spacing w:val="-4"/>
                <w:lang w:val="en-GB"/>
              </w:rPr>
              <w:t xml:space="preserve"> strongly </w:t>
            </w:r>
            <w:r w:rsidR="0072014C">
              <w:rPr>
                <w:spacing w:val="-4"/>
                <w:lang w:val="en-GB"/>
              </w:rPr>
              <w:t xml:space="preserve">and </w:t>
            </w:r>
            <w:r w:rsidRPr="00703000">
              <w:rPr>
                <w:spacing w:val="-4"/>
                <w:lang w:val="en-GB"/>
              </w:rPr>
              <w:t xml:space="preserve">export oriented manufacture of computers, electronic and optical products (by one sixths year-on-year, by 37 % in two </w:t>
            </w:r>
            <w:r w:rsidR="00017FB2">
              <w:rPr>
                <w:spacing w:val="-4"/>
                <w:lang w:val="en-GB"/>
              </w:rPr>
              <w:t xml:space="preserve">last </w:t>
            </w:r>
            <w:r w:rsidRPr="00703000">
              <w:rPr>
                <w:spacing w:val="-4"/>
                <w:lang w:val="en-GB"/>
              </w:rPr>
              <w:t xml:space="preserve">years) and also the petrochemical as well as chemical industry (partly also due to the impact of production limitation in the preceding year due to the floods). The significant industries of manufacture of food products and also metallurgy or manufacture of machinery strengthened on the contrary only mildly (1.5 to 2.5 %), where the weaker domestic </w:t>
            </w:r>
            <w:r w:rsidR="00017FB2">
              <w:rPr>
                <w:spacing w:val="-4"/>
                <w:lang w:val="en-GB"/>
              </w:rPr>
              <w:t xml:space="preserve">new </w:t>
            </w:r>
            <w:r w:rsidRPr="00703000">
              <w:rPr>
                <w:spacing w:val="-4"/>
                <w:lang w:val="en-GB"/>
              </w:rPr>
              <w:t xml:space="preserve">orders </w:t>
            </w:r>
            <w:r w:rsidR="00017FB2">
              <w:rPr>
                <w:spacing w:val="-4"/>
                <w:lang w:val="en-GB"/>
              </w:rPr>
              <w:t>(</w:t>
            </w:r>
            <w:r w:rsidRPr="00703000">
              <w:rPr>
                <w:spacing w:val="-4"/>
                <w:lang w:val="en-GB"/>
              </w:rPr>
              <w:t>year-on-year</w:t>
            </w:r>
            <w:r w:rsidR="00017FB2">
              <w:rPr>
                <w:spacing w:val="-4"/>
                <w:lang w:val="en-GB"/>
              </w:rPr>
              <w:t>)</w:t>
            </w:r>
            <w:r w:rsidRPr="00703000">
              <w:rPr>
                <w:spacing w:val="-4"/>
                <w:lang w:val="en-GB"/>
              </w:rPr>
              <w:t xml:space="preserve"> stood in the way of their larger recovery. Manufacture of machinery together with the manufacture of electrical equipment belonged to the only industrial activities, whose production was increasing continuously in the last five years.</w:t>
            </w:r>
          </w:p>
          <w:p w:rsidR="000F401E" w:rsidRPr="0056747E" w:rsidRDefault="000F401E" w:rsidP="00703000">
            <w:pPr>
              <w:pStyle w:val="Textpoznpodarou"/>
              <w:jc w:val="both"/>
              <w:rPr>
                <w:spacing w:val="-4"/>
                <w:sz w:val="14"/>
                <w:szCs w:val="14"/>
                <w:lang w:val="en-GB"/>
              </w:rPr>
            </w:pPr>
          </w:p>
        </w:tc>
      </w:tr>
      <w:tr w:rsidR="000F401E" w:rsidTr="000F401E">
        <w:trPr>
          <w:cantSplit/>
          <w:trHeight w:val="250"/>
        </w:trPr>
        <w:tc>
          <w:tcPr>
            <w:tcW w:w="1091" w:type="pct"/>
          </w:tcPr>
          <w:p w:rsidR="000F401E" w:rsidRPr="00CE0727" w:rsidRDefault="00CE0727" w:rsidP="00CE0727">
            <w:pPr>
              <w:spacing w:line="240" w:lineRule="auto"/>
              <w:rPr>
                <w:sz w:val="16"/>
                <w:szCs w:val="16"/>
                <w:lang w:val="en-GB"/>
              </w:rPr>
            </w:pPr>
            <w:r w:rsidRPr="00CE0727">
              <w:rPr>
                <w:sz w:val="16"/>
                <w:szCs w:val="16"/>
                <w:lang w:val="en-GB"/>
              </w:rPr>
              <w:lastRenderedPageBreak/>
              <w:t>Industry as a whole surpassed the production level from the top of boom for the first time in Q4, most activities however still lagged behind this level</w:t>
            </w:r>
            <w:r w:rsidR="000F401E" w:rsidRPr="00CE0727">
              <w:rPr>
                <w:sz w:val="16"/>
                <w:szCs w:val="16"/>
                <w:lang w:val="en-GB"/>
              </w:rPr>
              <w:t xml:space="preserve"> </w:t>
            </w:r>
          </w:p>
        </w:tc>
        <w:tc>
          <w:tcPr>
            <w:tcW w:w="146" w:type="pct"/>
          </w:tcPr>
          <w:p w:rsidR="000F401E" w:rsidRPr="00CE0727" w:rsidRDefault="000F401E" w:rsidP="000F401E">
            <w:pPr>
              <w:rPr>
                <w:szCs w:val="16"/>
                <w:lang w:val="en-GB"/>
              </w:rPr>
            </w:pPr>
          </w:p>
        </w:tc>
        <w:tc>
          <w:tcPr>
            <w:tcW w:w="3763" w:type="pct"/>
          </w:tcPr>
          <w:p w:rsidR="00CE0727" w:rsidRPr="00CE0727" w:rsidRDefault="00CE0727" w:rsidP="00CE0727">
            <w:pPr>
              <w:pStyle w:val="Textpoznpodarou"/>
              <w:jc w:val="both"/>
              <w:rPr>
                <w:spacing w:val="-4"/>
                <w:lang w:val="en-GB"/>
              </w:rPr>
            </w:pPr>
            <w:r w:rsidRPr="00CE0727">
              <w:rPr>
                <w:spacing w:val="-4"/>
                <w:lang w:val="en-GB"/>
              </w:rPr>
              <w:t xml:space="preserve">The industry in the aggregate surpassed the production level from the top of boom (beginning of year 2008) in real terms for the first time towards the end of 2014. The manufacture of motor vehicles resp. other transportation vehicles </w:t>
            </w:r>
            <w:r w:rsidR="00F12BC8" w:rsidRPr="00CE0727">
              <w:rPr>
                <w:spacing w:val="-4"/>
                <w:lang w:val="en-GB"/>
              </w:rPr>
              <w:t>(they</w:t>
            </w:r>
            <w:r w:rsidRPr="00CE0727">
              <w:rPr>
                <w:spacing w:val="-4"/>
                <w:lang w:val="en-GB"/>
              </w:rPr>
              <w:t xml:space="preserve"> overtook the level from year 2007 by 45 %, resp. 54 %) and also associated activities of manufacture of electrical equipment (by one third) were the most instrumental in this. The production was by one quarter higher even in the predominantly investment specialized activities – manufacture of computers, electronic and optical products, resp. repair and installation of machinery and equipment. Majority of industrial activities however did not reach the pre-crisis production level – next to the mining especially some smaller manufacturing activities (manufacture of beverages, textile, wearing apparel, leather products, printing, manufacture of furniture), manufacture of glass, ceramic, porcelain products and construction products (-23 %), manufacture of food products (-13 %) among the more significant activities, metallurgy, manufacture of metal products and energy industry then also by one tenth.</w:t>
            </w:r>
          </w:p>
          <w:p w:rsidR="000F401E" w:rsidRPr="0056747E" w:rsidRDefault="000F401E" w:rsidP="000F401E">
            <w:pPr>
              <w:pStyle w:val="Textpoznpodarou"/>
              <w:jc w:val="both"/>
              <w:rPr>
                <w:spacing w:val="-4"/>
                <w:sz w:val="14"/>
                <w:szCs w:val="14"/>
                <w:lang w:val="en-GB"/>
              </w:rPr>
            </w:pPr>
          </w:p>
        </w:tc>
      </w:tr>
      <w:tr w:rsidR="000F401E" w:rsidTr="000F401E">
        <w:trPr>
          <w:cantSplit/>
          <w:trHeight w:val="295"/>
        </w:trPr>
        <w:tc>
          <w:tcPr>
            <w:tcW w:w="1091" w:type="pct"/>
          </w:tcPr>
          <w:p w:rsidR="000F401E" w:rsidRPr="006766B0" w:rsidRDefault="006766B0" w:rsidP="006766B0">
            <w:pPr>
              <w:spacing w:line="240" w:lineRule="auto"/>
              <w:rPr>
                <w:sz w:val="16"/>
                <w:szCs w:val="16"/>
                <w:lang w:val="en-GB"/>
              </w:rPr>
            </w:pPr>
            <w:r w:rsidRPr="006766B0">
              <w:rPr>
                <w:sz w:val="16"/>
                <w:szCs w:val="16"/>
                <w:lang w:val="en-GB"/>
              </w:rPr>
              <w:t xml:space="preserve">Investment oriented activities mostly drove the industry, the fall of production halted in activities focussed on short-term consumption </w:t>
            </w:r>
          </w:p>
        </w:tc>
        <w:tc>
          <w:tcPr>
            <w:tcW w:w="146" w:type="pct"/>
          </w:tcPr>
          <w:p w:rsidR="000F401E" w:rsidRPr="006766B0" w:rsidRDefault="000F401E" w:rsidP="000F401E">
            <w:pPr>
              <w:rPr>
                <w:szCs w:val="16"/>
                <w:lang w:val="en-GB"/>
              </w:rPr>
            </w:pPr>
          </w:p>
        </w:tc>
        <w:tc>
          <w:tcPr>
            <w:tcW w:w="3763" w:type="pct"/>
          </w:tcPr>
          <w:p w:rsidR="006766B0" w:rsidRPr="006766B0" w:rsidRDefault="006766B0" w:rsidP="006766B0">
            <w:pPr>
              <w:pStyle w:val="Textpoznpodarou"/>
              <w:jc w:val="both"/>
              <w:rPr>
                <w:spacing w:val="-4"/>
                <w:lang w:val="en-US"/>
              </w:rPr>
            </w:pPr>
            <w:r w:rsidRPr="006766B0">
              <w:rPr>
                <w:spacing w:val="-4"/>
                <w:lang w:val="en-US"/>
              </w:rPr>
              <w:t xml:space="preserve">Similarly to most boom years, especially the activities oriented on investment drove the industrial production also in 2014 (+8.5 %), followed by activities manufacturing products for long-term consumption (+6.2 %) or intermediate products. After six years of continuous declines, the activities focused on short-term consumption (involving e.g. food, textile, wearing apparel, medicine, toys), also slightly strengthened (1.8 %). The production increased only for investment oriented activities (by one quarter) compared to the boom year of 2007, it decreased by one sixth for products of short-term consumption. </w:t>
            </w:r>
          </w:p>
          <w:p w:rsidR="000F401E" w:rsidRPr="0056747E" w:rsidRDefault="000F401E" w:rsidP="006766B0">
            <w:pPr>
              <w:pStyle w:val="Textpoznpodarou"/>
              <w:jc w:val="both"/>
              <w:rPr>
                <w:spacing w:val="-4"/>
                <w:sz w:val="14"/>
                <w:szCs w:val="14"/>
                <w:lang w:val="en-GB"/>
              </w:rPr>
            </w:pPr>
          </w:p>
        </w:tc>
      </w:tr>
      <w:tr w:rsidR="000F401E" w:rsidTr="000F401E">
        <w:trPr>
          <w:cantSplit/>
          <w:trHeight w:val="272"/>
        </w:trPr>
        <w:tc>
          <w:tcPr>
            <w:tcW w:w="1091" w:type="pct"/>
          </w:tcPr>
          <w:p w:rsidR="006766B0" w:rsidRPr="006766B0" w:rsidRDefault="006766B0" w:rsidP="006766B0">
            <w:pPr>
              <w:spacing w:line="240" w:lineRule="auto"/>
              <w:rPr>
                <w:sz w:val="16"/>
                <w:szCs w:val="16"/>
                <w:lang w:val="en-GB"/>
              </w:rPr>
            </w:pPr>
            <w:r w:rsidRPr="006766B0">
              <w:rPr>
                <w:sz w:val="16"/>
                <w:szCs w:val="16"/>
                <w:lang w:val="en-GB"/>
              </w:rPr>
              <w:t>Dynamics of new industrial orders returned to double-digit values, even on the domestic market</w:t>
            </w: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p w:rsidR="000F401E" w:rsidRPr="006766B0" w:rsidRDefault="006766B0" w:rsidP="000F401E">
            <w:pPr>
              <w:spacing w:line="240" w:lineRule="auto"/>
              <w:rPr>
                <w:sz w:val="16"/>
                <w:szCs w:val="16"/>
                <w:lang w:val="en-GB"/>
              </w:rPr>
            </w:pPr>
            <w:r w:rsidRPr="006766B0">
              <w:rPr>
                <w:sz w:val="16"/>
                <w:szCs w:val="16"/>
                <w:lang w:val="en-GB"/>
              </w:rPr>
              <w:t xml:space="preserve">The protracted decline in demand persisted in wearing apparel manufacturing, the orders on the opposite grew by one sixth to the manufacturers of computers year-on-year practically throughout the whole year </w:t>
            </w:r>
          </w:p>
          <w:p w:rsidR="000F401E" w:rsidRPr="006766B0" w:rsidRDefault="000F401E" w:rsidP="000F401E">
            <w:pPr>
              <w:spacing w:line="240" w:lineRule="auto"/>
              <w:rPr>
                <w:sz w:val="16"/>
                <w:szCs w:val="16"/>
                <w:lang w:val="en-GB"/>
              </w:rPr>
            </w:pPr>
          </w:p>
        </w:tc>
        <w:tc>
          <w:tcPr>
            <w:tcW w:w="146" w:type="pct"/>
          </w:tcPr>
          <w:p w:rsidR="000F401E" w:rsidRPr="006766B0" w:rsidRDefault="000F401E" w:rsidP="000F401E">
            <w:pPr>
              <w:rPr>
                <w:szCs w:val="16"/>
                <w:lang w:val="en-GB"/>
              </w:rPr>
            </w:pPr>
          </w:p>
        </w:tc>
        <w:tc>
          <w:tcPr>
            <w:tcW w:w="3763" w:type="pct"/>
          </w:tcPr>
          <w:p w:rsidR="006766B0" w:rsidRPr="000E6E3B" w:rsidRDefault="006766B0" w:rsidP="006766B0">
            <w:pPr>
              <w:pStyle w:val="Textpoznpodarou"/>
              <w:jc w:val="both"/>
              <w:rPr>
                <w:lang w:val="en-GB"/>
              </w:rPr>
            </w:pPr>
            <w:r w:rsidRPr="000E6E3B">
              <w:rPr>
                <w:lang w:val="en-GB"/>
              </w:rPr>
              <w:t>The new orders also prove the favourable outlook of industry. They accelerated by one eight year-on-year in 2014 (the most since 2010). In contrast to the preceding years, the dynamics of domestic orders</w:t>
            </w:r>
            <w:r w:rsidR="00FF7996" w:rsidRPr="000E6E3B">
              <w:rPr>
                <w:lang w:val="en-GB"/>
              </w:rPr>
              <w:t xml:space="preserve"> (+10.5 %,) </w:t>
            </w:r>
            <w:r w:rsidRPr="000E6E3B">
              <w:rPr>
                <w:lang w:val="en-GB"/>
              </w:rPr>
              <w:t>less significant by weight</w:t>
            </w:r>
            <w:r w:rsidR="00FF7996" w:rsidRPr="000E6E3B">
              <w:rPr>
                <w:lang w:val="en-GB"/>
              </w:rPr>
              <w:t>,</w:t>
            </w:r>
            <w:r w:rsidRPr="000E6E3B">
              <w:rPr>
                <w:lang w:val="en-GB"/>
              </w:rPr>
              <w:t xml:space="preserve"> </w:t>
            </w:r>
            <w:r w:rsidR="00FF7996" w:rsidRPr="000E6E3B">
              <w:rPr>
                <w:lang w:val="en-GB"/>
              </w:rPr>
              <w:t>did not</w:t>
            </w:r>
            <w:r w:rsidRPr="000E6E3B">
              <w:rPr>
                <w:lang w:val="en-GB"/>
              </w:rPr>
              <w:t xml:space="preserve"> lag behind the foreign ones. Manufacturing of wearing apparel (with a decreasing value of orders twelve years in a row) and pharmacy (where a mild growth of orders from abroad just managed to compensate the traditional deeper slumps of domestic demand) remained the only activities without more significant </w:t>
            </w:r>
            <w:r w:rsidR="00001817" w:rsidRPr="000E6E3B">
              <w:rPr>
                <w:lang w:val="en-GB"/>
              </w:rPr>
              <w:t xml:space="preserve">near future </w:t>
            </w:r>
            <w:r w:rsidRPr="000E6E3B">
              <w:rPr>
                <w:lang w:val="en-GB"/>
              </w:rPr>
              <w:t>growth „order“ impulses. The motor vehicle manufacturing and also the compu</w:t>
            </w:r>
            <w:r w:rsidR="00001817" w:rsidRPr="000E6E3B">
              <w:rPr>
                <w:lang w:val="en-GB"/>
              </w:rPr>
              <w:t xml:space="preserve">ter manufacturers had </w:t>
            </w:r>
            <w:r w:rsidRPr="000E6E3B">
              <w:rPr>
                <w:lang w:val="en-GB"/>
              </w:rPr>
              <w:t xml:space="preserve">the highest dynamics of orders. The rate of growth of orders weakened due to the </w:t>
            </w:r>
            <w:r w:rsidR="00001817" w:rsidRPr="000E6E3B">
              <w:rPr>
                <w:lang w:val="en-GB"/>
              </w:rPr>
              <w:t xml:space="preserve">gradual </w:t>
            </w:r>
            <w:r w:rsidRPr="000E6E3B">
              <w:rPr>
                <w:lang w:val="en-GB"/>
              </w:rPr>
              <w:t>transit to the last year's high basis during 2014 (from 20.3 % in Q1 to 6.5 % in the last</w:t>
            </w:r>
            <w:r w:rsidR="00001817" w:rsidRPr="000E6E3B">
              <w:rPr>
                <w:lang w:val="en-GB"/>
              </w:rPr>
              <w:t xml:space="preserve"> quarter), only the chemical,</w:t>
            </w:r>
            <w:r w:rsidRPr="000E6E3B">
              <w:rPr>
                <w:lang w:val="en-GB"/>
              </w:rPr>
              <w:t xml:space="preserve"> machinery industries</w:t>
            </w:r>
            <w:r w:rsidR="00001817" w:rsidRPr="000E6E3B">
              <w:rPr>
                <w:lang w:val="en-GB"/>
              </w:rPr>
              <w:t xml:space="preserve"> as well as computer manufacturers</w:t>
            </w:r>
            <w:r w:rsidRPr="000E6E3B">
              <w:rPr>
                <w:lang w:val="en-GB"/>
              </w:rPr>
              <w:t xml:space="preserve"> preserved a stable growth dynamics. </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6766B0" w:rsidRPr="006766B0" w:rsidRDefault="006766B0" w:rsidP="006766B0">
            <w:pPr>
              <w:spacing w:line="240" w:lineRule="auto"/>
              <w:rPr>
                <w:sz w:val="16"/>
                <w:szCs w:val="16"/>
                <w:lang w:val="en-US"/>
              </w:rPr>
            </w:pPr>
            <w:r>
              <w:rPr>
                <w:sz w:val="16"/>
                <w:szCs w:val="16"/>
                <w:lang w:val="en-GB"/>
              </w:rPr>
              <w:t xml:space="preserve">The </w:t>
            </w:r>
            <w:r w:rsidRPr="006766B0">
              <w:rPr>
                <w:sz w:val="16"/>
                <w:szCs w:val="16"/>
                <w:lang w:val="en-US"/>
              </w:rPr>
              <w:t>year-on-year dynamics of the industrial production</w:t>
            </w:r>
            <w:r w:rsidR="00001817">
              <w:rPr>
                <w:sz w:val="16"/>
                <w:szCs w:val="16"/>
                <w:lang w:val="en-US"/>
              </w:rPr>
              <w:t xml:space="preserve"> (in EU countries)</w:t>
            </w:r>
            <w:r w:rsidRPr="006766B0">
              <w:rPr>
                <w:sz w:val="16"/>
                <w:szCs w:val="16"/>
                <w:lang w:val="en-US"/>
              </w:rPr>
              <w:t xml:space="preserve"> was the fourth highest in the CR in 2014, the strongest long-term growth in the EU</w:t>
            </w:r>
            <w:r w:rsidR="00001817">
              <w:rPr>
                <w:sz w:val="16"/>
                <w:szCs w:val="16"/>
                <w:lang w:val="en-US"/>
              </w:rPr>
              <w:t xml:space="preserve"> appeared</w:t>
            </w:r>
            <w:r w:rsidRPr="006766B0">
              <w:rPr>
                <w:sz w:val="16"/>
                <w:szCs w:val="16"/>
                <w:lang w:val="en-US"/>
              </w:rPr>
              <w:t xml:space="preserve"> in the Central European region and the Baltic region</w:t>
            </w: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tc>
        <w:tc>
          <w:tcPr>
            <w:tcW w:w="146" w:type="pct"/>
          </w:tcPr>
          <w:p w:rsidR="000F401E" w:rsidRPr="006766B0" w:rsidRDefault="000F401E" w:rsidP="000F401E">
            <w:pPr>
              <w:rPr>
                <w:sz w:val="16"/>
                <w:szCs w:val="16"/>
                <w:lang w:val="en-GB"/>
              </w:rPr>
            </w:pPr>
          </w:p>
        </w:tc>
        <w:tc>
          <w:tcPr>
            <w:tcW w:w="3763" w:type="pct"/>
          </w:tcPr>
          <w:p w:rsidR="006766B0" w:rsidRPr="006766B0" w:rsidRDefault="006766B0" w:rsidP="006766B0">
            <w:pPr>
              <w:pStyle w:val="Textpoznpodarou"/>
              <w:jc w:val="both"/>
              <w:rPr>
                <w:spacing w:val="-4"/>
                <w:lang w:val="en-US"/>
              </w:rPr>
            </w:pPr>
            <w:r>
              <w:rPr>
                <w:spacing w:val="-4"/>
                <w:lang w:val="en-GB"/>
              </w:rPr>
              <w:t xml:space="preserve">Only </w:t>
            </w:r>
            <w:r w:rsidRPr="006766B0">
              <w:rPr>
                <w:spacing w:val="-4"/>
                <w:lang w:val="en-US"/>
              </w:rPr>
              <w:t xml:space="preserve">Hungary (+7 %), </w:t>
            </w:r>
            <w:r w:rsidRPr="006766B0">
              <w:rPr>
                <w:spacing w:val="-4"/>
                <w:lang w:val="en-GB"/>
              </w:rPr>
              <w:t>Luxembourg and fast recovering Ireland (+20 %) overtook the dynamics of the industrial production in the CR (+4.9 % year-on-year) out of the EU28 countries in 2014. The industry of the CR surpasses with its rates of growth the euro area countries as well as the whole EU in the</w:t>
            </w:r>
            <w:r w:rsidRPr="006766B0">
              <w:rPr>
                <w:spacing w:val="-4"/>
                <w:lang w:val="en-US"/>
              </w:rPr>
              <w:t xml:space="preserve"> long-term (except for year 2008). Industry already exceeded the production level from 2007 in eleven </w:t>
            </w:r>
            <w:r w:rsidR="00001817">
              <w:rPr>
                <w:spacing w:val="-4"/>
                <w:lang w:val="en-US"/>
              </w:rPr>
              <w:t xml:space="preserve">EU </w:t>
            </w:r>
            <w:r w:rsidRPr="006766B0">
              <w:rPr>
                <w:spacing w:val="-4"/>
                <w:lang w:val="en-US"/>
              </w:rPr>
              <w:t>countries, the most in Slovakia (+29 %) and Poland (by one quarter) and Ireland (by one sixth). In Germany, similarly to the CR or Hungary, it tightly exceeded this ma</w:t>
            </w:r>
            <w:r w:rsidR="00001817">
              <w:rPr>
                <w:spacing w:val="-4"/>
                <w:lang w:val="en-US"/>
              </w:rPr>
              <w:t>rk just in 2014. In</w:t>
            </w:r>
            <w:r w:rsidRPr="006766B0">
              <w:rPr>
                <w:spacing w:val="-4"/>
                <w:lang w:val="en-US"/>
              </w:rPr>
              <w:t xml:space="preserve"> the whole EU, it was lower nearly by one tenth, mainly due to the South European countries – it fell by one quarter in Italy, nearly by one third then in Greece and Spain.</w:t>
            </w:r>
          </w:p>
          <w:p w:rsidR="000F401E" w:rsidRPr="0056747E" w:rsidRDefault="000F401E" w:rsidP="000F401E">
            <w:pPr>
              <w:pStyle w:val="Textpoznpodarou"/>
              <w:jc w:val="both"/>
              <w:rPr>
                <w:spacing w:val="-4"/>
                <w:sz w:val="14"/>
                <w:szCs w:val="14"/>
                <w:lang w:val="en-GB"/>
              </w:rPr>
            </w:pPr>
          </w:p>
        </w:tc>
      </w:tr>
      <w:tr w:rsidR="000F401E" w:rsidTr="000F401E">
        <w:trPr>
          <w:cantSplit/>
          <w:trHeight w:val="110"/>
        </w:trPr>
        <w:tc>
          <w:tcPr>
            <w:tcW w:w="1091" w:type="pct"/>
          </w:tcPr>
          <w:p w:rsidR="000F401E" w:rsidRPr="00E32A49" w:rsidRDefault="00E32A49" w:rsidP="00E32A49">
            <w:pPr>
              <w:spacing w:line="240" w:lineRule="auto"/>
              <w:rPr>
                <w:sz w:val="16"/>
                <w:szCs w:val="16"/>
                <w:lang w:val="en-GB"/>
              </w:rPr>
            </w:pPr>
            <w:r w:rsidRPr="00E32A49">
              <w:rPr>
                <w:sz w:val="16"/>
                <w:szCs w:val="16"/>
                <w:lang w:val="en-GB"/>
              </w:rPr>
              <w:t xml:space="preserve">First growth of construction output after six years, it sank by 27 % in the building and by 16 % in the civil engineering construction between years 2007 and 2013 </w:t>
            </w:r>
          </w:p>
        </w:tc>
        <w:tc>
          <w:tcPr>
            <w:tcW w:w="146" w:type="pct"/>
          </w:tcPr>
          <w:p w:rsidR="000F401E" w:rsidRPr="00E32A49" w:rsidRDefault="000F401E" w:rsidP="000F401E">
            <w:pPr>
              <w:rPr>
                <w:sz w:val="16"/>
                <w:szCs w:val="16"/>
                <w:lang w:val="en-GB"/>
              </w:rPr>
            </w:pPr>
          </w:p>
        </w:tc>
        <w:tc>
          <w:tcPr>
            <w:tcW w:w="3763" w:type="pct"/>
          </w:tcPr>
          <w:p w:rsidR="00E32A49" w:rsidRPr="00E32A49" w:rsidRDefault="00E32A49" w:rsidP="00E32A49">
            <w:pPr>
              <w:pStyle w:val="Textpoznpodarou"/>
              <w:jc w:val="both"/>
              <w:rPr>
                <w:spacing w:val="-4"/>
                <w:lang w:val="en-GB"/>
              </w:rPr>
            </w:pPr>
            <w:r w:rsidRPr="00E32A49">
              <w:rPr>
                <w:spacing w:val="-4"/>
                <w:lang w:val="en-GB"/>
              </w:rPr>
              <w:t>Year 2014 can be termed as a period of turn from the point of view of the construction industry. Construction production strengthened by 4.3 % year-on-year for the first time after six adverse years in a row (when it shrank in total nearly by one quarter especially due to the impact of the building construction). Both main construction fields thrived for the first time since 2006, when the more significant by weight building construction (+3.4 %) lagged somewhat beh</w:t>
            </w:r>
            <w:r w:rsidR="00295448">
              <w:rPr>
                <w:spacing w:val="-4"/>
                <w:lang w:val="en-GB"/>
              </w:rPr>
              <w:t>ind the civil engineering (+6.4</w:t>
            </w:r>
            <w:r w:rsidR="00295448">
              <w:rPr>
                <w:spacing w:val="-4"/>
              </w:rPr>
              <w:t> </w:t>
            </w:r>
            <w:r w:rsidRPr="00E32A49">
              <w:rPr>
                <w:spacing w:val="-4"/>
                <w:lang w:val="en-GB"/>
              </w:rPr>
              <w:t>%), whose growth filled by the large transport construction orders was more even throughout the year. The milder winter assisted both construction fields, even though occurring already for the second time in a row.</w:t>
            </w:r>
          </w:p>
          <w:p w:rsidR="000F401E" w:rsidRPr="0056747E" w:rsidRDefault="000F401E" w:rsidP="00E32A49">
            <w:pPr>
              <w:pStyle w:val="Textpoznpodarou"/>
              <w:jc w:val="both"/>
              <w:rPr>
                <w:spacing w:val="-4"/>
                <w:sz w:val="14"/>
                <w:szCs w:val="14"/>
                <w:lang w:val="en-GB"/>
              </w:rPr>
            </w:pPr>
          </w:p>
        </w:tc>
      </w:tr>
      <w:tr w:rsidR="000F401E" w:rsidTr="000F401E">
        <w:tc>
          <w:tcPr>
            <w:tcW w:w="1091" w:type="pct"/>
          </w:tcPr>
          <w:p w:rsidR="00F82191" w:rsidRPr="00F82191" w:rsidRDefault="00F82191" w:rsidP="00F82191">
            <w:pPr>
              <w:spacing w:line="240" w:lineRule="auto"/>
              <w:rPr>
                <w:sz w:val="16"/>
                <w:szCs w:val="16"/>
                <w:lang w:val="en-GB"/>
              </w:rPr>
            </w:pPr>
            <w:r w:rsidRPr="00F82191">
              <w:rPr>
                <w:sz w:val="16"/>
                <w:szCs w:val="16"/>
                <w:lang w:val="en-GB"/>
              </w:rPr>
              <w:t xml:space="preserve">High year-on-year growth of </w:t>
            </w:r>
            <w:r w:rsidR="003734A0">
              <w:rPr>
                <w:sz w:val="16"/>
                <w:szCs w:val="16"/>
                <w:lang w:val="en-GB"/>
              </w:rPr>
              <w:t xml:space="preserve">new </w:t>
            </w:r>
            <w:r w:rsidRPr="00F82191">
              <w:rPr>
                <w:sz w:val="16"/>
                <w:szCs w:val="16"/>
                <w:lang w:val="en-GB"/>
              </w:rPr>
              <w:t xml:space="preserve">orders </w:t>
            </w:r>
            <w:r w:rsidR="003734A0">
              <w:rPr>
                <w:sz w:val="16"/>
                <w:szCs w:val="16"/>
                <w:lang w:val="en-GB"/>
              </w:rPr>
              <w:t xml:space="preserve">is </w:t>
            </w:r>
            <w:r w:rsidRPr="00F82191">
              <w:rPr>
                <w:sz w:val="16"/>
                <w:szCs w:val="16"/>
                <w:lang w:val="en-GB"/>
              </w:rPr>
              <w:t>connected to the realisatio</w:t>
            </w:r>
            <w:r w:rsidR="003734A0">
              <w:rPr>
                <w:sz w:val="16"/>
                <w:szCs w:val="16"/>
                <w:lang w:val="en-GB"/>
              </w:rPr>
              <w:t>n of significant transport routes</w:t>
            </w:r>
            <w:r w:rsidRPr="00F82191">
              <w:rPr>
                <w:sz w:val="16"/>
                <w:szCs w:val="16"/>
                <w:lang w:val="en-GB"/>
              </w:rPr>
              <w:t xml:space="preserve"> in civil </w:t>
            </w:r>
            <w:r w:rsidR="004A1D01">
              <w:rPr>
                <w:sz w:val="16"/>
                <w:szCs w:val="16"/>
                <w:lang w:val="en-GB"/>
              </w:rPr>
              <w:t>e</w:t>
            </w:r>
            <w:r w:rsidRPr="00F82191">
              <w:rPr>
                <w:sz w:val="16"/>
                <w:szCs w:val="16"/>
                <w:lang w:val="en-GB"/>
              </w:rPr>
              <w:t>ngineering construction</w:t>
            </w:r>
          </w:p>
          <w:p w:rsidR="00F82191" w:rsidRPr="00F82191" w:rsidRDefault="00F82191" w:rsidP="000F401E">
            <w:pPr>
              <w:spacing w:line="240" w:lineRule="auto"/>
              <w:rPr>
                <w:sz w:val="16"/>
                <w:szCs w:val="16"/>
                <w:lang w:val="en-GB"/>
              </w:rPr>
            </w:pPr>
          </w:p>
          <w:p w:rsidR="000F401E" w:rsidRDefault="000F401E" w:rsidP="000F401E">
            <w:pPr>
              <w:spacing w:line="240" w:lineRule="auto"/>
              <w:rPr>
                <w:sz w:val="16"/>
                <w:szCs w:val="16"/>
                <w:lang w:val="en-GB"/>
              </w:rPr>
            </w:pPr>
          </w:p>
          <w:p w:rsidR="003734A0" w:rsidRPr="00F82191" w:rsidRDefault="003734A0" w:rsidP="000F401E">
            <w:pPr>
              <w:spacing w:line="240" w:lineRule="auto"/>
              <w:rPr>
                <w:sz w:val="16"/>
                <w:szCs w:val="16"/>
                <w:lang w:val="en-GB"/>
              </w:rPr>
            </w:pPr>
          </w:p>
          <w:p w:rsidR="000F401E" w:rsidRPr="00F82191" w:rsidRDefault="00F82191" w:rsidP="00F82191">
            <w:pPr>
              <w:spacing w:line="240" w:lineRule="auto"/>
              <w:rPr>
                <w:sz w:val="16"/>
                <w:szCs w:val="16"/>
                <w:lang w:val="en-GB"/>
              </w:rPr>
            </w:pPr>
            <w:r w:rsidRPr="00F82191">
              <w:rPr>
                <w:sz w:val="16"/>
                <w:szCs w:val="16"/>
                <w:lang w:val="en-GB"/>
              </w:rPr>
              <w:t xml:space="preserve">Number of completed dwellings fell to the level of 1999, new construction revives despite favourable situation on the mortgage market as well as lower prices of construction works only cautiously so far </w:t>
            </w:r>
          </w:p>
        </w:tc>
        <w:tc>
          <w:tcPr>
            <w:tcW w:w="146" w:type="pct"/>
          </w:tcPr>
          <w:p w:rsidR="000F401E" w:rsidRPr="00F82191" w:rsidRDefault="000F401E" w:rsidP="000F401E">
            <w:pPr>
              <w:rPr>
                <w:sz w:val="16"/>
                <w:szCs w:val="16"/>
                <w:lang w:val="en-GB"/>
              </w:rPr>
            </w:pPr>
          </w:p>
        </w:tc>
        <w:tc>
          <w:tcPr>
            <w:tcW w:w="3763" w:type="pct"/>
          </w:tcPr>
          <w:p w:rsidR="00E32A49" w:rsidRPr="00F82191" w:rsidRDefault="00E32A49" w:rsidP="00E32A49">
            <w:pPr>
              <w:pStyle w:val="Textpoznpodarou"/>
              <w:jc w:val="both"/>
              <w:rPr>
                <w:spacing w:val="-4"/>
                <w:lang w:val="en-GB"/>
              </w:rPr>
            </w:pPr>
            <w:r w:rsidRPr="00F82191">
              <w:rPr>
                <w:spacing w:val="-4"/>
                <w:lang w:val="en-GB"/>
              </w:rPr>
              <w:t>Substantial revival of construction orders, apparent in the civil engineering already since half of 2013 (value of new orders for businesses with 50 and more employees increased by high 41 % in this field year-on-year, while it practically only stagnated in building construction) however played a more essential role. A larger boom of the building construction was for now prevented by a very prudent „</w:t>
            </w:r>
            <w:r w:rsidR="00F82191" w:rsidRPr="00F82191">
              <w:rPr>
                <w:spacing w:val="-4"/>
                <w:lang w:val="en-GB"/>
              </w:rPr>
              <w:t>take-off</w:t>
            </w:r>
            <w:proofErr w:type="gramStart"/>
            <w:r w:rsidR="00F12BC8" w:rsidRPr="00F82191">
              <w:rPr>
                <w:spacing w:val="-4"/>
                <w:lang w:val="en-GB"/>
              </w:rPr>
              <w:t>“</w:t>
            </w:r>
            <w:r w:rsidR="00DE4726">
              <w:rPr>
                <w:spacing w:val="-4"/>
                <w:lang w:val="en-GB"/>
              </w:rPr>
              <w:t xml:space="preserve"> </w:t>
            </w:r>
            <w:r w:rsidR="00F12BC8" w:rsidRPr="00F82191">
              <w:rPr>
                <w:spacing w:val="-4"/>
                <w:lang w:val="en-GB"/>
              </w:rPr>
              <w:t>of</w:t>
            </w:r>
            <w:proofErr w:type="gramEnd"/>
            <w:r w:rsidRPr="00F82191">
              <w:rPr>
                <w:spacing w:val="-4"/>
                <w:lang w:val="en-GB"/>
              </w:rPr>
              <w:t xml:space="preserve"> new </w:t>
            </w:r>
            <w:r w:rsidRPr="00F82191">
              <w:rPr>
                <w:spacing w:val="-4"/>
                <w:lang w:val="en-GB"/>
              </w:rPr>
              <w:lastRenderedPageBreak/>
              <w:t>dwelling construction. Number of dwellings started did rise by one tenth against the extremely low last year's basis (the lowest since 1996), however it was lower by 45 % against the top of „construction</w:t>
            </w:r>
            <w:proofErr w:type="gramStart"/>
            <w:r w:rsidR="00F12BC8" w:rsidRPr="00F82191">
              <w:rPr>
                <w:spacing w:val="-4"/>
                <w:lang w:val="en-GB"/>
              </w:rPr>
              <w:t>“</w:t>
            </w:r>
            <w:r w:rsidR="00DE4726">
              <w:rPr>
                <w:spacing w:val="-4"/>
                <w:lang w:val="en-GB"/>
              </w:rPr>
              <w:t xml:space="preserve"> </w:t>
            </w:r>
            <w:r w:rsidR="00F12BC8" w:rsidRPr="00F82191">
              <w:rPr>
                <w:spacing w:val="-4"/>
                <w:lang w:val="en-GB"/>
              </w:rPr>
              <w:t>boom</w:t>
            </w:r>
            <w:proofErr w:type="gramEnd"/>
            <w:r w:rsidR="00526F46">
              <w:rPr>
                <w:spacing w:val="-4"/>
                <w:lang w:val="en-GB"/>
              </w:rPr>
              <w:t xml:space="preserve"> (2006-2008)</w:t>
            </w:r>
            <w:r w:rsidRPr="00F82191">
              <w:rPr>
                <w:spacing w:val="-4"/>
                <w:lang w:val="en-GB"/>
              </w:rPr>
              <w:t>. A more visible shift in number of dwellings started eventuated only for flat houses year-on-year in 2014 (+1.8 thousand, to the highest level for the past five years), partially als</w:t>
            </w:r>
            <w:r w:rsidR="003734A0">
              <w:rPr>
                <w:spacing w:val="-4"/>
                <w:lang w:val="en-GB"/>
              </w:rPr>
              <w:t>o for non-residential buildings and</w:t>
            </w:r>
            <w:r w:rsidRPr="00F82191">
              <w:rPr>
                <w:spacing w:val="-4"/>
                <w:lang w:val="en-GB"/>
              </w:rPr>
              <w:t xml:space="preserve"> from regions then in</w:t>
            </w:r>
            <w:r w:rsidR="003734A0">
              <w:rPr>
                <w:spacing w:val="-4"/>
                <w:lang w:val="en-GB"/>
              </w:rPr>
              <w:t xml:space="preserve"> Prague and South Moravia</w:t>
            </w:r>
            <w:r w:rsidRPr="00F82191">
              <w:rPr>
                <w:spacing w:val="-4"/>
                <w:lang w:val="en-GB"/>
              </w:rPr>
              <w:t xml:space="preserve">. Number of completed dwellings kept inertially falling in the CR (-5 %) down to the lowest level since 1999. Great 37 % </w:t>
            </w:r>
            <w:r w:rsidR="003734A0">
              <w:rPr>
                <w:spacing w:val="-4"/>
                <w:lang w:val="en-GB"/>
              </w:rPr>
              <w:t>(</w:t>
            </w:r>
            <w:r w:rsidRPr="00F82191">
              <w:rPr>
                <w:spacing w:val="-4"/>
                <w:lang w:val="en-GB"/>
              </w:rPr>
              <w:t xml:space="preserve">of </w:t>
            </w:r>
            <w:r w:rsidR="003734A0" w:rsidRPr="00F82191">
              <w:rPr>
                <w:spacing w:val="-4"/>
                <w:lang w:val="en-GB"/>
              </w:rPr>
              <w:t xml:space="preserve">completed </w:t>
            </w:r>
            <w:r w:rsidRPr="00F82191">
              <w:rPr>
                <w:spacing w:val="-4"/>
                <w:lang w:val="en-GB"/>
              </w:rPr>
              <w:t>dwellings</w:t>
            </w:r>
            <w:r w:rsidR="003734A0">
              <w:rPr>
                <w:spacing w:val="-4"/>
                <w:lang w:val="en-GB"/>
              </w:rPr>
              <w:t xml:space="preserve"> in the whole CR in 2014)</w:t>
            </w:r>
            <w:r w:rsidRPr="00F82191">
              <w:rPr>
                <w:spacing w:val="-4"/>
                <w:lang w:val="en-GB"/>
              </w:rPr>
              <w:t xml:space="preserve"> </w:t>
            </w:r>
            <w:r w:rsidR="00F12BC8" w:rsidRPr="00F82191">
              <w:rPr>
                <w:spacing w:val="-4"/>
                <w:lang w:val="en-GB"/>
              </w:rPr>
              <w:t>were</w:t>
            </w:r>
            <w:r w:rsidRPr="00F82191">
              <w:rPr>
                <w:spacing w:val="-4"/>
                <w:lang w:val="en-GB"/>
              </w:rPr>
              <w:t xml:space="preserve"> </w:t>
            </w:r>
            <w:r w:rsidR="003734A0">
              <w:rPr>
                <w:rStyle w:val="hps"/>
                <w:rFonts w:cs="Arial"/>
                <w:color w:val="222222"/>
                <w:sz w:val="18"/>
                <w:szCs w:val="18"/>
              </w:rPr>
              <w:t>concentrated</w:t>
            </w:r>
            <w:r w:rsidR="003734A0" w:rsidRPr="00F82191">
              <w:rPr>
                <w:spacing w:val="-4"/>
                <w:lang w:val="en-GB"/>
              </w:rPr>
              <w:t xml:space="preserve"> </w:t>
            </w:r>
            <w:r w:rsidRPr="00F82191">
              <w:rPr>
                <w:spacing w:val="-4"/>
                <w:lang w:val="en-GB"/>
              </w:rPr>
              <w:t>in Pr</w:t>
            </w:r>
            <w:r w:rsidR="003734A0">
              <w:rPr>
                <w:spacing w:val="-4"/>
                <w:lang w:val="en-GB"/>
              </w:rPr>
              <w:t>ague and Central Bohemia</w:t>
            </w:r>
            <w:r w:rsidRPr="00F82191">
              <w:rPr>
                <w:spacing w:val="-4"/>
                <w:lang w:val="en-GB"/>
              </w:rPr>
              <w:t>.</w:t>
            </w:r>
          </w:p>
          <w:p w:rsidR="000F401E" w:rsidRPr="0056747E" w:rsidRDefault="000F401E" w:rsidP="00E32A49">
            <w:pPr>
              <w:pStyle w:val="Textpoznpodarou"/>
              <w:jc w:val="both"/>
              <w:rPr>
                <w:spacing w:val="-4"/>
                <w:sz w:val="14"/>
                <w:szCs w:val="14"/>
                <w:lang w:val="en-GB"/>
              </w:rPr>
            </w:pPr>
          </w:p>
        </w:tc>
      </w:tr>
      <w:tr w:rsidR="000F401E" w:rsidTr="000F401E">
        <w:tc>
          <w:tcPr>
            <w:tcW w:w="1091" w:type="pct"/>
          </w:tcPr>
          <w:p w:rsidR="000F401E" w:rsidRPr="0077768E" w:rsidRDefault="00D67FB0" w:rsidP="00D67FB0">
            <w:pPr>
              <w:spacing w:line="240" w:lineRule="auto"/>
              <w:rPr>
                <w:sz w:val="16"/>
                <w:szCs w:val="16"/>
                <w:lang w:val="en-GB"/>
              </w:rPr>
            </w:pPr>
            <w:r w:rsidRPr="0077768E">
              <w:rPr>
                <w:sz w:val="16"/>
                <w:szCs w:val="16"/>
                <w:lang w:val="en-GB"/>
              </w:rPr>
              <w:lastRenderedPageBreak/>
              <w:t xml:space="preserve">The five years lasting decline of the average value of one new construction order halted in 2014 </w:t>
            </w:r>
          </w:p>
        </w:tc>
        <w:tc>
          <w:tcPr>
            <w:tcW w:w="146" w:type="pct"/>
          </w:tcPr>
          <w:p w:rsidR="000F401E" w:rsidRPr="0077768E" w:rsidRDefault="000F401E" w:rsidP="000F401E">
            <w:pPr>
              <w:pStyle w:val="Textpoznpodarou"/>
              <w:jc w:val="both"/>
              <w:rPr>
                <w:lang w:val="en-GB"/>
              </w:rPr>
            </w:pPr>
          </w:p>
        </w:tc>
        <w:tc>
          <w:tcPr>
            <w:tcW w:w="3763" w:type="pct"/>
          </w:tcPr>
          <w:p w:rsidR="00D67FB0" w:rsidRPr="0077768E" w:rsidRDefault="00D67FB0" w:rsidP="00D67FB0">
            <w:pPr>
              <w:pStyle w:val="Textpoznpodarou"/>
              <w:jc w:val="both"/>
              <w:rPr>
                <w:spacing w:val="-4"/>
                <w:lang w:val="en-GB"/>
              </w:rPr>
            </w:pPr>
            <w:r w:rsidRPr="0077768E">
              <w:rPr>
                <w:spacing w:val="-4"/>
                <w:lang w:val="en-GB"/>
              </w:rPr>
              <w:t>Recovery of construction of larger (mai</w:t>
            </w:r>
            <w:r w:rsidR="005E34D4">
              <w:rPr>
                <w:spacing w:val="-4"/>
                <w:lang w:val="en-GB"/>
              </w:rPr>
              <w:t>nly transportation) project</w:t>
            </w:r>
            <w:r w:rsidRPr="0077768E">
              <w:rPr>
                <w:spacing w:val="-4"/>
                <w:lang w:val="en-GB"/>
              </w:rPr>
              <w:t xml:space="preserve">s shows also in the gradual climb of the average value of one newly closed order (from 3.6 </w:t>
            </w:r>
            <w:r w:rsidR="004A1D01">
              <w:rPr>
                <w:spacing w:val="-4"/>
                <w:lang w:val="en-GB"/>
              </w:rPr>
              <w:t>mil.</w:t>
            </w:r>
            <w:r w:rsidR="005E34D4">
              <w:rPr>
                <w:spacing w:val="-4"/>
                <w:lang w:val="en-GB"/>
              </w:rPr>
              <w:t xml:space="preserve"> CZK in 2013 to 4</w:t>
            </w:r>
            <w:r w:rsidR="008937D7">
              <w:rPr>
                <w:spacing w:val="-4"/>
                <w:lang w:val="en-GB"/>
              </w:rPr>
              <w:t>.0</w:t>
            </w:r>
            <w:r w:rsidR="005E34D4">
              <w:rPr>
                <w:spacing w:val="-4"/>
                <w:lang w:val="en-GB"/>
              </w:rPr>
              <w:t xml:space="preserve"> mil. CZK</w:t>
            </w:r>
            <w:r w:rsidRPr="0077768E">
              <w:rPr>
                <w:spacing w:val="-4"/>
                <w:lang w:val="en-GB"/>
              </w:rPr>
              <w:t xml:space="preserve"> a year later), similarly to the </w:t>
            </w:r>
            <w:r w:rsidR="008937D7" w:rsidRPr="008937D7">
              <w:rPr>
                <w:spacing w:val="-4"/>
                <w:lang w:val="en-GB"/>
              </w:rPr>
              <w:t>approximate</w:t>
            </w:r>
            <w:r w:rsidR="008937D7">
              <w:rPr>
                <w:spacing w:val="-4"/>
                <w:lang w:val="en-GB"/>
              </w:rPr>
              <w:t xml:space="preserve"> value of one grant</w:t>
            </w:r>
            <w:r w:rsidRPr="0077768E">
              <w:rPr>
                <w:spacing w:val="-4"/>
                <w:lang w:val="en-GB"/>
              </w:rPr>
              <w:t xml:space="preserve">ed </w:t>
            </w:r>
            <w:r w:rsidR="008937D7">
              <w:rPr>
                <w:spacing w:val="-4"/>
                <w:lang w:val="en-GB"/>
              </w:rPr>
              <w:t>b</w:t>
            </w:r>
            <w:r w:rsidR="008937D7" w:rsidRPr="008937D7">
              <w:rPr>
                <w:spacing w:val="-4"/>
                <w:lang w:val="en-GB"/>
              </w:rPr>
              <w:t>uilding</w:t>
            </w:r>
            <w:r w:rsidRPr="0077768E">
              <w:rPr>
                <w:spacing w:val="-4"/>
                <w:lang w:val="en-GB"/>
              </w:rPr>
              <w:t xml:space="preserve"> permit (especially for </w:t>
            </w:r>
            <w:r w:rsidR="008937D7">
              <w:rPr>
                <w:spacing w:val="-4"/>
                <w:lang w:val="en-GB"/>
              </w:rPr>
              <w:t>r</w:t>
            </w:r>
            <w:r w:rsidR="008937D7" w:rsidRPr="008937D7">
              <w:rPr>
                <w:spacing w:val="-4"/>
                <w:lang w:val="en-GB"/>
              </w:rPr>
              <w:t xml:space="preserve">esidential </w:t>
            </w:r>
            <w:r w:rsidR="008937D7">
              <w:rPr>
                <w:spacing w:val="-4"/>
                <w:lang w:val="en-GB"/>
              </w:rPr>
              <w:t>b</w:t>
            </w:r>
            <w:r w:rsidR="008937D7" w:rsidRPr="008937D7">
              <w:rPr>
                <w:spacing w:val="-4"/>
                <w:lang w:val="en-GB"/>
              </w:rPr>
              <w:t>uildings</w:t>
            </w:r>
            <w:r w:rsidRPr="0077768E">
              <w:rPr>
                <w:spacing w:val="-4"/>
                <w:lang w:val="en-GB"/>
              </w:rPr>
              <w:t xml:space="preserve">). Total stock of so far not realized construction orders was also higher year-on-year, mostly due to the larger number of orders from the public sector (+23 %), partially also thanks to the dynamically growing </w:t>
            </w:r>
            <w:r w:rsidR="008937D7">
              <w:rPr>
                <w:spacing w:val="-4"/>
                <w:lang w:val="en-GB"/>
              </w:rPr>
              <w:t>value of orders a</w:t>
            </w:r>
            <w:r w:rsidR="008937D7" w:rsidRPr="008937D7">
              <w:rPr>
                <w:spacing w:val="-4"/>
                <w:lang w:val="en-GB"/>
              </w:rPr>
              <w:t>broad</w:t>
            </w:r>
            <w:r w:rsidR="008937D7">
              <w:rPr>
                <w:spacing w:val="-4"/>
                <w:lang w:val="en-GB"/>
              </w:rPr>
              <w:t xml:space="preserve"> in the last three years (foreign orders</w:t>
            </w:r>
            <w:r w:rsidRPr="0077768E">
              <w:rPr>
                <w:spacing w:val="-4"/>
                <w:lang w:val="en-GB"/>
              </w:rPr>
              <w:t xml:space="preserve"> formed already one fifth in the portfolio o</w:t>
            </w:r>
            <w:r w:rsidR="004A1D01">
              <w:rPr>
                <w:spacing w:val="-4"/>
                <w:lang w:val="en-GB"/>
              </w:rPr>
              <w:t>f</w:t>
            </w:r>
            <w:r w:rsidRPr="0077768E">
              <w:rPr>
                <w:spacing w:val="-4"/>
                <w:lang w:val="en-GB"/>
              </w:rPr>
              <w:t xml:space="preserve"> construction companies orders at the end of 2014). Nominal value of </w:t>
            </w:r>
            <w:r w:rsidR="008937D7">
              <w:rPr>
                <w:spacing w:val="-4"/>
                <w:lang w:val="en-GB"/>
              </w:rPr>
              <w:t xml:space="preserve">all </w:t>
            </w:r>
            <w:r w:rsidRPr="0077768E">
              <w:rPr>
                <w:spacing w:val="-4"/>
                <w:lang w:val="en-GB"/>
              </w:rPr>
              <w:t xml:space="preserve">public construction orders was however by 43 % lower compared to the end of year 2006, by 22 % for the </w:t>
            </w:r>
            <w:r w:rsidR="008937D7">
              <w:rPr>
                <w:spacing w:val="-4"/>
                <w:lang w:val="en-GB"/>
              </w:rPr>
              <w:t xml:space="preserve">all </w:t>
            </w:r>
            <w:r w:rsidRPr="0077768E">
              <w:rPr>
                <w:spacing w:val="-4"/>
                <w:lang w:val="en-GB"/>
              </w:rPr>
              <w:t>private orders.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0F401E" w:rsidRPr="0077768E" w:rsidRDefault="00D67FB0" w:rsidP="00D67FB0">
            <w:pPr>
              <w:spacing w:line="240" w:lineRule="auto"/>
              <w:rPr>
                <w:sz w:val="16"/>
                <w:szCs w:val="16"/>
                <w:lang w:val="en-GB"/>
              </w:rPr>
            </w:pPr>
            <w:r w:rsidRPr="0077768E">
              <w:rPr>
                <w:sz w:val="16"/>
                <w:szCs w:val="16"/>
                <w:lang w:val="en-GB"/>
              </w:rPr>
              <w:t xml:space="preserve">Renewal of growth of construction orders contributes to the employment stabilization in construction so far only slowly, the wage dynamics in construction lagged behind the rates of growth in the whole business sector in the last five years </w:t>
            </w:r>
          </w:p>
        </w:tc>
        <w:tc>
          <w:tcPr>
            <w:tcW w:w="146" w:type="pct"/>
          </w:tcPr>
          <w:p w:rsidR="000F401E" w:rsidRPr="0077768E" w:rsidRDefault="000F401E" w:rsidP="000F401E">
            <w:pPr>
              <w:pStyle w:val="Textpoznpodarou"/>
              <w:jc w:val="both"/>
              <w:rPr>
                <w:lang w:val="en-GB"/>
              </w:rPr>
            </w:pPr>
          </w:p>
        </w:tc>
        <w:tc>
          <w:tcPr>
            <w:tcW w:w="3763" w:type="pct"/>
          </w:tcPr>
          <w:p w:rsidR="000F401E" w:rsidRPr="0077768E" w:rsidRDefault="0077768E" w:rsidP="000F401E">
            <w:pPr>
              <w:pStyle w:val="Textpoznpodarou"/>
              <w:jc w:val="both"/>
              <w:rPr>
                <w:spacing w:val="-4"/>
                <w:lang w:val="en-GB"/>
              </w:rPr>
            </w:pPr>
            <w:r w:rsidRPr="0077768E">
              <w:rPr>
                <w:spacing w:val="-4"/>
                <w:lang w:val="en-GB"/>
              </w:rPr>
              <w:t>Protracted „recession</w:t>
            </w:r>
            <w:proofErr w:type="gramStart"/>
            <w:r w:rsidRPr="0077768E">
              <w:rPr>
                <w:spacing w:val="-4"/>
                <w:lang w:val="en-GB"/>
              </w:rPr>
              <w:t>“ in</w:t>
            </w:r>
            <w:proofErr w:type="gramEnd"/>
            <w:r w:rsidRPr="0077768E">
              <w:rPr>
                <w:spacing w:val="-4"/>
                <w:lang w:val="en-GB"/>
              </w:rPr>
              <w:t xml:space="preserve"> construction is being inertially reflected in the continuing reduction of the registered number of employees (by 5 % in 2014), incl. </w:t>
            </w:r>
            <w:r w:rsidR="004A1D01">
              <w:rPr>
                <w:spacing w:val="-4"/>
                <w:lang w:val="en-GB"/>
              </w:rPr>
              <w:t>m</w:t>
            </w:r>
            <w:r w:rsidRPr="0077768E">
              <w:rPr>
                <w:spacing w:val="-4"/>
                <w:lang w:val="en-GB"/>
              </w:rPr>
              <w:t>edium an</w:t>
            </w:r>
            <w:r w:rsidR="00686E9B">
              <w:rPr>
                <w:spacing w:val="-4"/>
                <w:lang w:val="en-GB"/>
              </w:rPr>
              <w:t>d larger companies. Construction in total</w:t>
            </w:r>
            <w:r w:rsidRPr="0077768E">
              <w:rPr>
                <w:spacing w:val="-4"/>
                <w:lang w:val="en-GB"/>
              </w:rPr>
              <w:t xml:space="preserve"> lost (in physical persons) over 60 thousand of employees against the year 2008. Despite the significant shift, inadequate demand remains the main factor limiting the construction activity according to the business cycle surveys (in 83 % of cases in December 2013, in 68 % a year later). A one third of construction companies expected </w:t>
            </w:r>
            <w:r w:rsidR="00686E9B">
              <w:rPr>
                <w:spacing w:val="-4"/>
                <w:lang w:val="en-GB"/>
              </w:rPr>
              <w:t>(at</w:t>
            </w:r>
            <w:r w:rsidR="00686E9B" w:rsidRPr="0077768E">
              <w:rPr>
                <w:spacing w:val="-4"/>
                <w:lang w:val="en-GB"/>
              </w:rPr>
              <w:t xml:space="preserve"> the end of the year 2014</w:t>
            </w:r>
            <w:r w:rsidR="00686E9B">
              <w:rPr>
                <w:spacing w:val="-4"/>
                <w:lang w:val="en-GB"/>
              </w:rPr>
              <w:t>)</w:t>
            </w:r>
            <w:r w:rsidR="00686E9B" w:rsidRPr="0077768E">
              <w:rPr>
                <w:spacing w:val="-4"/>
                <w:lang w:val="en-GB"/>
              </w:rPr>
              <w:t xml:space="preserve"> </w:t>
            </w:r>
            <w:r w:rsidRPr="0077768E">
              <w:rPr>
                <w:spacing w:val="-4"/>
                <w:lang w:val="en-GB"/>
              </w:rPr>
              <w:t xml:space="preserve">a drop in the number of employees within the upcoming three months (8.5 % </w:t>
            </w:r>
            <w:r w:rsidR="00686E9B" w:rsidRPr="0077768E">
              <w:rPr>
                <w:spacing w:val="-4"/>
                <w:lang w:val="en-GB"/>
              </w:rPr>
              <w:t>expected</w:t>
            </w:r>
            <w:r w:rsidRPr="0077768E">
              <w:rPr>
                <w:spacing w:val="-4"/>
                <w:lang w:val="en-GB"/>
              </w:rPr>
              <w:t xml:space="preserve"> growth), even 45 % a year ago. </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3C406C" w:rsidRPr="003C406C" w:rsidRDefault="003C406C" w:rsidP="003C406C">
            <w:pPr>
              <w:spacing w:line="240" w:lineRule="auto"/>
              <w:rPr>
                <w:sz w:val="16"/>
                <w:szCs w:val="16"/>
                <w:lang w:val="en-GB"/>
              </w:rPr>
            </w:pPr>
            <w:r w:rsidRPr="003C406C">
              <w:rPr>
                <w:sz w:val="16"/>
                <w:szCs w:val="16"/>
                <w:lang w:val="en-GB"/>
              </w:rPr>
              <w:t>Year-on-year dynamics of the construction production again more favourable compared to the whole EU in the CR after four years</w:t>
            </w:r>
          </w:p>
          <w:p w:rsidR="000F401E" w:rsidRPr="003C406C" w:rsidRDefault="000F401E" w:rsidP="000F401E">
            <w:pPr>
              <w:spacing w:line="240" w:lineRule="auto"/>
              <w:rPr>
                <w:sz w:val="16"/>
                <w:szCs w:val="16"/>
                <w:lang w:val="en-GB"/>
              </w:rPr>
            </w:pPr>
          </w:p>
          <w:p w:rsidR="000F401E" w:rsidRPr="003C406C" w:rsidRDefault="000F401E" w:rsidP="000F401E">
            <w:pPr>
              <w:spacing w:line="240" w:lineRule="auto"/>
              <w:rPr>
                <w:sz w:val="16"/>
                <w:szCs w:val="16"/>
                <w:lang w:val="en-GB"/>
              </w:rPr>
            </w:pPr>
          </w:p>
          <w:p w:rsidR="000F401E" w:rsidRPr="003C406C" w:rsidRDefault="000F401E" w:rsidP="000F401E">
            <w:pPr>
              <w:spacing w:line="240" w:lineRule="auto"/>
              <w:rPr>
                <w:sz w:val="16"/>
                <w:szCs w:val="16"/>
                <w:lang w:val="en-GB"/>
              </w:rPr>
            </w:pPr>
          </w:p>
        </w:tc>
        <w:tc>
          <w:tcPr>
            <w:tcW w:w="146" w:type="pct"/>
          </w:tcPr>
          <w:p w:rsidR="000F401E" w:rsidRPr="003C406C" w:rsidRDefault="000F401E" w:rsidP="000F401E">
            <w:pPr>
              <w:pStyle w:val="Textpoznpodarou"/>
              <w:jc w:val="both"/>
              <w:rPr>
                <w:spacing w:val="-2"/>
                <w:lang w:val="en-GB"/>
              </w:rPr>
            </w:pPr>
          </w:p>
        </w:tc>
        <w:tc>
          <w:tcPr>
            <w:tcW w:w="3763" w:type="pct"/>
          </w:tcPr>
          <w:p w:rsidR="003C406C" w:rsidRPr="0045480B" w:rsidRDefault="003C406C" w:rsidP="003C406C">
            <w:pPr>
              <w:pStyle w:val="Textpoznpodarou"/>
              <w:jc w:val="both"/>
              <w:rPr>
                <w:spacing w:val="-2"/>
                <w:lang w:val="en-GB"/>
              </w:rPr>
            </w:pPr>
            <w:r w:rsidRPr="0045480B">
              <w:rPr>
                <w:spacing w:val="-2"/>
                <w:lang w:val="en-GB"/>
              </w:rPr>
              <w:t xml:space="preserve">The dynamics of the construction production (+4.3 %) was more favourable compared to the whole EU (+3 %) in the CR </w:t>
            </w:r>
            <w:r w:rsidR="00686E9B" w:rsidRPr="0045480B">
              <w:rPr>
                <w:spacing w:val="-2"/>
                <w:lang w:val="en-GB"/>
              </w:rPr>
              <w:t>(</w:t>
            </w:r>
            <w:r w:rsidRPr="0045480B">
              <w:rPr>
                <w:spacing w:val="-2"/>
                <w:lang w:val="en-GB"/>
              </w:rPr>
              <w:t>in contrast to the previous four years</w:t>
            </w:r>
            <w:r w:rsidR="00686E9B" w:rsidRPr="0045480B">
              <w:rPr>
                <w:spacing w:val="-2"/>
                <w:lang w:val="en-GB"/>
              </w:rPr>
              <w:t>). EU construction</w:t>
            </w:r>
            <w:r w:rsidRPr="0045480B">
              <w:rPr>
                <w:spacing w:val="-2"/>
                <w:lang w:val="en-GB"/>
              </w:rPr>
              <w:t xml:space="preserve"> </w:t>
            </w:r>
            <w:r w:rsidR="00686E9B" w:rsidRPr="0045480B">
              <w:rPr>
                <w:spacing w:val="-2"/>
                <w:lang w:val="en-GB"/>
              </w:rPr>
              <w:t xml:space="preserve">was </w:t>
            </w:r>
            <w:r w:rsidRPr="0045480B">
              <w:rPr>
                <w:spacing w:val="-2"/>
                <w:lang w:val="en-GB"/>
              </w:rPr>
              <w:t>being driven up especially by the Gr</w:t>
            </w:r>
            <w:r w:rsidR="00686E9B" w:rsidRPr="0045480B">
              <w:rPr>
                <w:spacing w:val="-2"/>
                <w:lang w:val="en-GB"/>
              </w:rPr>
              <w:t xml:space="preserve">eat Britain and Spain in the </w:t>
            </w:r>
            <w:r w:rsidRPr="0045480B">
              <w:rPr>
                <w:spacing w:val="-2"/>
                <w:lang w:val="en-GB"/>
              </w:rPr>
              <w:t xml:space="preserve">in 2014. The production cut one fifth in real terms compared to the boom top (year 2007) in the CR, identically to the whole EU. Only five member countries exceeded this level in 2014 (Germany by 8 %, Poland by 22 %), it was significantly deeper in Slovakia (-26 %) and especially the South European </w:t>
            </w:r>
            <w:r w:rsidR="0045480B" w:rsidRPr="0045480B">
              <w:rPr>
                <w:spacing w:val="-2"/>
                <w:lang w:val="en-GB"/>
              </w:rPr>
              <w:t>states (Spain -46 %, Italy - 38</w:t>
            </w:r>
            <w:r w:rsidR="0045480B" w:rsidRPr="0045480B">
              <w:rPr>
                <w:spacing w:val="-2"/>
              </w:rPr>
              <w:t> </w:t>
            </w:r>
            <w:r w:rsidRPr="0045480B">
              <w:rPr>
                <w:spacing w:val="-2"/>
                <w:lang w:val="en-GB"/>
              </w:rPr>
              <w:t>%) and Ireland.</w:t>
            </w:r>
          </w:p>
          <w:p w:rsidR="000F401E" w:rsidRPr="003C406C" w:rsidRDefault="000F401E" w:rsidP="000F401E">
            <w:pPr>
              <w:pStyle w:val="Textpoznpodarou"/>
              <w:jc w:val="both"/>
              <w:rPr>
                <w:spacing w:val="-4"/>
                <w:sz w:val="16"/>
                <w:szCs w:val="16"/>
                <w:lang w:val="en-GB"/>
              </w:rPr>
            </w:pPr>
            <w:r w:rsidRPr="003C406C">
              <w:rPr>
                <w:spacing w:val="-4"/>
                <w:lang w:val="en-GB"/>
              </w:rPr>
              <w:t xml:space="preserve"> </w:t>
            </w:r>
          </w:p>
        </w:tc>
      </w:tr>
      <w:tr w:rsidR="000F401E" w:rsidTr="000F401E">
        <w:tc>
          <w:tcPr>
            <w:tcW w:w="1091" w:type="pct"/>
          </w:tcPr>
          <w:p w:rsidR="00F5516D" w:rsidRPr="00F5516D" w:rsidRDefault="00F5516D" w:rsidP="00F5516D">
            <w:pPr>
              <w:spacing w:line="240" w:lineRule="auto"/>
              <w:rPr>
                <w:sz w:val="16"/>
                <w:szCs w:val="16"/>
                <w:lang w:val="en-GB"/>
              </w:rPr>
            </w:pPr>
            <w:r w:rsidRPr="00F5516D">
              <w:rPr>
                <w:sz w:val="16"/>
                <w:szCs w:val="16"/>
                <w:lang w:val="en-GB"/>
              </w:rPr>
              <w:t xml:space="preserve">Higher sales in services </w:t>
            </w:r>
            <w:r w:rsidR="006F146C">
              <w:rPr>
                <w:sz w:val="16"/>
                <w:szCs w:val="16"/>
                <w:lang w:val="en-GB"/>
              </w:rPr>
              <w:t>(</w:t>
            </w:r>
            <w:r w:rsidRPr="00F5516D">
              <w:rPr>
                <w:sz w:val="16"/>
                <w:szCs w:val="16"/>
                <w:lang w:val="en-GB"/>
              </w:rPr>
              <w:t xml:space="preserve">due to the long-term growth of transportation and warehousing </w:t>
            </w:r>
            <w:r w:rsidR="006F146C">
              <w:rPr>
                <w:sz w:val="16"/>
                <w:szCs w:val="16"/>
                <w:lang w:val="en-GB"/>
              </w:rPr>
              <w:t xml:space="preserve">- </w:t>
            </w:r>
            <w:r w:rsidRPr="00F5516D">
              <w:rPr>
                <w:sz w:val="16"/>
                <w:szCs w:val="16"/>
                <w:lang w:val="en-GB"/>
              </w:rPr>
              <w:t>significant by weight</w:t>
            </w:r>
            <w:r w:rsidR="006F146C">
              <w:rPr>
                <w:sz w:val="16"/>
                <w:szCs w:val="16"/>
                <w:lang w:val="en-GB"/>
              </w:rPr>
              <w:t>)</w:t>
            </w:r>
            <w:r w:rsidRPr="00F5516D">
              <w:rPr>
                <w:sz w:val="16"/>
                <w:szCs w:val="16"/>
                <w:lang w:val="en-GB"/>
              </w:rPr>
              <w:t xml:space="preserve"> for the first time since 2008</w:t>
            </w:r>
          </w:p>
          <w:p w:rsidR="000F401E" w:rsidRPr="00F5516D" w:rsidRDefault="000F401E" w:rsidP="000F401E">
            <w:pPr>
              <w:spacing w:line="240" w:lineRule="auto"/>
              <w:rPr>
                <w:sz w:val="16"/>
                <w:szCs w:val="16"/>
                <w:lang w:val="en-GB"/>
              </w:rPr>
            </w:pPr>
          </w:p>
          <w:p w:rsidR="000F401E" w:rsidRPr="00F5516D" w:rsidRDefault="000F401E" w:rsidP="000F401E">
            <w:pPr>
              <w:spacing w:line="240" w:lineRule="auto"/>
              <w:rPr>
                <w:sz w:val="16"/>
                <w:szCs w:val="16"/>
                <w:lang w:val="en-GB"/>
              </w:rPr>
            </w:pPr>
          </w:p>
          <w:p w:rsidR="000F401E" w:rsidRPr="00F5516D" w:rsidRDefault="00F5516D" w:rsidP="000F401E">
            <w:pPr>
              <w:spacing w:line="240" w:lineRule="auto"/>
              <w:rPr>
                <w:sz w:val="16"/>
                <w:szCs w:val="16"/>
                <w:lang w:val="en-GB"/>
              </w:rPr>
            </w:pPr>
            <w:r w:rsidRPr="00F5516D">
              <w:rPr>
                <w:sz w:val="16"/>
                <w:szCs w:val="16"/>
                <w:lang w:val="en-GB"/>
              </w:rPr>
              <w:t>Twelve quarters lasting growth interrupted in warehousing in Q4</w:t>
            </w:r>
            <w:r w:rsidR="006F146C">
              <w:rPr>
                <w:sz w:val="16"/>
                <w:szCs w:val="16"/>
                <w:lang w:val="en-GB"/>
              </w:rPr>
              <w:t xml:space="preserve"> 2014</w:t>
            </w:r>
            <w:r w:rsidRPr="00F5516D">
              <w:rPr>
                <w:sz w:val="16"/>
                <w:szCs w:val="16"/>
                <w:lang w:val="en-GB"/>
              </w:rPr>
              <w:t xml:space="preserve">, slowdown of dynamics also in land transport year-on-year </w:t>
            </w:r>
          </w:p>
          <w:p w:rsidR="000F401E" w:rsidRPr="00F5516D" w:rsidRDefault="000F401E" w:rsidP="000F401E">
            <w:pPr>
              <w:spacing w:line="240" w:lineRule="auto"/>
              <w:rPr>
                <w:sz w:val="16"/>
                <w:szCs w:val="16"/>
                <w:lang w:val="en-GB"/>
              </w:rPr>
            </w:pPr>
          </w:p>
          <w:p w:rsidR="000F401E" w:rsidRPr="00F5516D" w:rsidRDefault="000F401E" w:rsidP="000F401E">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0F401E" w:rsidRPr="00F5516D" w:rsidRDefault="00F5516D" w:rsidP="00F5516D">
            <w:pPr>
              <w:spacing w:line="240" w:lineRule="auto"/>
              <w:rPr>
                <w:sz w:val="16"/>
                <w:szCs w:val="16"/>
                <w:lang w:val="en-GB"/>
              </w:rPr>
            </w:pPr>
            <w:r w:rsidRPr="00F5516D">
              <w:rPr>
                <w:sz w:val="16"/>
                <w:szCs w:val="16"/>
                <w:lang w:val="en-GB"/>
              </w:rPr>
              <w:t xml:space="preserve">Deep falls of sales ceased in advertising after five years, strong growth continued for job agencies </w:t>
            </w:r>
          </w:p>
        </w:tc>
        <w:tc>
          <w:tcPr>
            <w:tcW w:w="146" w:type="pct"/>
          </w:tcPr>
          <w:p w:rsidR="000F401E" w:rsidRPr="00F5516D" w:rsidRDefault="000F401E" w:rsidP="000F401E">
            <w:pPr>
              <w:pStyle w:val="Textpoznpodarou"/>
              <w:jc w:val="both"/>
              <w:rPr>
                <w:lang w:val="en-GB"/>
              </w:rPr>
            </w:pPr>
          </w:p>
        </w:tc>
        <w:tc>
          <w:tcPr>
            <w:tcW w:w="3763" w:type="pct"/>
          </w:tcPr>
          <w:p w:rsidR="00F5516D" w:rsidRPr="00F5516D" w:rsidRDefault="00145C54" w:rsidP="00F5516D">
            <w:pPr>
              <w:pStyle w:val="Textpoznpodarou"/>
              <w:jc w:val="both"/>
              <w:rPr>
                <w:spacing w:val="-4"/>
                <w:lang w:val="en-GB"/>
              </w:rPr>
            </w:pPr>
            <w:r>
              <w:rPr>
                <w:spacing w:val="-4"/>
                <w:lang w:val="en-GB"/>
              </w:rPr>
              <w:t>Real s</w:t>
            </w:r>
            <w:r w:rsidR="00F5516D" w:rsidRPr="00F5516D">
              <w:rPr>
                <w:spacing w:val="-4"/>
                <w:lang w:val="en-GB"/>
              </w:rPr>
              <w:t>ales in the selected services</w:t>
            </w:r>
            <w:r w:rsidR="0016398E">
              <w:rPr>
                <w:rStyle w:val="Znakapoznpodarou"/>
                <w:spacing w:val="-4"/>
                <w:lang w:val="en-GB"/>
              </w:rPr>
              <w:footnoteReference w:id="5"/>
            </w:r>
            <w:r w:rsidR="00F5516D" w:rsidRPr="00F5516D">
              <w:rPr>
                <w:spacing w:val="-4"/>
                <w:lang w:val="en-GB"/>
              </w:rPr>
              <w:t xml:space="preserve"> recorded their first growth (0.6 %) since the outbreak of the deep recession year-on-year in 2014. Especially the activities, whose sales grow in the long-term and mostly already overtook the „pre-crisis level“, prospered. Nevertheless, the dynamics of sales in services weakened (-1.1 %) in the last quarter of 2014, as a result of the development in warehousing and support activities for transportation (where the sales hit the very high last year's basis). Mostly the transportation and warehousing fare well in the long-term, where the recovery of industry and foreign trade revived their sales in the last two years. The growth of </w:t>
            </w:r>
            <w:r w:rsidR="006F146C">
              <w:rPr>
                <w:spacing w:val="-4"/>
                <w:lang w:val="en-GB"/>
              </w:rPr>
              <w:t xml:space="preserve">real </w:t>
            </w:r>
            <w:r w:rsidR="00F5516D" w:rsidRPr="00F5516D">
              <w:rPr>
                <w:spacing w:val="-4"/>
                <w:lang w:val="en-GB"/>
              </w:rPr>
              <w:t xml:space="preserve">sales continued in accommodation already for a fifth year (also with price increases for the first since 2008), when the drop out of guests from Russia and Ukraine was abundantly compensated by tourists from more distant, especially Asian countries. Restaurants and food service activities on the contrary continued in the </w:t>
            </w:r>
            <w:r w:rsidR="006F146C">
              <w:rPr>
                <w:spacing w:val="-4"/>
                <w:lang w:val="en-GB"/>
              </w:rPr>
              <w:t xml:space="preserve">long-term </w:t>
            </w:r>
            <w:r w:rsidR="00F5516D" w:rsidRPr="00F5516D">
              <w:rPr>
                <w:spacing w:val="-4"/>
                <w:lang w:val="en-GB"/>
              </w:rPr>
              <w:t>reduction of sales (after more favourable summer period of 2013). Real estate activities as well as professional, scientific and technical activities found themselves in milder, however long-term slowdown.</w:t>
            </w:r>
          </w:p>
          <w:p w:rsidR="008746E6" w:rsidRPr="0056747E" w:rsidRDefault="008746E6" w:rsidP="000F401E">
            <w:pPr>
              <w:pStyle w:val="Textpoznpodarou"/>
              <w:jc w:val="both"/>
              <w:rPr>
                <w:spacing w:val="-4"/>
                <w:sz w:val="14"/>
                <w:szCs w:val="14"/>
                <w:lang w:val="en-GB"/>
              </w:rPr>
            </w:pPr>
          </w:p>
          <w:p w:rsidR="00F5516D" w:rsidRPr="00F5516D" w:rsidRDefault="00F5516D" w:rsidP="00F5516D">
            <w:pPr>
              <w:pStyle w:val="Textpoznpodarou"/>
              <w:jc w:val="both"/>
              <w:rPr>
                <w:spacing w:val="-4"/>
                <w:lang w:val="en-GB"/>
              </w:rPr>
            </w:pPr>
            <w:r w:rsidRPr="00F5516D">
              <w:rPr>
                <w:spacing w:val="-4"/>
                <w:lang w:val="en-GB"/>
              </w:rPr>
              <w:t>On the contrary, job agencies prosper already nineteen quarters in a row and further also (even with more modest rates of growth) the administrative and office activities as well as security and investigation activities, IT activities or programming and broadcasting activities.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0F401E" w:rsidRPr="00C36EF5" w:rsidRDefault="00C36EF5" w:rsidP="00890A6B">
            <w:pPr>
              <w:spacing w:line="240" w:lineRule="auto"/>
              <w:rPr>
                <w:sz w:val="16"/>
                <w:szCs w:val="16"/>
                <w:lang w:val="en-GB"/>
              </w:rPr>
            </w:pPr>
            <w:r w:rsidRPr="00C36EF5">
              <w:rPr>
                <w:sz w:val="16"/>
                <w:szCs w:val="16"/>
                <w:lang w:val="en-GB"/>
              </w:rPr>
              <w:lastRenderedPageBreak/>
              <w:t xml:space="preserve">Retail sales </w:t>
            </w:r>
            <w:r w:rsidR="006F146C">
              <w:rPr>
                <w:sz w:val="16"/>
                <w:szCs w:val="16"/>
                <w:lang w:val="en-GB"/>
              </w:rPr>
              <w:t>(</w:t>
            </w:r>
            <w:r w:rsidRPr="00C36EF5">
              <w:rPr>
                <w:sz w:val="16"/>
                <w:szCs w:val="16"/>
                <w:lang w:val="en-GB"/>
              </w:rPr>
              <w:t xml:space="preserve">incl. </w:t>
            </w:r>
            <w:r w:rsidR="00890A6B">
              <w:rPr>
                <w:sz w:val="16"/>
                <w:szCs w:val="16"/>
                <w:lang w:val="en-GB"/>
              </w:rPr>
              <w:t>m</w:t>
            </w:r>
            <w:r w:rsidRPr="00C36EF5">
              <w:rPr>
                <w:sz w:val="16"/>
                <w:szCs w:val="16"/>
                <w:lang w:val="en-GB"/>
              </w:rPr>
              <w:t xml:space="preserve">otor vehicle sales </w:t>
            </w:r>
            <w:r w:rsidR="006F146C">
              <w:rPr>
                <w:sz w:val="16"/>
                <w:szCs w:val="16"/>
                <w:lang w:val="en-GB"/>
              </w:rPr>
              <w:t xml:space="preserve">and repair) </w:t>
            </w:r>
            <w:r w:rsidRPr="00C36EF5">
              <w:rPr>
                <w:sz w:val="16"/>
                <w:szCs w:val="16"/>
                <w:lang w:val="en-GB"/>
              </w:rPr>
              <w:t xml:space="preserve">increased year-on-year the most in the past seven years and exceeded the level of boom top (r. 2008) for the first time </w:t>
            </w:r>
          </w:p>
        </w:tc>
        <w:tc>
          <w:tcPr>
            <w:tcW w:w="146" w:type="pct"/>
          </w:tcPr>
          <w:p w:rsidR="000F401E" w:rsidRPr="00C36EF5" w:rsidRDefault="000F401E" w:rsidP="000F401E">
            <w:pPr>
              <w:pStyle w:val="Textpoznpodarou"/>
              <w:jc w:val="both"/>
              <w:rPr>
                <w:spacing w:val="-2"/>
                <w:lang w:val="en-GB"/>
              </w:rPr>
            </w:pPr>
          </w:p>
        </w:tc>
        <w:tc>
          <w:tcPr>
            <w:tcW w:w="3763" w:type="pct"/>
          </w:tcPr>
          <w:p w:rsidR="00C36EF5" w:rsidRPr="00C36EF5" w:rsidRDefault="00C36EF5" w:rsidP="00C36EF5">
            <w:pPr>
              <w:pStyle w:val="Textpoznpodarou"/>
              <w:jc w:val="both"/>
              <w:rPr>
                <w:spacing w:val="-4"/>
                <w:lang w:val="en-GB"/>
              </w:rPr>
            </w:pPr>
            <w:r w:rsidRPr="00C36EF5">
              <w:rPr>
                <w:spacing w:val="-4"/>
                <w:lang w:val="en-GB"/>
              </w:rPr>
              <w:t xml:space="preserve">The renewed economic growth gradually followed by the improvement on the labour market mirrored in the consumer confidence indicator, which stayed at the highest level </w:t>
            </w:r>
            <w:r w:rsidR="006F146C">
              <w:rPr>
                <w:spacing w:val="-4"/>
                <w:lang w:val="en-GB"/>
              </w:rPr>
              <w:t>(</w:t>
            </w:r>
            <w:r w:rsidRPr="00C36EF5">
              <w:rPr>
                <w:spacing w:val="-4"/>
                <w:lang w:val="en-GB"/>
              </w:rPr>
              <w:t>since March 2007</w:t>
            </w:r>
            <w:r w:rsidR="006F146C">
              <w:rPr>
                <w:spacing w:val="-4"/>
                <w:lang w:val="en-GB"/>
              </w:rPr>
              <w:t>)</w:t>
            </w:r>
            <w:r w:rsidRPr="00C36EF5">
              <w:rPr>
                <w:spacing w:val="-4"/>
                <w:lang w:val="en-GB"/>
              </w:rPr>
              <w:t xml:space="preserve"> towards the end of year 2014. Retail sales also reached record levels (CZ-NACE 45 and 47) and strengthened by 5.4 % year-on-year. The dynamic (strongly pro-cyclical) motorist segment was behind the higher sales in more than one half, its sales were aiming for the double-digit values (for sales as well as repair and maintenance of motor vehicles).</w:t>
            </w:r>
          </w:p>
          <w:p w:rsidR="000F401E" w:rsidRPr="0056747E" w:rsidRDefault="000F401E" w:rsidP="00C36EF5">
            <w:pPr>
              <w:pStyle w:val="Textpoznpodarou"/>
              <w:jc w:val="both"/>
              <w:rPr>
                <w:spacing w:val="-4"/>
                <w:sz w:val="14"/>
                <w:szCs w:val="14"/>
                <w:lang w:val="en-GB"/>
              </w:rPr>
            </w:pPr>
          </w:p>
        </w:tc>
      </w:tr>
      <w:tr w:rsidR="000F401E" w:rsidTr="000F401E">
        <w:trPr>
          <w:cantSplit/>
          <w:trHeight w:val="230"/>
        </w:trPr>
        <w:tc>
          <w:tcPr>
            <w:tcW w:w="1091" w:type="pct"/>
          </w:tcPr>
          <w:p w:rsidR="000F401E" w:rsidRPr="002F1A61" w:rsidRDefault="002A1B95" w:rsidP="002A1B95">
            <w:pPr>
              <w:spacing w:line="240" w:lineRule="auto"/>
              <w:rPr>
                <w:sz w:val="16"/>
                <w:szCs w:val="16"/>
                <w:lang w:val="en-GB"/>
              </w:rPr>
            </w:pPr>
            <w:r w:rsidRPr="002F1A61">
              <w:rPr>
                <w:sz w:val="16"/>
                <w:szCs w:val="16"/>
                <w:lang w:val="en-GB"/>
              </w:rPr>
              <w:t xml:space="preserve">Higher sales for non-food goods in specialized shops for all main types of goods – except for pharmaceutical and medical goods  </w:t>
            </w:r>
            <w:r w:rsidR="000F401E" w:rsidRPr="002F1A61">
              <w:rPr>
                <w:sz w:val="16"/>
                <w:szCs w:val="16"/>
                <w:lang w:val="en-GB"/>
              </w:rPr>
              <w:t xml:space="preserve"> </w:t>
            </w:r>
          </w:p>
        </w:tc>
        <w:tc>
          <w:tcPr>
            <w:tcW w:w="146" w:type="pct"/>
          </w:tcPr>
          <w:p w:rsidR="000F401E" w:rsidRPr="002F1A61" w:rsidRDefault="000F401E" w:rsidP="000F401E">
            <w:pPr>
              <w:pStyle w:val="Textpoznpodarou"/>
              <w:jc w:val="both"/>
              <w:rPr>
                <w:spacing w:val="-2"/>
                <w:lang w:val="en-GB"/>
              </w:rPr>
            </w:pPr>
          </w:p>
        </w:tc>
        <w:tc>
          <w:tcPr>
            <w:tcW w:w="3763" w:type="pct"/>
          </w:tcPr>
          <w:p w:rsidR="000F401E" w:rsidRPr="002F1A61" w:rsidRDefault="003B17F8" w:rsidP="003B17F8">
            <w:pPr>
              <w:pStyle w:val="Textpoznpodarou"/>
              <w:jc w:val="both"/>
              <w:rPr>
                <w:spacing w:val="-4"/>
                <w:lang w:val="en-GB"/>
              </w:rPr>
            </w:pPr>
            <w:r>
              <w:rPr>
                <w:spacing w:val="-4"/>
                <w:lang w:val="en-GB"/>
              </w:rPr>
              <w:t>T</w:t>
            </w:r>
            <w:r w:rsidR="002A1B95" w:rsidRPr="002F1A61">
              <w:rPr>
                <w:spacing w:val="-4"/>
                <w:lang w:val="en-GB"/>
              </w:rPr>
              <w:t>he „non-</w:t>
            </w:r>
            <w:r w:rsidR="002F1A61" w:rsidRPr="002F1A61">
              <w:rPr>
                <w:spacing w:val="-4"/>
                <w:lang w:val="en-GB"/>
              </w:rPr>
              <w:t>motorist</w:t>
            </w:r>
            <w:proofErr w:type="gramStart"/>
            <w:r w:rsidR="002A1B95" w:rsidRPr="002F1A61">
              <w:rPr>
                <w:spacing w:val="-4"/>
                <w:lang w:val="en-GB"/>
              </w:rPr>
              <w:t>“ retail</w:t>
            </w:r>
            <w:proofErr w:type="gramEnd"/>
            <w:r w:rsidR="002A1B95" w:rsidRPr="002F1A61">
              <w:rPr>
                <w:spacing w:val="-4"/>
                <w:lang w:val="en-GB"/>
              </w:rPr>
              <w:t xml:space="preserve"> segment </w:t>
            </w:r>
            <w:r>
              <w:rPr>
                <w:spacing w:val="-4"/>
                <w:lang w:val="en-GB"/>
              </w:rPr>
              <w:t>was traditionally driven by t</w:t>
            </w:r>
            <w:r w:rsidRPr="002F1A61">
              <w:rPr>
                <w:spacing w:val="-4"/>
                <w:lang w:val="en-GB"/>
              </w:rPr>
              <w:t>he non-food produc</w:t>
            </w:r>
            <w:r>
              <w:rPr>
                <w:spacing w:val="-4"/>
                <w:lang w:val="en-GB"/>
              </w:rPr>
              <w:t>ts</w:t>
            </w:r>
            <w:r w:rsidRPr="002F1A61">
              <w:rPr>
                <w:spacing w:val="-4"/>
                <w:lang w:val="en-GB"/>
              </w:rPr>
              <w:t xml:space="preserve"> </w:t>
            </w:r>
            <w:r w:rsidR="002A1B95" w:rsidRPr="002F1A61">
              <w:rPr>
                <w:spacing w:val="-4"/>
                <w:lang w:val="en-GB"/>
              </w:rPr>
              <w:t xml:space="preserve">(+4.3 %), where the reduction of prices aided especially the sales of computer and communication equipment (+17.2 %) in the long-term. Still the sales grew also in </w:t>
            </w:r>
            <w:r w:rsidR="002F1A61" w:rsidRPr="002F1A61">
              <w:rPr>
                <w:spacing w:val="-4"/>
                <w:lang w:val="en-GB"/>
              </w:rPr>
              <w:t>the</w:t>
            </w:r>
            <w:r w:rsidR="002A1B95" w:rsidRPr="002F1A61">
              <w:rPr>
                <w:spacing w:val="-4"/>
                <w:lang w:val="en-GB"/>
              </w:rPr>
              <w:t xml:space="preserve"> vast majority of other specialized shops, especially for products meant for households, culture and recreation or shops with textiles, wearing </w:t>
            </w:r>
            <w:r w:rsidR="002F1A61" w:rsidRPr="002F1A61">
              <w:rPr>
                <w:spacing w:val="-4"/>
                <w:lang w:val="en-GB"/>
              </w:rPr>
              <w:t>apparel</w:t>
            </w:r>
            <w:r w:rsidR="002A1B95" w:rsidRPr="002F1A61">
              <w:rPr>
                <w:spacing w:val="-4"/>
                <w:lang w:val="en-GB"/>
              </w:rPr>
              <w:t xml:space="preserve"> and footwear. The growth of sales for food products (1.3 %) was despite its „modesty</w:t>
            </w:r>
            <w:proofErr w:type="gramStart"/>
            <w:r w:rsidR="002A1B95" w:rsidRPr="002F1A61">
              <w:rPr>
                <w:spacing w:val="-4"/>
                <w:lang w:val="en-GB"/>
              </w:rPr>
              <w:t>“ the</w:t>
            </w:r>
            <w:proofErr w:type="gramEnd"/>
            <w:r w:rsidR="002A1B95" w:rsidRPr="002F1A61">
              <w:rPr>
                <w:spacing w:val="-4"/>
                <w:lang w:val="en-GB"/>
              </w:rPr>
              <w:t xml:space="preserve"> </w:t>
            </w:r>
            <w:r w:rsidR="002F1A61" w:rsidRPr="002F1A61">
              <w:rPr>
                <w:spacing w:val="-4"/>
                <w:lang w:val="en-GB"/>
              </w:rPr>
              <w:t>highest</w:t>
            </w:r>
            <w:r w:rsidR="002A1B95" w:rsidRPr="002F1A61">
              <w:rPr>
                <w:spacing w:val="-4"/>
                <w:lang w:val="en-GB"/>
              </w:rPr>
              <w:t xml:space="preserve"> in the last six years. It was rel</w:t>
            </w:r>
            <w:r>
              <w:rPr>
                <w:spacing w:val="-4"/>
                <w:lang w:val="en-GB"/>
              </w:rPr>
              <w:t>ated mostly to the larger store</w:t>
            </w:r>
            <w:r w:rsidR="002A1B95" w:rsidRPr="002F1A61">
              <w:rPr>
                <w:spacing w:val="-4"/>
                <w:lang w:val="en-GB"/>
              </w:rPr>
              <w:t xml:space="preserve">s, the sales continued in long-term declines in the specialized </w:t>
            </w:r>
            <w:r>
              <w:rPr>
                <w:spacing w:val="-4"/>
                <w:lang w:val="en-GB"/>
              </w:rPr>
              <w:t>(</w:t>
            </w:r>
            <w:r>
              <w:rPr>
                <w:rStyle w:val="hps"/>
                <w:rFonts w:cs="Arial"/>
                <w:color w:val="222222"/>
              </w:rPr>
              <w:t>usually smaller</w:t>
            </w:r>
            <w:r>
              <w:rPr>
                <w:spacing w:val="-4"/>
                <w:lang w:val="en-GB"/>
              </w:rPr>
              <w:t xml:space="preserve">) </w:t>
            </w:r>
            <w:r w:rsidR="002A1B95" w:rsidRPr="002F1A61">
              <w:rPr>
                <w:spacing w:val="-4"/>
                <w:lang w:val="en-GB"/>
              </w:rPr>
              <w:t xml:space="preserve">shops with food. The sales </w:t>
            </w:r>
            <w:r w:rsidR="00890A6B">
              <w:rPr>
                <w:spacing w:val="-4"/>
                <w:lang w:val="en-GB"/>
              </w:rPr>
              <w:t xml:space="preserve">increased </w:t>
            </w:r>
            <w:r w:rsidR="002A1B95" w:rsidRPr="002F1A61">
              <w:rPr>
                <w:spacing w:val="-4"/>
                <w:lang w:val="en-GB"/>
              </w:rPr>
              <w:t xml:space="preserve">at petrol stations after five years (1.7 %), supported also by the high year-on-year December growth (13.6 %), when the very favourable price development of </w:t>
            </w:r>
            <w:r w:rsidRPr="003B17F8">
              <w:rPr>
                <w:spacing w:val="-4"/>
                <w:lang w:val="en-GB"/>
              </w:rPr>
              <w:t xml:space="preserve">automotive </w:t>
            </w:r>
            <w:r>
              <w:rPr>
                <w:spacing w:val="-4"/>
                <w:lang w:val="en-GB"/>
              </w:rPr>
              <w:t>fuel</w:t>
            </w:r>
            <w:r w:rsidR="002A1B95" w:rsidRPr="002F1A61">
              <w:rPr>
                <w:spacing w:val="-4"/>
                <w:lang w:val="en-GB"/>
              </w:rPr>
              <w:t xml:space="preserve"> stimulated demand (incl. transit transportation). The dynamic growth further proceeded for internet sellers </w:t>
            </w:r>
            <w:r w:rsidR="00DF40B1">
              <w:rPr>
                <w:spacing w:val="-4"/>
                <w:lang w:val="en-GB"/>
              </w:rPr>
              <w:t>(19.7 %</w:t>
            </w:r>
            <w:r w:rsidR="002A1B95" w:rsidRPr="002F1A61">
              <w:rPr>
                <w:spacing w:val="-4"/>
                <w:lang w:val="en-GB"/>
              </w:rPr>
              <w:t xml:space="preserve">).  </w:t>
            </w:r>
          </w:p>
        </w:tc>
      </w:tr>
    </w:tbl>
    <w:p w:rsidR="000F401E" w:rsidRDefault="000F401E" w:rsidP="000F401E">
      <w:pPr>
        <w:pStyle w:val="Textpoznpodarou"/>
        <w:jc w:val="both"/>
      </w:pPr>
    </w:p>
    <w:tbl>
      <w:tblPr>
        <w:tblW w:w="5059" w:type="pct"/>
        <w:tblCellMar>
          <w:left w:w="28" w:type="dxa"/>
          <w:right w:w="28" w:type="dxa"/>
        </w:tblCellMar>
        <w:tblLook w:val="04A0"/>
      </w:tblPr>
      <w:tblGrid>
        <w:gridCol w:w="1031"/>
        <w:gridCol w:w="3915"/>
        <w:gridCol w:w="961"/>
        <w:gridCol w:w="3925"/>
      </w:tblGrid>
      <w:tr w:rsidR="000F401E" w:rsidTr="00F359BD">
        <w:tc>
          <w:tcPr>
            <w:tcW w:w="525" w:type="pct"/>
          </w:tcPr>
          <w:p w:rsidR="000F401E" w:rsidRDefault="00DD7496" w:rsidP="00DD7496">
            <w:r>
              <w:t xml:space="preserve">Chart </w:t>
            </w:r>
            <w:r w:rsidR="000F401E">
              <w:t>5</w:t>
            </w:r>
          </w:p>
        </w:tc>
        <w:tc>
          <w:tcPr>
            <w:tcW w:w="1996" w:type="pct"/>
          </w:tcPr>
          <w:p w:rsidR="001A0F0F" w:rsidRDefault="00DD7496" w:rsidP="00055059">
            <w:pPr>
              <w:pStyle w:val="Textpoznpodarou"/>
              <w:rPr>
                <w:b/>
                <w:spacing w:val="-6"/>
                <w:lang w:val="en-GB"/>
              </w:rPr>
            </w:pPr>
            <w:r w:rsidRPr="00DD7496">
              <w:rPr>
                <w:b/>
                <w:spacing w:val="-6"/>
                <w:lang w:val="en-GB"/>
              </w:rPr>
              <w:t xml:space="preserve">Production in industry </w:t>
            </w:r>
          </w:p>
          <w:p w:rsidR="000F401E" w:rsidRPr="00DD7496" w:rsidRDefault="00DD7496" w:rsidP="00055059">
            <w:pPr>
              <w:pStyle w:val="Textpoznpodarou"/>
              <w:rPr>
                <w:b/>
                <w:spacing w:val="-6"/>
                <w:lang w:val="en-GB"/>
              </w:rPr>
            </w:pPr>
            <w:r w:rsidRPr="00DD7496">
              <w:rPr>
                <w:b/>
                <w:spacing w:val="-6"/>
                <w:lang w:val="en-GB"/>
              </w:rPr>
              <w:t xml:space="preserve">and selected manufacturing activities </w:t>
            </w:r>
          </w:p>
          <w:p w:rsidR="000F401E" w:rsidRDefault="000F401E" w:rsidP="00DD7496">
            <w:pPr>
              <w:pStyle w:val="Textpoznpodarou"/>
              <w:rPr>
                <w:b/>
              </w:rPr>
            </w:pPr>
            <w:r w:rsidRPr="00DD7496">
              <w:rPr>
                <w:spacing w:val="-6"/>
                <w:lang w:val="en-GB"/>
              </w:rPr>
              <w:t>(</w:t>
            </w:r>
            <w:proofErr w:type="gramStart"/>
            <w:r w:rsidR="00FC018D" w:rsidRPr="001870CB">
              <w:rPr>
                <w:spacing w:val="-2"/>
                <w:lang w:val="en-GB"/>
              </w:rPr>
              <w:t>constant</w:t>
            </w:r>
            <w:proofErr w:type="gramEnd"/>
            <w:r w:rsidR="00FC018D">
              <w:rPr>
                <w:bCs/>
                <w:lang w:val="en-GB"/>
              </w:rPr>
              <w:t xml:space="preserve"> p</w:t>
            </w:r>
            <w:r w:rsidR="00FC018D" w:rsidRPr="00FC018D">
              <w:rPr>
                <w:bCs/>
                <w:lang w:val="en-GB"/>
              </w:rPr>
              <w:t>rices</w:t>
            </w:r>
            <w:r w:rsidRPr="00DD7496">
              <w:rPr>
                <w:spacing w:val="-6"/>
                <w:lang w:val="en-GB"/>
              </w:rPr>
              <w:t xml:space="preserve">, y/y, </w:t>
            </w:r>
            <w:r w:rsidR="00DD7496" w:rsidRPr="00DD7496">
              <w:rPr>
                <w:spacing w:val="-6"/>
                <w:lang w:val="en-GB"/>
              </w:rPr>
              <w:t>in</w:t>
            </w:r>
            <w:r w:rsidRPr="00DD7496">
              <w:rPr>
                <w:spacing w:val="-6"/>
                <w:lang w:val="en-GB"/>
              </w:rPr>
              <w:t xml:space="preserve"> %)</w:t>
            </w:r>
          </w:p>
        </w:tc>
        <w:tc>
          <w:tcPr>
            <w:tcW w:w="488" w:type="pct"/>
          </w:tcPr>
          <w:p w:rsidR="000F401E" w:rsidRDefault="00DD7496" w:rsidP="00DD7496">
            <w:r>
              <w:t xml:space="preserve">Chart </w:t>
            </w:r>
            <w:r w:rsidR="000F401E">
              <w:t>6</w:t>
            </w:r>
          </w:p>
        </w:tc>
        <w:tc>
          <w:tcPr>
            <w:tcW w:w="1991" w:type="pct"/>
          </w:tcPr>
          <w:p w:rsidR="000F401E" w:rsidRPr="00DE4726" w:rsidRDefault="000F401E" w:rsidP="00FC018D">
            <w:pPr>
              <w:spacing w:line="240" w:lineRule="auto"/>
              <w:rPr>
                <w:b/>
                <w:lang w:val="en-GB"/>
              </w:rPr>
            </w:pPr>
            <w:r w:rsidRPr="00DE4726">
              <w:rPr>
                <w:b/>
                <w:spacing w:val="-2"/>
                <w:lang w:val="en-GB"/>
              </w:rPr>
              <w:t>N</w:t>
            </w:r>
            <w:r w:rsidR="00DE4726" w:rsidRPr="00DE4726">
              <w:rPr>
                <w:b/>
                <w:spacing w:val="-2"/>
                <w:lang w:val="en-GB"/>
              </w:rPr>
              <w:t xml:space="preserve">ew orders in motor vehicle industry, in total industry </w:t>
            </w:r>
            <w:r w:rsidRPr="00DE4726">
              <w:rPr>
                <w:bCs/>
                <w:lang w:val="en-GB"/>
              </w:rPr>
              <w:t>(</w:t>
            </w:r>
            <w:r w:rsidR="00FC018D">
              <w:rPr>
                <w:bCs/>
                <w:lang w:val="en-GB"/>
              </w:rPr>
              <w:t>current p</w:t>
            </w:r>
            <w:r w:rsidR="00FC018D" w:rsidRPr="00FC018D">
              <w:rPr>
                <w:bCs/>
                <w:lang w:val="en-GB"/>
              </w:rPr>
              <w:t>rices</w:t>
            </w:r>
            <w:r w:rsidRPr="00DE4726">
              <w:rPr>
                <w:bCs/>
                <w:lang w:val="en-GB"/>
              </w:rPr>
              <w:t xml:space="preserve">, y/y, </w:t>
            </w:r>
            <w:r w:rsidR="00DD7496" w:rsidRPr="00DE4726">
              <w:rPr>
                <w:bCs/>
                <w:lang w:val="en-GB"/>
              </w:rPr>
              <w:t xml:space="preserve">in </w:t>
            </w:r>
            <w:r w:rsidRPr="00DE4726">
              <w:rPr>
                <w:bCs/>
                <w:lang w:val="en-GB"/>
              </w:rPr>
              <w:t xml:space="preserve">%) </w:t>
            </w:r>
            <w:r w:rsidRPr="00DE4726">
              <w:rPr>
                <w:lang w:val="en-GB"/>
              </w:rPr>
              <w:t>a</w:t>
            </w:r>
            <w:r w:rsidR="00DE4726" w:rsidRPr="00DE4726">
              <w:rPr>
                <w:lang w:val="en-GB"/>
              </w:rPr>
              <w:t>nd</w:t>
            </w:r>
            <w:r w:rsidRPr="00DE4726">
              <w:rPr>
                <w:b/>
                <w:lang w:val="en-GB"/>
              </w:rPr>
              <w:t xml:space="preserve"> </w:t>
            </w:r>
            <w:r w:rsidR="00FC018D">
              <w:rPr>
                <w:b/>
                <w:lang w:val="en-GB"/>
              </w:rPr>
              <w:t>balance</w:t>
            </w:r>
            <w:r w:rsidR="00FC018D" w:rsidRPr="00DE4726">
              <w:rPr>
                <w:b/>
                <w:lang w:val="en-GB"/>
              </w:rPr>
              <w:t xml:space="preserve"> </w:t>
            </w:r>
            <w:r w:rsidR="00FC018D">
              <w:rPr>
                <w:b/>
                <w:lang w:val="en-GB"/>
              </w:rPr>
              <w:t xml:space="preserve">of </w:t>
            </w:r>
            <w:r w:rsidR="00DE4726" w:rsidRPr="00DE4726">
              <w:rPr>
                <w:b/>
                <w:lang w:val="en-GB"/>
              </w:rPr>
              <w:t>con</w:t>
            </w:r>
            <w:r w:rsidR="00FC018D">
              <w:rPr>
                <w:b/>
                <w:lang w:val="en-GB"/>
              </w:rPr>
              <w:t>fidence indicator for</w:t>
            </w:r>
            <w:r w:rsidR="00DE4726" w:rsidRPr="00DE4726">
              <w:rPr>
                <w:b/>
                <w:lang w:val="en-GB"/>
              </w:rPr>
              <w:t xml:space="preserve"> industry </w:t>
            </w:r>
            <w:r w:rsidRPr="00DE4726">
              <w:rPr>
                <w:lang w:val="en-GB"/>
              </w:rPr>
              <w:t>(</w:t>
            </w:r>
            <w:r w:rsidR="00DD7496" w:rsidRPr="00DE4726">
              <w:rPr>
                <w:lang w:val="en-GB"/>
              </w:rPr>
              <w:t>right axis</w:t>
            </w:r>
            <w:r w:rsidRPr="00DE4726">
              <w:rPr>
                <w:lang w:val="en-GB"/>
              </w:rPr>
              <w:t>)</w:t>
            </w:r>
          </w:p>
        </w:tc>
      </w:tr>
      <w:tr w:rsidR="000F401E" w:rsidTr="00F359BD">
        <w:tc>
          <w:tcPr>
            <w:tcW w:w="2521" w:type="pct"/>
            <w:gridSpan w:val="2"/>
          </w:tcPr>
          <w:p w:rsidR="000F401E" w:rsidRDefault="001A0F0F" w:rsidP="000F401E">
            <w:pPr>
              <w:pStyle w:val="Textpoznpodarou"/>
              <w:jc w:val="both"/>
            </w:pPr>
            <w:r>
              <w:rPr>
                <w:noProof/>
              </w:rPr>
              <w:drawing>
                <wp:inline distT="0" distB="0" distL="0" distR="0">
                  <wp:extent cx="3079750" cy="2635250"/>
                  <wp:effectExtent l="19050" t="0" r="635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r="441"/>
                          <a:stretch>
                            <a:fillRect/>
                          </a:stretch>
                        </pic:blipFill>
                        <pic:spPr bwMode="auto">
                          <a:xfrm>
                            <a:off x="0" y="0"/>
                            <a:ext cx="3079750" cy="2635250"/>
                          </a:xfrm>
                          <a:prstGeom prst="rect">
                            <a:avLst/>
                          </a:prstGeom>
                          <a:noFill/>
                          <a:ln w="9525">
                            <a:noFill/>
                            <a:miter lim="800000"/>
                            <a:headEnd/>
                            <a:tailEnd/>
                          </a:ln>
                        </pic:spPr>
                      </pic:pic>
                    </a:graphicData>
                  </a:graphic>
                </wp:inline>
              </w:drawing>
            </w:r>
          </w:p>
        </w:tc>
        <w:tc>
          <w:tcPr>
            <w:tcW w:w="2479" w:type="pct"/>
            <w:gridSpan w:val="2"/>
          </w:tcPr>
          <w:p w:rsidR="000F401E" w:rsidRDefault="001A0F0F" w:rsidP="000F401E">
            <w:pPr>
              <w:pStyle w:val="Textpoznpodarou"/>
              <w:jc w:val="both"/>
            </w:pPr>
            <w:r>
              <w:rPr>
                <w:noProof/>
              </w:rPr>
              <w:drawing>
                <wp:inline distT="0" distB="0" distL="0" distR="0">
                  <wp:extent cx="3041650" cy="2635250"/>
                  <wp:effectExtent l="19050" t="0" r="6350" b="0"/>
                  <wp:docPr id="1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r="438"/>
                          <a:stretch>
                            <a:fillRect/>
                          </a:stretch>
                        </pic:blipFill>
                        <pic:spPr bwMode="auto">
                          <a:xfrm>
                            <a:off x="0" y="0"/>
                            <a:ext cx="3041650" cy="2635250"/>
                          </a:xfrm>
                          <a:prstGeom prst="rect">
                            <a:avLst/>
                          </a:prstGeom>
                          <a:noFill/>
                          <a:ln w="9525">
                            <a:noFill/>
                            <a:miter lim="800000"/>
                            <a:headEnd/>
                            <a:tailEnd/>
                          </a:ln>
                        </pic:spPr>
                      </pic:pic>
                    </a:graphicData>
                  </a:graphic>
                </wp:inline>
              </w:drawing>
            </w:r>
          </w:p>
        </w:tc>
      </w:tr>
      <w:tr w:rsidR="000F401E" w:rsidTr="00F359BD">
        <w:tc>
          <w:tcPr>
            <w:tcW w:w="5000" w:type="pct"/>
            <w:gridSpan w:val="4"/>
          </w:tcPr>
          <w:p w:rsidR="000F401E" w:rsidRDefault="000F401E" w:rsidP="00DE4726">
            <w:pPr>
              <w:pStyle w:val="Textpoznpodarou"/>
              <w:rPr>
                <w:sz w:val="18"/>
                <w:szCs w:val="18"/>
              </w:rPr>
            </w:pPr>
            <w:r>
              <w:rPr>
                <w:rFonts w:cs="Arial"/>
                <w:sz w:val="18"/>
                <w:szCs w:val="18"/>
              </w:rPr>
              <w:t xml:space="preserve">* </w:t>
            </w:r>
            <w:r w:rsidR="00DE4726" w:rsidRPr="00DE4726">
              <w:rPr>
                <w:rFonts w:cs="Arial"/>
                <w:sz w:val="18"/>
                <w:szCs w:val="18"/>
                <w:lang w:val="en-GB"/>
              </w:rPr>
              <w:t>data adjusted for seasonal and calendar effects</w:t>
            </w:r>
            <w:r w:rsidRPr="00DE4726">
              <w:rPr>
                <w:rFonts w:cs="Arial"/>
                <w:sz w:val="18"/>
                <w:szCs w:val="18"/>
                <w:lang w:val="en-GB"/>
              </w:rPr>
              <w:t xml:space="preserve">                                     </w:t>
            </w:r>
            <w:r w:rsidR="00F359BD">
              <w:rPr>
                <w:rFonts w:cs="Arial"/>
                <w:sz w:val="18"/>
                <w:szCs w:val="18"/>
                <w:lang w:val="en-GB"/>
              </w:rPr>
              <w:t xml:space="preserve">                             </w:t>
            </w:r>
            <w:r w:rsidRPr="00DE4726">
              <w:rPr>
                <w:rFonts w:cs="Arial"/>
                <w:sz w:val="18"/>
                <w:szCs w:val="18"/>
                <w:lang w:val="en-GB"/>
              </w:rPr>
              <w:t xml:space="preserve">          </w:t>
            </w:r>
            <w:r w:rsidR="00DE4726" w:rsidRPr="00DE4726">
              <w:rPr>
                <w:rFonts w:cs="Arial"/>
                <w:sz w:val="18"/>
                <w:szCs w:val="18"/>
                <w:lang w:val="en-GB"/>
              </w:rPr>
              <w:t xml:space="preserve">      </w:t>
            </w:r>
            <w:r w:rsidRPr="00DE4726">
              <w:rPr>
                <w:rFonts w:cs="Arial"/>
                <w:sz w:val="18"/>
                <w:szCs w:val="18"/>
                <w:lang w:val="en-GB"/>
              </w:rPr>
              <w:t xml:space="preserve">         </w:t>
            </w:r>
            <w:r w:rsidR="00DD146D">
              <w:rPr>
                <w:rFonts w:cs="Arial"/>
                <w:sz w:val="18"/>
                <w:szCs w:val="18"/>
              </w:rPr>
              <w:t>Source</w:t>
            </w:r>
            <w:r>
              <w:rPr>
                <w:rFonts w:cs="Arial"/>
                <w:sz w:val="18"/>
                <w:szCs w:val="18"/>
              </w:rPr>
              <w:t xml:space="preserve">: </w:t>
            </w:r>
            <w:r w:rsidR="00DD146D">
              <w:rPr>
                <w:rFonts w:cs="Arial"/>
                <w:sz w:val="18"/>
                <w:szCs w:val="18"/>
              </w:rPr>
              <w:t>CZSO</w:t>
            </w:r>
          </w:p>
        </w:tc>
      </w:tr>
    </w:tbl>
    <w:p w:rsidR="000F401E" w:rsidRDefault="000F401E"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Default="000E6E3B" w:rsidP="000F401E">
      <w:pPr>
        <w:pStyle w:val="Odstavecseseznamem"/>
        <w:ind w:left="720"/>
        <w:rPr>
          <w:sz w:val="10"/>
          <w:szCs w:val="10"/>
        </w:rPr>
      </w:pPr>
    </w:p>
    <w:p w:rsidR="000E6E3B" w:rsidRPr="000F401E" w:rsidRDefault="000E6E3B" w:rsidP="000F401E">
      <w:pPr>
        <w:pStyle w:val="Odstavecseseznamem"/>
        <w:ind w:left="720"/>
        <w:rPr>
          <w:sz w:val="10"/>
          <w:szCs w:val="10"/>
        </w:rPr>
      </w:pPr>
    </w:p>
    <w:tbl>
      <w:tblPr>
        <w:tblW w:w="5071" w:type="pct"/>
        <w:tblCellMar>
          <w:left w:w="28" w:type="dxa"/>
          <w:right w:w="28" w:type="dxa"/>
        </w:tblCellMar>
        <w:tblLook w:val="04A0"/>
      </w:tblPr>
      <w:tblGrid>
        <w:gridCol w:w="737"/>
        <w:gridCol w:w="4209"/>
        <w:gridCol w:w="751"/>
        <w:gridCol w:w="4135"/>
      </w:tblGrid>
      <w:tr w:rsidR="000F401E" w:rsidTr="00463EAE">
        <w:tc>
          <w:tcPr>
            <w:tcW w:w="375" w:type="pct"/>
          </w:tcPr>
          <w:p w:rsidR="000F401E" w:rsidRDefault="00DD7496" w:rsidP="00DD7496">
            <w:r>
              <w:lastRenderedPageBreak/>
              <w:t xml:space="preserve">Chart </w:t>
            </w:r>
            <w:r w:rsidR="000F401E">
              <w:t>7</w:t>
            </w:r>
          </w:p>
        </w:tc>
        <w:tc>
          <w:tcPr>
            <w:tcW w:w="2140" w:type="pct"/>
          </w:tcPr>
          <w:p w:rsidR="000F401E" w:rsidRPr="0058462F" w:rsidRDefault="0058462F" w:rsidP="00FC018D">
            <w:pPr>
              <w:spacing w:line="240" w:lineRule="auto"/>
              <w:rPr>
                <w:b/>
                <w:lang w:val="en-GB"/>
              </w:rPr>
            </w:pPr>
            <w:r w:rsidRPr="0058462F">
              <w:rPr>
                <w:b/>
                <w:lang w:val="en-GB"/>
              </w:rPr>
              <w:t>Construction production</w:t>
            </w:r>
            <w:r w:rsidR="000F401E" w:rsidRPr="0058462F">
              <w:rPr>
                <w:b/>
                <w:lang w:val="en-GB"/>
              </w:rPr>
              <w:t xml:space="preserve">, </w:t>
            </w:r>
            <w:r w:rsidRPr="0058462F">
              <w:rPr>
                <w:b/>
                <w:lang w:val="en-GB"/>
              </w:rPr>
              <w:t xml:space="preserve">value of new orders </w:t>
            </w:r>
            <w:r w:rsidR="000F401E" w:rsidRPr="0058462F">
              <w:rPr>
                <w:bCs/>
                <w:lang w:val="en-GB"/>
              </w:rPr>
              <w:t xml:space="preserve">(y/y, </w:t>
            </w:r>
            <w:r w:rsidRPr="0058462F">
              <w:rPr>
                <w:bCs/>
                <w:lang w:val="en-GB"/>
              </w:rPr>
              <w:t>in</w:t>
            </w:r>
            <w:r w:rsidR="000F401E" w:rsidRPr="0058462F">
              <w:rPr>
                <w:bCs/>
                <w:lang w:val="en-GB"/>
              </w:rPr>
              <w:t xml:space="preserve"> %) </w:t>
            </w:r>
            <w:r w:rsidR="000F401E" w:rsidRPr="0058462F">
              <w:rPr>
                <w:lang w:val="en-GB"/>
              </w:rPr>
              <w:t>a</w:t>
            </w:r>
            <w:r w:rsidRPr="0058462F">
              <w:rPr>
                <w:lang w:val="en-GB"/>
              </w:rPr>
              <w:t xml:space="preserve">nd </w:t>
            </w:r>
            <w:r w:rsidR="00FC018D">
              <w:rPr>
                <w:b/>
                <w:lang w:val="en-GB"/>
              </w:rPr>
              <w:t>balance</w:t>
            </w:r>
            <w:r w:rsidR="00FC018D" w:rsidRPr="00DE4726">
              <w:rPr>
                <w:b/>
                <w:lang w:val="en-GB"/>
              </w:rPr>
              <w:t xml:space="preserve"> </w:t>
            </w:r>
            <w:r w:rsidR="00FC018D">
              <w:rPr>
                <w:b/>
                <w:lang w:val="en-GB"/>
              </w:rPr>
              <w:t xml:space="preserve">of </w:t>
            </w:r>
            <w:r w:rsidR="00FC018D" w:rsidRPr="00DE4726">
              <w:rPr>
                <w:b/>
                <w:lang w:val="en-GB"/>
              </w:rPr>
              <w:t>con</w:t>
            </w:r>
            <w:r w:rsidR="00FC018D">
              <w:rPr>
                <w:b/>
                <w:lang w:val="en-GB"/>
              </w:rPr>
              <w:t>fidence indicator for</w:t>
            </w:r>
            <w:r w:rsidRPr="0058462F">
              <w:rPr>
                <w:b/>
                <w:lang w:val="en-GB"/>
              </w:rPr>
              <w:t xml:space="preserve"> construction </w:t>
            </w:r>
            <w:r w:rsidR="000F401E" w:rsidRPr="0058462F">
              <w:rPr>
                <w:lang w:val="en-GB"/>
              </w:rPr>
              <w:t>(</w:t>
            </w:r>
            <w:r w:rsidRPr="0058462F">
              <w:rPr>
                <w:lang w:val="en-GB"/>
              </w:rPr>
              <w:t>right axis</w:t>
            </w:r>
            <w:r w:rsidR="000F401E" w:rsidRPr="0058462F">
              <w:rPr>
                <w:lang w:val="en-GB"/>
              </w:rPr>
              <w:t>)</w:t>
            </w:r>
          </w:p>
        </w:tc>
        <w:tc>
          <w:tcPr>
            <w:tcW w:w="382" w:type="pct"/>
          </w:tcPr>
          <w:p w:rsidR="000F401E" w:rsidRDefault="00DD7496" w:rsidP="00DD7496">
            <w:r>
              <w:t xml:space="preserve">Chart </w:t>
            </w:r>
            <w:r w:rsidR="000F401E">
              <w:t>8</w:t>
            </w:r>
          </w:p>
        </w:tc>
        <w:tc>
          <w:tcPr>
            <w:tcW w:w="2102" w:type="pct"/>
          </w:tcPr>
          <w:p w:rsidR="000F401E" w:rsidRPr="00946F71" w:rsidRDefault="001D6E46" w:rsidP="001D6E46">
            <w:pPr>
              <w:spacing w:line="240" w:lineRule="auto"/>
              <w:rPr>
                <w:b/>
                <w:lang w:val="en-GB"/>
              </w:rPr>
            </w:pPr>
            <w:r w:rsidRPr="00946F71">
              <w:rPr>
                <w:b/>
                <w:lang w:val="en-GB"/>
              </w:rPr>
              <w:t xml:space="preserve">Sales in retail incl. motorist segment </w:t>
            </w:r>
            <w:r w:rsidR="000F401E" w:rsidRPr="00946F71">
              <w:rPr>
                <w:bCs/>
                <w:lang w:val="en-GB"/>
              </w:rPr>
              <w:t>(</w:t>
            </w:r>
            <w:r w:rsidR="00FC018D" w:rsidRPr="001870CB">
              <w:rPr>
                <w:spacing w:val="-2"/>
                <w:lang w:val="en-GB"/>
              </w:rPr>
              <w:t>constant</w:t>
            </w:r>
            <w:r w:rsidR="00FC018D">
              <w:rPr>
                <w:bCs/>
                <w:lang w:val="en-GB"/>
              </w:rPr>
              <w:t xml:space="preserve"> p</w:t>
            </w:r>
            <w:r w:rsidR="00FC018D" w:rsidRPr="00FC018D">
              <w:rPr>
                <w:bCs/>
                <w:lang w:val="en-GB"/>
              </w:rPr>
              <w:t>rices</w:t>
            </w:r>
            <w:r w:rsidR="000F401E" w:rsidRPr="00946F71">
              <w:rPr>
                <w:bCs/>
                <w:lang w:val="en-GB"/>
              </w:rPr>
              <w:t>, y/y</w:t>
            </w:r>
            <w:r w:rsidRPr="00946F71">
              <w:rPr>
                <w:bCs/>
                <w:lang w:val="en-GB"/>
              </w:rPr>
              <w:t xml:space="preserve"> in</w:t>
            </w:r>
            <w:r w:rsidR="000F401E" w:rsidRPr="00946F71">
              <w:rPr>
                <w:bCs/>
                <w:lang w:val="en-GB"/>
              </w:rPr>
              <w:t xml:space="preserve"> %)</w:t>
            </w:r>
            <w:r w:rsidRPr="00946F71">
              <w:rPr>
                <w:bCs/>
                <w:lang w:val="en-GB"/>
              </w:rPr>
              <w:t xml:space="preserve">, </w:t>
            </w:r>
            <w:r w:rsidRPr="00946F71">
              <w:rPr>
                <w:b/>
                <w:bCs/>
                <w:lang w:val="en-GB"/>
              </w:rPr>
              <w:t>balance of consumer confidence indicator</w:t>
            </w:r>
            <w:r w:rsidRPr="00946F71">
              <w:rPr>
                <w:bCs/>
                <w:lang w:val="en-GB"/>
              </w:rPr>
              <w:t xml:space="preserve"> </w:t>
            </w:r>
            <w:r w:rsidR="000F401E" w:rsidRPr="00946F71">
              <w:rPr>
                <w:lang w:val="en-GB"/>
              </w:rPr>
              <w:t>(</w:t>
            </w:r>
            <w:r w:rsidRPr="00946F71">
              <w:rPr>
                <w:lang w:val="en-GB"/>
              </w:rPr>
              <w:t>right axis</w:t>
            </w:r>
            <w:r w:rsidR="000F401E" w:rsidRPr="00946F71">
              <w:rPr>
                <w:lang w:val="en-GB"/>
              </w:rPr>
              <w:t>)</w:t>
            </w:r>
          </w:p>
        </w:tc>
      </w:tr>
      <w:tr w:rsidR="000F401E" w:rsidTr="00F359BD">
        <w:tc>
          <w:tcPr>
            <w:tcW w:w="2515" w:type="pct"/>
            <w:gridSpan w:val="2"/>
          </w:tcPr>
          <w:p w:rsidR="000F401E" w:rsidRDefault="00DA4B00" w:rsidP="000F401E">
            <w:pPr>
              <w:pStyle w:val="Textpoznpodarou"/>
              <w:jc w:val="both"/>
            </w:pPr>
            <w:r>
              <w:rPr>
                <w:noProof/>
              </w:rPr>
              <w:drawing>
                <wp:inline distT="0" distB="0" distL="0" distR="0">
                  <wp:extent cx="3079750" cy="2609175"/>
                  <wp:effectExtent l="19050" t="0" r="6350" b="0"/>
                  <wp:docPr id="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r="445"/>
                          <a:stretch>
                            <a:fillRect/>
                          </a:stretch>
                        </pic:blipFill>
                        <pic:spPr bwMode="auto">
                          <a:xfrm>
                            <a:off x="0" y="0"/>
                            <a:ext cx="3080547" cy="2609850"/>
                          </a:xfrm>
                          <a:prstGeom prst="rect">
                            <a:avLst/>
                          </a:prstGeom>
                          <a:noFill/>
                          <a:ln w="9525">
                            <a:noFill/>
                            <a:miter lim="800000"/>
                            <a:headEnd/>
                            <a:tailEnd/>
                          </a:ln>
                        </pic:spPr>
                      </pic:pic>
                    </a:graphicData>
                  </a:graphic>
                </wp:inline>
              </w:drawing>
            </w:r>
          </w:p>
        </w:tc>
        <w:tc>
          <w:tcPr>
            <w:tcW w:w="2485" w:type="pct"/>
            <w:gridSpan w:val="2"/>
          </w:tcPr>
          <w:p w:rsidR="000F401E" w:rsidRDefault="00F359BD" w:rsidP="000F401E">
            <w:pPr>
              <w:pStyle w:val="Textpoznpodarou"/>
              <w:jc w:val="both"/>
            </w:pPr>
            <w:r>
              <w:rPr>
                <w:noProof/>
              </w:rPr>
              <w:drawing>
                <wp:inline distT="0" distB="0" distL="0" distR="0">
                  <wp:extent cx="3048000" cy="2603500"/>
                  <wp:effectExtent l="19050" t="0" r="0" b="0"/>
                  <wp:docPr id="2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r="441"/>
                          <a:stretch>
                            <a:fillRect/>
                          </a:stretch>
                        </pic:blipFill>
                        <pic:spPr bwMode="auto">
                          <a:xfrm>
                            <a:off x="0" y="0"/>
                            <a:ext cx="3048000" cy="2603500"/>
                          </a:xfrm>
                          <a:prstGeom prst="rect">
                            <a:avLst/>
                          </a:prstGeom>
                          <a:noFill/>
                          <a:ln w="9525">
                            <a:noFill/>
                            <a:miter lim="800000"/>
                            <a:headEnd/>
                            <a:tailEnd/>
                          </a:ln>
                        </pic:spPr>
                      </pic:pic>
                    </a:graphicData>
                  </a:graphic>
                </wp:inline>
              </w:drawing>
            </w:r>
          </w:p>
        </w:tc>
      </w:tr>
      <w:tr w:rsidR="000F401E" w:rsidTr="00F359BD">
        <w:tc>
          <w:tcPr>
            <w:tcW w:w="5000" w:type="pct"/>
            <w:gridSpan w:val="4"/>
          </w:tcPr>
          <w:p w:rsidR="000F401E" w:rsidRDefault="000F401E" w:rsidP="00DD7496">
            <w:pPr>
              <w:pStyle w:val="Zhlav"/>
              <w:rPr>
                <w:rFonts w:ascii="Arial" w:eastAsia="Times New Roman" w:hAnsi="Arial" w:cs="Arial"/>
                <w:sz w:val="18"/>
                <w:szCs w:val="18"/>
              </w:rPr>
            </w:pPr>
            <w:r>
              <w:rPr>
                <w:rFonts w:ascii="Arial" w:eastAsia="Times New Roman" w:hAnsi="Arial" w:cs="Arial"/>
                <w:sz w:val="18"/>
                <w:szCs w:val="18"/>
              </w:rPr>
              <w:t xml:space="preserve">* </w:t>
            </w:r>
            <w:r w:rsidR="00DD7496" w:rsidRPr="00DD7496">
              <w:rPr>
                <w:rFonts w:ascii="Arial" w:eastAsia="Times New Roman" w:hAnsi="Arial" w:cs="Arial"/>
                <w:sz w:val="18"/>
                <w:szCs w:val="18"/>
                <w:lang w:val="en-GB"/>
              </w:rPr>
              <w:t>data adjusted for calendar effects</w:t>
            </w:r>
            <w:r w:rsidRPr="00DD7496">
              <w:rPr>
                <w:rFonts w:ascii="Arial" w:eastAsia="Times New Roman" w:hAnsi="Arial" w:cs="Arial"/>
                <w:sz w:val="18"/>
                <w:szCs w:val="18"/>
                <w:lang w:val="en-GB"/>
              </w:rPr>
              <w:t xml:space="preserve">     </w:t>
            </w:r>
            <w:r>
              <w:rPr>
                <w:rFonts w:ascii="Arial" w:eastAsia="Times New Roman" w:hAnsi="Arial" w:cs="Arial"/>
                <w:sz w:val="18"/>
                <w:szCs w:val="18"/>
              </w:rPr>
              <w:t xml:space="preserve">                                                                           </w:t>
            </w:r>
            <w:r w:rsidR="00F359BD">
              <w:rPr>
                <w:rFonts w:ascii="Arial" w:eastAsia="Times New Roman" w:hAnsi="Arial" w:cs="Arial"/>
                <w:sz w:val="18"/>
                <w:szCs w:val="18"/>
              </w:rPr>
              <w:t xml:space="preserve">                   </w:t>
            </w:r>
            <w:r w:rsidR="00DD7496">
              <w:rPr>
                <w:rFonts w:ascii="Arial" w:eastAsia="Times New Roman" w:hAnsi="Arial" w:cs="Arial"/>
                <w:sz w:val="18"/>
                <w:szCs w:val="18"/>
              </w:rPr>
              <w:t xml:space="preserve">               </w:t>
            </w:r>
            <w:r>
              <w:rPr>
                <w:rFonts w:ascii="Arial" w:eastAsia="Times New Roman" w:hAnsi="Arial" w:cs="Arial"/>
                <w:sz w:val="18"/>
                <w:szCs w:val="18"/>
              </w:rPr>
              <w:t xml:space="preserve">  </w:t>
            </w:r>
            <w:r w:rsidR="00DD146D">
              <w:rPr>
                <w:rFonts w:ascii="Arial" w:eastAsia="Times New Roman" w:hAnsi="Arial" w:cs="Arial"/>
                <w:sz w:val="18"/>
                <w:szCs w:val="18"/>
              </w:rPr>
              <w:t>Source</w:t>
            </w:r>
            <w:r w:rsidRPr="000F401E">
              <w:rPr>
                <w:rFonts w:ascii="Arial" w:hAnsi="Arial" w:cs="Arial"/>
                <w:sz w:val="18"/>
                <w:szCs w:val="18"/>
                <w:lang w:eastAsia="cs-CZ"/>
              </w:rPr>
              <w:t xml:space="preserve">: </w:t>
            </w:r>
            <w:r w:rsidR="00DD146D">
              <w:rPr>
                <w:rFonts w:ascii="Arial" w:hAnsi="Arial" w:cs="Arial"/>
                <w:sz w:val="18"/>
                <w:szCs w:val="18"/>
                <w:lang w:eastAsia="cs-CZ"/>
              </w:rPr>
              <w:t>CZSO</w:t>
            </w:r>
          </w:p>
        </w:tc>
      </w:tr>
    </w:tbl>
    <w:p w:rsidR="00096A52" w:rsidRPr="00096A52" w:rsidRDefault="00E909F6" w:rsidP="00F359BD">
      <w:pPr>
        <w:pStyle w:val="Textpoznpodarou"/>
        <w:rPr>
          <w:sz w:val="16"/>
          <w:szCs w:val="16"/>
          <w:lang w:val="en-GB"/>
        </w:rPr>
      </w:pPr>
      <w:r>
        <w:rPr>
          <w:sz w:val="16"/>
          <w:szCs w:val="16"/>
          <w:lang w:val="en-GB"/>
        </w:rPr>
        <w:br/>
      </w:r>
    </w:p>
    <w:p w:rsidR="00F4591F" w:rsidRPr="002F1A61" w:rsidRDefault="002E3DCC" w:rsidP="008E39BC">
      <w:pPr>
        <w:pStyle w:val="Nadpis1"/>
        <w:numPr>
          <w:ilvl w:val="0"/>
          <w:numId w:val="9"/>
        </w:numPr>
        <w:jc w:val="both"/>
        <w:rPr>
          <w:lang w:val="en-GB"/>
        </w:rPr>
      </w:pPr>
      <w:bookmarkStart w:id="6" w:name="_Toc417454525"/>
      <w:r w:rsidRPr="002F1A61">
        <w:rPr>
          <w:lang w:val="en-GB"/>
        </w:rPr>
        <w:t>External Economic Relations</w:t>
      </w:r>
      <w:bookmarkEnd w:id="6"/>
    </w:p>
    <w:tbl>
      <w:tblPr>
        <w:tblW w:w="5043" w:type="pct"/>
        <w:tblInd w:w="-42" w:type="dxa"/>
        <w:tblCellMar>
          <w:left w:w="28" w:type="dxa"/>
          <w:right w:w="28" w:type="dxa"/>
        </w:tblCellMar>
        <w:tblLook w:val="00A0"/>
      </w:tblPr>
      <w:tblGrid>
        <w:gridCol w:w="28"/>
        <w:gridCol w:w="805"/>
        <w:gridCol w:w="1164"/>
        <w:gridCol w:w="30"/>
        <w:gridCol w:w="216"/>
        <w:gridCol w:w="51"/>
        <w:gridCol w:w="2452"/>
        <w:gridCol w:w="921"/>
        <w:gridCol w:w="4055"/>
        <w:gridCol w:w="55"/>
      </w:tblGrid>
      <w:tr w:rsidR="00602D1D" w:rsidRPr="002F1A61" w:rsidTr="00802421">
        <w:tc>
          <w:tcPr>
            <w:tcW w:w="1042" w:type="pct"/>
            <w:gridSpan w:val="4"/>
          </w:tcPr>
          <w:p w:rsidR="00602D1D" w:rsidRPr="00A31531" w:rsidRDefault="00A31531" w:rsidP="00A31531">
            <w:pPr>
              <w:spacing w:line="240" w:lineRule="auto"/>
              <w:rPr>
                <w:color w:val="000000" w:themeColor="text1"/>
                <w:sz w:val="16"/>
                <w:szCs w:val="16"/>
                <w:lang w:val="en-GB"/>
              </w:rPr>
            </w:pPr>
            <w:r w:rsidRPr="00A31531">
              <w:rPr>
                <w:color w:val="000000" w:themeColor="text1"/>
                <w:sz w:val="16"/>
                <w:szCs w:val="16"/>
                <w:lang w:val="en-GB"/>
              </w:rPr>
              <w:t xml:space="preserve">Historically the best result of external economic relations in several aspects – with a current account of balance of payments surplus, only second for the last 22 years… </w:t>
            </w:r>
          </w:p>
        </w:tc>
        <w:tc>
          <w:tcPr>
            <w:tcW w:w="139" w:type="pct"/>
            <w:gridSpan w:val="2"/>
          </w:tcPr>
          <w:p w:rsidR="00602D1D" w:rsidRPr="00A31531" w:rsidRDefault="00602D1D" w:rsidP="00281416">
            <w:pPr>
              <w:pStyle w:val="Textpoznpodarou"/>
              <w:jc w:val="both"/>
              <w:rPr>
                <w:lang w:val="en-GB"/>
              </w:rPr>
            </w:pPr>
          </w:p>
        </w:tc>
        <w:tc>
          <w:tcPr>
            <w:tcW w:w="3819" w:type="pct"/>
            <w:gridSpan w:val="4"/>
          </w:tcPr>
          <w:p w:rsidR="00A31531" w:rsidRPr="00A31531" w:rsidRDefault="00A31531" w:rsidP="00A31531">
            <w:pPr>
              <w:pStyle w:val="Textpoznpodarou"/>
              <w:jc w:val="both"/>
              <w:rPr>
                <w:color w:val="000000" w:themeColor="text1"/>
                <w:spacing w:val="-2"/>
                <w:lang w:val="en-GB"/>
              </w:rPr>
            </w:pPr>
            <w:r w:rsidRPr="00A31531">
              <w:rPr>
                <w:color w:val="000000" w:themeColor="text1"/>
                <w:spacing w:val="-2"/>
                <w:lang w:val="en-GB"/>
              </w:rPr>
              <w:t>External balance of the Czech economy was improving already for the fourth year in a row in 2014. Flows of funds with abroad ended in accumulation of every quarter in surplus on the current account of balance of payments. T</w:t>
            </w:r>
            <w:r w:rsidR="00434D7F">
              <w:rPr>
                <w:color w:val="000000" w:themeColor="text1"/>
                <w:spacing w:val="-2"/>
                <w:lang w:val="en-GB"/>
              </w:rPr>
              <w:t>he whole-</w:t>
            </w:r>
            <w:r w:rsidRPr="00A31531">
              <w:rPr>
                <w:color w:val="000000" w:themeColor="text1"/>
                <w:spacing w:val="-2"/>
                <w:lang w:val="en-GB"/>
              </w:rPr>
              <w:t>year balance was thus also positive (</w:t>
            </w:r>
            <w:r w:rsidR="009F6D31">
              <w:rPr>
                <w:color w:val="000000" w:themeColor="text1"/>
                <w:spacing w:val="-2"/>
                <w:lang w:val="en-GB"/>
              </w:rPr>
              <w:t xml:space="preserve">CZK </w:t>
            </w:r>
            <w:r w:rsidRPr="00A31531">
              <w:rPr>
                <w:color w:val="000000" w:themeColor="text1"/>
                <w:spacing w:val="-2"/>
                <w:lang w:val="en-GB"/>
              </w:rPr>
              <w:t xml:space="preserve">26.1 </w:t>
            </w:r>
            <w:proofErr w:type="spellStart"/>
            <w:r w:rsidRPr="00A31531">
              <w:rPr>
                <w:color w:val="000000" w:themeColor="text1"/>
                <w:spacing w:val="-2"/>
                <w:lang w:val="en-GB"/>
              </w:rPr>
              <w:t>bn</w:t>
            </w:r>
            <w:proofErr w:type="spellEnd"/>
            <w:r w:rsidRPr="00A31531">
              <w:rPr>
                <w:color w:val="000000" w:themeColor="text1"/>
                <w:spacing w:val="-2"/>
                <w:lang w:val="en-GB"/>
              </w:rPr>
              <w:t xml:space="preserve">, the best result in the CR history (surplus of </w:t>
            </w:r>
            <w:r w:rsidR="009F6D31">
              <w:rPr>
                <w:color w:val="000000" w:themeColor="text1"/>
                <w:spacing w:val="-2"/>
                <w:lang w:val="en-GB"/>
              </w:rPr>
              <w:t xml:space="preserve">CZK </w:t>
            </w:r>
            <w:r w:rsidRPr="00A31531">
              <w:rPr>
                <w:color w:val="000000" w:themeColor="text1"/>
                <w:spacing w:val="-2"/>
                <w:lang w:val="en-GB"/>
              </w:rPr>
              <w:t xml:space="preserve">13.3 </w:t>
            </w:r>
            <w:proofErr w:type="spellStart"/>
            <w:r w:rsidRPr="00A31531">
              <w:rPr>
                <w:color w:val="000000" w:themeColor="text1"/>
                <w:spacing w:val="-2"/>
                <w:lang w:val="en-GB"/>
              </w:rPr>
              <w:t>bn</w:t>
            </w:r>
            <w:proofErr w:type="spellEnd"/>
            <w:r w:rsidRPr="00A31531">
              <w:rPr>
                <w:color w:val="000000" w:themeColor="text1"/>
                <w:spacing w:val="-2"/>
                <w:lang w:val="en-GB"/>
              </w:rPr>
              <w:t xml:space="preserve"> in 1993). </w:t>
            </w:r>
          </w:p>
          <w:p w:rsidR="0056747E" w:rsidRPr="0056747E" w:rsidRDefault="0056747E" w:rsidP="00602D1D">
            <w:pPr>
              <w:pStyle w:val="Textpoznpodarou"/>
              <w:jc w:val="both"/>
              <w:rPr>
                <w:color w:val="000000" w:themeColor="text1"/>
                <w:spacing w:val="-2"/>
                <w:sz w:val="14"/>
                <w:szCs w:val="14"/>
                <w:lang w:val="en-GB"/>
              </w:rPr>
            </w:pPr>
          </w:p>
          <w:p w:rsidR="00A31531" w:rsidRPr="00A31531" w:rsidRDefault="00A31531" w:rsidP="00A31531">
            <w:pPr>
              <w:pStyle w:val="Textpoznpodarou"/>
              <w:jc w:val="both"/>
              <w:rPr>
                <w:color w:val="000000" w:themeColor="text1"/>
                <w:spacing w:val="-2"/>
                <w:lang w:val="en-GB"/>
              </w:rPr>
            </w:pPr>
            <w:r w:rsidRPr="00A31531">
              <w:rPr>
                <w:color w:val="000000" w:themeColor="text1"/>
                <w:spacing w:val="-2"/>
                <w:lang w:val="en-GB"/>
              </w:rPr>
              <w:t>The capital account also ended in the surplus of revenues over expenditure (</w:t>
            </w:r>
            <w:r w:rsidR="009F6D31">
              <w:rPr>
                <w:color w:val="000000" w:themeColor="text1"/>
                <w:spacing w:val="-2"/>
                <w:lang w:val="en-GB"/>
              </w:rPr>
              <w:t xml:space="preserve">CZK </w:t>
            </w:r>
            <w:r w:rsidRPr="00A31531">
              <w:rPr>
                <w:color w:val="000000" w:themeColor="text1"/>
                <w:spacing w:val="-2"/>
                <w:lang w:val="en-GB"/>
              </w:rPr>
              <w:t xml:space="preserve">32.2 </w:t>
            </w:r>
            <w:proofErr w:type="spellStart"/>
            <w:r w:rsidRPr="00A31531">
              <w:rPr>
                <w:color w:val="000000" w:themeColor="text1"/>
                <w:spacing w:val="-2"/>
                <w:lang w:val="en-GB"/>
              </w:rPr>
              <w:t>bn</w:t>
            </w:r>
            <w:proofErr w:type="spellEnd"/>
            <w:r w:rsidRPr="00A31531">
              <w:rPr>
                <w:color w:val="000000" w:themeColor="text1"/>
                <w:spacing w:val="-2"/>
                <w:lang w:val="en-GB"/>
              </w:rPr>
              <w:t>), despite year-on-year deterioration (</w:t>
            </w:r>
            <w:r w:rsidR="009F6D31">
              <w:rPr>
                <w:color w:val="000000" w:themeColor="text1"/>
                <w:spacing w:val="-2"/>
                <w:lang w:val="en-GB"/>
              </w:rPr>
              <w:t xml:space="preserve">CZK </w:t>
            </w:r>
            <w:r w:rsidRPr="00A31531">
              <w:rPr>
                <w:color w:val="000000" w:themeColor="text1"/>
                <w:spacing w:val="-2"/>
                <w:lang w:val="en-GB"/>
              </w:rPr>
              <w:t xml:space="preserve">82.4 </w:t>
            </w:r>
            <w:proofErr w:type="spellStart"/>
            <w:r w:rsidRPr="00A31531">
              <w:rPr>
                <w:color w:val="000000" w:themeColor="text1"/>
                <w:spacing w:val="-2"/>
                <w:lang w:val="en-GB"/>
              </w:rPr>
              <w:t>bn</w:t>
            </w:r>
            <w:proofErr w:type="spellEnd"/>
            <w:r w:rsidRPr="00A31531">
              <w:rPr>
                <w:color w:val="000000" w:themeColor="text1"/>
                <w:spacing w:val="-2"/>
                <w:lang w:val="en-GB"/>
              </w:rPr>
              <w:t xml:space="preserve"> in 2013). Lower net revenues from the EU budget mostly affected the thinner surplus in 2014. On the contrary, the financial account was in deficit already third year in a row (last year mostly due to the impact of the portfolio trades) – however its deficit was covered by the current and capital account surpluses. The balance of secondary income</w:t>
            </w:r>
            <w:r w:rsidR="0016398E">
              <w:rPr>
                <w:rStyle w:val="Znakapoznpodarou"/>
                <w:color w:val="000000" w:themeColor="text1"/>
                <w:spacing w:val="-2"/>
                <w:lang w:val="en-GB"/>
              </w:rPr>
              <w:footnoteReference w:id="6"/>
            </w:r>
            <w:r w:rsidRPr="00A31531">
              <w:rPr>
                <w:color w:val="000000" w:themeColor="text1"/>
                <w:spacing w:val="-2"/>
                <w:lang w:val="en-GB"/>
              </w:rPr>
              <w:t xml:space="preserve"> was also negative (current transfers) with </w:t>
            </w:r>
            <w:r w:rsidR="009F6D31">
              <w:rPr>
                <w:color w:val="000000" w:themeColor="text1"/>
                <w:spacing w:val="-2"/>
                <w:lang w:val="en-GB"/>
              </w:rPr>
              <w:t xml:space="preserve">CZK </w:t>
            </w:r>
            <w:r w:rsidRPr="00A31531">
              <w:rPr>
                <w:color w:val="000000" w:themeColor="text1"/>
                <w:spacing w:val="-2"/>
                <w:lang w:val="en-GB"/>
              </w:rPr>
              <w:t xml:space="preserve">-9.7 </w:t>
            </w:r>
            <w:proofErr w:type="spellStart"/>
            <w:r w:rsidRPr="00A31531">
              <w:rPr>
                <w:color w:val="000000" w:themeColor="text1"/>
                <w:spacing w:val="-2"/>
                <w:lang w:val="en-GB"/>
              </w:rPr>
              <w:t>bn</w:t>
            </w:r>
            <w:proofErr w:type="spellEnd"/>
            <w:r w:rsidRPr="00A31531">
              <w:rPr>
                <w:color w:val="000000" w:themeColor="text1"/>
                <w:spacing w:val="-2"/>
                <w:lang w:val="en-GB"/>
              </w:rPr>
              <w:t xml:space="preserve"> and only a negligible year-on-year improvement (</w:t>
            </w:r>
            <w:r w:rsidR="009F6D31">
              <w:rPr>
                <w:color w:val="000000" w:themeColor="text1"/>
                <w:spacing w:val="-2"/>
                <w:lang w:val="en-GB"/>
              </w:rPr>
              <w:t xml:space="preserve">CZK </w:t>
            </w:r>
            <w:r w:rsidRPr="00A31531">
              <w:rPr>
                <w:color w:val="000000" w:themeColor="text1"/>
                <w:spacing w:val="-2"/>
                <w:lang w:val="en-GB"/>
              </w:rPr>
              <w:t xml:space="preserve">-10.1 </w:t>
            </w:r>
            <w:proofErr w:type="spellStart"/>
            <w:r w:rsidRPr="00A31531">
              <w:rPr>
                <w:color w:val="000000" w:themeColor="text1"/>
                <w:spacing w:val="-2"/>
                <w:lang w:val="en-GB"/>
              </w:rPr>
              <w:t>bn</w:t>
            </w:r>
            <w:proofErr w:type="spellEnd"/>
            <w:r w:rsidRPr="00A31531">
              <w:rPr>
                <w:color w:val="000000" w:themeColor="text1"/>
                <w:spacing w:val="-2"/>
                <w:lang w:val="en-GB"/>
              </w:rPr>
              <w:t xml:space="preserve"> in 2013) – the monetary transfers increased identically to income (i.e. </w:t>
            </w:r>
            <w:r w:rsidR="00890A6B">
              <w:rPr>
                <w:color w:val="000000" w:themeColor="text1"/>
                <w:spacing w:val="-2"/>
                <w:lang w:val="en-GB"/>
              </w:rPr>
              <w:t>b</w:t>
            </w:r>
            <w:r w:rsidRPr="00A31531">
              <w:rPr>
                <w:color w:val="000000" w:themeColor="text1"/>
                <w:spacing w:val="-2"/>
                <w:lang w:val="en-GB"/>
              </w:rPr>
              <w:t xml:space="preserve">y </w:t>
            </w:r>
            <w:r w:rsidR="009F6D31">
              <w:rPr>
                <w:color w:val="000000" w:themeColor="text1"/>
                <w:spacing w:val="-2"/>
                <w:lang w:val="en-GB"/>
              </w:rPr>
              <w:t xml:space="preserve">CZK </w:t>
            </w:r>
            <w:r w:rsidRPr="00A31531">
              <w:rPr>
                <w:color w:val="000000" w:themeColor="text1"/>
                <w:spacing w:val="-2"/>
                <w:lang w:val="en-GB"/>
              </w:rPr>
              <w:t xml:space="preserve">4-5 </w:t>
            </w:r>
            <w:proofErr w:type="spellStart"/>
            <w:r w:rsidRPr="00A31531">
              <w:rPr>
                <w:color w:val="000000" w:themeColor="text1"/>
                <w:spacing w:val="-2"/>
                <w:lang w:val="en-GB"/>
              </w:rPr>
              <w:t>bn</w:t>
            </w:r>
            <w:proofErr w:type="spellEnd"/>
            <w:r w:rsidRPr="00A31531">
              <w:rPr>
                <w:color w:val="000000" w:themeColor="text1"/>
                <w:spacing w:val="-2"/>
                <w:lang w:val="en-GB"/>
              </w:rPr>
              <w:t>). Higher income occurred only in Q2.</w:t>
            </w:r>
          </w:p>
          <w:p w:rsidR="00602D1D" w:rsidRPr="0056747E" w:rsidRDefault="00602D1D" w:rsidP="00A31531">
            <w:pPr>
              <w:pStyle w:val="Textpoznpodarou"/>
              <w:jc w:val="both"/>
              <w:rPr>
                <w:color w:val="000000" w:themeColor="text1"/>
                <w:spacing w:val="-2"/>
                <w:sz w:val="14"/>
                <w:szCs w:val="14"/>
                <w:lang w:val="en-GB"/>
              </w:rPr>
            </w:pPr>
          </w:p>
        </w:tc>
      </w:tr>
      <w:tr w:rsidR="00602D1D" w:rsidRPr="00B45D1B" w:rsidTr="00802421">
        <w:tc>
          <w:tcPr>
            <w:tcW w:w="1042" w:type="pct"/>
            <w:gridSpan w:val="4"/>
          </w:tcPr>
          <w:p w:rsidR="00A31531" w:rsidRPr="00A31531" w:rsidRDefault="00A31531" w:rsidP="00A31531">
            <w:pPr>
              <w:spacing w:line="240" w:lineRule="auto"/>
              <w:rPr>
                <w:color w:val="000000" w:themeColor="text1"/>
                <w:sz w:val="16"/>
                <w:szCs w:val="16"/>
                <w:lang w:val="en-US"/>
              </w:rPr>
            </w:pPr>
            <w:proofErr w:type="gramStart"/>
            <w:r>
              <w:rPr>
                <w:color w:val="000000" w:themeColor="text1"/>
                <w:sz w:val="16"/>
                <w:szCs w:val="16"/>
              </w:rPr>
              <w:t>…</w:t>
            </w:r>
            <w:r w:rsidRPr="00A31531">
              <w:rPr>
                <w:color w:val="000000" w:themeColor="text1"/>
                <w:sz w:val="16"/>
                <w:szCs w:val="16"/>
                <w:lang w:val="en-US"/>
              </w:rPr>
              <w:t>... thanks</w:t>
            </w:r>
            <w:proofErr w:type="gramEnd"/>
            <w:r w:rsidRPr="00A31531">
              <w:rPr>
                <w:color w:val="000000" w:themeColor="text1"/>
                <w:sz w:val="16"/>
                <w:szCs w:val="16"/>
                <w:lang w:val="en-US"/>
              </w:rPr>
              <w:t xml:space="preserve"> to record surplus of the foreign trade with goods and services…</w:t>
            </w:r>
          </w:p>
          <w:p w:rsidR="00602D1D" w:rsidRPr="00602D1D" w:rsidRDefault="00602D1D" w:rsidP="00A31531">
            <w:pPr>
              <w:spacing w:line="240" w:lineRule="auto"/>
              <w:rPr>
                <w:color w:val="000000" w:themeColor="text1"/>
                <w:sz w:val="16"/>
                <w:szCs w:val="16"/>
              </w:rPr>
            </w:pPr>
          </w:p>
        </w:tc>
        <w:tc>
          <w:tcPr>
            <w:tcW w:w="139" w:type="pct"/>
            <w:gridSpan w:val="2"/>
          </w:tcPr>
          <w:p w:rsidR="00602D1D" w:rsidRDefault="00602D1D" w:rsidP="00281416">
            <w:pPr>
              <w:pStyle w:val="Textpoznpodarou"/>
              <w:jc w:val="both"/>
            </w:pPr>
          </w:p>
        </w:tc>
        <w:tc>
          <w:tcPr>
            <w:tcW w:w="3819" w:type="pct"/>
            <w:gridSpan w:val="4"/>
          </w:tcPr>
          <w:p w:rsidR="00A31531" w:rsidRPr="00A31531" w:rsidRDefault="00A31531" w:rsidP="00A31531">
            <w:pPr>
              <w:pStyle w:val="Textpoznpodarou"/>
              <w:jc w:val="both"/>
              <w:rPr>
                <w:color w:val="000000" w:themeColor="text1"/>
                <w:spacing w:val="-2"/>
                <w:lang w:val="en-US"/>
              </w:rPr>
            </w:pPr>
            <w:r w:rsidRPr="00A31531">
              <w:rPr>
                <w:color w:val="000000" w:themeColor="text1"/>
                <w:spacing w:val="-2"/>
                <w:lang w:val="en-US"/>
              </w:rPr>
              <w:t xml:space="preserve">A successful year 2014 in the view of the external balance was influenced mainly by the result of the trade with goods as well as services – the record performance balance was based on the CNB data in surplus of </w:t>
            </w:r>
            <w:r w:rsidR="009F6D31">
              <w:rPr>
                <w:color w:val="000000" w:themeColor="text1"/>
                <w:spacing w:val="-2"/>
                <w:lang w:val="en-US"/>
              </w:rPr>
              <w:t xml:space="preserve">CZK </w:t>
            </w:r>
            <w:r w:rsidRPr="00A31531">
              <w:rPr>
                <w:color w:val="000000" w:themeColor="text1"/>
                <w:spacing w:val="-2"/>
                <w:lang w:val="en-US"/>
              </w:rPr>
              <w:t xml:space="preserve">294.8 </w:t>
            </w:r>
            <w:proofErr w:type="spellStart"/>
            <w:r w:rsidRPr="00A31531">
              <w:rPr>
                <w:color w:val="000000" w:themeColor="text1"/>
                <w:spacing w:val="-2"/>
                <w:lang w:val="en-US"/>
              </w:rPr>
              <w:t>bn</w:t>
            </w:r>
            <w:proofErr w:type="spellEnd"/>
            <w:r w:rsidR="0016398E">
              <w:rPr>
                <w:rStyle w:val="Znakapoznpodarou"/>
                <w:color w:val="000000" w:themeColor="text1"/>
                <w:spacing w:val="-2"/>
                <w:lang w:val="en-US"/>
              </w:rPr>
              <w:footnoteReference w:id="7"/>
            </w:r>
            <w:r w:rsidRPr="00A31531">
              <w:rPr>
                <w:color w:val="000000" w:themeColor="text1"/>
                <w:spacing w:val="-2"/>
                <w:lang w:val="en-US"/>
              </w:rPr>
              <w:t xml:space="preserve"> (the surplus of the services balance formed on fifth). </w:t>
            </w:r>
          </w:p>
          <w:p w:rsidR="00602D1D" w:rsidRPr="0056747E" w:rsidRDefault="00602D1D" w:rsidP="00602D1D">
            <w:pPr>
              <w:pStyle w:val="Textpoznpodarou"/>
              <w:jc w:val="both"/>
              <w:rPr>
                <w:color w:val="000000" w:themeColor="text1"/>
                <w:spacing w:val="-2"/>
                <w:sz w:val="14"/>
                <w:szCs w:val="14"/>
              </w:rPr>
            </w:pPr>
          </w:p>
          <w:p w:rsidR="00A31531" w:rsidRPr="00A31531" w:rsidRDefault="00A31531" w:rsidP="00A31531">
            <w:pPr>
              <w:pStyle w:val="Textpoznpodarou"/>
              <w:jc w:val="both"/>
              <w:rPr>
                <w:color w:val="000000" w:themeColor="text1"/>
                <w:spacing w:val="-4"/>
                <w:lang w:val="en-US"/>
              </w:rPr>
            </w:pPr>
            <w:r w:rsidRPr="00A31531">
              <w:rPr>
                <w:color w:val="000000" w:themeColor="text1"/>
                <w:spacing w:val="-4"/>
                <w:lang w:val="en-US"/>
              </w:rPr>
              <w:t>Exports as well as imports of services recorded double-digit values year-on-year (+11.2 %, resp. +16.8 %), which sharply contrasted with the „recession</w:t>
            </w:r>
            <w:proofErr w:type="gramStart"/>
            <w:r w:rsidR="00F12BC8" w:rsidRPr="00A31531">
              <w:rPr>
                <w:color w:val="000000" w:themeColor="text1"/>
                <w:spacing w:val="-4"/>
                <w:lang w:val="en-US"/>
              </w:rPr>
              <w:t>“</w:t>
            </w:r>
            <w:r w:rsidR="00890A6B">
              <w:rPr>
                <w:color w:val="000000" w:themeColor="text1"/>
                <w:spacing w:val="-4"/>
                <w:lang w:val="en-US"/>
              </w:rPr>
              <w:t xml:space="preserve"> </w:t>
            </w:r>
            <w:r w:rsidR="00F12BC8" w:rsidRPr="00A31531">
              <w:rPr>
                <w:color w:val="000000" w:themeColor="text1"/>
                <w:spacing w:val="-4"/>
                <w:lang w:val="en-US"/>
              </w:rPr>
              <w:t>year</w:t>
            </w:r>
            <w:proofErr w:type="gramEnd"/>
            <w:r w:rsidRPr="00A31531">
              <w:rPr>
                <w:color w:val="000000" w:themeColor="text1"/>
                <w:spacing w:val="-4"/>
                <w:lang w:val="en-US"/>
              </w:rPr>
              <w:t xml:space="preserve"> 2013 (-1 %, resp. +0.6 %). The significant domestic recovery and favourable foreign demand for services had a positive effect. Both revenues and expenditure increased roughly by one tenth in transportation services year-on-year. Expenditure grew considerably in the tourist industry (+17.6 %), but revenues went up only little (+2.9 %). The rates of growth were double-digit for agents with insurance services, revenues from telecommunication services (+16.6 %)</w:t>
            </w:r>
            <w:proofErr w:type="gramStart"/>
            <w:r w:rsidRPr="00A31531">
              <w:rPr>
                <w:color w:val="000000" w:themeColor="text1"/>
                <w:spacing w:val="-4"/>
                <w:lang w:val="en-US"/>
              </w:rPr>
              <w:t>,</w:t>
            </w:r>
            <w:proofErr w:type="gramEnd"/>
            <w:r w:rsidRPr="00A31531">
              <w:rPr>
                <w:color w:val="000000" w:themeColor="text1"/>
                <w:spacing w:val="-4"/>
                <w:lang w:val="en-US"/>
              </w:rPr>
              <w:t xml:space="preserve"> they even grew by one third for leasing of intellectual property (+32.4 %).</w:t>
            </w:r>
          </w:p>
          <w:p w:rsidR="00602D1D" w:rsidRPr="0056747E" w:rsidRDefault="00602D1D" w:rsidP="00602D1D">
            <w:pPr>
              <w:pStyle w:val="Textpoznpodarou"/>
              <w:jc w:val="both"/>
              <w:rPr>
                <w:color w:val="000000" w:themeColor="text1"/>
                <w:spacing w:val="-2"/>
                <w:sz w:val="14"/>
                <w:szCs w:val="14"/>
              </w:rPr>
            </w:pPr>
          </w:p>
          <w:p w:rsidR="0078391B" w:rsidRPr="0078391B" w:rsidRDefault="00A31531" w:rsidP="0078391B">
            <w:pPr>
              <w:pStyle w:val="Textpoznpodarou"/>
              <w:jc w:val="both"/>
              <w:rPr>
                <w:color w:val="000000" w:themeColor="text1"/>
                <w:spacing w:val="-2"/>
                <w:lang w:val="en-GB"/>
              </w:rPr>
            </w:pPr>
            <w:r w:rsidRPr="0078391B">
              <w:rPr>
                <w:color w:val="000000" w:themeColor="text1"/>
                <w:spacing w:val="-2"/>
                <w:lang w:val="en-GB"/>
              </w:rPr>
              <w:t xml:space="preserve">The artificial depreciation of </w:t>
            </w:r>
            <w:r w:rsidR="00893840">
              <w:rPr>
                <w:color w:val="000000" w:themeColor="text1"/>
                <w:spacing w:val="-2"/>
                <w:lang w:val="en-GB"/>
              </w:rPr>
              <w:t>koruna</w:t>
            </w:r>
            <w:r w:rsidRPr="0078391B">
              <w:rPr>
                <w:color w:val="000000" w:themeColor="text1"/>
                <w:spacing w:val="-2"/>
                <w:lang w:val="en-GB"/>
              </w:rPr>
              <w:t xml:space="preserve"> following the </w:t>
            </w:r>
            <w:r w:rsidR="00893840">
              <w:rPr>
                <w:color w:val="000000" w:themeColor="text1"/>
                <w:spacing w:val="-2"/>
                <w:lang w:val="en-GB"/>
              </w:rPr>
              <w:t>monetary</w:t>
            </w:r>
            <w:r w:rsidRPr="0078391B">
              <w:rPr>
                <w:color w:val="000000" w:themeColor="text1"/>
                <w:spacing w:val="-2"/>
                <w:lang w:val="en-GB"/>
              </w:rPr>
              <w:t xml:space="preserve"> intervention of the CNB initiated in November 2013 also participated on this favourable nominal result of the </w:t>
            </w:r>
            <w:r w:rsidRPr="0078391B">
              <w:rPr>
                <w:color w:val="000000" w:themeColor="text1"/>
                <w:spacing w:val="-2"/>
                <w:lang w:val="en-GB"/>
              </w:rPr>
              <w:lastRenderedPageBreak/>
              <w:t>foreign trade. The rates of growth of export prices exceeded the rates for the import prices nearly the whole last year, which pushed up the trade surpluses.</w:t>
            </w:r>
          </w:p>
          <w:p w:rsidR="00602D1D" w:rsidRPr="00602D1D" w:rsidRDefault="00602D1D" w:rsidP="0078391B">
            <w:pPr>
              <w:pStyle w:val="Textpoznpodarou"/>
              <w:jc w:val="both"/>
              <w:rPr>
                <w:color w:val="000000" w:themeColor="text1"/>
                <w:spacing w:val="-2"/>
                <w:sz w:val="16"/>
                <w:szCs w:val="16"/>
              </w:rPr>
            </w:pPr>
            <w:r w:rsidRPr="00602D1D">
              <w:rPr>
                <w:color w:val="000000" w:themeColor="text1"/>
                <w:spacing w:val="-2"/>
              </w:rPr>
              <w:t xml:space="preserve">   </w:t>
            </w:r>
          </w:p>
        </w:tc>
      </w:tr>
      <w:tr w:rsidR="00602D1D" w:rsidRPr="00B45D1B" w:rsidTr="00802421">
        <w:tc>
          <w:tcPr>
            <w:tcW w:w="1042" w:type="pct"/>
            <w:gridSpan w:val="4"/>
          </w:tcPr>
          <w:p w:rsidR="00602D1D" w:rsidRPr="00FF498E" w:rsidRDefault="00FF498E" w:rsidP="00602D1D">
            <w:pPr>
              <w:spacing w:line="240" w:lineRule="auto"/>
              <w:rPr>
                <w:color w:val="000000" w:themeColor="text1"/>
                <w:sz w:val="16"/>
                <w:szCs w:val="16"/>
                <w:lang w:val="en-GB"/>
              </w:rPr>
            </w:pPr>
            <w:r w:rsidRPr="00FF498E">
              <w:rPr>
                <w:color w:val="000000" w:themeColor="text1"/>
                <w:sz w:val="16"/>
                <w:szCs w:val="16"/>
                <w:lang w:val="en-GB"/>
              </w:rPr>
              <w:lastRenderedPageBreak/>
              <w:t>… despite the historically also highest outflow of funds in the form of dividends from the CR to parent companies of foreign owners of firms in the CR</w:t>
            </w:r>
            <w:r w:rsidR="00602D1D" w:rsidRPr="00FF498E">
              <w:rPr>
                <w:color w:val="000000" w:themeColor="text1"/>
                <w:sz w:val="16"/>
                <w:szCs w:val="16"/>
                <w:lang w:val="en-GB"/>
              </w:rPr>
              <w:t xml:space="preserve"> </w:t>
            </w:r>
          </w:p>
          <w:p w:rsidR="00602D1D" w:rsidRPr="00FF498E" w:rsidRDefault="00602D1D" w:rsidP="00602D1D">
            <w:pPr>
              <w:spacing w:line="240" w:lineRule="auto"/>
              <w:rPr>
                <w:color w:val="000000" w:themeColor="text1"/>
                <w:sz w:val="16"/>
                <w:szCs w:val="16"/>
                <w:lang w:val="en-GB"/>
              </w:rPr>
            </w:pPr>
          </w:p>
        </w:tc>
        <w:tc>
          <w:tcPr>
            <w:tcW w:w="139" w:type="pct"/>
            <w:gridSpan w:val="2"/>
          </w:tcPr>
          <w:p w:rsidR="00602D1D" w:rsidRPr="00FF498E" w:rsidRDefault="00602D1D" w:rsidP="00281416">
            <w:pPr>
              <w:pStyle w:val="Textpoznpodarou"/>
              <w:jc w:val="both"/>
              <w:rPr>
                <w:lang w:val="en-GB"/>
              </w:rPr>
            </w:pPr>
          </w:p>
        </w:tc>
        <w:tc>
          <w:tcPr>
            <w:tcW w:w="3819" w:type="pct"/>
            <w:gridSpan w:val="4"/>
          </w:tcPr>
          <w:p w:rsidR="00602D1D" w:rsidRPr="00FF498E" w:rsidRDefault="00FF498E" w:rsidP="00602D1D">
            <w:pPr>
              <w:pStyle w:val="Textpoznpodarou"/>
              <w:jc w:val="both"/>
              <w:rPr>
                <w:color w:val="000000" w:themeColor="text1"/>
                <w:spacing w:val="-2"/>
                <w:lang w:val="en-GB"/>
              </w:rPr>
            </w:pPr>
            <w:r w:rsidRPr="00FF498E">
              <w:rPr>
                <w:color w:val="000000" w:themeColor="text1"/>
                <w:spacing w:val="-2"/>
                <w:lang w:val="en-GB"/>
              </w:rPr>
              <w:t xml:space="preserve">It was just these large trade surpluses which balanced out the traditionally deep deficits in primary incomes given by strong ownership interest of foreign companies in the CR economy. These withdrew on dividends </w:t>
            </w:r>
            <w:r w:rsidR="009F6D31">
              <w:rPr>
                <w:color w:val="000000" w:themeColor="text1"/>
                <w:spacing w:val="-2"/>
                <w:lang w:val="en-GB"/>
              </w:rPr>
              <w:t xml:space="preserve">CZK </w:t>
            </w:r>
            <w:r w:rsidRPr="00FF498E">
              <w:rPr>
                <w:color w:val="000000" w:themeColor="text1"/>
                <w:spacing w:val="-2"/>
                <w:lang w:val="en-GB"/>
              </w:rPr>
              <w:t xml:space="preserve">219.3 </w:t>
            </w:r>
            <w:proofErr w:type="spellStart"/>
            <w:r w:rsidRPr="00FF498E">
              <w:rPr>
                <w:color w:val="000000" w:themeColor="text1"/>
                <w:spacing w:val="-2"/>
                <w:lang w:val="en-GB"/>
              </w:rPr>
              <w:t>bn</w:t>
            </w:r>
            <w:proofErr w:type="spellEnd"/>
            <w:r w:rsidRPr="00FF498E">
              <w:rPr>
                <w:color w:val="000000" w:themeColor="text1"/>
                <w:spacing w:val="-2"/>
                <w:lang w:val="en-GB"/>
              </w:rPr>
              <w:t xml:space="preserve"> last year, the most in history. They left </w:t>
            </w:r>
            <w:r w:rsidR="009F6D31">
              <w:rPr>
                <w:color w:val="000000" w:themeColor="text1"/>
                <w:spacing w:val="-2"/>
                <w:lang w:val="en-GB"/>
              </w:rPr>
              <w:t xml:space="preserve">CZK </w:t>
            </w:r>
            <w:r w:rsidRPr="00FF498E">
              <w:rPr>
                <w:color w:val="000000" w:themeColor="text1"/>
                <w:spacing w:val="-2"/>
                <w:lang w:val="en-GB"/>
              </w:rPr>
              <w:t xml:space="preserve">94.2 </w:t>
            </w:r>
            <w:proofErr w:type="spellStart"/>
            <w:r w:rsidRPr="00FF498E">
              <w:rPr>
                <w:color w:val="000000" w:themeColor="text1"/>
                <w:spacing w:val="-2"/>
                <w:lang w:val="en-GB"/>
              </w:rPr>
              <w:t>bn</w:t>
            </w:r>
            <w:proofErr w:type="spellEnd"/>
            <w:r w:rsidRPr="00FF498E">
              <w:rPr>
                <w:color w:val="000000" w:themeColor="text1"/>
                <w:spacing w:val="-2"/>
                <w:lang w:val="en-GB"/>
              </w:rPr>
              <w:t xml:space="preserve"> to be reinvested here, which was the second largest volume of reinvested profits since 1993. Nevertheless, it is important to remember, that the size of both the repatriated and reinvested profits was connected to the large incomes given by the weaker </w:t>
            </w:r>
            <w:r w:rsidR="00893840">
              <w:rPr>
                <w:color w:val="000000" w:themeColor="text1"/>
                <w:spacing w:val="-2"/>
                <w:lang w:val="en-GB"/>
              </w:rPr>
              <w:t>koruna</w:t>
            </w:r>
            <w:r w:rsidRPr="00FF498E">
              <w:rPr>
                <w:color w:val="000000" w:themeColor="text1"/>
                <w:spacing w:val="-2"/>
                <w:lang w:val="en-GB"/>
              </w:rPr>
              <w:t xml:space="preserve">, which put some dynamics into the sales as well as profits of especially the exporting companies (but also to their domestic suppliers in trades in euros). </w:t>
            </w:r>
          </w:p>
          <w:p w:rsidR="00602D1D" w:rsidRPr="0056747E" w:rsidRDefault="00602D1D" w:rsidP="00602D1D">
            <w:pPr>
              <w:pStyle w:val="Textpoznpodarou"/>
              <w:jc w:val="both"/>
              <w:rPr>
                <w:color w:val="000000" w:themeColor="text1"/>
                <w:spacing w:val="-2"/>
                <w:sz w:val="14"/>
                <w:szCs w:val="14"/>
                <w:lang w:val="en-GB"/>
              </w:rPr>
            </w:pPr>
          </w:p>
        </w:tc>
      </w:tr>
      <w:tr w:rsidR="00602D1D" w:rsidRPr="006F1326" w:rsidTr="00802421">
        <w:tc>
          <w:tcPr>
            <w:tcW w:w="1042" w:type="pct"/>
            <w:gridSpan w:val="4"/>
          </w:tcPr>
          <w:p w:rsidR="00A00BF2" w:rsidRPr="00A00BF2" w:rsidRDefault="00A00BF2" w:rsidP="00A00BF2">
            <w:pPr>
              <w:spacing w:line="240" w:lineRule="auto"/>
              <w:rPr>
                <w:color w:val="000000" w:themeColor="text1"/>
                <w:sz w:val="16"/>
                <w:szCs w:val="16"/>
                <w:lang w:val="en-GB"/>
              </w:rPr>
            </w:pPr>
            <w:r w:rsidRPr="00A00BF2">
              <w:rPr>
                <w:color w:val="000000" w:themeColor="text1"/>
                <w:sz w:val="16"/>
                <w:szCs w:val="16"/>
                <w:lang w:val="en-GB"/>
              </w:rPr>
              <w:t>Much more money arrived on salaries into the CR compared to their outflow - „</w:t>
            </w:r>
            <w:r w:rsidR="009F6D31">
              <w:rPr>
                <w:color w:val="000000" w:themeColor="text1"/>
                <w:sz w:val="16"/>
                <w:szCs w:val="16"/>
                <w:lang w:val="en-GB"/>
              </w:rPr>
              <w:t>salary</w:t>
            </w:r>
            <w:r w:rsidRPr="00A00BF2">
              <w:rPr>
                <w:color w:val="000000" w:themeColor="text1"/>
                <w:sz w:val="16"/>
                <w:szCs w:val="16"/>
                <w:lang w:val="en-GB"/>
              </w:rPr>
              <w:t xml:space="preserve"> balance“ favourable for the CR already for the third time since 2012</w:t>
            </w:r>
          </w:p>
          <w:p w:rsidR="00602D1D" w:rsidRPr="00A00BF2" w:rsidRDefault="00602D1D" w:rsidP="00602D1D">
            <w:pPr>
              <w:spacing w:line="240" w:lineRule="auto"/>
              <w:rPr>
                <w:color w:val="000000" w:themeColor="text1"/>
                <w:sz w:val="16"/>
                <w:szCs w:val="16"/>
                <w:lang w:val="en-GB"/>
              </w:rPr>
            </w:pPr>
          </w:p>
          <w:p w:rsidR="00602D1D" w:rsidRPr="00A00BF2" w:rsidRDefault="00602D1D" w:rsidP="00602D1D">
            <w:pPr>
              <w:spacing w:line="240" w:lineRule="auto"/>
              <w:rPr>
                <w:color w:val="000000" w:themeColor="text1"/>
                <w:sz w:val="16"/>
                <w:szCs w:val="16"/>
                <w:lang w:val="en-GB"/>
              </w:rPr>
            </w:pPr>
            <w:r w:rsidRPr="00A00BF2">
              <w:rPr>
                <w:color w:val="000000" w:themeColor="text1"/>
                <w:sz w:val="16"/>
                <w:szCs w:val="16"/>
                <w:lang w:val="en-GB"/>
              </w:rPr>
              <w:t xml:space="preserve"> </w:t>
            </w:r>
          </w:p>
        </w:tc>
        <w:tc>
          <w:tcPr>
            <w:tcW w:w="139" w:type="pct"/>
            <w:gridSpan w:val="2"/>
          </w:tcPr>
          <w:p w:rsidR="00602D1D" w:rsidRPr="00A00BF2" w:rsidRDefault="00602D1D" w:rsidP="00281416">
            <w:pPr>
              <w:pStyle w:val="Textpoznpodarou"/>
              <w:jc w:val="both"/>
              <w:rPr>
                <w:lang w:val="en-GB"/>
              </w:rPr>
            </w:pPr>
          </w:p>
        </w:tc>
        <w:tc>
          <w:tcPr>
            <w:tcW w:w="3819" w:type="pct"/>
            <w:gridSpan w:val="4"/>
          </w:tcPr>
          <w:p w:rsidR="00602D1D" w:rsidRPr="00A00BF2" w:rsidRDefault="00A00BF2" w:rsidP="00602D1D">
            <w:pPr>
              <w:pStyle w:val="Textpoznpodarou"/>
              <w:jc w:val="both"/>
              <w:rPr>
                <w:color w:val="000000" w:themeColor="text1"/>
                <w:spacing w:val="-2"/>
                <w:lang w:val="en-GB"/>
              </w:rPr>
            </w:pPr>
            <w:r w:rsidRPr="00A00BF2">
              <w:rPr>
                <w:color w:val="000000" w:themeColor="text1"/>
                <w:spacing w:val="-2"/>
                <w:lang w:val="en-GB"/>
              </w:rPr>
              <w:t>The positive „salary balance“, i.e. the difference between the volume of salaries, resp. compensations to employees, of the CR workers abroad (39.3 bn) and foreigners working in the CR (</w:t>
            </w:r>
            <w:r w:rsidR="009F6D31">
              <w:rPr>
                <w:color w:val="000000" w:themeColor="text1"/>
                <w:spacing w:val="-2"/>
                <w:lang w:val="en-GB"/>
              </w:rPr>
              <w:t xml:space="preserve">CZK </w:t>
            </w:r>
            <w:r w:rsidRPr="00A00BF2">
              <w:rPr>
                <w:color w:val="000000" w:themeColor="text1"/>
                <w:spacing w:val="-2"/>
                <w:lang w:val="en-GB"/>
              </w:rPr>
              <w:t xml:space="preserve">7 </w:t>
            </w:r>
            <w:proofErr w:type="spellStart"/>
            <w:r w:rsidRPr="00A00BF2">
              <w:rPr>
                <w:color w:val="000000" w:themeColor="text1"/>
                <w:spacing w:val="-2"/>
                <w:lang w:val="en-GB"/>
              </w:rPr>
              <w:t>bn</w:t>
            </w:r>
            <w:proofErr w:type="spellEnd"/>
            <w:r w:rsidRPr="00A00BF2">
              <w:rPr>
                <w:color w:val="000000" w:themeColor="text1"/>
                <w:spacing w:val="-2"/>
                <w:lang w:val="en-GB"/>
              </w:rPr>
              <w:t xml:space="preserve"> represented the next record from the view of external relations in 2014. The surplus in the amount of </w:t>
            </w:r>
            <w:r w:rsidR="009F6D31">
              <w:rPr>
                <w:color w:val="000000" w:themeColor="text1"/>
                <w:spacing w:val="-2"/>
                <w:lang w:val="en-GB"/>
              </w:rPr>
              <w:t xml:space="preserve">CZK </w:t>
            </w:r>
            <w:r w:rsidRPr="00A00BF2">
              <w:rPr>
                <w:color w:val="000000" w:themeColor="text1"/>
                <w:spacing w:val="-2"/>
                <w:lang w:val="en-GB"/>
              </w:rPr>
              <w:t xml:space="preserve">22.2 </w:t>
            </w:r>
            <w:proofErr w:type="spellStart"/>
            <w:r w:rsidRPr="00A00BF2">
              <w:rPr>
                <w:color w:val="000000" w:themeColor="text1"/>
                <w:spacing w:val="-2"/>
                <w:lang w:val="en-GB"/>
              </w:rPr>
              <w:t>bn</w:t>
            </w:r>
            <w:proofErr w:type="spellEnd"/>
            <w:r w:rsidRPr="00A00BF2">
              <w:rPr>
                <w:color w:val="000000" w:themeColor="text1"/>
                <w:spacing w:val="-2"/>
                <w:lang w:val="en-GB"/>
              </w:rPr>
              <w:t xml:space="preserve"> was given especially by the size of wages (compensations) of residents abroad. The proportions are impacted by the economic cycle, since the immigration has the nature of labour migrat</w:t>
            </w:r>
            <w:r>
              <w:rPr>
                <w:color w:val="000000" w:themeColor="text1"/>
                <w:spacing w:val="-2"/>
                <w:lang w:val="en-GB"/>
              </w:rPr>
              <w:t>i</w:t>
            </w:r>
            <w:r w:rsidRPr="00A00BF2">
              <w:rPr>
                <w:color w:val="000000" w:themeColor="text1"/>
                <w:spacing w:val="-2"/>
                <w:lang w:val="en-GB"/>
              </w:rPr>
              <w:t>on here – that is why the largest outflow of funds in the form of wages (</w:t>
            </w:r>
            <w:r w:rsidR="009F6D31">
              <w:rPr>
                <w:color w:val="000000" w:themeColor="text1"/>
                <w:spacing w:val="-2"/>
                <w:lang w:val="en-GB"/>
              </w:rPr>
              <w:t xml:space="preserve">CZK </w:t>
            </w:r>
            <w:r w:rsidRPr="00A00BF2">
              <w:rPr>
                <w:color w:val="000000" w:themeColor="text1"/>
                <w:spacing w:val="-2"/>
                <w:lang w:val="en-GB"/>
              </w:rPr>
              <w:t xml:space="preserve">44.1 </w:t>
            </w:r>
            <w:proofErr w:type="spellStart"/>
            <w:r w:rsidRPr="00A00BF2">
              <w:rPr>
                <w:color w:val="000000" w:themeColor="text1"/>
                <w:spacing w:val="-2"/>
                <w:lang w:val="en-GB"/>
              </w:rPr>
              <w:t>bn</w:t>
            </w:r>
            <w:proofErr w:type="spellEnd"/>
            <w:r w:rsidRPr="00A00BF2">
              <w:rPr>
                <w:color w:val="000000" w:themeColor="text1"/>
                <w:spacing w:val="-2"/>
                <w:lang w:val="en-GB"/>
              </w:rPr>
              <w:t xml:space="preserve">) occurred during the boom with the resulting balance of </w:t>
            </w:r>
            <w:r w:rsidR="009F6D31">
              <w:rPr>
                <w:color w:val="000000" w:themeColor="text1"/>
                <w:spacing w:val="-2"/>
                <w:lang w:val="en-GB"/>
              </w:rPr>
              <w:t xml:space="preserve">CZK </w:t>
            </w:r>
            <w:r w:rsidRPr="00A00BF2">
              <w:rPr>
                <w:color w:val="000000" w:themeColor="text1"/>
                <w:spacing w:val="-2"/>
                <w:lang w:val="en-GB"/>
              </w:rPr>
              <w:t xml:space="preserve">-24.8 </w:t>
            </w:r>
            <w:proofErr w:type="spellStart"/>
            <w:r w:rsidRPr="00A00BF2">
              <w:rPr>
                <w:color w:val="000000" w:themeColor="text1"/>
                <w:spacing w:val="-2"/>
                <w:lang w:val="en-GB"/>
              </w:rPr>
              <w:t>bn</w:t>
            </w:r>
            <w:proofErr w:type="spellEnd"/>
            <w:r w:rsidRPr="00A00BF2">
              <w:rPr>
                <w:color w:val="000000" w:themeColor="text1"/>
                <w:spacing w:val="-2"/>
                <w:lang w:val="en-GB"/>
              </w:rPr>
              <w:t xml:space="preserve"> in 2008 (residents brought </w:t>
            </w:r>
            <w:r w:rsidR="009F6D31">
              <w:rPr>
                <w:color w:val="000000" w:themeColor="text1"/>
                <w:spacing w:val="-2"/>
                <w:lang w:val="en-GB"/>
              </w:rPr>
              <w:t xml:space="preserve">CZK </w:t>
            </w:r>
            <w:r w:rsidRPr="00A00BF2">
              <w:rPr>
                <w:color w:val="000000" w:themeColor="text1"/>
                <w:spacing w:val="-2"/>
                <w:lang w:val="en-GB"/>
              </w:rPr>
              <w:t xml:space="preserve">19.2 </w:t>
            </w:r>
            <w:proofErr w:type="spellStart"/>
            <w:r w:rsidRPr="00A00BF2">
              <w:rPr>
                <w:color w:val="000000" w:themeColor="text1"/>
                <w:spacing w:val="-2"/>
                <w:lang w:val="en-GB"/>
              </w:rPr>
              <w:t>bn</w:t>
            </w:r>
            <w:proofErr w:type="spellEnd"/>
            <w:r w:rsidRPr="00A00BF2">
              <w:rPr>
                <w:color w:val="000000" w:themeColor="text1"/>
                <w:spacing w:val="-2"/>
                <w:lang w:val="en-GB"/>
              </w:rPr>
              <w:t xml:space="preserve"> from abroad at that time).</w:t>
            </w:r>
            <w:r w:rsidR="00602D1D" w:rsidRPr="00A00BF2">
              <w:rPr>
                <w:color w:val="000000" w:themeColor="text1"/>
                <w:spacing w:val="-2"/>
                <w:lang w:val="en-GB"/>
              </w:rPr>
              <w:t xml:space="preserve"> </w:t>
            </w:r>
          </w:p>
          <w:p w:rsidR="00602D1D" w:rsidRPr="0056747E" w:rsidRDefault="00602D1D" w:rsidP="00602D1D">
            <w:pPr>
              <w:pStyle w:val="Textpoznpodarou"/>
              <w:jc w:val="both"/>
              <w:rPr>
                <w:color w:val="000000" w:themeColor="text1"/>
                <w:spacing w:val="-2"/>
                <w:sz w:val="14"/>
                <w:szCs w:val="14"/>
                <w:lang w:val="en-GB"/>
              </w:rPr>
            </w:pPr>
          </w:p>
        </w:tc>
      </w:tr>
      <w:tr w:rsidR="00602D1D" w:rsidRPr="00444268" w:rsidTr="00802421">
        <w:tc>
          <w:tcPr>
            <w:tcW w:w="1042" w:type="pct"/>
            <w:gridSpan w:val="4"/>
          </w:tcPr>
          <w:p w:rsidR="00602D1D" w:rsidRPr="00A00BF2" w:rsidRDefault="00A00BF2" w:rsidP="00A00BF2">
            <w:pPr>
              <w:spacing w:line="240" w:lineRule="auto"/>
              <w:rPr>
                <w:color w:val="000000" w:themeColor="text1"/>
                <w:sz w:val="16"/>
                <w:szCs w:val="16"/>
                <w:lang w:val="en-GB"/>
              </w:rPr>
            </w:pPr>
            <w:r w:rsidRPr="00A00BF2">
              <w:rPr>
                <w:color w:val="000000" w:themeColor="text1"/>
                <w:sz w:val="16"/>
                <w:szCs w:val="16"/>
                <w:lang w:val="en-GB"/>
              </w:rPr>
              <w:t>Financial account finished in deficit despite the inflow of foreign direct investment both on the asset and liability side into the country…</w:t>
            </w:r>
          </w:p>
        </w:tc>
        <w:tc>
          <w:tcPr>
            <w:tcW w:w="139" w:type="pct"/>
            <w:gridSpan w:val="2"/>
          </w:tcPr>
          <w:p w:rsidR="00602D1D" w:rsidRPr="00A00BF2" w:rsidRDefault="00602D1D" w:rsidP="00281416">
            <w:pPr>
              <w:pStyle w:val="Textpoznpodarou"/>
              <w:jc w:val="both"/>
              <w:rPr>
                <w:lang w:val="en-GB"/>
              </w:rPr>
            </w:pPr>
          </w:p>
        </w:tc>
        <w:tc>
          <w:tcPr>
            <w:tcW w:w="3819" w:type="pct"/>
            <w:gridSpan w:val="4"/>
          </w:tcPr>
          <w:p w:rsidR="00A00BF2" w:rsidRPr="00A00BF2" w:rsidRDefault="00A00BF2" w:rsidP="00A00BF2">
            <w:pPr>
              <w:pStyle w:val="Textpoznpodarou"/>
              <w:jc w:val="both"/>
              <w:rPr>
                <w:color w:val="000000" w:themeColor="text1"/>
                <w:spacing w:val="-2"/>
                <w:lang w:val="en-GB"/>
              </w:rPr>
            </w:pPr>
            <w:r w:rsidRPr="00A00BF2">
              <w:rPr>
                <w:color w:val="000000" w:themeColor="text1"/>
                <w:spacing w:val="-2"/>
                <w:lang w:val="en-GB"/>
              </w:rPr>
              <w:t xml:space="preserve">In contrast to both current and capital account surpluses, the financial account recorded an outflow of funds from the country already for a third year in a row (in the amount of </w:t>
            </w:r>
            <w:r w:rsidR="009F6D31">
              <w:rPr>
                <w:color w:val="000000" w:themeColor="text1"/>
                <w:spacing w:val="-2"/>
                <w:lang w:val="en-GB"/>
              </w:rPr>
              <w:t xml:space="preserve">CZK </w:t>
            </w:r>
            <w:r w:rsidRPr="00A00BF2">
              <w:rPr>
                <w:color w:val="000000" w:themeColor="text1"/>
                <w:spacing w:val="-2"/>
                <w:lang w:val="en-GB"/>
              </w:rPr>
              <w:t xml:space="preserve">48 </w:t>
            </w:r>
            <w:proofErr w:type="spellStart"/>
            <w:r w:rsidRPr="00A00BF2">
              <w:rPr>
                <w:color w:val="000000" w:themeColor="text1"/>
                <w:spacing w:val="-2"/>
                <w:lang w:val="en-GB"/>
              </w:rPr>
              <w:t>bn</w:t>
            </w:r>
            <w:proofErr w:type="spellEnd"/>
            <w:r w:rsidRPr="00A00BF2">
              <w:rPr>
                <w:color w:val="000000" w:themeColor="text1"/>
                <w:spacing w:val="-2"/>
                <w:lang w:val="en-GB"/>
              </w:rPr>
              <w:t xml:space="preserve"> in 2014). </w:t>
            </w:r>
          </w:p>
          <w:p w:rsidR="00602D1D" w:rsidRPr="00A00BF2" w:rsidRDefault="00602D1D" w:rsidP="00602D1D">
            <w:pPr>
              <w:pStyle w:val="Textpoznpodarou"/>
              <w:jc w:val="both"/>
              <w:rPr>
                <w:color w:val="000000" w:themeColor="text1"/>
                <w:spacing w:val="-2"/>
                <w:sz w:val="10"/>
                <w:szCs w:val="10"/>
                <w:lang w:val="en-GB"/>
              </w:rPr>
            </w:pPr>
          </w:p>
          <w:p w:rsidR="00A00BF2" w:rsidRPr="00A00BF2" w:rsidRDefault="00A00BF2" w:rsidP="00A00BF2">
            <w:pPr>
              <w:pStyle w:val="Textpoznpodarou"/>
              <w:jc w:val="both"/>
              <w:rPr>
                <w:color w:val="000000" w:themeColor="text1"/>
                <w:spacing w:val="-2"/>
                <w:lang w:val="en-GB"/>
              </w:rPr>
            </w:pPr>
            <w:r w:rsidRPr="00A00BF2">
              <w:rPr>
                <w:color w:val="000000" w:themeColor="text1"/>
                <w:spacing w:val="-2"/>
                <w:lang w:val="en-GB"/>
              </w:rPr>
              <w:t>The foreign direct investment balance was as usual positive (</w:t>
            </w:r>
            <w:r w:rsidR="009F6D31">
              <w:rPr>
                <w:color w:val="000000" w:themeColor="text1"/>
                <w:spacing w:val="-2"/>
                <w:lang w:val="en-GB"/>
              </w:rPr>
              <w:t xml:space="preserve">CZK </w:t>
            </w:r>
            <w:r w:rsidRPr="00A00BF2">
              <w:rPr>
                <w:color w:val="000000" w:themeColor="text1"/>
                <w:spacing w:val="-2"/>
                <w:lang w:val="en-GB"/>
              </w:rPr>
              <w:t xml:space="preserve">133.6 </w:t>
            </w:r>
            <w:proofErr w:type="spellStart"/>
            <w:r w:rsidRPr="00A00BF2">
              <w:rPr>
                <w:color w:val="000000" w:themeColor="text1"/>
                <w:spacing w:val="-2"/>
                <w:lang w:val="en-GB"/>
              </w:rPr>
              <w:t>bn</w:t>
            </w:r>
            <w:proofErr w:type="spellEnd"/>
            <w:r w:rsidRPr="00A00BF2">
              <w:rPr>
                <w:color w:val="000000" w:themeColor="text1"/>
                <w:spacing w:val="-2"/>
                <w:lang w:val="en-GB"/>
              </w:rPr>
              <w:t xml:space="preserve">) with the inflow of direct investment worth </w:t>
            </w:r>
            <w:r w:rsidR="009F6D31">
              <w:rPr>
                <w:color w:val="000000" w:themeColor="text1"/>
                <w:spacing w:val="-2"/>
                <w:lang w:val="en-GB"/>
              </w:rPr>
              <w:t xml:space="preserve">CZK </w:t>
            </w:r>
            <w:r w:rsidRPr="00A00BF2">
              <w:rPr>
                <w:color w:val="000000" w:themeColor="text1"/>
                <w:spacing w:val="-2"/>
                <w:lang w:val="en-GB"/>
              </w:rPr>
              <w:t>101.4 bn. However, the outflow in the form of investment of domestic entities abroad did not tak</w:t>
            </w:r>
            <w:r>
              <w:rPr>
                <w:color w:val="000000" w:themeColor="text1"/>
                <w:spacing w:val="-2"/>
                <w:lang w:val="en-GB"/>
              </w:rPr>
              <w:t>e</w:t>
            </w:r>
            <w:r w:rsidRPr="00A00BF2">
              <w:rPr>
                <w:color w:val="000000" w:themeColor="text1"/>
                <w:spacing w:val="-2"/>
                <w:lang w:val="en-GB"/>
              </w:rPr>
              <w:t xml:space="preserve"> place – on the contrary, they were withdrawing their investments (</w:t>
            </w:r>
            <w:r w:rsidR="009F6D31">
              <w:rPr>
                <w:color w:val="000000" w:themeColor="text1"/>
                <w:spacing w:val="-2"/>
                <w:lang w:val="en-GB"/>
              </w:rPr>
              <w:t xml:space="preserve">CZK </w:t>
            </w:r>
            <w:r w:rsidRPr="00A00BF2">
              <w:rPr>
                <w:color w:val="000000" w:themeColor="text1"/>
                <w:spacing w:val="-2"/>
                <w:lang w:val="en-GB"/>
              </w:rPr>
              <w:t xml:space="preserve">-32.2 </w:t>
            </w:r>
            <w:proofErr w:type="spellStart"/>
            <w:r w:rsidRPr="00A00BF2">
              <w:rPr>
                <w:color w:val="000000" w:themeColor="text1"/>
                <w:spacing w:val="-2"/>
                <w:lang w:val="en-GB"/>
              </w:rPr>
              <w:t>bn</w:t>
            </w:r>
            <w:proofErr w:type="spellEnd"/>
            <w:r w:rsidRPr="00A00BF2">
              <w:rPr>
                <w:color w:val="000000" w:themeColor="text1"/>
                <w:spacing w:val="-2"/>
                <w:lang w:val="en-GB"/>
              </w:rPr>
              <w:t xml:space="preserve"> in net). </w:t>
            </w:r>
          </w:p>
          <w:p w:rsidR="00602D1D" w:rsidRPr="00A00BF2" w:rsidRDefault="00602D1D" w:rsidP="00602D1D">
            <w:pPr>
              <w:pStyle w:val="Textpoznpodarou"/>
              <w:jc w:val="both"/>
              <w:rPr>
                <w:color w:val="000000" w:themeColor="text1"/>
                <w:spacing w:val="-2"/>
                <w:sz w:val="10"/>
                <w:szCs w:val="10"/>
                <w:lang w:val="en-GB"/>
              </w:rPr>
            </w:pPr>
          </w:p>
          <w:p w:rsidR="00A00BF2" w:rsidRPr="00A00BF2" w:rsidRDefault="00A00BF2" w:rsidP="00A00BF2">
            <w:pPr>
              <w:pStyle w:val="Textpoznpodarou"/>
              <w:jc w:val="both"/>
              <w:rPr>
                <w:color w:val="000000" w:themeColor="text1"/>
                <w:spacing w:val="-2"/>
                <w:lang w:val="en-GB"/>
              </w:rPr>
            </w:pPr>
            <w:r w:rsidRPr="00A00BF2">
              <w:rPr>
                <w:color w:val="000000" w:themeColor="text1"/>
                <w:spacing w:val="-2"/>
                <w:lang w:val="en-GB"/>
              </w:rPr>
              <w:t xml:space="preserve">The direct investment into the Czech economy slightly above the hundred billion </w:t>
            </w:r>
            <w:proofErr w:type="gramStart"/>
            <w:r w:rsidRPr="00A00BF2">
              <w:rPr>
                <w:color w:val="000000" w:themeColor="text1"/>
                <w:spacing w:val="-2"/>
                <w:lang w:val="en-GB"/>
              </w:rPr>
              <w:t>boundary</w:t>
            </w:r>
            <w:proofErr w:type="gramEnd"/>
            <w:r w:rsidRPr="00A00BF2">
              <w:rPr>
                <w:color w:val="000000" w:themeColor="text1"/>
                <w:spacing w:val="-2"/>
                <w:lang w:val="en-GB"/>
              </w:rPr>
              <w:t xml:space="preserve"> was lower compared to the previous two years of recession. They have not overcame the three year, resp. ten year average either (</w:t>
            </w:r>
            <w:r w:rsidR="009F6D31">
              <w:rPr>
                <w:color w:val="000000" w:themeColor="text1"/>
                <w:spacing w:val="-2"/>
                <w:lang w:val="en-GB"/>
              </w:rPr>
              <w:t xml:space="preserve">CZK </w:t>
            </w:r>
            <w:r w:rsidRPr="00A00BF2">
              <w:rPr>
                <w:color w:val="000000" w:themeColor="text1"/>
                <w:spacing w:val="-2"/>
                <w:lang w:val="en-GB"/>
              </w:rPr>
              <w:t>135</w:t>
            </w:r>
            <w:r w:rsidR="009F6D31">
              <w:rPr>
                <w:color w:val="000000" w:themeColor="text1"/>
                <w:spacing w:val="-2"/>
                <w:lang w:val="en-GB"/>
              </w:rPr>
              <w:t xml:space="preserve"> </w:t>
            </w:r>
            <w:proofErr w:type="spellStart"/>
            <w:r w:rsidR="009F6D31">
              <w:rPr>
                <w:color w:val="000000" w:themeColor="text1"/>
                <w:spacing w:val="-2"/>
                <w:lang w:val="en-GB"/>
              </w:rPr>
              <w:t>bn</w:t>
            </w:r>
            <w:proofErr w:type="spellEnd"/>
            <w:r w:rsidRPr="00A00BF2">
              <w:rPr>
                <w:color w:val="000000" w:themeColor="text1"/>
                <w:spacing w:val="-2"/>
                <w:lang w:val="en-GB"/>
              </w:rPr>
              <w:t xml:space="preserve">, resp. </w:t>
            </w:r>
            <w:r w:rsidR="009F6D31">
              <w:rPr>
                <w:color w:val="000000" w:themeColor="text1"/>
                <w:spacing w:val="-2"/>
                <w:lang w:val="en-GB"/>
              </w:rPr>
              <w:t xml:space="preserve">CZK 159 </w:t>
            </w:r>
            <w:proofErr w:type="spellStart"/>
            <w:r w:rsidR="009F6D31">
              <w:rPr>
                <w:color w:val="000000" w:themeColor="text1"/>
                <w:spacing w:val="-2"/>
                <w:lang w:val="en-GB"/>
              </w:rPr>
              <w:t>bn</w:t>
            </w:r>
            <w:proofErr w:type="spellEnd"/>
            <w:r w:rsidRPr="00A00BF2">
              <w:rPr>
                <w:color w:val="000000" w:themeColor="text1"/>
                <w:spacing w:val="-2"/>
                <w:lang w:val="en-GB"/>
              </w:rPr>
              <w:t xml:space="preserve">), most likely due to the rediscovered attractivity of other markets, especially European, where the foreign direct investors started to again return. </w:t>
            </w:r>
          </w:p>
          <w:p w:rsidR="00602D1D" w:rsidRPr="0056747E" w:rsidRDefault="00602D1D" w:rsidP="00602D1D">
            <w:pPr>
              <w:pStyle w:val="Textpoznpodarou"/>
              <w:jc w:val="both"/>
              <w:rPr>
                <w:color w:val="000000" w:themeColor="text1"/>
                <w:spacing w:val="-2"/>
                <w:sz w:val="14"/>
                <w:szCs w:val="14"/>
                <w:lang w:val="en-GB"/>
              </w:rPr>
            </w:pPr>
          </w:p>
        </w:tc>
      </w:tr>
      <w:tr w:rsidR="00602D1D" w:rsidRPr="00E06A2A" w:rsidTr="00802421">
        <w:tc>
          <w:tcPr>
            <w:tcW w:w="1042" w:type="pct"/>
            <w:gridSpan w:val="4"/>
          </w:tcPr>
          <w:p w:rsidR="00602D1D" w:rsidRPr="0071067A" w:rsidRDefault="0071067A" w:rsidP="0071067A">
            <w:pPr>
              <w:spacing w:line="240" w:lineRule="auto"/>
              <w:rPr>
                <w:color w:val="000000" w:themeColor="text1"/>
                <w:sz w:val="16"/>
                <w:szCs w:val="16"/>
                <w:lang w:val="en-GB"/>
              </w:rPr>
            </w:pPr>
            <w:r w:rsidRPr="0071067A">
              <w:rPr>
                <w:color w:val="000000" w:themeColor="text1"/>
                <w:sz w:val="16"/>
                <w:szCs w:val="16"/>
                <w:lang w:val="en-GB"/>
              </w:rPr>
              <w:t xml:space="preserve">… however with considerable outflow of funds in the form of portfolio investment, since the low issues of Czech bonds led to weaker purchases by foreign investors and withdrawing of funds back to their countries; the other investment deficit also adversely affected the financial account result </w:t>
            </w:r>
          </w:p>
        </w:tc>
        <w:tc>
          <w:tcPr>
            <w:tcW w:w="139" w:type="pct"/>
            <w:gridSpan w:val="2"/>
          </w:tcPr>
          <w:p w:rsidR="00602D1D" w:rsidRPr="0071067A" w:rsidRDefault="00602D1D" w:rsidP="00281416">
            <w:pPr>
              <w:pStyle w:val="Textpoznpodarou"/>
              <w:jc w:val="both"/>
              <w:rPr>
                <w:i/>
                <w:lang w:val="en-GB"/>
              </w:rPr>
            </w:pPr>
          </w:p>
        </w:tc>
        <w:tc>
          <w:tcPr>
            <w:tcW w:w="3819" w:type="pct"/>
            <w:gridSpan w:val="4"/>
          </w:tcPr>
          <w:p w:rsidR="0071067A" w:rsidRPr="0071067A" w:rsidRDefault="0071067A" w:rsidP="0071067A">
            <w:pPr>
              <w:pStyle w:val="Textpoznpodarou"/>
              <w:jc w:val="both"/>
              <w:rPr>
                <w:color w:val="000000" w:themeColor="text1"/>
                <w:spacing w:val="-2"/>
                <w:lang w:val="en-GB"/>
              </w:rPr>
            </w:pPr>
            <w:r w:rsidRPr="0071067A">
              <w:rPr>
                <w:color w:val="000000" w:themeColor="text1"/>
                <w:spacing w:val="-2"/>
                <w:lang w:val="en-GB"/>
              </w:rPr>
              <w:t xml:space="preserve">The flows of portfolio investment followed a completely different scenario year-on-year. </w:t>
            </w:r>
            <w:r w:rsidR="009F6D31">
              <w:rPr>
                <w:color w:val="000000" w:themeColor="text1"/>
                <w:spacing w:val="-2"/>
                <w:lang w:val="en-GB"/>
              </w:rPr>
              <w:t xml:space="preserve">CZK </w:t>
            </w:r>
            <w:r w:rsidRPr="0071067A">
              <w:rPr>
                <w:color w:val="000000" w:themeColor="text1"/>
                <w:spacing w:val="-2"/>
                <w:lang w:val="en-GB"/>
              </w:rPr>
              <w:t xml:space="preserve">90.3 </w:t>
            </w:r>
            <w:proofErr w:type="spellStart"/>
            <w:r w:rsidRPr="0071067A">
              <w:rPr>
                <w:color w:val="000000" w:themeColor="text1"/>
                <w:spacing w:val="-2"/>
                <w:lang w:val="en-GB"/>
              </w:rPr>
              <w:t>bn</w:t>
            </w:r>
            <w:proofErr w:type="spellEnd"/>
            <w:r w:rsidRPr="0071067A">
              <w:rPr>
                <w:color w:val="000000" w:themeColor="text1"/>
                <w:spacing w:val="-2"/>
                <w:lang w:val="en-GB"/>
              </w:rPr>
              <w:t xml:space="preserve"> worth left in net the CR in 2014 (</w:t>
            </w:r>
            <w:r w:rsidR="009F6D31">
              <w:rPr>
                <w:color w:val="000000" w:themeColor="text1"/>
                <w:spacing w:val="-2"/>
                <w:lang w:val="en-GB"/>
              </w:rPr>
              <w:t xml:space="preserve">CZK </w:t>
            </w:r>
            <w:r w:rsidRPr="0071067A">
              <w:rPr>
                <w:color w:val="000000" w:themeColor="text1"/>
                <w:spacing w:val="-2"/>
                <w:lang w:val="en-GB"/>
              </w:rPr>
              <w:t xml:space="preserve">92.8 </w:t>
            </w:r>
            <w:proofErr w:type="spellStart"/>
            <w:r w:rsidRPr="0071067A">
              <w:rPr>
                <w:color w:val="000000" w:themeColor="text1"/>
                <w:spacing w:val="-2"/>
                <w:lang w:val="en-GB"/>
              </w:rPr>
              <w:t>bn</w:t>
            </w:r>
            <w:proofErr w:type="spellEnd"/>
            <w:r w:rsidRPr="0071067A">
              <w:rPr>
                <w:color w:val="000000" w:themeColor="text1"/>
                <w:spacing w:val="-2"/>
                <w:lang w:val="en-GB"/>
              </w:rPr>
              <w:t xml:space="preserve"> in net expression on the contrary flew in in 2013). The high last year's purchases of foreign bonds and shares by domestic entities were behind this fact (worth </w:t>
            </w:r>
            <w:r w:rsidR="009F6D31">
              <w:rPr>
                <w:color w:val="000000" w:themeColor="text1"/>
                <w:spacing w:val="-2"/>
                <w:lang w:val="en-GB"/>
              </w:rPr>
              <w:t xml:space="preserve">CZK </w:t>
            </w:r>
            <w:r w:rsidRPr="0071067A">
              <w:rPr>
                <w:color w:val="000000" w:themeColor="text1"/>
                <w:spacing w:val="-2"/>
                <w:lang w:val="en-GB"/>
              </w:rPr>
              <w:t xml:space="preserve">76.6. bn in net). A very positive development of stock markets, mainly those overseas, enticed to investing. </w:t>
            </w:r>
          </w:p>
          <w:p w:rsidR="00A47821" w:rsidRPr="0071067A" w:rsidRDefault="00A47821" w:rsidP="00602D1D">
            <w:pPr>
              <w:pStyle w:val="Textpoznpodarou"/>
              <w:jc w:val="both"/>
              <w:rPr>
                <w:color w:val="000000" w:themeColor="text1"/>
                <w:spacing w:val="-2"/>
                <w:sz w:val="16"/>
                <w:szCs w:val="16"/>
                <w:lang w:val="en-GB"/>
              </w:rPr>
            </w:pPr>
          </w:p>
          <w:p w:rsidR="00602D1D" w:rsidRPr="0071067A" w:rsidRDefault="0071067A" w:rsidP="00602D1D">
            <w:pPr>
              <w:pStyle w:val="Textpoznpodarou"/>
              <w:jc w:val="both"/>
              <w:rPr>
                <w:color w:val="000000" w:themeColor="text1"/>
                <w:spacing w:val="-2"/>
                <w:lang w:val="en-GB"/>
              </w:rPr>
            </w:pPr>
            <w:r w:rsidRPr="0071067A">
              <w:rPr>
                <w:color w:val="000000" w:themeColor="text1"/>
                <w:spacing w:val="-2"/>
                <w:lang w:val="en-GB"/>
              </w:rPr>
              <w:t xml:space="preserve">The foreign portfolio investors also caused the outflow of portfolio investment from the CR simultaneously – they rather liquidated their positions in the CR (the sales of domestic securities exceeded the purchases, in net by </w:t>
            </w:r>
            <w:r w:rsidR="009F6D31">
              <w:rPr>
                <w:color w:val="000000" w:themeColor="text1"/>
                <w:spacing w:val="-2"/>
                <w:lang w:val="en-GB"/>
              </w:rPr>
              <w:t xml:space="preserve">CZK </w:t>
            </w:r>
            <w:r w:rsidRPr="0071067A">
              <w:rPr>
                <w:color w:val="000000" w:themeColor="text1"/>
                <w:spacing w:val="-2"/>
                <w:lang w:val="en-GB"/>
              </w:rPr>
              <w:t xml:space="preserve">13.7 </w:t>
            </w:r>
            <w:proofErr w:type="spellStart"/>
            <w:r w:rsidRPr="0071067A">
              <w:rPr>
                <w:color w:val="000000" w:themeColor="text1"/>
                <w:spacing w:val="-2"/>
                <w:lang w:val="en-GB"/>
              </w:rPr>
              <w:t>bn</w:t>
            </w:r>
            <w:proofErr w:type="spellEnd"/>
            <w:r w:rsidRPr="0071067A">
              <w:rPr>
                <w:color w:val="000000" w:themeColor="text1"/>
                <w:spacing w:val="-2"/>
                <w:lang w:val="en-GB"/>
              </w:rPr>
              <w:t xml:space="preserve">). It is thus evident, that the lower need to finance the state budget deficit by the bond issues was also reflected in this area. The reverse net outflow of funds amounting to </w:t>
            </w:r>
            <w:r w:rsidR="009F6D31">
              <w:rPr>
                <w:color w:val="000000" w:themeColor="text1"/>
                <w:spacing w:val="-2"/>
                <w:lang w:val="en-GB"/>
              </w:rPr>
              <w:t xml:space="preserve">CZK </w:t>
            </w:r>
            <w:r w:rsidRPr="0071067A">
              <w:rPr>
                <w:color w:val="000000" w:themeColor="text1"/>
                <w:spacing w:val="-2"/>
                <w:lang w:val="en-GB"/>
              </w:rPr>
              <w:t xml:space="preserve">18.9 </w:t>
            </w:r>
            <w:proofErr w:type="spellStart"/>
            <w:proofErr w:type="gramStart"/>
            <w:r w:rsidRPr="0071067A">
              <w:rPr>
                <w:color w:val="000000" w:themeColor="text1"/>
                <w:spacing w:val="-2"/>
                <w:lang w:val="en-GB"/>
              </w:rPr>
              <w:t>bn</w:t>
            </w:r>
            <w:proofErr w:type="spellEnd"/>
            <w:r w:rsidRPr="0071067A">
              <w:rPr>
                <w:color w:val="000000" w:themeColor="text1"/>
                <w:spacing w:val="-2"/>
                <w:lang w:val="en-GB"/>
              </w:rPr>
              <w:t xml:space="preserve">  out</w:t>
            </w:r>
            <w:proofErr w:type="gramEnd"/>
            <w:r w:rsidRPr="0071067A">
              <w:rPr>
                <w:color w:val="000000" w:themeColor="text1"/>
                <w:spacing w:val="-2"/>
                <w:lang w:val="en-GB"/>
              </w:rPr>
              <w:t xml:space="preserve"> of the CR was the result of trades with bonds themselves. </w:t>
            </w:r>
          </w:p>
          <w:p w:rsidR="00602D1D" w:rsidRPr="0071067A" w:rsidRDefault="00602D1D" w:rsidP="00602D1D">
            <w:pPr>
              <w:pStyle w:val="Textpoznpodarou"/>
              <w:jc w:val="both"/>
              <w:rPr>
                <w:color w:val="000000" w:themeColor="text1"/>
                <w:spacing w:val="-2"/>
                <w:sz w:val="14"/>
                <w:szCs w:val="14"/>
                <w:lang w:val="en-GB"/>
              </w:rPr>
            </w:pPr>
          </w:p>
        </w:tc>
      </w:tr>
      <w:tr w:rsidR="00602D1D" w:rsidRPr="00367038" w:rsidTr="00802421">
        <w:tc>
          <w:tcPr>
            <w:tcW w:w="1042" w:type="pct"/>
            <w:gridSpan w:val="4"/>
          </w:tcPr>
          <w:p w:rsidR="00602D1D" w:rsidRPr="00364D05" w:rsidRDefault="00364D05" w:rsidP="00364D05">
            <w:pPr>
              <w:spacing w:line="240" w:lineRule="auto"/>
              <w:rPr>
                <w:color w:val="000000" w:themeColor="text1"/>
                <w:sz w:val="16"/>
                <w:szCs w:val="16"/>
                <w:lang w:val="en-GB"/>
              </w:rPr>
            </w:pPr>
            <w:r w:rsidRPr="00364D05">
              <w:rPr>
                <w:color w:val="000000" w:themeColor="text1"/>
                <w:sz w:val="16"/>
                <w:szCs w:val="16"/>
                <w:lang w:val="en-GB"/>
              </w:rPr>
              <w:t xml:space="preserve">Trade balance in the national conception (FOB/CIF prices) rose nearly by one half to 155.2 bn crowns thanks to exports of motor vehicles and imports of crude petroleum and gas </w:t>
            </w:r>
          </w:p>
        </w:tc>
        <w:tc>
          <w:tcPr>
            <w:tcW w:w="139" w:type="pct"/>
            <w:gridSpan w:val="2"/>
          </w:tcPr>
          <w:p w:rsidR="00602D1D" w:rsidRPr="00364D05" w:rsidRDefault="00602D1D" w:rsidP="00281416">
            <w:pPr>
              <w:pStyle w:val="Textpoznpodarou"/>
              <w:jc w:val="both"/>
              <w:rPr>
                <w:lang w:val="en-GB"/>
              </w:rPr>
            </w:pPr>
          </w:p>
        </w:tc>
        <w:tc>
          <w:tcPr>
            <w:tcW w:w="3819" w:type="pct"/>
            <w:gridSpan w:val="4"/>
          </w:tcPr>
          <w:p w:rsidR="00364D05" w:rsidRPr="00802421" w:rsidRDefault="00364D05" w:rsidP="00364D05">
            <w:pPr>
              <w:pStyle w:val="Textpoznpodarou"/>
              <w:jc w:val="both"/>
              <w:rPr>
                <w:color w:val="000000" w:themeColor="text1"/>
                <w:spacing w:val="-2"/>
                <w:lang w:val="en-GB"/>
              </w:rPr>
            </w:pPr>
            <w:r w:rsidRPr="00802421">
              <w:rPr>
                <w:color w:val="000000" w:themeColor="text1"/>
                <w:spacing w:val="-2"/>
                <w:lang w:val="en-GB"/>
              </w:rPr>
              <w:t>Commodity balance</w:t>
            </w:r>
            <w:r w:rsidR="006D3778" w:rsidRPr="00802421">
              <w:rPr>
                <w:spacing w:val="-2"/>
              </w:rPr>
              <w:footnoteReference w:id="8"/>
            </w:r>
            <w:r w:rsidRPr="00802421">
              <w:rPr>
                <w:color w:val="000000" w:themeColor="text1"/>
                <w:spacing w:val="-2"/>
                <w:lang w:val="en-GB"/>
              </w:rPr>
              <w:t xml:space="preserve"> improved the most in trade with motor vehicles (+65 bn to 354 bn crowns) and trades with the crude petroleum and natural gas (deficit </w:t>
            </w:r>
            <w:r w:rsidR="00F12BC8" w:rsidRPr="00802421">
              <w:rPr>
                <w:color w:val="000000" w:themeColor="text1"/>
                <w:spacing w:val="-2"/>
                <w:lang w:val="en-GB"/>
              </w:rPr>
              <w:t>shrank</w:t>
            </w:r>
            <w:r w:rsidRPr="00802421">
              <w:rPr>
                <w:color w:val="000000" w:themeColor="text1"/>
                <w:spacing w:val="-2"/>
                <w:lang w:val="en-GB"/>
              </w:rPr>
              <w:t xml:space="preserve"> by 32 bn to 161 bn crowns). These two improvements were key for the growth of the trade balance in the national conception (</w:t>
            </w:r>
            <w:r w:rsidR="00802421">
              <w:rPr>
                <w:color w:val="000000" w:themeColor="text1"/>
                <w:spacing w:val="-2"/>
                <w:lang w:val="en-GB"/>
              </w:rPr>
              <w:t xml:space="preserve">CZK </w:t>
            </w:r>
            <w:r w:rsidRPr="00802421">
              <w:rPr>
                <w:color w:val="000000" w:themeColor="text1"/>
                <w:spacing w:val="-2"/>
                <w:lang w:val="en-GB"/>
              </w:rPr>
              <w:t xml:space="preserve">+48.7 </w:t>
            </w:r>
            <w:proofErr w:type="spellStart"/>
            <w:r w:rsidRPr="00802421">
              <w:rPr>
                <w:color w:val="000000" w:themeColor="text1"/>
                <w:spacing w:val="-2"/>
                <w:lang w:val="en-GB"/>
              </w:rPr>
              <w:t>bn</w:t>
            </w:r>
            <w:proofErr w:type="spellEnd"/>
            <w:r w:rsidRPr="00802421">
              <w:rPr>
                <w:color w:val="000000" w:themeColor="text1"/>
                <w:spacing w:val="-2"/>
                <w:lang w:val="en-GB"/>
              </w:rPr>
              <w:t xml:space="preserve"> to </w:t>
            </w:r>
            <w:r w:rsidR="00802421">
              <w:rPr>
                <w:color w:val="000000" w:themeColor="text1"/>
                <w:spacing w:val="-2"/>
                <w:lang w:val="en-GB"/>
              </w:rPr>
              <w:t xml:space="preserve">CZK </w:t>
            </w:r>
            <w:r w:rsidRPr="00802421">
              <w:rPr>
                <w:color w:val="000000" w:themeColor="text1"/>
                <w:spacing w:val="-2"/>
                <w:lang w:val="en-GB"/>
              </w:rPr>
              <w:t xml:space="preserve">155.2 </w:t>
            </w:r>
            <w:proofErr w:type="spellStart"/>
            <w:r w:rsidRPr="00802421">
              <w:rPr>
                <w:color w:val="000000" w:themeColor="text1"/>
                <w:spacing w:val="-2"/>
                <w:lang w:val="en-GB"/>
              </w:rPr>
              <w:t>bn</w:t>
            </w:r>
            <w:proofErr w:type="spellEnd"/>
            <w:r w:rsidRPr="00802421">
              <w:rPr>
                <w:color w:val="000000" w:themeColor="text1"/>
                <w:spacing w:val="-2"/>
                <w:lang w:val="en-GB"/>
              </w:rPr>
              <w:t>). The balance worsened for 16 items out of 40 product classification (CZ-CPA</w:t>
            </w:r>
            <w:r w:rsidR="00EE7F8B" w:rsidRPr="00802421">
              <w:rPr>
                <w:spacing w:val="-2"/>
              </w:rPr>
              <w:footnoteReference w:id="9"/>
            </w:r>
            <w:r w:rsidR="00EE7F8B" w:rsidRPr="00802421">
              <w:rPr>
                <w:color w:val="000000" w:themeColor="text1"/>
                <w:spacing w:val="-2"/>
                <w:lang w:val="en-GB"/>
              </w:rPr>
              <w:t xml:space="preserve">) </w:t>
            </w:r>
            <w:r w:rsidRPr="00802421">
              <w:rPr>
                <w:color w:val="000000" w:themeColor="text1"/>
                <w:spacing w:val="-2"/>
                <w:lang w:val="en-GB"/>
              </w:rPr>
              <w:t>items – the most for machinery and equipment n</w:t>
            </w:r>
            <w:r w:rsidR="00AC6DF0" w:rsidRPr="00802421">
              <w:rPr>
                <w:color w:val="000000" w:themeColor="text1"/>
                <w:spacing w:val="-2"/>
                <w:lang w:val="en-GB"/>
              </w:rPr>
              <w:t>.</w:t>
            </w:r>
            <w:r w:rsidRPr="00802421">
              <w:rPr>
                <w:color w:val="000000" w:themeColor="text1"/>
                <w:spacing w:val="-2"/>
                <w:lang w:val="en-GB"/>
              </w:rPr>
              <w:t>e</w:t>
            </w:r>
            <w:r w:rsidR="00AC6DF0" w:rsidRPr="00802421">
              <w:rPr>
                <w:color w:val="000000" w:themeColor="text1"/>
                <w:spacing w:val="-2"/>
                <w:lang w:val="en-GB"/>
              </w:rPr>
              <w:t>.</w:t>
            </w:r>
            <w:r w:rsidRPr="00802421">
              <w:rPr>
                <w:color w:val="000000" w:themeColor="text1"/>
                <w:spacing w:val="-2"/>
                <w:lang w:val="en-GB"/>
              </w:rPr>
              <w:t>c</w:t>
            </w:r>
            <w:r w:rsidR="00AC6DF0" w:rsidRPr="00802421">
              <w:rPr>
                <w:color w:val="000000" w:themeColor="text1"/>
                <w:spacing w:val="-2"/>
                <w:lang w:val="en-GB"/>
              </w:rPr>
              <w:t>.</w:t>
            </w:r>
            <w:r w:rsidRPr="00802421">
              <w:rPr>
                <w:color w:val="000000" w:themeColor="text1"/>
                <w:spacing w:val="-2"/>
                <w:lang w:val="en-GB"/>
              </w:rPr>
              <w:t xml:space="preserve"> (</w:t>
            </w:r>
            <w:r w:rsidR="00802421">
              <w:rPr>
                <w:color w:val="000000" w:themeColor="text1"/>
                <w:spacing w:val="-2"/>
                <w:lang w:val="en-GB"/>
              </w:rPr>
              <w:t xml:space="preserve">CZK </w:t>
            </w:r>
            <w:r w:rsidRPr="00802421">
              <w:rPr>
                <w:color w:val="000000" w:themeColor="text1"/>
                <w:spacing w:val="-2"/>
                <w:lang w:val="en-GB"/>
              </w:rPr>
              <w:t xml:space="preserve">-20 </w:t>
            </w:r>
            <w:proofErr w:type="spellStart"/>
            <w:r w:rsidRPr="00802421">
              <w:rPr>
                <w:color w:val="000000" w:themeColor="text1"/>
                <w:spacing w:val="-2"/>
                <w:lang w:val="en-GB"/>
              </w:rPr>
              <w:t>bn</w:t>
            </w:r>
            <w:proofErr w:type="spellEnd"/>
            <w:r w:rsidRPr="00802421">
              <w:rPr>
                <w:color w:val="000000" w:themeColor="text1"/>
                <w:spacing w:val="-2"/>
                <w:lang w:val="en-GB"/>
              </w:rPr>
              <w:t>), basic metals (</w:t>
            </w:r>
            <w:r w:rsidR="00802421">
              <w:rPr>
                <w:color w:val="000000" w:themeColor="text1"/>
                <w:spacing w:val="-2"/>
                <w:lang w:val="en-GB"/>
              </w:rPr>
              <w:t xml:space="preserve">CZK </w:t>
            </w:r>
            <w:r w:rsidRPr="00802421">
              <w:rPr>
                <w:color w:val="000000" w:themeColor="text1"/>
                <w:spacing w:val="-2"/>
                <w:lang w:val="en-GB"/>
              </w:rPr>
              <w:t xml:space="preserve">-14 </w:t>
            </w:r>
            <w:proofErr w:type="spellStart"/>
            <w:r w:rsidRPr="00802421">
              <w:rPr>
                <w:color w:val="000000" w:themeColor="text1"/>
                <w:spacing w:val="-2"/>
                <w:lang w:val="en-GB"/>
              </w:rPr>
              <w:t>bn</w:t>
            </w:r>
            <w:proofErr w:type="spellEnd"/>
            <w:r w:rsidRPr="00802421">
              <w:rPr>
                <w:color w:val="000000" w:themeColor="text1"/>
                <w:spacing w:val="-2"/>
                <w:lang w:val="en-GB"/>
              </w:rPr>
              <w:t>) or e.g. in shops with P</w:t>
            </w:r>
            <w:r w:rsidR="00EE7F8B" w:rsidRPr="00802421">
              <w:rPr>
                <w:color w:val="000000" w:themeColor="text1"/>
                <w:spacing w:val="-2"/>
                <w:lang w:val="en-GB"/>
              </w:rPr>
              <w:t>C</w:t>
            </w:r>
            <w:r w:rsidRPr="00802421">
              <w:rPr>
                <w:color w:val="000000" w:themeColor="text1"/>
                <w:spacing w:val="-2"/>
                <w:lang w:val="en-GB"/>
              </w:rPr>
              <w:t>s and electronics (</w:t>
            </w:r>
            <w:r w:rsidR="00802421">
              <w:rPr>
                <w:color w:val="000000" w:themeColor="text1"/>
                <w:spacing w:val="-2"/>
                <w:lang w:val="en-GB"/>
              </w:rPr>
              <w:t xml:space="preserve">CZK </w:t>
            </w:r>
            <w:r w:rsidRPr="00802421">
              <w:rPr>
                <w:color w:val="000000" w:themeColor="text1"/>
                <w:spacing w:val="-2"/>
                <w:lang w:val="en-GB"/>
              </w:rPr>
              <w:t xml:space="preserve">-8 </w:t>
            </w:r>
            <w:proofErr w:type="spellStart"/>
            <w:r w:rsidRPr="00802421">
              <w:rPr>
                <w:color w:val="000000" w:themeColor="text1"/>
                <w:spacing w:val="-2"/>
                <w:lang w:val="en-GB"/>
              </w:rPr>
              <w:t>bn</w:t>
            </w:r>
            <w:proofErr w:type="spellEnd"/>
            <w:r w:rsidRPr="00802421">
              <w:rPr>
                <w:color w:val="000000" w:themeColor="text1"/>
                <w:spacing w:val="-2"/>
                <w:lang w:val="en-GB"/>
              </w:rPr>
              <w:t>).</w:t>
            </w:r>
          </w:p>
          <w:p w:rsidR="00602D1D" w:rsidRPr="00802421" w:rsidRDefault="00602D1D" w:rsidP="00602D1D">
            <w:pPr>
              <w:pStyle w:val="Textpoznpodarou"/>
              <w:jc w:val="both"/>
              <w:rPr>
                <w:color w:val="000000" w:themeColor="text1"/>
                <w:spacing w:val="-2"/>
                <w:lang w:val="en-GB"/>
              </w:rPr>
            </w:pPr>
          </w:p>
        </w:tc>
      </w:tr>
      <w:tr w:rsidR="00602D1D" w:rsidRPr="00367038" w:rsidTr="00802421">
        <w:tc>
          <w:tcPr>
            <w:tcW w:w="1042" w:type="pct"/>
            <w:gridSpan w:val="4"/>
          </w:tcPr>
          <w:p w:rsidR="00364D05" w:rsidRPr="00364D05" w:rsidRDefault="00364D05" w:rsidP="00364D05">
            <w:pPr>
              <w:spacing w:line="240" w:lineRule="auto"/>
              <w:rPr>
                <w:color w:val="000000" w:themeColor="text1"/>
                <w:sz w:val="16"/>
                <w:szCs w:val="16"/>
                <w:lang w:val="en-GB"/>
              </w:rPr>
            </w:pPr>
            <w:r w:rsidRPr="00364D05">
              <w:rPr>
                <w:color w:val="000000" w:themeColor="text1"/>
                <w:sz w:val="16"/>
                <w:szCs w:val="16"/>
                <w:lang w:val="en-GB"/>
              </w:rPr>
              <w:t xml:space="preserve">Motor vehicle exports rose by 22 % year-on-year, medicine by 38 % - six </w:t>
            </w:r>
            <w:r w:rsidRPr="00364D05">
              <w:rPr>
                <w:color w:val="000000" w:themeColor="text1"/>
                <w:sz w:val="16"/>
                <w:szCs w:val="16"/>
                <w:lang w:val="en-GB"/>
              </w:rPr>
              <w:lastRenderedPageBreak/>
              <w:t>largest items comprising nearly two thirds of exports from the CR grew in total slightly more (+13.8 %) than total exports</w:t>
            </w:r>
            <w:r w:rsidR="00EE7F8B">
              <w:rPr>
                <w:color w:val="000000" w:themeColor="text1"/>
                <w:sz w:val="16"/>
                <w:szCs w:val="16"/>
                <w:lang w:val="en-GB"/>
              </w:rPr>
              <w:t xml:space="preserve"> </w:t>
            </w:r>
            <w:r w:rsidRPr="00364D05">
              <w:rPr>
                <w:color w:val="000000" w:themeColor="text1"/>
                <w:sz w:val="16"/>
                <w:szCs w:val="16"/>
                <w:lang w:val="en-GB"/>
              </w:rPr>
              <w:t>(+13.1 %) year-on-year</w:t>
            </w:r>
          </w:p>
          <w:p w:rsidR="00602D1D" w:rsidRPr="00364D05" w:rsidRDefault="00602D1D" w:rsidP="00364D05">
            <w:pPr>
              <w:spacing w:line="240" w:lineRule="auto"/>
              <w:rPr>
                <w:color w:val="000000" w:themeColor="text1"/>
                <w:sz w:val="16"/>
                <w:szCs w:val="16"/>
                <w:lang w:val="en-GB"/>
              </w:rPr>
            </w:pPr>
            <w:r w:rsidRPr="00364D05">
              <w:rPr>
                <w:color w:val="000000" w:themeColor="text1"/>
                <w:sz w:val="16"/>
                <w:szCs w:val="16"/>
                <w:lang w:val="en-GB"/>
              </w:rPr>
              <w:t xml:space="preserve"> </w:t>
            </w:r>
          </w:p>
        </w:tc>
        <w:tc>
          <w:tcPr>
            <w:tcW w:w="139" w:type="pct"/>
            <w:gridSpan w:val="2"/>
          </w:tcPr>
          <w:p w:rsidR="00602D1D" w:rsidRPr="00364D05" w:rsidRDefault="00602D1D" w:rsidP="00281416">
            <w:pPr>
              <w:pStyle w:val="Textpoznpodarou"/>
              <w:jc w:val="both"/>
              <w:rPr>
                <w:lang w:val="en-GB"/>
              </w:rPr>
            </w:pPr>
          </w:p>
        </w:tc>
        <w:tc>
          <w:tcPr>
            <w:tcW w:w="3819" w:type="pct"/>
            <w:gridSpan w:val="4"/>
          </w:tcPr>
          <w:p w:rsidR="00602D1D" w:rsidRPr="00802421" w:rsidRDefault="00364D05" w:rsidP="00364D05">
            <w:pPr>
              <w:pStyle w:val="Textpoznpodarou"/>
              <w:jc w:val="both"/>
              <w:rPr>
                <w:color w:val="000000" w:themeColor="text1"/>
                <w:spacing w:val="-2"/>
                <w:lang w:val="en-GB"/>
              </w:rPr>
            </w:pPr>
            <w:r w:rsidRPr="00802421">
              <w:rPr>
                <w:color w:val="000000" w:themeColor="text1"/>
                <w:spacing w:val="-2"/>
                <w:lang w:val="en-GB"/>
              </w:rPr>
              <w:t xml:space="preserve">Exports of goods from the CR were again very successful. Despite the restoration of growth in the Czech economy, with higher domestic demand and thus also the import </w:t>
            </w:r>
            <w:r w:rsidRPr="00802421">
              <w:rPr>
                <w:color w:val="000000" w:themeColor="text1"/>
                <w:spacing w:val="-2"/>
                <w:lang w:val="en-GB"/>
              </w:rPr>
              <w:lastRenderedPageBreak/>
              <w:t xml:space="preserve">requirements, the exports (+13.1 %) outpaced the imports (+11.8 %) compared to 2013. Six key export commodities of the engineering nature (motor vehicles, metals and metalwork products, PCs and electronics together with electrical appliances and other machinery) comprised 63 % of total exports from the CR and their dynamics was in the aggregate of a double-digit value (+13.8 %), i.e. somewhat above the average rate of growth for the overall exports. </w:t>
            </w:r>
          </w:p>
          <w:p w:rsidR="00364D05" w:rsidRPr="00802421" w:rsidRDefault="00364D05" w:rsidP="00364D05">
            <w:pPr>
              <w:pStyle w:val="Textpoznpodarou"/>
              <w:jc w:val="both"/>
              <w:rPr>
                <w:color w:val="000000" w:themeColor="text1"/>
                <w:spacing w:val="-2"/>
                <w:lang w:val="en-GB"/>
              </w:rPr>
            </w:pPr>
          </w:p>
        </w:tc>
      </w:tr>
      <w:tr w:rsidR="00602D1D" w:rsidRPr="00602D1D" w:rsidTr="00281416">
        <w:trPr>
          <w:gridBefore w:val="1"/>
          <w:gridAfter w:val="1"/>
          <w:wBefore w:w="15" w:type="pct"/>
          <w:wAfter w:w="28" w:type="pct"/>
        </w:trPr>
        <w:tc>
          <w:tcPr>
            <w:tcW w:w="1011" w:type="pct"/>
            <w:gridSpan w:val="2"/>
          </w:tcPr>
          <w:p w:rsidR="00602D1D" w:rsidRPr="00546078" w:rsidRDefault="00546078" w:rsidP="00546078">
            <w:pPr>
              <w:spacing w:line="240" w:lineRule="auto"/>
              <w:rPr>
                <w:color w:val="000000" w:themeColor="text1"/>
                <w:sz w:val="16"/>
                <w:szCs w:val="16"/>
                <w:lang w:val="en-GB"/>
              </w:rPr>
            </w:pPr>
            <w:r w:rsidRPr="00546078">
              <w:rPr>
                <w:color w:val="000000" w:themeColor="text1"/>
                <w:sz w:val="16"/>
                <w:szCs w:val="16"/>
                <w:lang w:val="en-GB"/>
              </w:rPr>
              <w:lastRenderedPageBreak/>
              <w:t xml:space="preserve">The share of both Germany and the Russian Federation on total exports from the Czech Republic fell </w:t>
            </w:r>
          </w:p>
        </w:tc>
        <w:tc>
          <w:tcPr>
            <w:tcW w:w="128" w:type="pct"/>
            <w:gridSpan w:val="2"/>
          </w:tcPr>
          <w:p w:rsidR="00602D1D" w:rsidRPr="00546078" w:rsidRDefault="00602D1D" w:rsidP="00281416">
            <w:pPr>
              <w:pStyle w:val="Textpoznpodarou"/>
              <w:jc w:val="both"/>
              <w:rPr>
                <w:lang w:val="en-GB"/>
              </w:rPr>
            </w:pPr>
          </w:p>
        </w:tc>
        <w:tc>
          <w:tcPr>
            <w:tcW w:w="3818" w:type="pct"/>
            <w:gridSpan w:val="4"/>
          </w:tcPr>
          <w:p w:rsidR="00546078" w:rsidRDefault="00546078" w:rsidP="00546078">
            <w:pPr>
              <w:pStyle w:val="Textpoznpodarou"/>
              <w:jc w:val="both"/>
              <w:rPr>
                <w:color w:val="000000" w:themeColor="text1"/>
                <w:lang w:val="en-GB"/>
              </w:rPr>
            </w:pPr>
            <w:r w:rsidRPr="00546078">
              <w:rPr>
                <w:color w:val="000000" w:themeColor="text1"/>
                <w:lang w:val="en-GB"/>
              </w:rPr>
              <w:t xml:space="preserve">The weight of the EU as the target destination of the exports from the CR increased (+1.3 p. p. </w:t>
            </w:r>
            <w:r w:rsidR="00EE7F8B">
              <w:rPr>
                <w:color w:val="000000" w:themeColor="text1"/>
                <w:lang w:val="en-GB"/>
              </w:rPr>
              <w:t>t</w:t>
            </w:r>
            <w:r w:rsidRPr="00546078">
              <w:rPr>
                <w:color w:val="000000" w:themeColor="text1"/>
                <w:lang w:val="en-GB"/>
              </w:rPr>
              <w:t>o 83 %). The exports rose by an above average pace to Germany (+15.8 %), resulting also in increase of the share of this main partner on total exports (+0.7 p. p. to 32.1 %). The sanction policy restricted the exports to the Russian Federation (-4.6 %), and thus its proportion of total exports from the CR fell from 3.7 % to 3.1 %.</w:t>
            </w:r>
          </w:p>
          <w:p w:rsidR="000E6E3B" w:rsidRDefault="000E6E3B" w:rsidP="00546078">
            <w:pPr>
              <w:pStyle w:val="Textpoznpodarou"/>
              <w:jc w:val="both"/>
              <w:rPr>
                <w:color w:val="000000" w:themeColor="text1"/>
                <w:lang w:val="en-GB"/>
              </w:rPr>
            </w:pPr>
          </w:p>
          <w:p w:rsidR="00602D1D" w:rsidRPr="00546078" w:rsidRDefault="00602D1D" w:rsidP="00546078">
            <w:pPr>
              <w:pStyle w:val="Textpoznpodarou"/>
              <w:jc w:val="both"/>
              <w:rPr>
                <w:color w:val="000000" w:themeColor="text1"/>
                <w:spacing w:val="-2"/>
                <w:sz w:val="16"/>
                <w:szCs w:val="16"/>
                <w:lang w:val="en-GB"/>
              </w:rPr>
            </w:pPr>
            <w:r w:rsidRPr="00546078">
              <w:rPr>
                <w:color w:val="000000" w:themeColor="text1"/>
                <w:lang w:val="en-GB"/>
              </w:rPr>
              <w:t xml:space="preserve"> </w:t>
            </w:r>
          </w:p>
        </w:tc>
      </w:tr>
      <w:tr w:rsidR="00602D1D" w:rsidTr="000E6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c>
          <w:tcPr>
            <w:tcW w:w="429" w:type="pct"/>
            <w:gridSpan w:val="2"/>
            <w:tcBorders>
              <w:top w:val="nil"/>
              <w:left w:val="nil"/>
              <w:bottom w:val="nil"/>
              <w:right w:val="nil"/>
            </w:tcBorders>
          </w:tcPr>
          <w:p w:rsidR="00602D1D" w:rsidRDefault="002E3DCC" w:rsidP="002E3DCC">
            <w:pPr>
              <w:spacing w:line="240" w:lineRule="auto"/>
              <w:rPr>
                <w:color w:val="000000"/>
              </w:rPr>
            </w:pPr>
            <w:r>
              <w:rPr>
                <w:color w:val="000000"/>
              </w:rPr>
              <w:t>Chart</w:t>
            </w:r>
            <w:r w:rsidR="00602D1D">
              <w:rPr>
                <w:color w:val="000000"/>
              </w:rPr>
              <w:t xml:space="preserve"> 9</w:t>
            </w:r>
          </w:p>
        </w:tc>
        <w:tc>
          <w:tcPr>
            <w:tcW w:w="2007" w:type="pct"/>
            <w:gridSpan w:val="5"/>
            <w:tcBorders>
              <w:top w:val="nil"/>
              <w:left w:val="nil"/>
              <w:bottom w:val="nil"/>
              <w:right w:val="nil"/>
            </w:tcBorders>
          </w:tcPr>
          <w:p w:rsidR="00602D1D" w:rsidRPr="00546078" w:rsidRDefault="00546078" w:rsidP="00E27601">
            <w:pPr>
              <w:spacing w:line="240" w:lineRule="auto"/>
              <w:rPr>
                <w:b/>
                <w:bCs/>
                <w:lang w:val="en-GB"/>
              </w:rPr>
            </w:pPr>
            <w:r w:rsidRPr="00546078">
              <w:rPr>
                <w:b/>
                <w:bCs/>
                <w:lang w:val="en-GB"/>
              </w:rPr>
              <w:t xml:space="preserve">Trade balance </w:t>
            </w:r>
            <w:r w:rsidR="00602D1D" w:rsidRPr="00546078">
              <w:rPr>
                <w:bCs/>
                <w:lang w:val="en-GB"/>
              </w:rPr>
              <w:t>(</w:t>
            </w:r>
            <w:r w:rsidRPr="00546078">
              <w:rPr>
                <w:bCs/>
                <w:lang w:val="en-GB"/>
              </w:rPr>
              <w:t xml:space="preserve">in </w:t>
            </w:r>
            <w:r w:rsidR="00E27601">
              <w:rPr>
                <w:bCs/>
                <w:lang w:val="en-GB"/>
              </w:rPr>
              <w:t xml:space="preserve">CZK </w:t>
            </w:r>
            <w:r w:rsidR="00602D1D" w:rsidRPr="00546078">
              <w:rPr>
                <w:bCs/>
                <w:lang w:val="en-GB"/>
              </w:rPr>
              <w:t>mil.</w:t>
            </w:r>
            <w:r w:rsidRPr="00546078">
              <w:rPr>
                <w:bCs/>
                <w:lang w:val="en-GB"/>
              </w:rPr>
              <w:t>, nat</w:t>
            </w:r>
            <w:r w:rsidR="002926FC">
              <w:rPr>
                <w:bCs/>
                <w:lang w:val="en-GB"/>
              </w:rPr>
              <w:t>ional</w:t>
            </w:r>
            <w:r w:rsidRPr="00546078">
              <w:rPr>
                <w:bCs/>
                <w:lang w:val="en-GB"/>
              </w:rPr>
              <w:t xml:space="preserve"> concept.</w:t>
            </w:r>
            <w:r w:rsidR="00602D1D" w:rsidRPr="00546078">
              <w:rPr>
                <w:bCs/>
                <w:lang w:val="en-GB"/>
              </w:rPr>
              <w:t xml:space="preserve">; </w:t>
            </w:r>
            <w:r w:rsidRPr="00546078">
              <w:rPr>
                <w:bCs/>
                <w:lang w:val="en-GB"/>
              </w:rPr>
              <w:t>exports</w:t>
            </w:r>
            <w:r w:rsidR="00602D1D" w:rsidRPr="00546078">
              <w:rPr>
                <w:bCs/>
                <w:sz w:val="18"/>
                <w:szCs w:val="18"/>
                <w:lang w:val="en-GB"/>
              </w:rPr>
              <w:t>/</w:t>
            </w:r>
            <w:r w:rsidRPr="00546078">
              <w:rPr>
                <w:bCs/>
                <w:sz w:val="18"/>
                <w:szCs w:val="18"/>
                <w:lang w:val="en-GB"/>
              </w:rPr>
              <w:t xml:space="preserve">imports in </w:t>
            </w:r>
            <w:r w:rsidR="00602D1D" w:rsidRPr="00546078">
              <w:rPr>
                <w:bCs/>
                <w:sz w:val="18"/>
                <w:szCs w:val="18"/>
                <w:lang w:val="en-GB"/>
              </w:rPr>
              <w:t>FOB/ CIF</w:t>
            </w:r>
            <w:r w:rsidRPr="00546078">
              <w:rPr>
                <w:bCs/>
                <w:sz w:val="18"/>
                <w:szCs w:val="18"/>
                <w:lang w:val="en-GB"/>
              </w:rPr>
              <w:t xml:space="preserve"> prices</w:t>
            </w:r>
            <w:r w:rsidR="00602D1D" w:rsidRPr="00546078">
              <w:rPr>
                <w:bCs/>
                <w:sz w:val="18"/>
                <w:szCs w:val="18"/>
                <w:lang w:val="en-GB"/>
              </w:rPr>
              <w:t>)</w:t>
            </w:r>
            <w:r w:rsidR="00602D1D" w:rsidRPr="00546078">
              <w:rPr>
                <w:b/>
                <w:bCs/>
                <w:lang w:val="en-GB"/>
              </w:rPr>
              <w:t xml:space="preserve"> </w:t>
            </w:r>
          </w:p>
        </w:tc>
        <w:tc>
          <w:tcPr>
            <w:tcW w:w="469" w:type="pct"/>
            <w:tcBorders>
              <w:top w:val="nil"/>
              <w:left w:val="nil"/>
              <w:bottom w:val="nil"/>
              <w:right w:val="nil"/>
            </w:tcBorders>
          </w:tcPr>
          <w:p w:rsidR="00602D1D" w:rsidRPr="00546078" w:rsidRDefault="002E3DCC" w:rsidP="002E3DCC">
            <w:pPr>
              <w:spacing w:line="240" w:lineRule="auto"/>
              <w:rPr>
                <w:color w:val="000000"/>
                <w:lang w:val="en-GB"/>
              </w:rPr>
            </w:pPr>
            <w:r w:rsidRPr="00546078">
              <w:rPr>
                <w:color w:val="000000"/>
                <w:lang w:val="en-GB"/>
              </w:rPr>
              <w:t xml:space="preserve">Chart </w:t>
            </w:r>
            <w:r w:rsidR="00602D1D" w:rsidRPr="00546078">
              <w:rPr>
                <w:color w:val="000000"/>
                <w:lang w:val="en-GB"/>
              </w:rPr>
              <w:t>10</w:t>
            </w:r>
          </w:p>
        </w:tc>
        <w:tc>
          <w:tcPr>
            <w:tcW w:w="2095" w:type="pct"/>
            <w:gridSpan w:val="2"/>
            <w:tcBorders>
              <w:top w:val="nil"/>
              <w:left w:val="nil"/>
              <w:bottom w:val="nil"/>
              <w:right w:val="nil"/>
            </w:tcBorders>
          </w:tcPr>
          <w:p w:rsidR="00602D1D" w:rsidRPr="00546078" w:rsidRDefault="00E27601" w:rsidP="00E27601">
            <w:pPr>
              <w:spacing w:line="240" w:lineRule="auto"/>
              <w:rPr>
                <w:bCs/>
                <w:lang w:val="en-GB"/>
              </w:rPr>
            </w:pPr>
            <w:r>
              <w:rPr>
                <w:b/>
                <w:bCs/>
                <w:lang w:val="en-GB"/>
              </w:rPr>
              <w:t>M</w:t>
            </w:r>
            <w:r w:rsidR="002926FC">
              <w:rPr>
                <w:b/>
                <w:bCs/>
                <w:lang w:val="en-GB"/>
              </w:rPr>
              <w:t xml:space="preserve">ain </w:t>
            </w:r>
            <w:r>
              <w:rPr>
                <w:b/>
                <w:bCs/>
                <w:lang w:val="en-GB"/>
              </w:rPr>
              <w:t>Balance</w:t>
            </w:r>
            <w:r w:rsidR="000E6E3B">
              <w:rPr>
                <w:b/>
                <w:bCs/>
                <w:lang w:val="en-GB"/>
              </w:rPr>
              <w:t xml:space="preserve"> </w:t>
            </w:r>
            <w:r w:rsidR="00546078" w:rsidRPr="00546078">
              <w:rPr>
                <w:b/>
                <w:bCs/>
                <w:lang w:val="en-GB"/>
              </w:rPr>
              <w:t xml:space="preserve">of payments components </w:t>
            </w:r>
            <w:r w:rsidR="00602D1D" w:rsidRPr="00546078">
              <w:rPr>
                <w:bCs/>
                <w:lang w:val="en-GB"/>
              </w:rPr>
              <w:t>(</w:t>
            </w:r>
            <w:r w:rsidR="00546078" w:rsidRPr="00546078">
              <w:rPr>
                <w:bCs/>
                <w:lang w:val="en-GB"/>
              </w:rPr>
              <w:t xml:space="preserve">in </w:t>
            </w:r>
            <w:r>
              <w:rPr>
                <w:bCs/>
                <w:lang w:val="en-GB"/>
              </w:rPr>
              <w:t xml:space="preserve">CZK </w:t>
            </w:r>
            <w:r w:rsidR="00602D1D" w:rsidRPr="00546078">
              <w:rPr>
                <w:bCs/>
                <w:lang w:val="en-GB"/>
              </w:rPr>
              <w:t xml:space="preserve">mil., </w:t>
            </w:r>
            <w:r w:rsidR="00546078" w:rsidRPr="00546078">
              <w:rPr>
                <w:bCs/>
                <w:lang w:val="en-GB"/>
              </w:rPr>
              <w:t xml:space="preserve">stock as of </w:t>
            </w:r>
            <w:r w:rsidR="00602D1D" w:rsidRPr="00546078">
              <w:rPr>
                <w:bCs/>
                <w:lang w:val="en-GB"/>
              </w:rPr>
              <w:t>31.12.)</w:t>
            </w:r>
            <w:r w:rsidR="00602D1D" w:rsidRPr="00546078">
              <w:rPr>
                <w:b/>
                <w:bCs/>
                <w:lang w:val="en-GB"/>
              </w:rPr>
              <w:t xml:space="preserve"> </w:t>
            </w:r>
          </w:p>
        </w:tc>
      </w:tr>
      <w:tr w:rsidR="00602D1D" w:rsidTr="000E6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256"/>
        </w:trPr>
        <w:tc>
          <w:tcPr>
            <w:tcW w:w="2436" w:type="pct"/>
            <w:gridSpan w:val="7"/>
            <w:tcBorders>
              <w:top w:val="nil"/>
              <w:left w:val="nil"/>
              <w:bottom w:val="nil"/>
              <w:right w:val="nil"/>
            </w:tcBorders>
          </w:tcPr>
          <w:p w:rsidR="00602D1D" w:rsidRPr="001D47E5" w:rsidRDefault="000E6E3B" w:rsidP="00281416">
            <w:pPr>
              <w:pStyle w:val="Zhlav"/>
              <w:tabs>
                <w:tab w:val="clear" w:pos="4536"/>
                <w:tab w:val="clear" w:pos="9072"/>
              </w:tabs>
              <w:ind w:right="-275"/>
              <w:rPr>
                <w:rFonts w:ascii="Arial" w:hAnsi="Arial" w:cs="Arial"/>
                <w:sz w:val="20"/>
              </w:rPr>
            </w:pPr>
            <w:r>
              <w:rPr>
                <w:b/>
                <w:noProof/>
                <w:sz w:val="16"/>
                <w:szCs w:val="16"/>
                <w:lang w:eastAsia="cs-CZ"/>
              </w:rPr>
              <w:drawing>
                <wp:inline distT="0" distB="0" distL="0" distR="0">
                  <wp:extent cx="2885173" cy="2479675"/>
                  <wp:effectExtent l="19050" t="19050" r="10427" b="15875"/>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885488" cy="2479946"/>
                          </a:xfrm>
                          <a:prstGeom prst="rect">
                            <a:avLst/>
                          </a:prstGeom>
                          <a:noFill/>
                          <a:ln w="1270">
                            <a:solidFill>
                              <a:sysClr val="windowText" lastClr="000000"/>
                            </a:solidFill>
                            <a:miter lim="800000"/>
                            <a:headEnd/>
                            <a:tailEnd/>
                          </a:ln>
                        </pic:spPr>
                      </pic:pic>
                    </a:graphicData>
                  </a:graphic>
                </wp:inline>
              </w:drawing>
            </w:r>
          </w:p>
        </w:tc>
        <w:tc>
          <w:tcPr>
            <w:tcW w:w="2564" w:type="pct"/>
            <w:gridSpan w:val="3"/>
            <w:tcBorders>
              <w:top w:val="nil"/>
              <w:left w:val="nil"/>
              <w:bottom w:val="nil"/>
              <w:right w:val="nil"/>
            </w:tcBorders>
          </w:tcPr>
          <w:p w:rsidR="00602D1D" w:rsidRPr="00893840" w:rsidRDefault="00602D1D" w:rsidP="00281416">
            <w:pPr>
              <w:pStyle w:val="Zhlav"/>
              <w:tabs>
                <w:tab w:val="clear" w:pos="4536"/>
                <w:tab w:val="clear" w:pos="9072"/>
              </w:tabs>
              <w:spacing w:line="235" w:lineRule="auto"/>
              <w:jc w:val="both"/>
              <w:rPr>
                <w:rFonts w:ascii="Arial" w:hAnsi="Arial" w:cs="Arial"/>
                <w:noProof/>
                <w:sz w:val="6"/>
                <w:szCs w:val="6"/>
                <w:lang w:eastAsia="cs-CZ"/>
              </w:rPr>
            </w:pPr>
          </w:p>
          <w:p w:rsidR="00546078" w:rsidRPr="00546078" w:rsidRDefault="000E6E3B" w:rsidP="00546078">
            <w:pPr>
              <w:pStyle w:val="Zhlav"/>
              <w:tabs>
                <w:tab w:val="clear" w:pos="4536"/>
                <w:tab w:val="clear" w:pos="9072"/>
              </w:tabs>
              <w:spacing w:line="235" w:lineRule="auto"/>
              <w:rPr>
                <w:rFonts w:ascii="Arial" w:hAnsi="Arial" w:cs="Arial"/>
                <w:noProof/>
                <w:sz w:val="18"/>
                <w:szCs w:val="18"/>
                <w:lang w:eastAsia="cs-CZ"/>
              </w:rPr>
            </w:pPr>
            <w:r>
              <w:rPr>
                <w:b/>
                <w:noProof/>
                <w:sz w:val="16"/>
                <w:szCs w:val="16"/>
                <w:lang w:eastAsia="cs-CZ"/>
              </w:rPr>
              <w:drawing>
                <wp:inline distT="0" distB="0" distL="0" distR="0">
                  <wp:extent cx="3060650" cy="2441214"/>
                  <wp:effectExtent l="19050" t="19050" r="25450" b="16236"/>
                  <wp:docPr id="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65666" cy="2445215"/>
                          </a:xfrm>
                          <a:prstGeom prst="rect">
                            <a:avLst/>
                          </a:prstGeom>
                          <a:noFill/>
                          <a:ln w="1270">
                            <a:solidFill>
                              <a:sysClr val="windowText" lastClr="000000"/>
                            </a:solidFill>
                            <a:miter lim="800000"/>
                            <a:headEnd/>
                            <a:tailEnd/>
                          </a:ln>
                        </pic:spPr>
                      </pic:pic>
                    </a:graphicData>
                  </a:graphic>
                </wp:inline>
              </w:drawing>
            </w:r>
          </w:p>
        </w:tc>
      </w:tr>
    </w:tbl>
    <w:p w:rsidR="000E6E3B" w:rsidRDefault="000E6E3B" w:rsidP="000E6E3B">
      <w:pPr>
        <w:jc w:val="right"/>
        <w:rPr>
          <w:b/>
          <w:sz w:val="16"/>
          <w:szCs w:val="16"/>
        </w:rPr>
      </w:pPr>
      <w:r>
        <w:rPr>
          <w:rFonts w:cs="Arial"/>
          <w:noProof/>
          <w:sz w:val="18"/>
          <w:szCs w:val="18"/>
        </w:rPr>
        <w:t>Source</w:t>
      </w:r>
      <w:r w:rsidRPr="00862A7A">
        <w:rPr>
          <w:rFonts w:cs="Arial"/>
          <w:noProof/>
          <w:sz w:val="18"/>
          <w:szCs w:val="18"/>
        </w:rPr>
        <w:t xml:space="preserve">: </w:t>
      </w:r>
      <w:r>
        <w:rPr>
          <w:rFonts w:cs="Arial"/>
          <w:noProof/>
          <w:sz w:val="18"/>
          <w:szCs w:val="18"/>
        </w:rPr>
        <w:t>CZSO</w:t>
      </w:r>
      <w:r w:rsidRPr="00862A7A">
        <w:rPr>
          <w:rFonts w:cs="Arial"/>
          <w:noProof/>
          <w:sz w:val="18"/>
          <w:szCs w:val="18"/>
        </w:rPr>
        <w:t xml:space="preserve">, </w:t>
      </w:r>
      <w:r>
        <w:rPr>
          <w:rFonts w:cs="Arial"/>
          <w:noProof/>
          <w:sz w:val="18"/>
          <w:szCs w:val="18"/>
        </w:rPr>
        <w:t>CNB</w:t>
      </w:r>
    </w:p>
    <w:p w:rsidR="000E6E3B" w:rsidRDefault="000E6E3B" w:rsidP="00F72F44">
      <w:pPr>
        <w:rPr>
          <w:b/>
          <w:sz w:val="16"/>
          <w:szCs w:val="16"/>
        </w:rPr>
      </w:pPr>
    </w:p>
    <w:p w:rsidR="008E39BC" w:rsidRPr="001870CB" w:rsidRDefault="008E39BC" w:rsidP="008E39BC">
      <w:pPr>
        <w:pStyle w:val="Nadpis1"/>
        <w:numPr>
          <w:ilvl w:val="0"/>
          <w:numId w:val="9"/>
        </w:numPr>
        <w:jc w:val="both"/>
        <w:rPr>
          <w:lang w:val="en-GB"/>
        </w:rPr>
      </w:pPr>
      <w:bookmarkStart w:id="7" w:name="_Toc414264324"/>
      <w:bookmarkStart w:id="8" w:name="_Toc417454526"/>
      <w:r w:rsidRPr="001870CB">
        <w:rPr>
          <w:lang w:val="en-GB"/>
        </w:rPr>
        <w:t>Prices</w:t>
      </w:r>
      <w:bookmarkEnd w:id="7"/>
      <w:bookmarkEnd w:id="8"/>
    </w:p>
    <w:tbl>
      <w:tblPr>
        <w:tblW w:w="5000" w:type="pct"/>
        <w:tblLayout w:type="fixed"/>
        <w:tblLook w:val="00A0"/>
      </w:tblPr>
      <w:tblGrid>
        <w:gridCol w:w="2077"/>
        <w:gridCol w:w="282"/>
        <w:gridCol w:w="7495"/>
      </w:tblGrid>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The favourable development of prices in foreign trade with goods contributed the m</w:t>
            </w:r>
            <w:r>
              <w:rPr>
                <w:color w:val="000000" w:themeColor="text1"/>
                <w:sz w:val="16"/>
                <w:szCs w:val="16"/>
                <w:lang w:val="en-GB"/>
              </w:rPr>
              <w:t>ost to the growth of the total</w:t>
            </w:r>
            <w:r w:rsidRPr="00C64821">
              <w:rPr>
                <w:color w:val="000000" w:themeColor="text1"/>
                <w:sz w:val="16"/>
                <w:szCs w:val="16"/>
                <w:lang w:val="en-GB"/>
              </w:rPr>
              <w:t xml:space="preserve"> price level in the economy</w:t>
            </w:r>
            <w:r>
              <w:rPr>
                <w:color w:val="000000" w:themeColor="text1"/>
                <w:sz w:val="16"/>
                <w:szCs w:val="16"/>
                <w:lang w:val="en-GB"/>
              </w:rPr>
              <w:t xml:space="preserve"> in 2014 (+2.3 %)</w:t>
            </w:r>
            <w:r w:rsidRPr="00C64821">
              <w:rPr>
                <w:color w:val="000000" w:themeColor="text1"/>
                <w:sz w:val="16"/>
                <w:szCs w:val="16"/>
                <w:lang w:val="en-GB"/>
              </w:rPr>
              <w:t xml:space="preserve"> </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spacing w:val="-2"/>
                <w:lang w:val="en-GB"/>
              </w:rPr>
            </w:pPr>
            <w:r>
              <w:rPr>
                <w:color w:val="000000" w:themeColor="text1"/>
                <w:spacing w:val="-2"/>
                <w:lang w:val="en-GB"/>
              </w:rPr>
              <w:t>Total</w:t>
            </w:r>
            <w:r w:rsidRPr="00C64821">
              <w:rPr>
                <w:color w:val="000000" w:themeColor="text1"/>
                <w:spacing w:val="-2"/>
                <w:lang w:val="en-GB"/>
              </w:rPr>
              <w:t xml:space="preserve"> price level in the economy</w:t>
            </w:r>
            <w:r>
              <w:rPr>
                <w:color w:val="000000" w:themeColor="text1"/>
                <w:spacing w:val="-2"/>
                <w:lang w:val="en-GB"/>
              </w:rPr>
              <w:t xml:space="preserve"> increased</w:t>
            </w:r>
            <w:r w:rsidRPr="00C64821">
              <w:rPr>
                <w:color w:val="000000" w:themeColor="text1"/>
                <w:spacing w:val="-2"/>
                <w:lang w:val="en-GB"/>
              </w:rPr>
              <w:t xml:space="preserve"> in 2014 – gauged by the implicit GDP deflator not seasonally adjusted – </w:t>
            </w:r>
            <w:r>
              <w:rPr>
                <w:color w:val="000000" w:themeColor="text1"/>
                <w:spacing w:val="-2"/>
                <w:lang w:val="en-GB"/>
              </w:rPr>
              <w:t xml:space="preserve">by 2.3 %, </w:t>
            </w:r>
            <w:r w:rsidRPr="00C64821">
              <w:rPr>
                <w:color w:val="000000" w:themeColor="text1"/>
                <w:spacing w:val="-2"/>
                <w:lang w:val="en-GB"/>
              </w:rPr>
              <w:t>the most since the year of the deep recession of 2009 (+2.6 %). The positive price development in the foreign trade with goods contributed the most to the raised price level (terms of trade improved by 2.0</w:t>
            </w:r>
            <w:r>
              <w:rPr>
                <w:color w:val="000000" w:themeColor="text1"/>
                <w:spacing w:val="-2"/>
                <w:lang w:val="en-GB"/>
              </w:rPr>
              <w:t> </w:t>
            </w:r>
            <w:r w:rsidRPr="00C64821">
              <w:rPr>
                <w:color w:val="000000" w:themeColor="text1"/>
                <w:spacing w:val="-2"/>
                <w:lang w:val="en-GB"/>
              </w:rPr>
              <w:t xml:space="preserve">%). While the prices of household purchases were raised up by 0.3 % and prices for goods and services entering the government consumption by 1.7 %, investment (gross fixed capital formation) were being acquired for prices 1.6 % higher </w:t>
            </w:r>
            <w:r>
              <w:rPr>
                <w:color w:val="000000" w:themeColor="text1"/>
                <w:spacing w:val="-2"/>
                <w:lang w:val="en-GB"/>
              </w:rPr>
              <w:t>than</w:t>
            </w:r>
            <w:r w:rsidRPr="00C64821">
              <w:rPr>
                <w:color w:val="000000" w:themeColor="text1"/>
                <w:spacing w:val="-2"/>
                <w:lang w:val="en-GB"/>
              </w:rPr>
              <w:t xml:space="preserve"> a year ago. Adverse development of prices in foreign trade with services slowed down the growth of the price level (terms of trade -1.6 %).</w:t>
            </w:r>
          </w:p>
          <w:p w:rsidR="008E39BC" w:rsidRPr="00C64821"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The inflation rate reaching only 0.4 %</w:t>
            </w:r>
            <w:r>
              <w:rPr>
                <w:color w:val="000000" w:themeColor="text1"/>
                <w:sz w:val="16"/>
                <w:szCs w:val="16"/>
                <w:lang w:val="en-GB"/>
              </w:rPr>
              <w:t xml:space="preserve"> in 2014</w:t>
            </w:r>
            <w:r w:rsidRPr="00C64821">
              <w:rPr>
                <w:color w:val="000000" w:themeColor="text1"/>
                <w:sz w:val="16"/>
                <w:szCs w:val="16"/>
                <w:lang w:val="en-GB"/>
              </w:rPr>
              <w:t xml:space="preserve"> was the lowest for the last eleven years</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spacing w:val="-2"/>
                <w:lang w:val="en-GB"/>
              </w:rPr>
            </w:pPr>
            <w:r w:rsidRPr="00C64821">
              <w:rPr>
                <w:color w:val="000000" w:themeColor="text1"/>
                <w:spacing w:val="-2"/>
                <w:lang w:val="en-GB"/>
              </w:rPr>
              <w:t xml:space="preserve">The average rate of inflation dropped to mere 0.4 % in 2014. Not only </w:t>
            </w:r>
            <w:r>
              <w:rPr>
                <w:color w:val="000000" w:themeColor="text1"/>
                <w:spacing w:val="-2"/>
                <w:lang w:val="en-GB"/>
              </w:rPr>
              <w:t>that</w:t>
            </w:r>
            <w:r w:rsidRPr="00C64821">
              <w:rPr>
                <w:color w:val="000000" w:themeColor="text1"/>
                <w:spacing w:val="-2"/>
                <w:lang w:val="en-GB"/>
              </w:rPr>
              <w:t xml:space="preserve"> the growth of the consumer prices</w:t>
            </w:r>
            <w:r>
              <w:rPr>
                <w:color w:val="000000" w:themeColor="text1"/>
                <w:spacing w:val="-2"/>
                <w:lang w:val="en-GB"/>
              </w:rPr>
              <w:t xml:space="preserve"> was</w:t>
            </w:r>
            <w:r w:rsidRPr="00C64821">
              <w:rPr>
                <w:color w:val="000000" w:themeColor="text1"/>
                <w:spacing w:val="-2"/>
                <w:lang w:val="en-GB"/>
              </w:rPr>
              <w:t xml:space="preserve"> markedly below the target of the Czech National Bank (CNB), which sets it on the level of 2 %, the prices grew the slowest since 20</w:t>
            </w:r>
            <w:r>
              <w:rPr>
                <w:color w:val="000000" w:themeColor="text1"/>
                <w:spacing w:val="-2"/>
                <w:lang w:val="en-GB"/>
              </w:rPr>
              <w:t>03 (+0.1 %). The weak growth of</w:t>
            </w:r>
            <w:r w:rsidRPr="00C64821">
              <w:rPr>
                <w:color w:val="000000" w:themeColor="text1"/>
                <w:spacing w:val="-2"/>
                <w:lang w:val="en-GB"/>
              </w:rPr>
              <w:t xml:space="preserve"> prices</w:t>
            </w:r>
            <w:r>
              <w:rPr>
                <w:color w:val="000000" w:themeColor="text1"/>
                <w:spacing w:val="-2"/>
                <w:lang w:val="en-GB"/>
              </w:rPr>
              <w:t xml:space="preserve"> in 2014</w:t>
            </w:r>
            <w:r w:rsidRPr="00C64821">
              <w:rPr>
                <w:color w:val="000000" w:themeColor="text1"/>
                <w:spacing w:val="-2"/>
                <w:lang w:val="en-GB"/>
              </w:rPr>
              <w:t xml:space="preserve"> was caused mostly by the long-term disinflation in the euro area, which leaked through the prices of imports into the CR, but also via a good harvest of the agricultural crop. The restrictive measures imposed on the foreign trade in Europe </w:t>
            </w:r>
            <w:r>
              <w:rPr>
                <w:color w:val="000000" w:themeColor="text1"/>
                <w:spacing w:val="-2"/>
                <w:lang w:val="en-GB"/>
              </w:rPr>
              <w:t>– which</w:t>
            </w:r>
            <w:r w:rsidRPr="00C64821">
              <w:rPr>
                <w:color w:val="000000" w:themeColor="text1"/>
                <w:spacing w:val="-2"/>
                <w:lang w:val="en-GB"/>
              </w:rPr>
              <w:t xml:space="preserve"> were reflected in the excess supply of some commodities on the market</w:t>
            </w:r>
            <w:r>
              <w:rPr>
                <w:color w:val="000000" w:themeColor="text1"/>
                <w:spacing w:val="-2"/>
                <w:lang w:val="en-GB"/>
              </w:rPr>
              <w:t xml:space="preserve"> – </w:t>
            </w:r>
            <w:r w:rsidRPr="00C64821">
              <w:rPr>
                <w:color w:val="000000" w:themeColor="text1"/>
                <w:spacing w:val="-2"/>
                <w:lang w:val="en-GB"/>
              </w:rPr>
              <w:t>also likely played a role in th</w:t>
            </w:r>
            <w:r>
              <w:rPr>
                <w:color w:val="000000" w:themeColor="text1"/>
                <w:spacing w:val="-2"/>
                <w:lang w:val="en-GB"/>
              </w:rPr>
              <w:t xml:space="preserve">e low growth of consumer prices. </w:t>
            </w:r>
            <w:r w:rsidRPr="00C64821">
              <w:rPr>
                <w:color w:val="000000" w:themeColor="text1"/>
                <w:spacing w:val="-2"/>
                <w:lang w:val="en-GB"/>
              </w:rPr>
              <w:t xml:space="preserve">Weaker </w:t>
            </w:r>
            <w:r>
              <w:rPr>
                <w:color w:val="000000" w:themeColor="text1"/>
                <w:spacing w:val="-2"/>
                <w:lang w:val="en-GB"/>
              </w:rPr>
              <w:t>koruna</w:t>
            </w:r>
            <w:r w:rsidRPr="00C64821">
              <w:rPr>
                <w:color w:val="000000" w:themeColor="text1"/>
                <w:spacing w:val="-2"/>
                <w:lang w:val="en-GB"/>
              </w:rPr>
              <w:t xml:space="preserve"> but also the further recovering domestic demand prevented a more notable reduction of the inflation rate in 2014.</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097B4B" w:rsidRDefault="008E39BC" w:rsidP="008E39BC">
            <w:pPr>
              <w:spacing w:line="240" w:lineRule="auto"/>
              <w:rPr>
                <w:color w:val="000000" w:themeColor="text1"/>
                <w:sz w:val="16"/>
                <w:szCs w:val="16"/>
                <w:lang w:val="en-GB"/>
              </w:rPr>
            </w:pPr>
            <w:r w:rsidRPr="00097B4B">
              <w:rPr>
                <w:color w:val="000000" w:themeColor="text1"/>
                <w:sz w:val="16"/>
                <w:szCs w:val="16"/>
                <w:lang w:val="en-GB"/>
              </w:rPr>
              <w:t xml:space="preserve">The development of </w:t>
            </w:r>
            <w:r>
              <w:rPr>
                <w:color w:val="000000" w:themeColor="text1"/>
                <w:sz w:val="16"/>
                <w:szCs w:val="16"/>
                <w:lang w:val="en-GB"/>
              </w:rPr>
              <w:t>oil</w:t>
            </w:r>
            <w:r w:rsidRPr="00097B4B">
              <w:rPr>
                <w:color w:val="000000" w:themeColor="text1"/>
                <w:sz w:val="16"/>
                <w:szCs w:val="16"/>
                <w:lang w:val="en-GB"/>
              </w:rPr>
              <w:t xml:space="preserve"> and natural gas prices on the world commodity </w:t>
            </w:r>
            <w:r w:rsidRPr="00097B4B">
              <w:rPr>
                <w:color w:val="000000" w:themeColor="text1"/>
                <w:sz w:val="16"/>
                <w:szCs w:val="16"/>
                <w:lang w:val="en-GB"/>
              </w:rPr>
              <w:lastRenderedPageBreak/>
              <w:t xml:space="preserve">market suggests, that the threat of deflation has not been averted yet </w:t>
            </w:r>
          </w:p>
        </w:tc>
        <w:tc>
          <w:tcPr>
            <w:tcW w:w="143" w:type="pct"/>
          </w:tcPr>
          <w:p w:rsidR="008E39BC" w:rsidRPr="00097B4B" w:rsidRDefault="008E39BC" w:rsidP="008E39BC">
            <w:pPr>
              <w:pStyle w:val="Textpoznpodarou"/>
              <w:jc w:val="both"/>
              <w:rPr>
                <w:color w:val="000000" w:themeColor="text1"/>
                <w:lang w:val="en-GB"/>
              </w:rPr>
            </w:pPr>
          </w:p>
        </w:tc>
        <w:tc>
          <w:tcPr>
            <w:tcW w:w="3803" w:type="pct"/>
          </w:tcPr>
          <w:p w:rsidR="008E39BC" w:rsidRPr="00097B4B" w:rsidRDefault="008E39BC" w:rsidP="008E39BC">
            <w:pPr>
              <w:pStyle w:val="Textpoznpodarou"/>
              <w:jc w:val="both"/>
              <w:rPr>
                <w:color w:val="000000" w:themeColor="text1"/>
                <w:lang w:val="en-GB"/>
              </w:rPr>
            </w:pPr>
            <w:r w:rsidRPr="00097B4B">
              <w:rPr>
                <w:color w:val="000000" w:themeColor="text1"/>
                <w:lang w:val="en-GB"/>
              </w:rPr>
              <w:t xml:space="preserve">It could be assumed from the development of prices of </w:t>
            </w:r>
            <w:r>
              <w:rPr>
                <w:color w:val="000000" w:themeColor="text1"/>
                <w:lang w:val="en-GB"/>
              </w:rPr>
              <w:t>oil</w:t>
            </w:r>
            <w:r w:rsidRPr="00097B4B">
              <w:rPr>
                <w:color w:val="000000" w:themeColor="text1"/>
                <w:lang w:val="en-GB"/>
              </w:rPr>
              <w:t xml:space="preserve"> and natural gas on the world market in the second half of 2014 and in the first months of 2015, the threat </w:t>
            </w:r>
            <w:r w:rsidRPr="00097B4B">
              <w:rPr>
                <w:color w:val="000000" w:themeColor="text1"/>
                <w:lang w:val="en-GB"/>
              </w:rPr>
              <w:lastRenderedPageBreak/>
              <w:t xml:space="preserve">of deflation has not been </w:t>
            </w:r>
            <w:r>
              <w:rPr>
                <w:color w:val="000000" w:themeColor="text1"/>
                <w:lang w:val="en-GB"/>
              </w:rPr>
              <w:t xml:space="preserve">most likely </w:t>
            </w:r>
            <w:r w:rsidRPr="00097B4B">
              <w:rPr>
                <w:color w:val="000000" w:themeColor="text1"/>
                <w:lang w:val="en-GB"/>
              </w:rPr>
              <w:t>averted in the CR. If a barrel of oil Brent</w:t>
            </w:r>
            <w:r>
              <w:rPr>
                <w:color w:val="000000" w:themeColor="text1"/>
                <w:lang w:val="en-GB"/>
              </w:rPr>
              <w:t xml:space="preserve"> was</w:t>
            </w:r>
            <w:r w:rsidRPr="00097B4B">
              <w:rPr>
                <w:color w:val="000000" w:themeColor="text1"/>
                <w:lang w:val="en-GB"/>
              </w:rPr>
              <w:t xml:space="preserve"> traded for roughly 110 American dollars on the world commodities market still at the beginning of July, it was less than 50 at the beginning of 2015, and despite a mild price hike during January and February, the prices kept staying remarkably lower year-on-year. The prices of natural gas followed a similar path, being markedly lower in the first months of 2015. As the low prices of these energy </w:t>
            </w:r>
            <w:r>
              <w:rPr>
                <w:color w:val="000000" w:themeColor="text1"/>
                <w:lang w:val="en-GB"/>
              </w:rPr>
              <w:t>commodities</w:t>
            </w:r>
            <w:r w:rsidRPr="00097B4B">
              <w:rPr>
                <w:color w:val="000000" w:themeColor="text1"/>
                <w:lang w:val="en-GB"/>
              </w:rPr>
              <w:t xml:space="preserve"> </w:t>
            </w:r>
            <w:r>
              <w:rPr>
                <w:color w:val="000000" w:themeColor="text1"/>
                <w:lang w:val="en-GB"/>
              </w:rPr>
              <w:t>will be</w:t>
            </w:r>
            <w:r w:rsidRPr="00097B4B">
              <w:rPr>
                <w:color w:val="000000" w:themeColor="text1"/>
                <w:lang w:val="en-GB"/>
              </w:rPr>
              <w:t xml:space="preserve"> absorbed by the production chain, they will </w:t>
            </w:r>
            <w:r>
              <w:rPr>
                <w:color w:val="000000" w:themeColor="text1"/>
                <w:lang w:val="en-GB"/>
              </w:rPr>
              <w:t xml:space="preserve">be </w:t>
            </w:r>
            <w:r w:rsidRPr="00097B4B">
              <w:rPr>
                <w:color w:val="000000" w:themeColor="text1"/>
                <w:lang w:val="en-GB"/>
              </w:rPr>
              <w:t xml:space="preserve">most likely gradually reflected also in the prices for consumers. </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8055EC" w:rsidRDefault="008E39BC" w:rsidP="008E39BC">
            <w:pPr>
              <w:spacing w:line="240" w:lineRule="auto"/>
              <w:rPr>
                <w:color w:val="000000" w:themeColor="text1"/>
                <w:sz w:val="16"/>
                <w:szCs w:val="16"/>
                <w:lang w:val="en-GB"/>
              </w:rPr>
            </w:pPr>
            <w:r w:rsidRPr="008055EC">
              <w:rPr>
                <w:color w:val="000000" w:themeColor="text1"/>
                <w:sz w:val="16"/>
                <w:szCs w:val="16"/>
                <w:lang w:val="en-GB"/>
              </w:rPr>
              <w:lastRenderedPageBreak/>
              <w:t xml:space="preserve">The consumer prices grew faster in the euro area compared to the CR in H1 2014, however the relation turned around in the second half of the year </w:t>
            </w:r>
          </w:p>
        </w:tc>
        <w:tc>
          <w:tcPr>
            <w:tcW w:w="143" w:type="pct"/>
          </w:tcPr>
          <w:p w:rsidR="008E39BC" w:rsidRPr="008055EC" w:rsidRDefault="008E39BC" w:rsidP="008E39BC">
            <w:pPr>
              <w:pStyle w:val="Textpoznpodarou"/>
              <w:jc w:val="both"/>
              <w:rPr>
                <w:color w:val="000000" w:themeColor="text1"/>
                <w:lang w:val="en-GB"/>
              </w:rPr>
            </w:pPr>
          </w:p>
        </w:tc>
        <w:tc>
          <w:tcPr>
            <w:tcW w:w="3803" w:type="pct"/>
          </w:tcPr>
          <w:p w:rsidR="008E39BC" w:rsidRPr="008055EC" w:rsidRDefault="008E39BC" w:rsidP="008E39BC">
            <w:pPr>
              <w:pStyle w:val="Textpoznpodarou"/>
              <w:jc w:val="both"/>
              <w:rPr>
                <w:color w:val="000000" w:themeColor="text1"/>
                <w:spacing w:val="-4"/>
                <w:lang w:val="en-GB"/>
              </w:rPr>
            </w:pPr>
            <w:r w:rsidRPr="008055EC">
              <w:rPr>
                <w:color w:val="000000" w:themeColor="text1"/>
                <w:spacing w:val="-4"/>
                <w:lang w:val="en-GB"/>
              </w:rPr>
              <w:t>While the consumer prices grew faster in the euro area compared to the CR year-on-year in H1 2014, as the harmonised index</w:t>
            </w:r>
            <w:r>
              <w:rPr>
                <w:color w:val="000000" w:themeColor="text1"/>
                <w:spacing w:val="-4"/>
                <w:lang w:val="en-GB"/>
              </w:rPr>
              <w:t xml:space="preserve"> of consumer prices</w:t>
            </w:r>
            <w:r w:rsidRPr="008055EC">
              <w:rPr>
                <w:color w:val="000000" w:themeColor="text1"/>
                <w:spacing w:val="-4"/>
                <w:lang w:val="en-GB"/>
              </w:rPr>
              <w:t xml:space="preserve"> suggests, the relation turned around in H2. In Q4 2014, when the consumer prices were raised by 0.5 % in the CR year-on-year, by mere 0.2 % in the euro area. Effort of the European Central Bank (ECB) to set in motion the credit market and subsequently also the prices via the record low interest rates, supplying liquidity to banks and purchases of secured bonds from banks, did not bring results. The ECB thus decided to launch a quantitative easing program in January 2015 (and it was launched in March). </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8055EC" w:rsidRDefault="008E39BC" w:rsidP="008E39BC">
            <w:pPr>
              <w:spacing w:line="240" w:lineRule="auto"/>
              <w:rPr>
                <w:color w:val="000000" w:themeColor="text1"/>
                <w:sz w:val="16"/>
                <w:szCs w:val="16"/>
                <w:lang w:val="en-GB"/>
              </w:rPr>
            </w:pPr>
            <w:r w:rsidRPr="008055EC">
              <w:rPr>
                <w:color w:val="000000" w:themeColor="text1"/>
                <w:sz w:val="16"/>
                <w:szCs w:val="16"/>
                <w:lang w:val="en-GB"/>
              </w:rPr>
              <w:t xml:space="preserve">While only five EU countries found themselves in deflation in Q1 2014 , it was already eight in the last quarter </w:t>
            </w:r>
          </w:p>
        </w:tc>
        <w:tc>
          <w:tcPr>
            <w:tcW w:w="143" w:type="pct"/>
          </w:tcPr>
          <w:p w:rsidR="008E39BC" w:rsidRPr="008055EC" w:rsidRDefault="008E39BC" w:rsidP="008E39BC">
            <w:pPr>
              <w:pStyle w:val="Textpoznpodarou"/>
              <w:jc w:val="both"/>
              <w:rPr>
                <w:color w:val="000000" w:themeColor="text1"/>
                <w:lang w:val="en-GB"/>
              </w:rPr>
            </w:pPr>
          </w:p>
        </w:tc>
        <w:tc>
          <w:tcPr>
            <w:tcW w:w="3803" w:type="pct"/>
          </w:tcPr>
          <w:p w:rsidR="008E39BC" w:rsidRPr="008055EC" w:rsidRDefault="008E39BC" w:rsidP="008E39BC">
            <w:pPr>
              <w:pStyle w:val="Textpoznpodarou"/>
              <w:jc w:val="both"/>
              <w:rPr>
                <w:color w:val="000000" w:themeColor="text1"/>
                <w:spacing w:val="-6"/>
                <w:lang w:val="en-GB"/>
              </w:rPr>
            </w:pPr>
            <w:r w:rsidRPr="008055EC">
              <w:rPr>
                <w:color w:val="000000" w:themeColor="text1"/>
                <w:lang w:val="en-GB"/>
              </w:rPr>
              <w:t>The growth of consumer prices</w:t>
            </w:r>
            <w:r>
              <w:rPr>
                <w:color w:val="000000" w:themeColor="text1"/>
                <w:lang w:val="en-GB"/>
              </w:rPr>
              <w:t xml:space="preserve"> in the CR</w:t>
            </w:r>
            <w:r w:rsidRPr="008055EC">
              <w:rPr>
                <w:color w:val="000000" w:themeColor="text1"/>
                <w:lang w:val="en-GB"/>
              </w:rPr>
              <w:t xml:space="preserve"> fell among the EU countries to the highest in the last quarter of 2014 year-on-year. The prices grew more only in Romania, Austria, Finland, Great Britain, Latvia and Malta. Nevertheless, the year-on-year growth addition did not exceed the 1.5 % boundary in any of these countries. On the opposite more and more cou</w:t>
            </w:r>
            <w:r>
              <w:rPr>
                <w:color w:val="000000" w:themeColor="text1"/>
                <w:lang w:val="en-GB"/>
              </w:rPr>
              <w:t>ntries slumped into deflation. While in Q1 2014</w:t>
            </w:r>
            <w:r w:rsidRPr="008055EC">
              <w:rPr>
                <w:color w:val="000000" w:themeColor="text1"/>
                <w:lang w:val="en-GB"/>
              </w:rPr>
              <w:t xml:space="preserve"> only five Union members recorded a year-on-year fall of the consumer prices, it was six in Q2, already seven in Q3 and even eight in the last quarter.</w:t>
            </w:r>
          </w:p>
          <w:p w:rsidR="008E39BC" w:rsidRPr="0056747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t>Price</w:t>
            </w:r>
            <w:r>
              <w:rPr>
                <w:color w:val="000000" w:themeColor="text1"/>
                <w:sz w:val="16"/>
                <w:szCs w:val="16"/>
                <w:lang w:val="en-GB"/>
              </w:rPr>
              <w:t>s</w:t>
            </w:r>
            <w:r w:rsidRPr="00C25CB0">
              <w:rPr>
                <w:color w:val="000000" w:themeColor="text1"/>
                <w:sz w:val="16"/>
                <w:szCs w:val="16"/>
                <w:lang w:val="en-GB"/>
              </w:rPr>
              <w:t xml:space="preserve"> of food were raised only by 2.3 % in the CR in 2014, the least since 2010, …</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C25CB0" w:rsidRDefault="008E39BC" w:rsidP="008E39BC">
            <w:pPr>
              <w:pStyle w:val="Textpoznpodarou"/>
              <w:jc w:val="both"/>
              <w:rPr>
                <w:color w:val="000000" w:themeColor="text1"/>
                <w:spacing w:val="-2"/>
                <w:lang w:val="en-GB"/>
              </w:rPr>
            </w:pPr>
            <w:r w:rsidRPr="00C25CB0">
              <w:rPr>
                <w:color w:val="000000" w:themeColor="text1"/>
                <w:spacing w:val="-2"/>
                <w:lang w:val="en-GB"/>
              </w:rPr>
              <w:t>Growth of prices of food</w:t>
            </w:r>
            <w:r>
              <w:rPr>
                <w:color w:val="000000" w:themeColor="text1"/>
                <w:spacing w:val="-2"/>
                <w:lang w:val="en-GB"/>
              </w:rPr>
              <w:t xml:space="preserve"> in CR</w:t>
            </w:r>
            <w:r w:rsidRPr="00C25CB0">
              <w:rPr>
                <w:color w:val="000000" w:themeColor="text1"/>
                <w:spacing w:val="-2"/>
                <w:lang w:val="en-GB"/>
              </w:rPr>
              <w:t xml:space="preserve"> significantly slowed down during 2014. If the prices of food were higher by 4.4 % still in Q1 year-on-year, by 1.9 % in Q2, by 1.7 % in Q3</w:t>
            </w:r>
            <w:r>
              <w:rPr>
                <w:color w:val="000000" w:themeColor="text1"/>
                <w:spacing w:val="-2"/>
                <w:lang w:val="en-GB"/>
              </w:rPr>
              <w:t xml:space="preserve"> and</w:t>
            </w:r>
            <w:r w:rsidRPr="00C25CB0">
              <w:rPr>
                <w:color w:val="000000" w:themeColor="text1"/>
                <w:spacing w:val="-2"/>
                <w:lang w:val="en-GB"/>
              </w:rPr>
              <w:t xml:space="preserve"> only by 1.4 % in the last quarter. </w:t>
            </w:r>
            <w:r>
              <w:rPr>
                <w:color w:val="000000" w:themeColor="text1"/>
                <w:spacing w:val="-2"/>
                <w:lang w:val="en-GB"/>
              </w:rPr>
              <w:t>F</w:t>
            </w:r>
            <w:r w:rsidRPr="00C25CB0">
              <w:rPr>
                <w:color w:val="000000" w:themeColor="text1"/>
                <w:spacing w:val="-2"/>
                <w:lang w:val="en-GB"/>
              </w:rPr>
              <w:t>or the whole year 2014</w:t>
            </w:r>
            <w:r>
              <w:rPr>
                <w:color w:val="000000" w:themeColor="text1"/>
                <w:spacing w:val="-2"/>
                <w:lang w:val="en-GB"/>
              </w:rPr>
              <w:t xml:space="preserve"> t</w:t>
            </w:r>
            <w:r w:rsidRPr="00C25CB0">
              <w:rPr>
                <w:color w:val="000000" w:themeColor="text1"/>
                <w:spacing w:val="-2"/>
                <w:lang w:val="en-GB"/>
              </w:rPr>
              <w:t>he prices</w:t>
            </w:r>
            <w:r>
              <w:rPr>
                <w:color w:val="000000" w:themeColor="text1"/>
                <w:spacing w:val="-2"/>
                <w:lang w:val="en-GB"/>
              </w:rPr>
              <w:t xml:space="preserve"> of food</w:t>
            </w:r>
            <w:r w:rsidRPr="00C25CB0">
              <w:rPr>
                <w:color w:val="000000" w:themeColor="text1"/>
                <w:spacing w:val="-2"/>
                <w:lang w:val="en-GB"/>
              </w:rPr>
              <w:t xml:space="preserve"> were raised by 2.3 %, the least since 2010 (+1.7 %).</w:t>
            </w:r>
          </w:p>
          <w:p w:rsidR="008E39BC" w:rsidRPr="00C25CB0"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t xml:space="preserve">… </w:t>
            </w:r>
            <w:r w:rsidRPr="00C25CB0">
              <w:rPr>
                <w:color w:val="000000"/>
                <w:sz w:val="16"/>
                <w:szCs w:val="16"/>
                <w:lang w:val="en-GB"/>
              </w:rPr>
              <w:t>a good harvest of the agricultural crop played an important role in the low growth of the prices of food</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335BC3" w:rsidRDefault="008E39BC" w:rsidP="008E39BC">
            <w:pPr>
              <w:pStyle w:val="Textpoznpodarou"/>
              <w:jc w:val="both"/>
              <w:rPr>
                <w:color w:val="000000" w:themeColor="text1"/>
                <w:spacing w:val="-2"/>
                <w:lang w:val="en-GB"/>
              </w:rPr>
            </w:pPr>
            <w:r w:rsidRPr="00335BC3">
              <w:rPr>
                <w:color w:val="000000" w:themeColor="text1"/>
                <w:spacing w:val="-2"/>
                <w:lang w:val="en-GB"/>
              </w:rPr>
              <w:t xml:space="preserve">Good harvest of agricultural crop had a direct positive impact on the prices of fruit, which increased only by 0.5 % in 2014, and vegetables, which even fell by 3.7 %, but it was also indirectly reflected in the prices of the bakery products and grain (+0.4 %). Prices of meat in shops were raised by 2.5 % compared to the previous </w:t>
            </w:r>
            <w:proofErr w:type="gramStart"/>
            <w:r w:rsidRPr="00335BC3">
              <w:rPr>
                <w:color w:val="000000" w:themeColor="text1"/>
                <w:spacing w:val="-2"/>
                <w:lang w:val="en-GB"/>
              </w:rPr>
              <w:t>year,</w:t>
            </w:r>
            <w:proofErr w:type="gramEnd"/>
            <w:r w:rsidRPr="00335BC3">
              <w:rPr>
                <w:color w:val="000000" w:themeColor="text1"/>
                <w:spacing w:val="-2"/>
                <w:lang w:val="en-GB"/>
              </w:rPr>
              <w:t xml:space="preserve"> the consumers had to pay the most extra for milk, cheeses and eggs (+7.4 %).</w:t>
            </w:r>
          </w:p>
          <w:p w:rsidR="008E39BC" w:rsidRPr="00C25CB0"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C25CB0" w:rsidRDefault="008E39BC" w:rsidP="008E39BC">
            <w:pPr>
              <w:spacing w:line="240" w:lineRule="auto"/>
              <w:rPr>
                <w:color w:val="000000" w:themeColor="text1"/>
                <w:sz w:val="16"/>
                <w:szCs w:val="16"/>
                <w:lang w:val="en-GB"/>
              </w:rPr>
            </w:pPr>
            <w:r w:rsidRPr="00C25CB0">
              <w:rPr>
                <w:color w:val="000000" w:themeColor="text1"/>
                <w:sz w:val="16"/>
                <w:szCs w:val="16"/>
                <w:lang w:val="en-GB"/>
              </w:rPr>
              <w:t xml:space="preserve">Prices of industrial producers headed into deflation in 2014, however price dynamics increased in the manufacturing industry itself, … </w:t>
            </w:r>
          </w:p>
        </w:tc>
        <w:tc>
          <w:tcPr>
            <w:tcW w:w="143" w:type="pct"/>
          </w:tcPr>
          <w:p w:rsidR="008E39BC" w:rsidRPr="00C25CB0" w:rsidRDefault="008E39BC" w:rsidP="008E39BC">
            <w:pPr>
              <w:pStyle w:val="Textpoznpodarou"/>
              <w:jc w:val="both"/>
              <w:rPr>
                <w:color w:val="000000" w:themeColor="text1"/>
                <w:lang w:val="en-GB"/>
              </w:rPr>
            </w:pPr>
          </w:p>
        </w:tc>
        <w:tc>
          <w:tcPr>
            <w:tcW w:w="3803" w:type="pct"/>
          </w:tcPr>
          <w:p w:rsidR="008E39BC" w:rsidRPr="00C25CB0" w:rsidRDefault="008E39BC" w:rsidP="008E39BC">
            <w:pPr>
              <w:pStyle w:val="Textpoznpodarou"/>
              <w:jc w:val="both"/>
              <w:rPr>
                <w:color w:val="000000" w:themeColor="text1"/>
                <w:lang w:val="en-GB"/>
              </w:rPr>
            </w:pPr>
            <w:r w:rsidRPr="00C25CB0">
              <w:rPr>
                <w:color w:val="000000" w:themeColor="text1"/>
                <w:lang w:val="en-GB"/>
              </w:rPr>
              <w:t xml:space="preserve">Industrial producer prices, which strengthened by 0.8 % in 2013, headed into deflation in 2014. They fell by 0.8 %, even despite the fact, that the price dynamics rose from +0.2 % in 2013 to +1.0 % in 2014 in the significant manufacturing industry. What then stood behind the price fall in industry? The deflation </w:t>
            </w:r>
            <w:r>
              <w:rPr>
                <w:color w:val="000000" w:themeColor="text1"/>
                <w:lang w:val="en-GB"/>
              </w:rPr>
              <w:t>in mining and quarrying –</w:t>
            </w:r>
            <w:r w:rsidRPr="00C25CB0">
              <w:rPr>
                <w:color w:val="000000" w:themeColor="text1"/>
                <w:lang w:val="en-GB"/>
              </w:rPr>
              <w:t xml:space="preserve"> which struggled with the falling prices o</w:t>
            </w:r>
            <w:r>
              <w:rPr>
                <w:color w:val="000000" w:themeColor="text1"/>
                <w:lang w:val="en-GB"/>
              </w:rPr>
              <w:t>f coal already for a third year – deepened,</w:t>
            </w:r>
            <w:r w:rsidRPr="00C25CB0">
              <w:rPr>
                <w:color w:val="000000" w:themeColor="text1"/>
                <w:lang w:val="en-GB"/>
              </w:rPr>
              <w:t xml:space="preserve"> in addition the prices of supplies of electricity and gas were hike reduced in January.</w:t>
            </w:r>
          </w:p>
          <w:p w:rsidR="008E39BC" w:rsidRPr="00C25CB0"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9A348E" w:rsidRDefault="008E39BC" w:rsidP="008E39BC">
            <w:pPr>
              <w:spacing w:line="240" w:lineRule="auto"/>
              <w:rPr>
                <w:color w:val="000000" w:themeColor="text1"/>
                <w:sz w:val="16"/>
                <w:szCs w:val="16"/>
                <w:lang w:val="en-GB"/>
              </w:rPr>
            </w:pPr>
            <w:r>
              <w:rPr>
                <w:color w:val="000000" w:themeColor="text1"/>
                <w:sz w:val="16"/>
                <w:szCs w:val="16"/>
                <w:lang w:val="en-GB"/>
              </w:rPr>
              <w:t xml:space="preserve">… </w:t>
            </w:r>
            <w:r w:rsidRPr="009A348E">
              <w:rPr>
                <w:color w:val="000000" w:themeColor="text1"/>
                <w:sz w:val="16"/>
                <w:szCs w:val="16"/>
                <w:lang w:val="en-GB"/>
              </w:rPr>
              <w:t xml:space="preserve">it was for once thanks to the continuing economic recovery, for second to weaker </w:t>
            </w:r>
            <w:r>
              <w:rPr>
                <w:color w:val="000000" w:themeColor="text1"/>
                <w:sz w:val="16"/>
                <w:szCs w:val="16"/>
                <w:lang w:val="en-GB"/>
              </w:rPr>
              <w:t>koruna</w:t>
            </w:r>
            <w:r w:rsidRPr="009A348E">
              <w:rPr>
                <w:color w:val="000000" w:themeColor="text1"/>
                <w:sz w:val="16"/>
                <w:szCs w:val="16"/>
                <w:lang w:val="en-GB"/>
              </w:rPr>
              <w:t xml:space="preserve">, which increased the cost of purchasing the inputs from abroad to companies </w:t>
            </w:r>
          </w:p>
        </w:tc>
        <w:tc>
          <w:tcPr>
            <w:tcW w:w="143" w:type="pct"/>
          </w:tcPr>
          <w:p w:rsidR="008E39BC" w:rsidRPr="009A348E" w:rsidRDefault="008E39BC" w:rsidP="008E39BC">
            <w:pPr>
              <w:pStyle w:val="Textpoznpodarou"/>
              <w:jc w:val="both"/>
              <w:rPr>
                <w:color w:val="000000" w:themeColor="text1"/>
                <w:lang w:val="en-GB"/>
              </w:rPr>
            </w:pPr>
          </w:p>
        </w:tc>
        <w:tc>
          <w:tcPr>
            <w:tcW w:w="3803" w:type="pct"/>
          </w:tcPr>
          <w:p w:rsidR="008E39BC" w:rsidRPr="009A348E" w:rsidRDefault="008E39BC" w:rsidP="008E39BC">
            <w:pPr>
              <w:pStyle w:val="Textpoznpodarou"/>
              <w:jc w:val="both"/>
              <w:rPr>
                <w:color w:val="000000" w:themeColor="text1"/>
                <w:lang w:val="en-GB"/>
              </w:rPr>
            </w:pPr>
            <w:r w:rsidRPr="009A348E">
              <w:rPr>
                <w:color w:val="000000" w:themeColor="text1"/>
                <w:lang w:val="en-GB"/>
              </w:rPr>
              <w:t>As apparent from the classification into subdivisions of CZ-CPA, all monitored groups of companies classified as „manufacturi</w:t>
            </w:r>
            <w:r>
              <w:rPr>
                <w:color w:val="000000" w:themeColor="text1"/>
                <w:lang w:val="en-GB"/>
              </w:rPr>
              <w:t>ng</w:t>
            </w:r>
            <w:proofErr w:type="gramStart"/>
            <w:r>
              <w:rPr>
                <w:color w:val="000000" w:themeColor="text1"/>
                <w:lang w:val="en-GB"/>
              </w:rPr>
              <w:t>“ raised</w:t>
            </w:r>
            <w:proofErr w:type="gramEnd"/>
            <w:r>
              <w:rPr>
                <w:color w:val="000000" w:themeColor="text1"/>
                <w:lang w:val="en-GB"/>
              </w:rPr>
              <w:t xml:space="preserve"> their prices in 2014. Exceptions were</w:t>
            </w:r>
            <w:r w:rsidRPr="009A348E">
              <w:rPr>
                <w:color w:val="000000" w:themeColor="text1"/>
                <w:lang w:val="en-GB"/>
              </w:rPr>
              <w:t xml:space="preserve"> the produce</w:t>
            </w:r>
            <w:r>
              <w:rPr>
                <w:color w:val="000000" w:themeColor="text1"/>
                <w:lang w:val="en-GB"/>
              </w:rPr>
              <w:t>rs</w:t>
            </w:r>
            <w:r w:rsidRPr="009A348E">
              <w:rPr>
                <w:color w:val="000000" w:themeColor="text1"/>
                <w:lang w:val="en-GB"/>
              </w:rPr>
              <w:t xml:space="preserve"> of coke and refined petroleum products (- 1.9 %), which experienced reduced cost for securing the oil supplies in Q4; manufacturers of food products, beverages and tobacco (-0.3 %), which could reduce prices thanks to a good harvest and low buying up prices of agricultural crop; and producers of basic pharmaceutical products (-1.6 %). Regarding the significant groups of firms (in terms of proportion of total performance of the manufacturing industry), manufacturers of transport </w:t>
            </w:r>
            <w:r>
              <w:rPr>
                <w:color w:val="000000" w:themeColor="text1"/>
                <w:lang w:val="en-GB"/>
              </w:rPr>
              <w:t>equipment</w:t>
            </w:r>
            <w:r w:rsidRPr="009A348E">
              <w:rPr>
                <w:color w:val="000000" w:themeColor="text1"/>
                <w:lang w:val="en-GB"/>
              </w:rPr>
              <w:t xml:space="preserve"> (+3.5 %) and manufacturers of</w:t>
            </w:r>
            <w:r>
              <w:rPr>
                <w:color w:val="000000" w:themeColor="text1"/>
                <w:lang w:val="en-GB"/>
              </w:rPr>
              <w:t> </w:t>
            </w:r>
            <w:r w:rsidRPr="009A348E">
              <w:rPr>
                <w:color w:val="000000" w:themeColor="text1"/>
                <w:lang w:val="en-GB"/>
              </w:rPr>
              <w:t xml:space="preserve">basic metals and </w:t>
            </w:r>
            <w:r>
              <w:rPr>
                <w:color w:val="000000" w:themeColor="text1"/>
                <w:lang w:val="en-GB"/>
              </w:rPr>
              <w:t>fabricated metal products</w:t>
            </w:r>
            <w:r w:rsidRPr="009A348E">
              <w:rPr>
                <w:color w:val="000000" w:themeColor="text1"/>
                <w:lang w:val="en-GB"/>
              </w:rPr>
              <w:t xml:space="preserve"> (+2.4 %) raised their prices the most, companies manufacturing wo</w:t>
            </w:r>
            <w:r>
              <w:rPr>
                <w:color w:val="000000" w:themeColor="text1"/>
                <w:lang w:val="en-GB"/>
              </w:rPr>
              <w:t>od</w:t>
            </w:r>
            <w:r w:rsidRPr="009A348E">
              <w:rPr>
                <w:color w:val="000000" w:themeColor="text1"/>
                <w:lang w:val="en-GB"/>
              </w:rPr>
              <w:t xml:space="preserve"> products, paper products and companies with printing activities (+ 3.6 %) and manufacturers of textile, </w:t>
            </w:r>
            <w:r>
              <w:rPr>
                <w:color w:val="000000" w:themeColor="text1"/>
                <w:lang w:val="en-GB"/>
              </w:rPr>
              <w:t>clothes</w:t>
            </w:r>
            <w:r w:rsidRPr="009A348E">
              <w:rPr>
                <w:color w:val="000000" w:themeColor="text1"/>
                <w:lang w:val="en-GB"/>
              </w:rPr>
              <w:t xml:space="preserve"> and leathers (+ 2.4 %) t</w:t>
            </w:r>
            <w:r>
              <w:rPr>
                <w:color w:val="000000" w:themeColor="text1"/>
                <w:lang w:val="en-GB"/>
              </w:rPr>
              <w:t>hen among the less significant.</w:t>
            </w:r>
          </w:p>
          <w:p w:rsidR="008E39BC" w:rsidRPr="009A348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9A348E" w:rsidRDefault="008E39BC" w:rsidP="008E39BC">
            <w:pPr>
              <w:spacing w:line="240" w:lineRule="auto"/>
              <w:rPr>
                <w:color w:val="000000" w:themeColor="text1"/>
                <w:sz w:val="16"/>
                <w:szCs w:val="16"/>
                <w:lang w:val="en-GB"/>
              </w:rPr>
            </w:pPr>
            <w:r w:rsidRPr="009A348E">
              <w:rPr>
                <w:color w:val="000000" w:themeColor="text1"/>
                <w:sz w:val="16"/>
                <w:szCs w:val="16"/>
                <w:lang w:val="en-GB"/>
              </w:rPr>
              <w:t xml:space="preserve">Prices of agricultural producers were reduced by 3.7 % in 2014, milk itself was however traded for prices by 13.1 % higher </w:t>
            </w:r>
          </w:p>
        </w:tc>
        <w:tc>
          <w:tcPr>
            <w:tcW w:w="143" w:type="pct"/>
          </w:tcPr>
          <w:p w:rsidR="008E39BC" w:rsidRPr="009A348E" w:rsidRDefault="008E39BC" w:rsidP="008E39BC">
            <w:pPr>
              <w:pStyle w:val="Textpoznpodarou"/>
              <w:jc w:val="both"/>
              <w:rPr>
                <w:color w:val="000000" w:themeColor="text1"/>
                <w:lang w:val="en-GB"/>
              </w:rPr>
            </w:pPr>
          </w:p>
        </w:tc>
        <w:tc>
          <w:tcPr>
            <w:tcW w:w="3803" w:type="pct"/>
          </w:tcPr>
          <w:p w:rsidR="008E39BC" w:rsidRPr="009A348E" w:rsidRDefault="008E39BC" w:rsidP="008E39BC">
            <w:pPr>
              <w:pStyle w:val="Textpoznpodarou"/>
              <w:jc w:val="both"/>
              <w:rPr>
                <w:color w:val="000000" w:themeColor="text1"/>
                <w:lang w:val="en-GB"/>
              </w:rPr>
            </w:pPr>
            <w:r w:rsidRPr="009A348E">
              <w:rPr>
                <w:color w:val="000000" w:themeColor="text1"/>
                <w:lang w:val="en-GB"/>
              </w:rPr>
              <w:t>Agricultural producer prices were reduced</w:t>
            </w:r>
            <w:r>
              <w:rPr>
                <w:color w:val="000000" w:themeColor="text1"/>
                <w:lang w:val="en-GB"/>
              </w:rPr>
              <w:t xml:space="preserve"> by 3.7 % in 2014. Good harvest – which resulted in high weight of crop harvested – </w:t>
            </w:r>
            <w:r w:rsidRPr="009A348E">
              <w:rPr>
                <w:color w:val="000000" w:themeColor="text1"/>
                <w:lang w:val="en-GB"/>
              </w:rPr>
              <w:t>pressed down the prices</w:t>
            </w:r>
            <w:r>
              <w:rPr>
                <w:color w:val="000000" w:themeColor="text1"/>
                <w:lang w:val="en-GB"/>
              </w:rPr>
              <w:t xml:space="preserve"> of all monitored types of cereals</w:t>
            </w:r>
            <w:r>
              <w:rPr>
                <w:color w:val="000000" w:themeColor="text1"/>
                <w:lang w:val="en-US"/>
              </w:rPr>
              <w:t>;</w:t>
            </w:r>
            <w:r w:rsidRPr="009A348E">
              <w:rPr>
                <w:color w:val="000000" w:themeColor="text1"/>
                <w:lang w:val="en-GB"/>
              </w:rPr>
              <w:t xml:space="preserve"> vegetable </w:t>
            </w:r>
            <w:r>
              <w:rPr>
                <w:color w:val="000000" w:themeColor="text1"/>
                <w:lang w:val="en-GB"/>
              </w:rPr>
              <w:t>and horticultural products</w:t>
            </w:r>
            <w:r w:rsidRPr="009A348E">
              <w:rPr>
                <w:color w:val="000000" w:themeColor="text1"/>
                <w:lang w:val="en-GB"/>
              </w:rPr>
              <w:t>, potatoes, fruit and industrial crops (i.e. rape plant and sunflower) were also sold cheaper year-on-year. The livestock (cattle, pigs, sheep as well as poultry) was b</w:t>
            </w:r>
            <w:r>
              <w:rPr>
                <w:color w:val="000000" w:themeColor="text1"/>
                <w:lang w:val="en-GB"/>
              </w:rPr>
              <w:t>ought</w:t>
            </w:r>
            <w:r w:rsidRPr="009A348E">
              <w:rPr>
                <w:color w:val="000000" w:themeColor="text1"/>
                <w:lang w:val="en-GB"/>
              </w:rPr>
              <w:t xml:space="preserve"> up </w:t>
            </w:r>
            <w:r w:rsidRPr="009A348E">
              <w:rPr>
                <w:color w:val="000000" w:themeColor="text1"/>
                <w:lang w:val="en-GB"/>
              </w:rPr>
              <w:lastRenderedPageBreak/>
              <w:t>cheaper compared to 2013, prices of milk on the contrary increased by 13.1 %. These grew</w:t>
            </w:r>
            <w:r>
              <w:rPr>
                <w:color w:val="000000" w:themeColor="text1"/>
                <w:lang w:val="en-GB"/>
              </w:rPr>
              <w:t xml:space="preserve"> most likely</w:t>
            </w:r>
            <w:r w:rsidRPr="009A348E">
              <w:rPr>
                <w:color w:val="000000" w:themeColor="text1"/>
                <w:lang w:val="en-GB"/>
              </w:rPr>
              <w:t xml:space="preserve"> especially as a result of expanding worldwide demand for milk products, already for a second year. The prices of milk were raised by 21.9 % in </w:t>
            </w:r>
            <w:r>
              <w:rPr>
                <w:color w:val="000000" w:themeColor="text1"/>
                <w:lang w:val="en-GB"/>
              </w:rPr>
              <w:t>total</w:t>
            </w:r>
            <w:r w:rsidRPr="009A348E">
              <w:rPr>
                <w:color w:val="000000" w:themeColor="text1"/>
                <w:lang w:val="en-GB"/>
              </w:rPr>
              <w:t xml:space="preserve"> for ye</w:t>
            </w:r>
            <w:r>
              <w:rPr>
                <w:color w:val="000000" w:themeColor="text1"/>
                <w:lang w:val="en-GB"/>
              </w:rPr>
              <w:t>ars 2013 and 2014.</w:t>
            </w:r>
          </w:p>
          <w:p w:rsidR="008E39BC" w:rsidRPr="009A348E"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A312CA" w:rsidRDefault="008E39BC" w:rsidP="008E39BC">
            <w:pPr>
              <w:spacing w:line="240" w:lineRule="auto"/>
              <w:rPr>
                <w:color w:val="000000" w:themeColor="text1"/>
                <w:sz w:val="16"/>
                <w:szCs w:val="16"/>
                <w:lang w:val="en-GB"/>
              </w:rPr>
            </w:pPr>
            <w:r w:rsidRPr="00A312CA">
              <w:rPr>
                <w:color w:val="000000" w:themeColor="text1"/>
                <w:sz w:val="16"/>
                <w:szCs w:val="16"/>
                <w:lang w:val="en-GB"/>
              </w:rPr>
              <w:lastRenderedPageBreak/>
              <w:t>Construction firms were likely not able to further shrink their margins and the prices of construction works were raised up by 0.5 %</w:t>
            </w:r>
            <w:r>
              <w:rPr>
                <w:color w:val="000000" w:themeColor="text1"/>
                <w:sz w:val="16"/>
                <w:szCs w:val="16"/>
                <w:lang w:val="en-GB"/>
              </w:rPr>
              <w:t xml:space="preserve"> in 2014</w:t>
            </w:r>
            <w:r w:rsidRPr="00A312CA">
              <w:rPr>
                <w:color w:val="000000" w:themeColor="text1"/>
                <w:sz w:val="16"/>
                <w:szCs w:val="16"/>
                <w:lang w:val="en-GB"/>
              </w:rPr>
              <w:t>. They increased for the first time since 2009</w:t>
            </w:r>
          </w:p>
        </w:tc>
        <w:tc>
          <w:tcPr>
            <w:tcW w:w="143" w:type="pct"/>
          </w:tcPr>
          <w:p w:rsidR="008E39BC" w:rsidRPr="00A312CA" w:rsidRDefault="008E39BC" w:rsidP="008E39BC">
            <w:pPr>
              <w:pStyle w:val="Textpoznpodarou"/>
              <w:jc w:val="both"/>
              <w:rPr>
                <w:color w:val="000000" w:themeColor="text1"/>
                <w:lang w:val="en-GB"/>
              </w:rPr>
            </w:pPr>
          </w:p>
        </w:tc>
        <w:tc>
          <w:tcPr>
            <w:tcW w:w="3803" w:type="pct"/>
          </w:tcPr>
          <w:p w:rsidR="008E39BC" w:rsidRPr="00B61555" w:rsidRDefault="008E39BC" w:rsidP="008E39BC">
            <w:pPr>
              <w:pStyle w:val="Textpoznpodarou"/>
              <w:jc w:val="both"/>
              <w:rPr>
                <w:color w:val="000000" w:themeColor="text1"/>
                <w:spacing w:val="-2"/>
                <w:lang w:val="en-GB"/>
              </w:rPr>
            </w:pPr>
            <w:r w:rsidRPr="00B61555">
              <w:rPr>
                <w:color w:val="000000" w:themeColor="text1"/>
                <w:spacing w:val="-2"/>
                <w:lang w:val="en-GB"/>
              </w:rPr>
              <w:t xml:space="preserve">Prices in construction, which hit their bottom in half of 2013, also continued in a slow growth in 2014. It follows from the basis index of construction works. Prices increased by 0.5 % in construction in total for the year 2014, the price growth of construction works was observed for the first time since 2009. Firms were most likely not able to shrink their margins anymore and prices of construction works thus increased as the companies experienced rising cost of construction production. The fact, that companies – in the view of growth of value of construction orders and rise of the volume of construction production – already quite thrived in 2014, was not mirrored in the prices of construction works to a larger extent. Intensive competition prevented companies from larger price increases. </w:t>
            </w:r>
          </w:p>
          <w:p w:rsidR="008E39BC" w:rsidRPr="00A312CA"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7835F6" w:rsidRDefault="008E39BC" w:rsidP="008E39BC">
            <w:pPr>
              <w:spacing w:line="240" w:lineRule="auto"/>
              <w:rPr>
                <w:color w:val="000000" w:themeColor="text1"/>
                <w:sz w:val="16"/>
                <w:szCs w:val="16"/>
                <w:lang w:val="en-GB"/>
              </w:rPr>
            </w:pPr>
            <w:r w:rsidRPr="00C83E26">
              <w:rPr>
                <w:color w:val="000000" w:themeColor="text1"/>
                <w:sz w:val="16"/>
                <w:szCs w:val="16"/>
                <w:lang w:val="en-GB"/>
              </w:rPr>
              <w:t>Larger demand of manufacturing industry for transportation and warehousing, but also</w:t>
            </w:r>
            <w:r>
              <w:rPr>
                <w:color w:val="000000" w:themeColor="text1"/>
                <w:sz w:val="16"/>
                <w:szCs w:val="16"/>
                <w:lang w:val="en-GB"/>
              </w:rPr>
              <w:t xml:space="preserve"> for</w:t>
            </w:r>
            <w:r w:rsidRPr="00C83E26">
              <w:rPr>
                <w:color w:val="000000" w:themeColor="text1"/>
                <w:sz w:val="16"/>
                <w:szCs w:val="16"/>
                <w:lang w:val="en-GB"/>
              </w:rPr>
              <w:t xml:space="preserve"> job agency services, assisted the repeated</w:t>
            </w:r>
            <w:r w:rsidRPr="007835F6">
              <w:rPr>
                <w:color w:val="000000" w:themeColor="text1"/>
                <w:sz w:val="16"/>
                <w:szCs w:val="16"/>
                <w:lang w:val="en-GB"/>
              </w:rPr>
              <w:t xml:space="preserve"> growth of prices of market services in 2014 </w:t>
            </w:r>
          </w:p>
        </w:tc>
        <w:tc>
          <w:tcPr>
            <w:tcW w:w="143" w:type="pct"/>
          </w:tcPr>
          <w:p w:rsidR="008E39BC" w:rsidRPr="007835F6" w:rsidRDefault="008E39BC" w:rsidP="008E39BC">
            <w:pPr>
              <w:pStyle w:val="Textpoznpodarou"/>
              <w:jc w:val="both"/>
              <w:rPr>
                <w:color w:val="000000" w:themeColor="text1"/>
                <w:lang w:val="en-GB"/>
              </w:rPr>
            </w:pPr>
          </w:p>
        </w:tc>
        <w:tc>
          <w:tcPr>
            <w:tcW w:w="3803" w:type="pct"/>
          </w:tcPr>
          <w:p w:rsidR="008E39BC" w:rsidRPr="007835F6" w:rsidRDefault="008E39BC" w:rsidP="008E39BC">
            <w:pPr>
              <w:pStyle w:val="Textpoznpodarou"/>
              <w:jc w:val="both"/>
              <w:rPr>
                <w:color w:val="000000" w:themeColor="text1"/>
                <w:lang w:val="en-GB"/>
              </w:rPr>
            </w:pPr>
            <w:r w:rsidRPr="007835F6">
              <w:rPr>
                <w:color w:val="000000" w:themeColor="text1"/>
                <w:lang w:val="en-GB"/>
              </w:rPr>
              <w:t xml:space="preserve">Prices of market services rose by 0.3 % in 2014, the growth occurred for the first time after two years. Prices of postal and courier services increased significantly (+ 4.9 %), financial services (apart from insurance and pension </w:t>
            </w:r>
            <w:r>
              <w:rPr>
                <w:color w:val="000000" w:themeColor="text1"/>
                <w:lang w:val="en-GB"/>
              </w:rPr>
              <w:t>funding</w:t>
            </w:r>
            <w:r w:rsidRPr="007835F6">
              <w:rPr>
                <w:color w:val="000000" w:themeColor="text1"/>
                <w:lang w:val="en-GB"/>
              </w:rPr>
              <w:t>) became more expensive despite a high competition a</w:t>
            </w:r>
            <w:r>
              <w:rPr>
                <w:color w:val="000000" w:themeColor="text1"/>
                <w:lang w:val="en-GB"/>
              </w:rPr>
              <w:t>mong financial institutions (+</w:t>
            </w:r>
            <w:r w:rsidRPr="007835F6">
              <w:rPr>
                <w:color w:val="000000" w:themeColor="text1"/>
                <w:lang w:val="en-GB"/>
              </w:rPr>
              <w:t>4.6 %), the prices of job agencies services, abundantly utilised by the manufacturing industry in this year, also rose markedly (+4.8 %). Higher performance of the manufacturing industry was also reflected in the larger deman</w:t>
            </w:r>
            <w:r w:rsidRPr="00C83E26">
              <w:rPr>
                <w:color w:val="000000" w:themeColor="text1"/>
                <w:lang w:val="en-GB"/>
              </w:rPr>
              <w:t xml:space="preserve">d for transportation and warehousing, and </w:t>
            </w:r>
            <w:r w:rsidRPr="007835F6">
              <w:rPr>
                <w:color w:val="000000" w:themeColor="text1"/>
                <w:lang w:val="en-GB"/>
              </w:rPr>
              <w:t xml:space="preserve">consequently also in the prices of these services. Prices of </w:t>
            </w:r>
            <w:r w:rsidRPr="00C83E26">
              <w:rPr>
                <w:color w:val="000000" w:themeColor="text1"/>
                <w:lang w:val="en-GB"/>
              </w:rPr>
              <w:t>freight transport services by road increased</w:t>
            </w:r>
            <w:r w:rsidRPr="007835F6">
              <w:rPr>
                <w:color w:val="000000" w:themeColor="text1"/>
                <w:lang w:val="en-GB"/>
              </w:rPr>
              <w:t xml:space="preserve"> by 2.5</w:t>
            </w:r>
            <w:r w:rsidRPr="00C83E26">
              <w:rPr>
                <w:color w:val="000000" w:themeColor="text1"/>
                <w:lang w:val="en-GB"/>
              </w:rPr>
              <w:t> %, freight water transport services eve</w:t>
            </w:r>
            <w:r w:rsidRPr="007835F6">
              <w:rPr>
                <w:color w:val="000000" w:themeColor="text1"/>
                <w:lang w:val="en-GB"/>
              </w:rPr>
              <w:t xml:space="preserve">n by 3.9 %. </w:t>
            </w:r>
            <w:r w:rsidRPr="00C83E26">
              <w:rPr>
                <w:color w:val="000000" w:themeColor="text1"/>
                <w:spacing w:val="-2"/>
                <w:lang w:val="en-GB"/>
              </w:rPr>
              <w:t>Prices of warehousing and support activities for transportation remained the same in total for 2014, however this was given by a markedly diversified development at the beginning and during the rest of the year – as prices of warehousing and support activities for transportation declined by 4.6 % year-on-year in Q1, they were by 1.7 % higher in each of the following quarters.</w:t>
            </w:r>
            <w:r w:rsidRPr="007835F6">
              <w:rPr>
                <w:color w:val="000000" w:themeColor="text1"/>
                <w:lang w:val="en-GB"/>
              </w:rPr>
              <w:t xml:space="preserve"> </w:t>
            </w:r>
          </w:p>
          <w:p w:rsidR="008E39BC" w:rsidRPr="007835F6" w:rsidRDefault="008E39BC" w:rsidP="008E39BC">
            <w:pPr>
              <w:pStyle w:val="Textpoznpodarou"/>
              <w:jc w:val="both"/>
              <w:rPr>
                <w:color w:val="000000" w:themeColor="text1"/>
                <w:sz w:val="14"/>
                <w:szCs w:val="14"/>
                <w:lang w:val="en-GB"/>
              </w:rPr>
            </w:pPr>
          </w:p>
        </w:tc>
      </w:tr>
      <w:tr w:rsidR="008E39BC" w:rsidRPr="007D44C3" w:rsidTr="008E39BC">
        <w:tc>
          <w:tcPr>
            <w:tcW w:w="1054" w:type="pct"/>
          </w:tcPr>
          <w:p w:rsidR="008E39BC" w:rsidRPr="00D95034" w:rsidRDefault="008E39BC" w:rsidP="008E39BC">
            <w:pPr>
              <w:spacing w:line="240" w:lineRule="auto"/>
              <w:rPr>
                <w:color w:val="000000" w:themeColor="text1"/>
                <w:sz w:val="16"/>
                <w:szCs w:val="16"/>
                <w:lang w:val="en-GB"/>
              </w:rPr>
            </w:pPr>
            <w:r w:rsidRPr="00D95034">
              <w:rPr>
                <w:color w:val="000000" w:themeColor="text1"/>
                <w:sz w:val="16"/>
                <w:szCs w:val="16"/>
                <w:lang w:val="en-GB"/>
              </w:rPr>
              <w:t>Import prices</w:t>
            </w:r>
            <w:r>
              <w:rPr>
                <w:color w:val="000000" w:themeColor="text1"/>
                <w:sz w:val="16"/>
                <w:szCs w:val="16"/>
                <w:lang w:val="en-GB"/>
              </w:rPr>
              <w:t xml:space="preserve"> of goods</w:t>
            </w:r>
            <w:r w:rsidRPr="00D95034">
              <w:rPr>
                <w:color w:val="000000" w:themeColor="text1"/>
                <w:sz w:val="16"/>
                <w:szCs w:val="16"/>
                <w:lang w:val="en-GB"/>
              </w:rPr>
              <w:t xml:space="preserve"> declined for the first time after thirteen months year-on-year in December 2014</w:t>
            </w:r>
          </w:p>
        </w:tc>
        <w:tc>
          <w:tcPr>
            <w:tcW w:w="143" w:type="pct"/>
          </w:tcPr>
          <w:p w:rsidR="008E39BC" w:rsidRPr="00D95034" w:rsidRDefault="008E39BC" w:rsidP="008E39BC">
            <w:pPr>
              <w:pStyle w:val="Textpoznpodarou"/>
              <w:jc w:val="both"/>
              <w:rPr>
                <w:color w:val="000000" w:themeColor="text1"/>
                <w:lang w:val="en-GB"/>
              </w:rPr>
            </w:pPr>
          </w:p>
        </w:tc>
        <w:tc>
          <w:tcPr>
            <w:tcW w:w="3803" w:type="pct"/>
          </w:tcPr>
          <w:p w:rsidR="008E39BC" w:rsidRPr="00D95034" w:rsidRDefault="008E39BC" w:rsidP="008E39BC">
            <w:pPr>
              <w:pStyle w:val="Textpoznpodarou"/>
              <w:jc w:val="both"/>
              <w:rPr>
                <w:color w:val="000000" w:themeColor="text1"/>
                <w:lang w:val="en-GB"/>
              </w:rPr>
            </w:pPr>
            <w:r w:rsidRPr="00D95034">
              <w:rPr>
                <w:color w:val="000000" w:themeColor="text1"/>
                <w:lang w:val="en-GB"/>
              </w:rPr>
              <w:t xml:space="preserve">Year-on-year price growth was imported together with goods thanks to the weaker </w:t>
            </w:r>
            <w:r>
              <w:rPr>
                <w:color w:val="000000" w:themeColor="text1"/>
                <w:lang w:val="en-GB"/>
              </w:rPr>
              <w:t>koruna</w:t>
            </w:r>
            <w:r w:rsidRPr="00D95034">
              <w:rPr>
                <w:color w:val="000000" w:themeColor="text1"/>
                <w:lang w:val="en-GB"/>
              </w:rPr>
              <w:t xml:space="preserve"> from abroad throughout the whole year 2014, with the exception of December. Prices of imported goods increased by 1.9 % in total </w:t>
            </w:r>
            <w:r>
              <w:rPr>
                <w:color w:val="000000" w:themeColor="text1"/>
                <w:lang w:val="en-GB"/>
              </w:rPr>
              <w:t>in</w:t>
            </w:r>
            <w:r w:rsidRPr="00D95034">
              <w:rPr>
                <w:color w:val="000000" w:themeColor="text1"/>
                <w:lang w:val="en-GB"/>
              </w:rPr>
              <w:t xml:space="preserve"> year 2014, however they decreased by the same amount in December itself. The marked depreciation of </w:t>
            </w:r>
            <w:r>
              <w:rPr>
                <w:color w:val="000000" w:themeColor="text1"/>
                <w:lang w:val="en-GB"/>
              </w:rPr>
              <w:t>koruna</w:t>
            </w:r>
            <w:r w:rsidRPr="00D95034">
              <w:rPr>
                <w:color w:val="000000" w:themeColor="text1"/>
                <w:lang w:val="en-GB"/>
              </w:rPr>
              <w:t xml:space="preserve"> against euro stopped having an effect on the import prices as a whole, </w:t>
            </w:r>
            <w:r w:rsidRPr="00DD570D">
              <w:rPr>
                <w:color w:val="000000" w:themeColor="text1"/>
                <w:spacing w:val="-6"/>
                <w:lang w:val="en-GB"/>
              </w:rPr>
              <w:t>in addition the decline of import prices of mineral fuels deepened (-20.9 %). The deflation again started to be imported from abroad.</w:t>
            </w:r>
            <w:r w:rsidRPr="00D95034">
              <w:rPr>
                <w:color w:val="000000" w:themeColor="text1"/>
                <w:lang w:val="en-GB"/>
              </w:rPr>
              <w:t xml:space="preserve"> </w:t>
            </w:r>
          </w:p>
          <w:p w:rsidR="008E39BC" w:rsidRPr="00D95034" w:rsidRDefault="008E39BC" w:rsidP="008E39BC">
            <w:pPr>
              <w:pStyle w:val="Textpoznpodarou"/>
              <w:jc w:val="both"/>
              <w:rPr>
                <w:color w:val="000000" w:themeColor="text1"/>
                <w:spacing w:val="-4"/>
                <w:sz w:val="14"/>
                <w:szCs w:val="14"/>
                <w:lang w:val="en-GB"/>
              </w:rPr>
            </w:pPr>
          </w:p>
        </w:tc>
      </w:tr>
      <w:tr w:rsidR="008E39BC" w:rsidRPr="007D44C3" w:rsidTr="008E39BC">
        <w:tc>
          <w:tcPr>
            <w:tcW w:w="1054" w:type="pct"/>
          </w:tcPr>
          <w:p w:rsidR="008E39BC" w:rsidRPr="00D95034" w:rsidRDefault="008E39BC" w:rsidP="008E39BC">
            <w:pPr>
              <w:spacing w:line="240" w:lineRule="auto"/>
              <w:rPr>
                <w:color w:val="000000" w:themeColor="text1"/>
                <w:sz w:val="16"/>
                <w:szCs w:val="16"/>
                <w:lang w:val="en-GB"/>
              </w:rPr>
            </w:pPr>
            <w:r w:rsidRPr="00D95034">
              <w:rPr>
                <w:color w:val="000000" w:themeColor="text1"/>
                <w:sz w:val="16"/>
                <w:szCs w:val="16"/>
                <w:lang w:val="en-GB"/>
              </w:rPr>
              <w:t xml:space="preserve">Export prices of goods went up by 3.5 % in 2014, the most in last ten years </w:t>
            </w:r>
          </w:p>
        </w:tc>
        <w:tc>
          <w:tcPr>
            <w:tcW w:w="143" w:type="pct"/>
          </w:tcPr>
          <w:p w:rsidR="008E39BC" w:rsidRPr="00D95034" w:rsidRDefault="008E39BC" w:rsidP="008E39BC">
            <w:pPr>
              <w:pStyle w:val="Textpoznpodarou"/>
              <w:jc w:val="both"/>
              <w:rPr>
                <w:color w:val="000000" w:themeColor="text1"/>
                <w:lang w:val="en-GB"/>
              </w:rPr>
            </w:pPr>
          </w:p>
        </w:tc>
        <w:tc>
          <w:tcPr>
            <w:tcW w:w="3803" w:type="pct"/>
          </w:tcPr>
          <w:p w:rsidR="008E39BC" w:rsidRPr="00FC1E98" w:rsidRDefault="008E39BC" w:rsidP="008E39BC">
            <w:pPr>
              <w:pStyle w:val="Textpoznpodarou"/>
              <w:jc w:val="both"/>
              <w:rPr>
                <w:color w:val="000000" w:themeColor="text1"/>
                <w:lang w:val="en-GB"/>
              </w:rPr>
            </w:pPr>
            <w:r w:rsidRPr="00FC1E98">
              <w:rPr>
                <w:color w:val="000000" w:themeColor="text1"/>
                <w:lang w:val="en-GB"/>
              </w:rPr>
              <w:t xml:space="preserve">Export prices of goods went up in total by 3.5 % in 2014, the most in the last ten years. It is apparent, that as to the import side, the </w:t>
            </w:r>
            <w:proofErr w:type="spellStart"/>
            <w:r>
              <w:rPr>
                <w:color w:val="000000" w:themeColor="text1"/>
                <w:lang w:val="en-GB"/>
              </w:rPr>
              <w:t>forex</w:t>
            </w:r>
            <w:proofErr w:type="spellEnd"/>
            <w:r w:rsidRPr="00FC1E98">
              <w:rPr>
                <w:color w:val="000000" w:themeColor="text1"/>
                <w:lang w:val="en-GB"/>
              </w:rPr>
              <w:t xml:space="preserve"> intervention of the CNB favourably affected prices also here. All goods except for mineral fuels (-5.0 %), food and </w:t>
            </w:r>
            <w:r>
              <w:rPr>
                <w:color w:val="000000" w:themeColor="text1"/>
                <w:lang w:val="en-GB"/>
              </w:rPr>
              <w:t>live animals</w:t>
            </w:r>
            <w:r w:rsidRPr="00FC1E98">
              <w:rPr>
                <w:color w:val="000000" w:themeColor="text1"/>
                <w:lang w:val="en-GB"/>
              </w:rPr>
              <w:t xml:space="preserve"> (-0.2 %), and less significant by value animal and vegetable oils (-3.2 %) were exported for higher prices </w:t>
            </w:r>
            <w:r>
              <w:rPr>
                <w:color w:val="000000" w:themeColor="text1"/>
                <w:lang w:val="en-GB"/>
              </w:rPr>
              <w:t>than</w:t>
            </w:r>
            <w:r w:rsidRPr="00FC1E98">
              <w:rPr>
                <w:color w:val="000000" w:themeColor="text1"/>
                <w:lang w:val="en-GB"/>
              </w:rPr>
              <w:t xml:space="preserve"> a year ago. Crucial commodities in the foreign trade of the CR, i.e. machinery and transportation </w:t>
            </w:r>
            <w:r>
              <w:rPr>
                <w:color w:val="000000" w:themeColor="text1"/>
                <w:lang w:val="en-GB"/>
              </w:rPr>
              <w:t>equipment</w:t>
            </w:r>
            <w:r w:rsidRPr="00FC1E98">
              <w:rPr>
                <w:color w:val="000000" w:themeColor="text1"/>
                <w:lang w:val="en-GB"/>
              </w:rPr>
              <w:t xml:space="preserve"> – which participate roughly by one half on the total exports of goods from the CR - were sold by 3.7 % higher abroad compared to the previous year. </w:t>
            </w:r>
          </w:p>
          <w:p w:rsidR="008E39BC" w:rsidRPr="00D95034" w:rsidRDefault="008E39BC" w:rsidP="008E39BC">
            <w:pPr>
              <w:pStyle w:val="Textpoznpodarou"/>
              <w:jc w:val="both"/>
              <w:rPr>
                <w:color w:val="000000" w:themeColor="text1"/>
                <w:spacing w:val="-2"/>
                <w:sz w:val="14"/>
                <w:szCs w:val="14"/>
                <w:lang w:val="en-GB"/>
              </w:rPr>
            </w:pPr>
          </w:p>
        </w:tc>
      </w:tr>
      <w:tr w:rsidR="008E39BC" w:rsidRPr="007D44C3" w:rsidTr="008E39BC">
        <w:tc>
          <w:tcPr>
            <w:tcW w:w="1054" w:type="pct"/>
          </w:tcPr>
          <w:p w:rsidR="008E39BC" w:rsidRPr="00C64821" w:rsidRDefault="008E39BC" w:rsidP="008E39BC">
            <w:pPr>
              <w:spacing w:line="240" w:lineRule="auto"/>
              <w:rPr>
                <w:color w:val="000000" w:themeColor="text1"/>
                <w:sz w:val="16"/>
                <w:szCs w:val="16"/>
                <w:lang w:val="en-GB"/>
              </w:rPr>
            </w:pPr>
            <w:r w:rsidRPr="00C64821">
              <w:rPr>
                <w:color w:val="000000" w:themeColor="text1"/>
                <w:sz w:val="16"/>
                <w:szCs w:val="16"/>
                <w:lang w:val="en-GB"/>
              </w:rPr>
              <w:t xml:space="preserve">Favourable development of prices in the foreign trade with goods touched all SITC divisions, with the only exception of food and live animals </w:t>
            </w:r>
          </w:p>
        </w:tc>
        <w:tc>
          <w:tcPr>
            <w:tcW w:w="143" w:type="pct"/>
          </w:tcPr>
          <w:p w:rsidR="008E39BC" w:rsidRPr="00C64821" w:rsidRDefault="008E39BC" w:rsidP="008E39BC">
            <w:pPr>
              <w:pStyle w:val="Textpoznpodarou"/>
              <w:jc w:val="both"/>
              <w:rPr>
                <w:color w:val="000000" w:themeColor="text1"/>
                <w:lang w:val="en-GB"/>
              </w:rPr>
            </w:pPr>
          </w:p>
        </w:tc>
        <w:tc>
          <w:tcPr>
            <w:tcW w:w="3803" w:type="pct"/>
          </w:tcPr>
          <w:p w:rsidR="008E39BC" w:rsidRPr="00C64821" w:rsidRDefault="008E39BC" w:rsidP="008E39BC">
            <w:pPr>
              <w:pStyle w:val="Textpoznpodarou"/>
              <w:jc w:val="both"/>
              <w:rPr>
                <w:color w:val="000000" w:themeColor="text1"/>
                <w:lang w:val="en-GB"/>
              </w:rPr>
            </w:pPr>
            <w:r w:rsidRPr="00C64821">
              <w:rPr>
                <w:color w:val="000000" w:themeColor="text1"/>
                <w:lang w:val="en-GB"/>
              </w:rPr>
              <w:t>Favourable price development in the foreign trade with goods</w:t>
            </w:r>
            <w:r>
              <w:rPr>
                <w:color w:val="000000" w:themeColor="text1"/>
                <w:lang w:val="en-GB"/>
              </w:rPr>
              <w:t xml:space="preserve"> in 2014</w:t>
            </w:r>
            <w:r w:rsidRPr="00C64821">
              <w:rPr>
                <w:color w:val="000000" w:themeColor="text1"/>
                <w:lang w:val="en-GB"/>
              </w:rPr>
              <w:t xml:space="preserve"> - i.e. </w:t>
            </w:r>
            <w:r>
              <w:rPr>
                <w:color w:val="000000" w:themeColor="text1"/>
                <w:lang w:val="en-GB"/>
              </w:rPr>
              <w:t>f</w:t>
            </w:r>
            <w:r w:rsidRPr="00C64821">
              <w:rPr>
                <w:color w:val="000000" w:themeColor="text1"/>
                <w:lang w:val="en-GB"/>
              </w:rPr>
              <w:t>aster growth of export prices compared to imports – improved the terms of trade and thus also the result of the foreign trade in the current prices, and consequently also the overall economic performance of the CR. The terms of trade improved by 1.6 %, the mo</w:t>
            </w:r>
            <w:r>
              <w:rPr>
                <w:color w:val="000000" w:themeColor="text1"/>
                <w:lang w:val="en-GB"/>
              </w:rPr>
              <w:t>st since 2009 (+3.8 %), when</w:t>
            </w:r>
            <w:r w:rsidRPr="00C64821">
              <w:rPr>
                <w:color w:val="000000" w:themeColor="text1"/>
                <w:lang w:val="en-GB"/>
              </w:rPr>
              <w:t xml:space="preserve"> „the bubble burst</w:t>
            </w:r>
            <w:proofErr w:type="gramStart"/>
            <w:r w:rsidRPr="00C64821">
              <w:rPr>
                <w:color w:val="000000" w:themeColor="text1"/>
                <w:lang w:val="en-GB"/>
              </w:rPr>
              <w:t>“ on</w:t>
            </w:r>
            <w:proofErr w:type="gramEnd"/>
            <w:r w:rsidRPr="00C64821">
              <w:rPr>
                <w:color w:val="000000" w:themeColor="text1"/>
                <w:lang w:val="en-GB"/>
              </w:rPr>
              <w:t xml:space="preserve"> the world market with oil and the Czech economy benefited from the low import prices of this commodity. Positive development of prices in the foreign trade touched all SITC</w:t>
            </w:r>
            <w:r w:rsidRPr="00C64821">
              <w:rPr>
                <w:color w:val="000000" w:themeColor="text1"/>
                <w:sz w:val="16"/>
                <w:szCs w:val="16"/>
                <w:lang w:val="en-GB"/>
              </w:rPr>
              <w:t xml:space="preserve"> </w:t>
            </w:r>
            <w:r w:rsidRPr="00C64821">
              <w:rPr>
                <w:color w:val="000000" w:themeColor="text1"/>
                <w:lang w:val="en-GB"/>
              </w:rPr>
              <w:t xml:space="preserve">divisions in 2014, with the only exception of food and live animals. Here, the terms of trade worsened already for the third time, specifically by 4.4 %.  </w:t>
            </w:r>
          </w:p>
        </w:tc>
      </w:tr>
    </w:tbl>
    <w:p w:rsidR="008E39BC" w:rsidRDefault="008E39BC" w:rsidP="008E39BC">
      <w:pPr>
        <w:rPr>
          <w:sz w:val="16"/>
          <w:szCs w:val="16"/>
        </w:rPr>
      </w:pPr>
    </w:p>
    <w:p w:rsidR="00335BC3" w:rsidRDefault="00335BC3" w:rsidP="008E39BC">
      <w:pPr>
        <w:rPr>
          <w:sz w:val="16"/>
          <w:szCs w:val="16"/>
        </w:rPr>
      </w:pPr>
    </w:p>
    <w:p w:rsidR="00335BC3" w:rsidRDefault="00335BC3" w:rsidP="008E39BC">
      <w:pPr>
        <w:rPr>
          <w:sz w:val="16"/>
          <w:szCs w:val="16"/>
        </w:rPr>
      </w:pPr>
    </w:p>
    <w:p w:rsidR="00335BC3" w:rsidRDefault="00335BC3" w:rsidP="008E39BC">
      <w:pPr>
        <w:rPr>
          <w:sz w:val="16"/>
          <w:szCs w:val="16"/>
        </w:rPr>
      </w:pPr>
    </w:p>
    <w:p w:rsidR="00335BC3" w:rsidRDefault="00335BC3" w:rsidP="008E39BC">
      <w:pPr>
        <w:rPr>
          <w:sz w:val="16"/>
          <w:szCs w:val="16"/>
        </w:rPr>
      </w:pPr>
    </w:p>
    <w:p w:rsidR="00335BC3" w:rsidRPr="00ED2CA5" w:rsidRDefault="00335BC3" w:rsidP="008E39BC">
      <w:pPr>
        <w:rPr>
          <w:sz w:val="16"/>
          <w:szCs w:val="16"/>
        </w:rPr>
      </w:pPr>
    </w:p>
    <w:tbl>
      <w:tblPr>
        <w:tblW w:w="5000" w:type="pct"/>
        <w:tblLook w:val="04A0"/>
      </w:tblPr>
      <w:tblGrid>
        <w:gridCol w:w="820"/>
        <w:gridCol w:w="4107"/>
        <w:gridCol w:w="891"/>
        <w:gridCol w:w="4036"/>
      </w:tblGrid>
      <w:tr w:rsidR="008E39BC" w:rsidRPr="0021355B" w:rsidTr="008E39BC">
        <w:tc>
          <w:tcPr>
            <w:tcW w:w="415" w:type="pct"/>
          </w:tcPr>
          <w:p w:rsidR="008E39BC" w:rsidRPr="0021355B" w:rsidRDefault="008E39BC" w:rsidP="008E39BC">
            <w:pPr>
              <w:pStyle w:val="Textpoznpodarou"/>
              <w:rPr>
                <w:color w:val="000000" w:themeColor="text1"/>
              </w:rPr>
            </w:pPr>
            <w:r>
              <w:rPr>
                <w:color w:val="000000" w:themeColor="text1"/>
              </w:rPr>
              <w:lastRenderedPageBreak/>
              <w:t>Chart 11</w:t>
            </w:r>
          </w:p>
        </w:tc>
        <w:tc>
          <w:tcPr>
            <w:tcW w:w="2085" w:type="pct"/>
          </w:tcPr>
          <w:p w:rsidR="008E39BC" w:rsidRPr="00096A52" w:rsidRDefault="008E39BC" w:rsidP="008E39BC">
            <w:pPr>
              <w:pStyle w:val="Textpoznpodarou"/>
              <w:rPr>
                <w:color w:val="000000" w:themeColor="text1"/>
                <w:lang w:val="en-GB"/>
              </w:rPr>
            </w:pPr>
            <w:r w:rsidRPr="00096A52">
              <w:rPr>
                <w:b/>
                <w:color w:val="000000" w:themeColor="text1"/>
                <w:lang w:val="en-GB"/>
              </w:rPr>
              <w:t xml:space="preserve">Growth of consumer prices of individual types of households </w:t>
            </w:r>
            <w:r w:rsidRPr="00096A52">
              <w:rPr>
                <w:color w:val="000000" w:themeColor="text1"/>
                <w:lang w:val="en-GB"/>
              </w:rPr>
              <w:t>(y/y in %)</w:t>
            </w:r>
          </w:p>
        </w:tc>
        <w:tc>
          <w:tcPr>
            <w:tcW w:w="451" w:type="pct"/>
          </w:tcPr>
          <w:p w:rsidR="008E39BC" w:rsidRPr="0021355B" w:rsidRDefault="008E39BC" w:rsidP="008E39BC">
            <w:pPr>
              <w:pStyle w:val="Textpoznpodarou"/>
              <w:rPr>
                <w:color w:val="000000" w:themeColor="text1"/>
              </w:rPr>
            </w:pPr>
            <w:r>
              <w:rPr>
                <w:color w:val="000000" w:themeColor="text1"/>
              </w:rPr>
              <w:t xml:space="preserve">Chart </w:t>
            </w:r>
            <w:r w:rsidRPr="0021355B">
              <w:rPr>
                <w:color w:val="000000" w:themeColor="text1"/>
              </w:rPr>
              <w:t>12</w:t>
            </w:r>
          </w:p>
        </w:tc>
        <w:tc>
          <w:tcPr>
            <w:tcW w:w="2049" w:type="pct"/>
          </w:tcPr>
          <w:p w:rsidR="008E39BC" w:rsidRPr="00096A52" w:rsidRDefault="008E39BC" w:rsidP="008E39BC">
            <w:pPr>
              <w:pStyle w:val="Textpoznpodarou"/>
              <w:rPr>
                <w:color w:val="000000" w:themeColor="text1"/>
                <w:lang w:val="en-GB"/>
              </w:rPr>
            </w:pPr>
            <w:r w:rsidRPr="00096A52">
              <w:rPr>
                <w:b/>
                <w:color w:val="000000" w:themeColor="text1"/>
                <w:lang w:val="en-GB"/>
              </w:rPr>
              <w:t xml:space="preserve">Growth of prices in selected CPI divisions </w:t>
            </w:r>
            <w:r w:rsidRPr="00096A52">
              <w:rPr>
                <w:color w:val="000000" w:themeColor="text1"/>
                <w:lang w:val="en-GB"/>
              </w:rPr>
              <w:t>(y/y in %)</w:t>
            </w:r>
          </w:p>
        </w:tc>
      </w:tr>
      <w:tr w:rsidR="008E39BC" w:rsidRPr="0021355B" w:rsidTr="008E39BC">
        <w:tc>
          <w:tcPr>
            <w:tcW w:w="2500"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005455" cy="2371725"/>
                          </a:xfrm>
                          <a:prstGeom prst="rect">
                            <a:avLst/>
                          </a:prstGeom>
                          <a:noFill/>
                        </pic:spPr>
                      </pic:pic>
                    </a:graphicData>
                  </a:graphic>
                </wp:inline>
              </w:drawing>
            </w:r>
          </w:p>
        </w:tc>
        <w:tc>
          <w:tcPr>
            <w:tcW w:w="2500"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3005455" cy="2371725"/>
                          </a:xfrm>
                          <a:prstGeom prst="rect">
                            <a:avLst/>
                          </a:prstGeom>
                          <a:noFill/>
                        </pic:spPr>
                      </pic:pic>
                    </a:graphicData>
                  </a:graphic>
                </wp:inline>
              </w:drawing>
            </w:r>
          </w:p>
        </w:tc>
      </w:tr>
      <w:tr w:rsidR="008E39BC" w:rsidRPr="0021355B" w:rsidTr="008E39BC">
        <w:tc>
          <w:tcPr>
            <w:tcW w:w="5000" w:type="pct"/>
            <w:gridSpan w:val="4"/>
          </w:tcPr>
          <w:p w:rsidR="008E39BC" w:rsidRPr="0021355B" w:rsidRDefault="008E39BC" w:rsidP="008E39BC">
            <w:pPr>
              <w:pStyle w:val="Textpoznpodarou"/>
              <w:jc w:val="right"/>
              <w:rPr>
                <w:noProof/>
                <w:color w:val="000000" w:themeColor="text1"/>
              </w:rPr>
            </w:pPr>
            <w:proofErr w:type="spellStart"/>
            <w:r>
              <w:rPr>
                <w:color w:val="000000" w:themeColor="text1"/>
                <w:sz w:val="18"/>
                <w:szCs w:val="18"/>
              </w:rPr>
              <w:t>Source</w:t>
            </w:r>
            <w:proofErr w:type="spellEnd"/>
            <w:r w:rsidRPr="0021355B">
              <w:rPr>
                <w:color w:val="000000" w:themeColor="text1"/>
                <w:sz w:val="18"/>
                <w:szCs w:val="18"/>
              </w:rPr>
              <w:t xml:space="preserve">: </w:t>
            </w:r>
            <w:r>
              <w:rPr>
                <w:color w:val="000000" w:themeColor="text1"/>
                <w:sz w:val="18"/>
                <w:szCs w:val="18"/>
              </w:rPr>
              <w:t>CZSO</w:t>
            </w:r>
          </w:p>
        </w:tc>
      </w:tr>
    </w:tbl>
    <w:p w:rsidR="008E39BC" w:rsidRPr="00ED2CA5" w:rsidRDefault="008E39BC" w:rsidP="008E39BC">
      <w:pPr>
        <w:rPr>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3883"/>
        <w:gridCol w:w="882"/>
        <w:gridCol w:w="4045"/>
      </w:tblGrid>
      <w:tr w:rsidR="008E39BC" w:rsidRPr="0021355B" w:rsidTr="008E39BC">
        <w:tc>
          <w:tcPr>
            <w:tcW w:w="527" w:type="pct"/>
          </w:tcPr>
          <w:p w:rsidR="008E39BC" w:rsidRPr="00B35BEA" w:rsidRDefault="008E39BC" w:rsidP="008E39BC">
            <w:pPr>
              <w:pStyle w:val="Textpoznpodarou"/>
              <w:rPr>
                <w:color w:val="000000" w:themeColor="text1"/>
                <w:sz w:val="20"/>
              </w:rPr>
            </w:pPr>
            <w:r>
              <w:rPr>
                <w:color w:val="000000" w:themeColor="text1"/>
                <w:sz w:val="20"/>
              </w:rPr>
              <w:t xml:space="preserve">Chart </w:t>
            </w:r>
            <w:r w:rsidRPr="00B35BEA">
              <w:rPr>
                <w:color w:val="000000" w:themeColor="text1"/>
                <w:sz w:val="20"/>
              </w:rPr>
              <w:t>13</w:t>
            </w:r>
          </w:p>
        </w:tc>
        <w:tc>
          <w:tcPr>
            <w:tcW w:w="1964" w:type="pct"/>
          </w:tcPr>
          <w:p w:rsidR="008E39BC" w:rsidRPr="00DC259D" w:rsidRDefault="008E39BC" w:rsidP="008E39BC">
            <w:pPr>
              <w:pStyle w:val="Textpoznpodarou"/>
              <w:rPr>
                <w:color w:val="000000" w:themeColor="text1"/>
                <w:sz w:val="20"/>
                <w:lang w:val="en-GB"/>
              </w:rPr>
            </w:pPr>
            <w:r w:rsidRPr="00DC259D">
              <w:rPr>
                <w:b/>
                <w:color w:val="000000" w:themeColor="text1"/>
                <w:sz w:val="20"/>
                <w:lang w:val="en-GB"/>
              </w:rPr>
              <w:t xml:space="preserve">Deflators </w:t>
            </w:r>
            <w:r w:rsidRPr="00DC259D">
              <w:rPr>
                <w:color w:val="000000" w:themeColor="text1"/>
                <w:sz w:val="20"/>
                <w:lang w:val="en-GB"/>
              </w:rPr>
              <w:t>(adjusted for seasonal and calendar effects, y/y in %)</w:t>
            </w:r>
          </w:p>
        </w:tc>
        <w:tc>
          <w:tcPr>
            <w:tcW w:w="448" w:type="pct"/>
          </w:tcPr>
          <w:p w:rsidR="008E39BC" w:rsidRPr="00B35BEA" w:rsidRDefault="008E39BC" w:rsidP="008E39BC">
            <w:pPr>
              <w:pStyle w:val="Textpoznpodarou"/>
              <w:rPr>
                <w:color w:val="000000" w:themeColor="text1"/>
                <w:sz w:val="20"/>
              </w:rPr>
            </w:pPr>
            <w:r>
              <w:rPr>
                <w:color w:val="000000" w:themeColor="text1"/>
                <w:sz w:val="20"/>
              </w:rPr>
              <w:t>Chart</w:t>
            </w:r>
            <w:r w:rsidRPr="00B35BEA">
              <w:rPr>
                <w:color w:val="000000" w:themeColor="text1"/>
                <w:sz w:val="20"/>
              </w:rPr>
              <w:t xml:space="preserve"> 14</w:t>
            </w:r>
          </w:p>
        </w:tc>
        <w:tc>
          <w:tcPr>
            <w:tcW w:w="2061" w:type="pct"/>
          </w:tcPr>
          <w:p w:rsidR="008E39BC" w:rsidRPr="002E3DCC" w:rsidRDefault="008E39BC" w:rsidP="008E39BC">
            <w:pPr>
              <w:pStyle w:val="Textpoznpodarou"/>
              <w:rPr>
                <w:color w:val="000000" w:themeColor="text1"/>
                <w:spacing w:val="-6"/>
                <w:sz w:val="20"/>
                <w:lang w:val="en-GB"/>
              </w:rPr>
            </w:pPr>
            <w:r w:rsidRPr="002E3DCC">
              <w:rPr>
                <w:b/>
                <w:color w:val="000000" w:themeColor="text1"/>
                <w:spacing w:val="-6"/>
                <w:sz w:val="20"/>
                <w:lang w:val="en-GB"/>
              </w:rPr>
              <w:t xml:space="preserve">Producer prices </w:t>
            </w:r>
            <w:r w:rsidRPr="002E3DCC">
              <w:rPr>
                <w:color w:val="000000" w:themeColor="text1"/>
                <w:spacing w:val="-6"/>
                <w:sz w:val="20"/>
                <w:lang w:val="en-GB"/>
              </w:rPr>
              <w:t>(y/y in %, agricultural prices on the right axis, other on the left axis)</w:t>
            </w:r>
          </w:p>
        </w:tc>
      </w:tr>
      <w:tr w:rsidR="008E39BC" w:rsidRPr="0021355B" w:rsidTr="008E39BC">
        <w:tc>
          <w:tcPr>
            <w:tcW w:w="2491"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71725"/>
                  <wp:effectExtent l="19050" t="0" r="4445" b="0"/>
                  <wp:docPr id="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005455" cy="2371725"/>
                          </a:xfrm>
                          <a:prstGeom prst="rect">
                            <a:avLst/>
                          </a:prstGeom>
                          <a:noFill/>
                        </pic:spPr>
                      </pic:pic>
                    </a:graphicData>
                  </a:graphic>
                </wp:inline>
              </w:drawing>
            </w:r>
          </w:p>
        </w:tc>
        <w:tc>
          <w:tcPr>
            <w:tcW w:w="2509" w:type="pct"/>
            <w:gridSpan w:val="2"/>
          </w:tcPr>
          <w:p w:rsidR="008E39BC" w:rsidRPr="0021355B" w:rsidRDefault="008E39BC" w:rsidP="008E39BC">
            <w:pPr>
              <w:pStyle w:val="Textpoznpodarou"/>
              <w:jc w:val="both"/>
              <w:rPr>
                <w:color w:val="000000" w:themeColor="text1"/>
              </w:rPr>
            </w:pPr>
            <w:r w:rsidRPr="00A0111A">
              <w:rPr>
                <w:noProof/>
                <w:color w:val="000000" w:themeColor="text1"/>
              </w:rPr>
              <w:drawing>
                <wp:inline distT="0" distB="0" distL="0" distR="0">
                  <wp:extent cx="3005455" cy="2365375"/>
                  <wp:effectExtent l="19050" t="0" r="4445" b="0"/>
                  <wp:docPr id="2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3005455" cy="2365375"/>
                          </a:xfrm>
                          <a:prstGeom prst="rect">
                            <a:avLst/>
                          </a:prstGeom>
                          <a:noFill/>
                        </pic:spPr>
                      </pic:pic>
                    </a:graphicData>
                  </a:graphic>
                </wp:inline>
              </w:drawing>
            </w:r>
          </w:p>
        </w:tc>
      </w:tr>
      <w:tr w:rsidR="008E39BC" w:rsidRPr="0021355B" w:rsidTr="008E39BC">
        <w:tc>
          <w:tcPr>
            <w:tcW w:w="5000" w:type="pct"/>
            <w:gridSpan w:val="4"/>
          </w:tcPr>
          <w:p w:rsidR="008E39BC" w:rsidRPr="00D75613" w:rsidRDefault="008E39BC" w:rsidP="008E39BC">
            <w:pPr>
              <w:pStyle w:val="Textpoznpodarou"/>
              <w:jc w:val="right"/>
              <w:rPr>
                <w:color w:val="000000" w:themeColor="text1"/>
                <w:sz w:val="18"/>
                <w:szCs w:val="18"/>
              </w:rPr>
            </w:pPr>
            <w:proofErr w:type="spellStart"/>
            <w:r>
              <w:rPr>
                <w:color w:val="000000" w:themeColor="text1"/>
                <w:sz w:val="18"/>
                <w:szCs w:val="18"/>
              </w:rPr>
              <w:t>Source</w:t>
            </w:r>
            <w:proofErr w:type="spellEnd"/>
            <w:r w:rsidRPr="0021355B">
              <w:rPr>
                <w:color w:val="000000" w:themeColor="text1"/>
                <w:sz w:val="18"/>
                <w:szCs w:val="18"/>
              </w:rPr>
              <w:t xml:space="preserve">: </w:t>
            </w:r>
            <w:r>
              <w:rPr>
                <w:color w:val="000000" w:themeColor="text1"/>
                <w:sz w:val="18"/>
                <w:szCs w:val="18"/>
              </w:rPr>
              <w:t>CZSO</w:t>
            </w:r>
          </w:p>
        </w:tc>
      </w:tr>
    </w:tbl>
    <w:p w:rsidR="008E39BC" w:rsidRDefault="008E39BC" w:rsidP="008E39BC">
      <w:pPr>
        <w:rPr>
          <w:lang w:val="en-GB"/>
        </w:rPr>
      </w:pPr>
    </w:p>
    <w:p w:rsidR="0088733A" w:rsidRPr="0050085A" w:rsidRDefault="00D75613" w:rsidP="008E39BC">
      <w:pPr>
        <w:pStyle w:val="Nadpis1"/>
        <w:numPr>
          <w:ilvl w:val="0"/>
          <w:numId w:val="9"/>
        </w:numPr>
        <w:jc w:val="both"/>
        <w:rPr>
          <w:lang w:val="en-GB"/>
        </w:rPr>
      </w:pPr>
      <w:bookmarkStart w:id="9" w:name="_Toc417454527"/>
      <w:r w:rsidRPr="0050085A">
        <w:rPr>
          <w:lang w:val="en-GB"/>
        </w:rPr>
        <w:t>Labour Market</w:t>
      </w:r>
      <w:bookmarkEnd w:id="9"/>
    </w:p>
    <w:tbl>
      <w:tblPr>
        <w:tblW w:w="5000" w:type="pct"/>
        <w:tblLayout w:type="fixed"/>
        <w:tblLook w:val="00A0"/>
      </w:tblPr>
      <w:tblGrid>
        <w:gridCol w:w="38"/>
        <w:gridCol w:w="791"/>
        <w:gridCol w:w="1249"/>
        <w:gridCol w:w="282"/>
        <w:gridCol w:w="2601"/>
        <w:gridCol w:w="788"/>
        <w:gridCol w:w="4068"/>
        <w:gridCol w:w="37"/>
      </w:tblGrid>
      <w:tr w:rsidR="0088733A" w:rsidRPr="0050085A" w:rsidTr="00ED2CA5">
        <w:tc>
          <w:tcPr>
            <w:tcW w:w="1054" w:type="pct"/>
            <w:gridSpan w:val="3"/>
          </w:tcPr>
          <w:p w:rsidR="0088733A" w:rsidRPr="0050085A" w:rsidRDefault="007F1A1D" w:rsidP="007F1A1D">
            <w:pPr>
              <w:spacing w:line="240" w:lineRule="auto"/>
              <w:rPr>
                <w:sz w:val="16"/>
                <w:szCs w:val="16"/>
                <w:lang w:val="en-GB"/>
              </w:rPr>
            </w:pPr>
            <w:r>
              <w:rPr>
                <w:sz w:val="16"/>
                <w:szCs w:val="16"/>
                <w:lang w:val="en-GB"/>
              </w:rPr>
              <w:t>Employment and the real wage went up accompanied by falling unemployment rate in the economy</w:t>
            </w:r>
          </w:p>
        </w:tc>
        <w:tc>
          <w:tcPr>
            <w:tcW w:w="143" w:type="pct"/>
          </w:tcPr>
          <w:p w:rsidR="0088733A" w:rsidRPr="0050085A" w:rsidRDefault="0088733A" w:rsidP="00173642">
            <w:pPr>
              <w:pStyle w:val="Textpoznpodarou"/>
              <w:jc w:val="both"/>
              <w:rPr>
                <w:lang w:val="en-GB"/>
              </w:rPr>
            </w:pPr>
          </w:p>
        </w:tc>
        <w:tc>
          <w:tcPr>
            <w:tcW w:w="3803" w:type="pct"/>
            <w:gridSpan w:val="4"/>
          </w:tcPr>
          <w:p w:rsidR="007F1A1D" w:rsidRPr="007F1A1D" w:rsidRDefault="007F1A1D" w:rsidP="007F1A1D">
            <w:pPr>
              <w:pStyle w:val="Textpoznpodarou"/>
              <w:jc w:val="both"/>
              <w:rPr>
                <w:lang w:val="en-US"/>
              </w:rPr>
            </w:pPr>
            <w:r>
              <w:rPr>
                <w:lang w:val="en-GB"/>
              </w:rPr>
              <w:t>T</w:t>
            </w:r>
            <w:r w:rsidRPr="007F1A1D">
              <w:rPr>
                <w:lang w:val="en-US"/>
              </w:rPr>
              <w:t xml:space="preserve">he economic growth recovery manifested in the growth of employment accompanied </w:t>
            </w:r>
            <w:r w:rsidR="006265B7">
              <w:rPr>
                <w:lang w:val="en-US"/>
              </w:rPr>
              <w:t xml:space="preserve">by </w:t>
            </w:r>
            <w:r w:rsidRPr="007F1A1D">
              <w:rPr>
                <w:lang w:val="en-US"/>
              </w:rPr>
              <w:t>declining unemployment rate year-on-year. Year-on-year growth was recorded both in the business and non-business s</w:t>
            </w:r>
            <w:r w:rsidR="0033219A">
              <w:rPr>
                <w:lang w:val="en-US"/>
              </w:rPr>
              <w:t>phere</w:t>
            </w:r>
            <w:r w:rsidRPr="007F1A1D">
              <w:rPr>
                <w:lang w:val="en-US"/>
              </w:rPr>
              <w:t xml:space="preserve"> in 2014 following two years of real wage reduction in the national economy.</w:t>
            </w:r>
          </w:p>
          <w:p w:rsidR="00C84CE3" w:rsidRPr="00F31411" w:rsidRDefault="00C84CE3" w:rsidP="007F1A1D">
            <w:pPr>
              <w:pStyle w:val="Textpoznpodarou"/>
              <w:jc w:val="both"/>
              <w:rPr>
                <w:rFonts w:cs="Arial"/>
                <w:bCs/>
                <w:sz w:val="14"/>
                <w:szCs w:val="14"/>
                <w:lang w:val="en-GB"/>
              </w:rPr>
            </w:pPr>
          </w:p>
        </w:tc>
      </w:tr>
      <w:tr w:rsidR="0088733A" w:rsidRPr="007D44C3" w:rsidTr="00ED2CA5">
        <w:tc>
          <w:tcPr>
            <w:tcW w:w="1054" w:type="pct"/>
            <w:gridSpan w:val="3"/>
          </w:tcPr>
          <w:p w:rsidR="007F1A1D" w:rsidRPr="007F1A1D" w:rsidRDefault="0033219A" w:rsidP="007F1A1D">
            <w:pPr>
              <w:spacing w:line="240" w:lineRule="auto"/>
              <w:rPr>
                <w:color w:val="000000" w:themeColor="text1"/>
                <w:sz w:val="16"/>
                <w:szCs w:val="16"/>
                <w:lang w:val="en-US"/>
              </w:rPr>
            </w:pPr>
            <w:r>
              <w:rPr>
                <w:color w:val="000000" w:themeColor="text1"/>
                <w:sz w:val="16"/>
                <w:szCs w:val="16"/>
                <w:lang w:val="en-US"/>
              </w:rPr>
              <w:t>Total</w:t>
            </w:r>
            <w:r w:rsidR="007F1A1D" w:rsidRPr="007F1A1D">
              <w:rPr>
                <w:color w:val="000000" w:themeColor="text1"/>
                <w:sz w:val="16"/>
                <w:szCs w:val="16"/>
                <w:lang w:val="en-US"/>
              </w:rPr>
              <w:t xml:space="preserve"> employment growth remained on the level of years 2012 resp. 2013 year-on-year, a declined occurred for employees</w:t>
            </w:r>
          </w:p>
          <w:p w:rsidR="0088733A" w:rsidRPr="000B3F02" w:rsidRDefault="0088733A" w:rsidP="00867E29">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7F1A1D" w:rsidRPr="007F1A1D" w:rsidRDefault="0033219A" w:rsidP="007F1A1D">
            <w:pPr>
              <w:pStyle w:val="Textpoznpodarou"/>
              <w:jc w:val="both"/>
              <w:rPr>
                <w:color w:val="000000" w:themeColor="text1"/>
                <w:lang w:val="en-US"/>
              </w:rPr>
            </w:pPr>
            <w:r>
              <w:rPr>
                <w:color w:val="000000" w:themeColor="text1"/>
                <w:lang w:val="en-US"/>
              </w:rPr>
              <w:t xml:space="preserve">Total </w:t>
            </w:r>
            <w:r w:rsidR="007F1A1D" w:rsidRPr="007F1A1D">
              <w:rPr>
                <w:color w:val="000000" w:themeColor="text1"/>
                <w:lang w:val="en-US"/>
              </w:rPr>
              <w:t>employment (seasonally adjusted data regarding the total employment in the national accounts conception, in physical persons) followed the development in years 2012, resp. 2013, when the dynamics of the year-on-year growth remained on the value of 0.4 %. In case of employees themselves, the growth fell from 0.6 % to 0.2 % in 2014. Total number of workers reached 5 104.9 thousand, in that 4 290.6 thousand persons as employees. It was the highest number of employed persons and employees since 2009 (5 110.1, resp. 4336.1 thousand persons).</w:t>
            </w:r>
          </w:p>
          <w:p w:rsidR="00C84CE3" w:rsidRPr="00F31411" w:rsidRDefault="00C84CE3" w:rsidP="007F1A1D">
            <w:pPr>
              <w:pStyle w:val="Textpoznpodarou"/>
              <w:jc w:val="both"/>
              <w:rPr>
                <w:sz w:val="14"/>
                <w:szCs w:val="14"/>
              </w:rPr>
            </w:pPr>
          </w:p>
        </w:tc>
      </w:tr>
      <w:tr w:rsidR="0088733A" w:rsidRPr="007D44C3" w:rsidTr="00ED2CA5">
        <w:tc>
          <w:tcPr>
            <w:tcW w:w="1054" w:type="pct"/>
            <w:gridSpan w:val="3"/>
          </w:tcPr>
          <w:p w:rsidR="007F1A1D" w:rsidRPr="007F1A1D" w:rsidRDefault="007F1A1D" w:rsidP="007F1A1D">
            <w:pPr>
              <w:spacing w:line="240" w:lineRule="auto"/>
              <w:rPr>
                <w:color w:val="000000" w:themeColor="text1"/>
                <w:sz w:val="16"/>
                <w:szCs w:val="16"/>
                <w:lang w:val="en-US"/>
              </w:rPr>
            </w:pPr>
            <w:r w:rsidRPr="007F1A1D">
              <w:rPr>
                <w:color w:val="000000" w:themeColor="text1"/>
                <w:sz w:val="16"/>
                <w:szCs w:val="16"/>
                <w:lang w:val="en-US"/>
              </w:rPr>
              <w:t>Increased number of employed person</w:t>
            </w:r>
            <w:r w:rsidR="006265B7">
              <w:rPr>
                <w:color w:val="000000" w:themeColor="text1"/>
                <w:sz w:val="16"/>
                <w:szCs w:val="16"/>
                <w:lang w:val="en-US"/>
              </w:rPr>
              <w:t>s</w:t>
            </w:r>
            <w:r w:rsidRPr="007F1A1D">
              <w:rPr>
                <w:color w:val="000000" w:themeColor="text1"/>
                <w:sz w:val="16"/>
                <w:szCs w:val="16"/>
                <w:lang w:val="en-US"/>
              </w:rPr>
              <w:t xml:space="preserve"> was ascertained especially in the professional, scientific, technical and administrative activities, effect of agency employees</w:t>
            </w:r>
          </w:p>
          <w:p w:rsidR="0088733A" w:rsidRPr="000B3F02" w:rsidRDefault="0088733A" w:rsidP="009F5846">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C84CE3" w:rsidRPr="00955110" w:rsidRDefault="007F1A1D" w:rsidP="007F1A1D">
            <w:pPr>
              <w:pStyle w:val="Textpoznpodarou"/>
              <w:jc w:val="both"/>
              <w:rPr>
                <w:color w:val="000000" w:themeColor="text1"/>
              </w:rPr>
            </w:pPr>
            <w:r w:rsidRPr="00955110">
              <w:rPr>
                <w:color w:val="000000" w:themeColor="text1"/>
              </w:rPr>
              <w:t xml:space="preserve">Mainly the professional, scientific, technical and administrative activities (by 15 thousand persons), </w:t>
            </w:r>
            <w:r w:rsidR="00955110" w:rsidRPr="00955110">
              <w:rPr>
                <w:color w:val="000000" w:themeColor="text1"/>
              </w:rPr>
              <w:t xml:space="preserve">public administration, education, health and social work </w:t>
            </w:r>
            <w:r w:rsidRPr="00955110">
              <w:rPr>
                <w:color w:val="000000" w:themeColor="text1"/>
              </w:rPr>
              <w:t xml:space="preserve">(by 7.9 thousand persons), manufacturing (by 6.9 thousand persons) and real estate activities (by 4.3 thousand persons) shared in the increased number of employed persons by 21.1 thousand compared to 2013. The largest reduction of employed was in the highest extent observed in financial and insurance activities (by 3.7 </w:t>
            </w:r>
            <w:r w:rsidRPr="00955110">
              <w:rPr>
                <w:color w:val="000000" w:themeColor="text1"/>
              </w:rPr>
              <w:lastRenderedPageBreak/>
              <w:t xml:space="preserve">thousand persons), </w:t>
            </w:r>
            <w:r w:rsidR="00955110" w:rsidRPr="00955110">
              <w:rPr>
                <w:color w:val="000000" w:themeColor="text1"/>
                <w:lang w:val="en-US"/>
              </w:rPr>
              <w:t>other service activities</w:t>
            </w:r>
            <w:r w:rsidR="00955110" w:rsidRPr="00955110">
              <w:rPr>
                <w:color w:val="000000" w:themeColor="text1"/>
              </w:rPr>
              <w:t xml:space="preserve"> </w:t>
            </w:r>
            <w:r w:rsidRPr="00955110">
              <w:rPr>
                <w:color w:val="000000" w:themeColor="text1"/>
              </w:rPr>
              <w:t xml:space="preserve">(by 3.2 </w:t>
            </w:r>
            <w:r w:rsidRPr="00955110">
              <w:rPr>
                <w:color w:val="000000" w:themeColor="text1"/>
                <w:lang w:val="en-US"/>
              </w:rPr>
              <w:t xml:space="preserve">thousand persons), </w:t>
            </w:r>
            <w:r w:rsidR="00955110" w:rsidRPr="00955110">
              <w:rPr>
                <w:color w:val="000000" w:themeColor="text1"/>
                <w:lang w:val="en-US"/>
              </w:rPr>
              <w:t>t</w:t>
            </w:r>
            <w:r w:rsidR="00955110" w:rsidRPr="00955110">
              <w:rPr>
                <w:lang w:val="en-US"/>
              </w:rPr>
              <w:t>rade, transportation, accommodation and food service</w:t>
            </w:r>
            <w:r w:rsidR="00955110" w:rsidRPr="00955110">
              <w:rPr>
                <w:color w:val="000000" w:themeColor="text1"/>
                <w:lang w:val="en-US"/>
              </w:rPr>
              <w:t xml:space="preserve"> </w:t>
            </w:r>
            <w:r w:rsidRPr="00955110">
              <w:rPr>
                <w:color w:val="000000" w:themeColor="text1"/>
                <w:lang w:val="en-US"/>
              </w:rPr>
              <w:t>(by 2.4 thousand</w:t>
            </w:r>
            <w:r w:rsidRPr="00955110">
              <w:rPr>
                <w:color w:val="000000" w:themeColor="text1"/>
              </w:rPr>
              <w:t xml:space="preserve"> persons) and agriculture, forestry and fishing (by 1.5 thousand persons) year-on-year. </w:t>
            </w:r>
          </w:p>
          <w:p w:rsidR="007F1A1D" w:rsidRPr="00F31411" w:rsidRDefault="007F1A1D" w:rsidP="007F1A1D">
            <w:pPr>
              <w:pStyle w:val="Textpoznpodarou"/>
              <w:jc w:val="both"/>
              <w:rPr>
                <w:sz w:val="14"/>
                <w:szCs w:val="14"/>
              </w:rPr>
            </w:pPr>
          </w:p>
        </w:tc>
      </w:tr>
      <w:tr w:rsidR="0088733A" w:rsidRPr="007D44C3" w:rsidTr="00ED2CA5">
        <w:tc>
          <w:tcPr>
            <w:tcW w:w="1054" w:type="pct"/>
            <w:gridSpan w:val="3"/>
          </w:tcPr>
          <w:p w:rsidR="007F1A1D" w:rsidRPr="007F1A1D" w:rsidRDefault="007F1A1D" w:rsidP="007F1A1D">
            <w:pPr>
              <w:spacing w:line="240" w:lineRule="auto"/>
              <w:rPr>
                <w:sz w:val="16"/>
                <w:szCs w:val="16"/>
                <w:lang w:val="en-US"/>
              </w:rPr>
            </w:pPr>
            <w:r w:rsidRPr="007F1A1D">
              <w:rPr>
                <w:sz w:val="16"/>
                <w:szCs w:val="16"/>
                <w:lang w:val="en-US"/>
              </w:rPr>
              <w:lastRenderedPageBreak/>
              <w:t xml:space="preserve">Number of persons not working on employee contracts grew year-on-year after two years </w:t>
            </w:r>
          </w:p>
          <w:p w:rsidR="00293441" w:rsidRPr="00293441" w:rsidRDefault="00293441" w:rsidP="007F1A1D">
            <w:pPr>
              <w:spacing w:line="240" w:lineRule="auto"/>
              <w:rPr>
                <w:color w:val="FF0000"/>
                <w:sz w:val="16"/>
                <w:szCs w:val="16"/>
              </w:rPr>
            </w:pPr>
          </w:p>
        </w:tc>
        <w:tc>
          <w:tcPr>
            <w:tcW w:w="143" w:type="pct"/>
          </w:tcPr>
          <w:p w:rsidR="0088733A" w:rsidRPr="007D44C3" w:rsidRDefault="0088733A" w:rsidP="00173642">
            <w:pPr>
              <w:pStyle w:val="Textpoznpodarou"/>
              <w:jc w:val="both"/>
            </w:pPr>
          </w:p>
        </w:tc>
        <w:tc>
          <w:tcPr>
            <w:tcW w:w="3803" w:type="pct"/>
            <w:gridSpan w:val="4"/>
          </w:tcPr>
          <w:p w:rsidR="007F1A1D" w:rsidRPr="007F1A1D" w:rsidRDefault="007F1A1D" w:rsidP="007F1A1D">
            <w:pPr>
              <w:pStyle w:val="Textpoznpodarou"/>
              <w:jc w:val="both"/>
              <w:rPr>
                <w:color w:val="000000" w:themeColor="text1"/>
                <w:lang w:val="en-US"/>
              </w:rPr>
            </w:pPr>
            <w:r>
              <w:rPr>
                <w:color w:val="000000" w:themeColor="text1"/>
              </w:rPr>
              <w:t>T</w:t>
            </w:r>
            <w:r w:rsidRPr="007F1A1D">
              <w:rPr>
                <w:color w:val="000000" w:themeColor="text1"/>
                <w:lang w:val="en-US"/>
              </w:rPr>
              <w:t xml:space="preserve">he total number of </w:t>
            </w:r>
            <w:r w:rsidR="00B52007" w:rsidRPr="007F1A1D">
              <w:rPr>
                <w:color w:val="000000" w:themeColor="text1"/>
                <w:lang w:val="en-US"/>
              </w:rPr>
              <w:t>employe</w:t>
            </w:r>
            <w:r w:rsidR="00B52007">
              <w:rPr>
                <w:color w:val="000000" w:themeColor="text1"/>
                <w:lang w:val="en-US"/>
              </w:rPr>
              <w:t>d</w:t>
            </w:r>
            <w:r w:rsidRPr="007F1A1D">
              <w:rPr>
                <w:color w:val="000000" w:themeColor="text1"/>
                <w:lang w:val="en-US"/>
              </w:rPr>
              <w:t xml:space="preserve"> grew faster than number of employees in 2014. Number of self-employed rose by 12.8 thousand persons in 2014, while the reduction arrived at 7.7 thousand persons in 2013 and 4 thousand persons in 2012. The development was mostly the result of the situation in construction (+10.4 thousand persons), where the construction firms with the wake up of activity very likely reached </w:t>
            </w:r>
            <w:r w:rsidRPr="00434D7F">
              <w:rPr>
                <w:color w:val="000000" w:themeColor="text1"/>
                <w:lang w:val="en-US"/>
              </w:rPr>
              <w:t>to „</w:t>
            </w:r>
            <w:proofErr w:type="spellStart"/>
            <w:r w:rsidR="00434D7F" w:rsidRPr="00434D7F">
              <w:rPr>
                <w:color w:val="000000" w:themeColor="text1"/>
                <w:lang w:val="en-US"/>
              </w:rPr>
              <w:t>schwarz</w:t>
            </w:r>
            <w:r w:rsidRPr="00434D7F">
              <w:rPr>
                <w:color w:val="000000" w:themeColor="text1"/>
                <w:lang w:val="en-US"/>
              </w:rPr>
              <w:t>csystem</w:t>
            </w:r>
            <w:proofErr w:type="spellEnd"/>
            <w:r w:rsidR="007416B2">
              <w:rPr>
                <w:color w:val="000000" w:themeColor="text1"/>
                <w:lang w:val="en-US"/>
              </w:rPr>
              <w:t>”</w:t>
            </w:r>
            <w:r w:rsidR="007416B2">
              <w:rPr>
                <w:rStyle w:val="Znakapoznpodarou"/>
                <w:color w:val="000000" w:themeColor="text1"/>
                <w:lang w:val="en-US"/>
              </w:rPr>
              <w:footnoteReference w:id="10"/>
            </w:r>
            <w:r w:rsidRPr="007F1A1D">
              <w:rPr>
                <w:color w:val="000000" w:themeColor="text1"/>
                <w:lang w:val="en-US"/>
              </w:rPr>
              <w:t xml:space="preserve"> </w:t>
            </w:r>
            <w:r w:rsidR="00F12BC8" w:rsidRPr="007F1A1D">
              <w:rPr>
                <w:color w:val="000000" w:themeColor="text1"/>
                <w:lang w:val="en-US"/>
              </w:rPr>
              <w:t>instead</w:t>
            </w:r>
            <w:r w:rsidRPr="007F1A1D">
              <w:rPr>
                <w:color w:val="000000" w:themeColor="text1"/>
                <w:lang w:val="en-US"/>
              </w:rPr>
              <w:t xml:space="preserve"> of employment hiring. Further it concerns professional, scientific, technical and administrative activities (+7.3 thousand persons), real estate activities (+1.9 thousand persons) and information and communication (+1.8 thousand persons). Completely different development was found especially in the manufacturing (-4.4 thousand persons), where opposite tendencies compared to construction are most likely taking place. </w:t>
            </w:r>
          </w:p>
          <w:p w:rsidR="00C84CE3" w:rsidRPr="00F31411" w:rsidRDefault="00C84CE3" w:rsidP="00C84CE3">
            <w:pPr>
              <w:pStyle w:val="Textpoznpodarou"/>
              <w:jc w:val="both"/>
              <w:rPr>
                <w:sz w:val="14"/>
                <w:szCs w:val="14"/>
              </w:rPr>
            </w:pPr>
          </w:p>
        </w:tc>
      </w:tr>
      <w:tr w:rsidR="0088733A" w:rsidRPr="00026998" w:rsidTr="00ED2CA5">
        <w:tc>
          <w:tcPr>
            <w:tcW w:w="1054" w:type="pct"/>
            <w:gridSpan w:val="3"/>
          </w:tcPr>
          <w:p w:rsidR="009B3C48" w:rsidRPr="009B3C48" w:rsidRDefault="009B3C48" w:rsidP="009B3C48">
            <w:pPr>
              <w:spacing w:line="240" w:lineRule="auto"/>
              <w:rPr>
                <w:color w:val="000000" w:themeColor="text1"/>
                <w:sz w:val="16"/>
                <w:szCs w:val="16"/>
                <w:lang w:val="en-US"/>
              </w:rPr>
            </w:pPr>
            <w:r>
              <w:rPr>
                <w:color w:val="000000" w:themeColor="text1"/>
                <w:sz w:val="16"/>
                <w:szCs w:val="16"/>
              </w:rPr>
              <w:t>T</w:t>
            </w:r>
            <w:r w:rsidRPr="009B3C48">
              <w:rPr>
                <w:color w:val="000000" w:themeColor="text1"/>
                <w:sz w:val="16"/>
                <w:szCs w:val="16"/>
                <w:lang w:val="en-US"/>
              </w:rPr>
              <w:t xml:space="preserve">he proportion of other than „standard“ job contracts fell year-on-year </w:t>
            </w:r>
          </w:p>
          <w:p w:rsidR="0088733A" w:rsidRPr="000B3F02" w:rsidRDefault="0088733A" w:rsidP="00DD57AD">
            <w:pPr>
              <w:spacing w:line="240" w:lineRule="auto"/>
              <w:rPr>
                <w:sz w:val="16"/>
                <w:szCs w:val="16"/>
              </w:rPr>
            </w:pPr>
          </w:p>
        </w:tc>
        <w:tc>
          <w:tcPr>
            <w:tcW w:w="143" w:type="pct"/>
          </w:tcPr>
          <w:p w:rsidR="0088733A" w:rsidRPr="007D44C3" w:rsidRDefault="0088733A" w:rsidP="00173642">
            <w:pPr>
              <w:pStyle w:val="Textpoznpodarou"/>
              <w:jc w:val="both"/>
            </w:pPr>
          </w:p>
        </w:tc>
        <w:tc>
          <w:tcPr>
            <w:tcW w:w="3803" w:type="pct"/>
            <w:gridSpan w:val="4"/>
          </w:tcPr>
          <w:p w:rsidR="009B3C48" w:rsidRPr="00FF5AF7" w:rsidRDefault="009B3C48" w:rsidP="009B3C48">
            <w:pPr>
              <w:pStyle w:val="Textpoznpodarou"/>
              <w:jc w:val="both"/>
              <w:rPr>
                <w:color w:val="000000" w:themeColor="text1"/>
                <w:spacing w:val="-2"/>
                <w:lang w:val="en-US"/>
              </w:rPr>
            </w:pPr>
            <w:r>
              <w:rPr>
                <w:color w:val="000000" w:themeColor="text1"/>
                <w:spacing w:val="-2"/>
              </w:rPr>
              <w:t>T</w:t>
            </w:r>
            <w:r w:rsidRPr="009B3C48">
              <w:rPr>
                <w:color w:val="000000" w:themeColor="text1"/>
                <w:spacing w:val="-2"/>
                <w:lang w:val="en-US"/>
              </w:rPr>
              <w:t xml:space="preserve">he proportion of part-time jobs fell year-on-year in 2014, since the growth of employees was slower compared to the total number of hours worked year-on-year (0.2 % vs. 0.5 %). Financial and insurance activities and other </w:t>
            </w:r>
            <w:r w:rsidR="00FF5AF7" w:rsidRPr="00FF5AF7">
              <w:rPr>
                <w:lang w:val="en-US"/>
              </w:rPr>
              <w:t>service</w:t>
            </w:r>
            <w:r w:rsidR="00FF5AF7">
              <w:t xml:space="preserve"> </w:t>
            </w:r>
            <w:r w:rsidRPr="009B3C48">
              <w:rPr>
                <w:color w:val="000000" w:themeColor="text1"/>
                <w:spacing w:val="-2"/>
                <w:lang w:val="en-US"/>
              </w:rPr>
              <w:t xml:space="preserve">activities were the exceptions, with drop of total hours worked higher in comparison to drop </w:t>
            </w:r>
            <w:proofErr w:type="spellStart"/>
            <w:r w:rsidRPr="009B3C48">
              <w:rPr>
                <w:color w:val="000000" w:themeColor="text1"/>
                <w:spacing w:val="-2"/>
                <w:lang w:val="en-US"/>
              </w:rPr>
              <w:t>of</w:t>
            </w:r>
            <w:proofErr w:type="spellEnd"/>
            <w:r w:rsidRPr="009B3C48">
              <w:rPr>
                <w:color w:val="000000" w:themeColor="text1"/>
                <w:spacing w:val="-2"/>
                <w:lang w:val="en-US"/>
              </w:rPr>
              <w:t xml:space="preserve"> number of employees (by 1.9 p. p., resp. </w:t>
            </w:r>
            <w:r w:rsidR="006265B7">
              <w:rPr>
                <w:color w:val="000000" w:themeColor="text1"/>
                <w:spacing w:val="-2"/>
                <w:lang w:val="en-US"/>
              </w:rPr>
              <w:t>b</w:t>
            </w:r>
            <w:r w:rsidRPr="009B3C48">
              <w:rPr>
                <w:color w:val="000000" w:themeColor="text1"/>
                <w:spacing w:val="-2"/>
                <w:lang w:val="en-US"/>
              </w:rPr>
              <w:t xml:space="preserve">y 1.2 p. p.). The excess dynamics of employees over hours worked arrived at 0.3 p. p. in 2013. Opposite tendency manifested only in </w:t>
            </w:r>
            <w:r w:rsidR="00FF5AF7" w:rsidRPr="00FF5AF7">
              <w:rPr>
                <w:color w:val="000000" w:themeColor="text1"/>
                <w:spacing w:val="-2"/>
                <w:lang w:val="en-US"/>
              </w:rPr>
              <w:t>t</w:t>
            </w:r>
            <w:r w:rsidR="00FF5AF7" w:rsidRPr="00FF5AF7">
              <w:rPr>
                <w:lang w:val="en-US"/>
              </w:rPr>
              <w:t>rade, transportation, accommodation and food service</w:t>
            </w:r>
            <w:r w:rsidR="00FF5AF7" w:rsidRPr="00FF5AF7">
              <w:rPr>
                <w:color w:val="000000" w:themeColor="text1"/>
                <w:spacing w:val="-2"/>
                <w:lang w:val="en-US"/>
              </w:rPr>
              <w:t xml:space="preserve"> </w:t>
            </w:r>
            <w:r w:rsidRPr="00FF5AF7">
              <w:rPr>
                <w:color w:val="000000" w:themeColor="text1"/>
                <w:spacing w:val="-2"/>
                <w:lang w:val="en-US"/>
              </w:rPr>
              <w:t xml:space="preserve">and other </w:t>
            </w:r>
            <w:r w:rsidR="00FF5AF7" w:rsidRPr="00FF5AF7">
              <w:rPr>
                <w:lang w:val="en-US"/>
              </w:rPr>
              <w:t xml:space="preserve">service </w:t>
            </w:r>
            <w:r w:rsidRPr="00FF5AF7">
              <w:rPr>
                <w:color w:val="000000" w:themeColor="text1"/>
                <w:spacing w:val="-2"/>
                <w:lang w:val="en-US"/>
              </w:rPr>
              <w:t xml:space="preserve">activities, when the employees grew less than total hours worked by 0.4 p. p., resp. 0.5 p. p. </w:t>
            </w:r>
          </w:p>
          <w:p w:rsidR="00C84CE3" w:rsidRPr="00F31411" w:rsidRDefault="00C84CE3" w:rsidP="00210CC2">
            <w:pPr>
              <w:pStyle w:val="Textpoznpodarou"/>
              <w:jc w:val="both"/>
              <w:rPr>
                <w:color w:val="0000FF"/>
                <w:sz w:val="14"/>
                <w:szCs w:val="14"/>
              </w:rPr>
            </w:pPr>
          </w:p>
        </w:tc>
      </w:tr>
      <w:tr w:rsidR="00AF3225" w:rsidRPr="007D44C3" w:rsidTr="00ED2CA5">
        <w:tc>
          <w:tcPr>
            <w:tcW w:w="1054" w:type="pct"/>
            <w:gridSpan w:val="3"/>
          </w:tcPr>
          <w:p w:rsidR="00AF3225" w:rsidRPr="009B3C48" w:rsidRDefault="009B3C48" w:rsidP="009B3C48">
            <w:pPr>
              <w:spacing w:line="240" w:lineRule="auto"/>
              <w:rPr>
                <w:sz w:val="16"/>
                <w:szCs w:val="16"/>
                <w:lang w:val="en-GB"/>
              </w:rPr>
            </w:pPr>
            <w:r w:rsidRPr="009B3C48">
              <w:rPr>
                <w:color w:val="000000" w:themeColor="text1"/>
                <w:sz w:val="16"/>
                <w:szCs w:val="16"/>
                <w:lang w:val="en-GB"/>
              </w:rPr>
              <w:t>Labour productivity already rose year-on-year, opposite development in real estate activities and professional, scientific, technical and administrative activities</w:t>
            </w:r>
          </w:p>
        </w:tc>
        <w:tc>
          <w:tcPr>
            <w:tcW w:w="143" w:type="pct"/>
          </w:tcPr>
          <w:p w:rsidR="00AF3225" w:rsidRPr="009B3C48" w:rsidRDefault="00AF3225" w:rsidP="00173642">
            <w:pPr>
              <w:pStyle w:val="Textpoznpodarou"/>
              <w:jc w:val="both"/>
              <w:rPr>
                <w:lang w:val="en-GB"/>
              </w:rPr>
            </w:pPr>
          </w:p>
        </w:tc>
        <w:tc>
          <w:tcPr>
            <w:tcW w:w="3803" w:type="pct"/>
            <w:gridSpan w:val="4"/>
          </w:tcPr>
          <w:p w:rsidR="00AF3225" w:rsidRPr="009B3C48" w:rsidRDefault="009B3C48" w:rsidP="00C84CE3">
            <w:pPr>
              <w:pStyle w:val="Textpoznpodarou"/>
              <w:jc w:val="both"/>
              <w:rPr>
                <w:color w:val="000000" w:themeColor="text1"/>
                <w:lang w:val="en-GB"/>
              </w:rPr>
            </w:pPr>
            <w:r w:rsidRPr="009B3C48">
              <w:rPr>
                <w:color w:val="000000" w:themeColor="text1"/>
                <w:lang w:val="en-GB"/>
              </w:rPr>
              <w:t>Labour productivity per hour (relation between gross value added in the economy and number of hours necessary to its creation) increased by 1.6 % year-on-year in 2014, while its mild reduction was recorded year-on-year in 2013 (-0.2 %). Labour productivity per hour increased mostly in financial and insurance activities (+17.1 %) and real estate activities (+6.3 %) in 2013. In 2014, year-on-year decline was ascertained in real estate activities (-4.0 %) and professional, scientific, technical activities (-1</w:t>
            </w:r>
            <w:r w:rsidR="006265B7">
              <w:rPr>
                <w:color w:val="000000" w:themeColor="text1"/>
                <w:lang w:val="en-GB"/>
              </w:rPr>
              <w:t>.</w:t>
            </w:r>
            <w:r w:rsidRPr="009B3C48">
              <w:rPr>
                <w:color w:val="000000" w:themeColor="text1"/>
                <w:lang w:val="en-GB"/>
              </w:rPr>
              <w:t xml:space="preserve">5 %). </w:t>
            </w:r>
          </w:p>
          <w:p w:rsidR="00C84CE3" w:rsidRPr="00F31411" w:rsidRDefault="00C84CE3" w:rsidP="00C84CE3">
            <w:pPr>
              <w:pStyle w:val="Textpoznpodarou"/>
              <w:jc w:val="both"/>
              <w:rPr>
                <w:color w:val="0000FF"/>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Labour productivity per one employee fell only in real estate activities year-on-year</w:t>
            </w:r>
          </w:p>
          <w:p w:rsidR="00AF3225" w:rsidRPr="00AF6410" w:rsidRDefault="00AF3225" w:rsidP="009F5846">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AF6410" w:rsidRPr="00AF6410" w:rsidRDefault="00AF6410" w:rsidP="00AF6410">
            <w:pPr>
              <w:pStyle w:val="Textpoznpodarou"/>
              <w:jc w:val="both"/>
              <w:rPr>
                <w:color w:val="000000" w:themeColor="text1"/>
                <w:spacing w:val="-4"/>
                <w:lang w:val="en-GB"/>
              </w:rPr>
            </w:pPr>
            <w:r w:rsidRPr="00AF6410">
              <w:rPr>
                <w:color w:val="000000" w:themeColor="text1"/>
                <w:spacing w:val="-4"/>
                <w:lang w:val="en-GB"/>
              </w:rPr>
              <w:t xml:space="preserve">The labour productivity per employee increased even by 2.2 % thanks to lower growth of employed persons compared to gross value added year-on-year in 2014. Decrease of labour productivity per employee was detected only in real estate activities (by 4.6 %). The fall of this indicator was gauged at 0.9 % in 2013. Opposing trend occurred in financial and insurance activities (+16.7 %, construction (+2.8 %), in real estate activities (+2.7 %) and other </w:t>
            </w:r>
            <w:r w:rsidR="00FF5AF7" w:rsidRPr="00FF5AF7">
              <w:rPr>
                <w:color w:val="000000" w:themeColor="text1"/>
                <w:spacing w:val="-4"/>
                <w:lang w:val="en-GB"/>
              </w:rPr>
              <w:t>service</w:t>
            </w:r>
            <w:r w:rsidR="00FF5AF7" w:rsidRPr="00EB47D6">
              <w:t xml:space="preserve"> </w:t>
            </w:r>
            <w:r w:rsidRPr="00AF6410">
              <w:rPr>
                <w:color w:val="000000" w:themeColor="text1"/>
                <w:spacing w:val="-4"/>
                <w:lang w:val="en-GB"/>
              </w:rPr>
              <w:t xml:space="preserve">activities (+0.8 %) in this year. </w:t>
            </w:r>
          </w:p>
          <w:p w:rsidR="00C84CE3" w:rsidRPr="00F31411" w:rsidRDefault="00AF6410" w:rsidP="00AF6410">
            <w:pPr>
              <w:pStyle w:val="Textpoznpodarou"/>
              <w:jc w:val="both"/>
              <w:rPr>
                <w:sz w:val="14"/>
                <w:szCs w:val="14"/>
                <w:lang w:val="en-GB"/>
              </w:rPr>
            </w:pPr>
            <w:r w:rsidRPr="00AF6410">
              <w:rPr>
                <w:color w:val="000000" w:themeColor="text1"/>
                <w:spacing w:val="-4"/>
                <w:lang w:val="en-GB"/>
              </w:rPr>
              <w:t xml:space="preserve"> </w:t>
            </w:r>
            <w:r w:rsidR="00D00DAF" w:rsidRPr="00AF6410">
              <w:rPr>
                <w:color w:val="000000" w:themeColor="text1"/>
                <w:spacing w:val="-6"/>
                <w:lang w:val="en-GB"/>
              </w:rPr>
              <w:t xml:space="preserve"> </w:t>
            </w: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 xml:space="preserve">Number of </w:t>
            </w:r>
            <w:r w:rsidR="00BC3E71">
              <w:rPr>
                <w:color w:val="000000" w:themeColor="text1"/>
                <w:sz w:val="16"/>
                <w:szCs w:val="16"/>
                <w:lang w:val="en-GB"/>
              </w:rPr>
              <w:t xml:space="preserve">job </w:t>
            </w:r>
            <w:r w:rsidRPr="00AF6410">
              <w:rPr>
                <w:color w:val="000000" w:themeColor="text1"/>
                <w:sz w:val="16"/>
                <w:szCs w:val="16"/>
                <w:lang w:val="en-GB"/>
              </w:rPr>
              <w:t xml:space="preserve">vacancies exceed the level from 2009 </w:t>
            </w:r>
          </w:p>
          <w:p w:rsidR="00AF3225" w:rsidRPr="00AF6410" w:rsidRDefault="00F10A33" w:rsidP="00867E29">
            <w:pPr>
              <w:spacing w:line="240" w:lineRule="auto"/>
              <w:rPr>
                <w:sz w:val="16"/>
                <w:szCs w:val="16"/>
                <w:lang w:val="en-GB"/>
              </w:rPr>
            </w:pPr>
            <w:r w:rsidRPr="00AF6410">
              <w:rPr>
                <w:sz w:val="16"/>
                <w:szCs w:val="16"/>
                <w:lang w:val="en-GB"/>
              </w:rPr>
              <w:t xml:space="preserve">  </w:t>
            </w:r>
          </w:p>
        </w:tc>
        <w:tc>
          <w:tcPr>
            <w:tcW w:w="143" w:type="pct"/>
          </w:tcPr>
          <w:p w:rsidR="00AF3225" w:rsidRPr="00AF6410" w:rsidRDefault="00AF3225" w:rsidP="00173642">
            <w:pPr>
              <w:pStyle w:val="Textpoznpodarou"/>
              <w:jc w:val="both"/>
              <w:rPr>
                <w:lang w:val="en-GB"/>
              </w:rPr>
            </w:pPr>
          </w:p>
        </w:tc>
        <w:tc>
          <w:tcPr>
            <w:tcW w:w="3803" w:type="pct"/>
            <w:gridSpan w:val="4"/>
          </w:tcPr>
          <w:p w:rsidR="00AF3225" w:rsidRPr="00AF6410" w:rsidRDefault="00BC3E71" w:rsidP="00C84CE3">
            <w:pPr>
              <w:pStyle w:val="Textpoznpodarou"/>
              <w:jc w:val="both"/>
              <w:rPr>
                <w:lang w:val="en-GB"/>
              </w:rPr>
            </w:pPr>
            <w:r w:rsidRPr="00BC3E71">
              <w:rPr>
                <w:lang w:val="en-GB"/>
              </w:rPr>
              <w:t>In 2014, the number of job vacancies already did not follow the development from years 2010 to 2013, when their number oscillated in the interval from 33.1 to 39.0 thousand (at the end of the year). According to MLSA, 48.7 thousand job vacancies were available thanks to the economic revival and proactive employment policy by the end of 2014. At the end of 2014 there were already 58.7 thousand, while it was 13 months in a row continued annual growth in their number.</w:t>
            </w:r>
            <w:r w:rsidR="00AF6410" w:rsidRPr="00BC3E71">
              <w:rPr>
                <w:lang w:val="en-GB"/>
              </w:rPr>
              <w:t xml:space="preserve"> </w:t>
            </w:r>
            <w:r w:rsidR="00D00DAF" w:rsidRPr="00AF6410">
              <w:rPr>
                <w:lang w:val="en-GB"/>
              </w:rPr>
              <w:t xml:space="preserve">   </w:t>
            </w:r>
          </w:p>
          <w:p w:rsidR="00C84CE3" w:rsidRPr="00BC3E71" w:rsidRDefault="00C84CE3" w:rsidP="00C84CE3">
            <w:pPr>
              <w:pStyle w:val="Textpoznpodarou"/>
              <w:jc w:val="both"/>
              <w:rPr>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 xml:space="preserve">A parallel growth of number of employed and fall of unemployed persons was observed in the economy year-on-year </w:t>
            </w:r>
          </w:p>
          <w:p w:rsidR="00AF3225" w:rsidRPr="00AF6410" w:rsidRDefault="00AF6410" w:rsidP="00AF6410">
            <w:pPr>
              <w:spacing w:line="240" w:lineRule="auto"/>
              <w:rPr>
                <w:sz w:val="16"/>
                <w:szCs w:val="16"/>
                <w:lang w:val="en-GB"/>
              </w:rPr>
            </w:pPr>
            <w:r w:rsidRPr="00AF6410">
              <w:rPr>
                <w:color w:val="000000" w:themeColor="text1"/>
                <w:sz w:val="16"/>
                <w:szCs w:val="16"/>
                <w:lang w:val="en-GB"/>
              </w:rPr>
              <w:t xml:space="preserve"> </w:t>
            </w:r>
            <w:r w:rsidR="00274291" w:rsidRPr="00AF6410">
              <w:rPr>
                <w:spacing w:val="-4"/>
                <w:sz w:val="16"/>
                <w:szCs w:val="16"/>
                <w:lang w:val="en-GB"/>
              </w:rPr>
              <w:t xml:space="preserve"> </w:t>
            </w:r>
          </w:p>
        </w:tc>
        <w:tc>
          <w:tcPr>
            <w:tcW w:w="143" w:type="pct"/>
          </w:tcPr>
          <w:p w:rsidR="00AF3225" w:rsidRPr="00AF6410" w:rsidRDefault="00AF3225" w:rsidP="00173642">
            <w:pPr>
              <w:pStyle w:val="Textpoznpodarou"/>
              <w:jc w:val="both"/>
              <w:rPr>
                <w:lang w:val="en-GB"/>
              </w:rPr>
            </w:pPr>
          </w:p>
        </w:tc>
        <w:tc>
          <w:tcPr>
            <w:tcW w:w="3803" w:type="pct"/>
            <w:gridSpan w:val="4"/>
          </w:tcPr>
          <w:p w:rsidR="00AF6410" w:rsidRPr="00335BC3" w:rsidRDefault="00AF6410" w:rsidP="00AF6410">
            <w:pPr>
              <w:pStyle w:val="Textpoznpodarou"/>
              <w:jc w:val="both"/>
              <w:rPr>
                <w:spacing w:val="-2"/>
                <w:lang w:val="en-GB"/>
              </w:rPr>
            </w:pPr>
            <w:r w:rsidRPr="00335BC3">
              <w:rPr>
                <w:spacing w:val="-2"/>
                <w:lang w:val="en-GB"/>
              </w:rPr>
              <w:t>While the number of employed and unemployed persons (LFSS) aged 15 and more together fell in 2011 and increased concurrently year-on-year in years 2012 and 2013, the number of employed persons already grew (by 0.8 %) year-on-year in 2014 given the fall of number of unemployed (by 12.3 %) year-on-year. General unemployment rate of population aged 15-64 years arrived at 7.0 % in 2013 and the value was 6.2 % in 2014. The same indicator in the age category 15 years and more also amounted to 7.0 % in 2013 and even only 6.1 % in the following year. </w:t>
            </w:r>
          </w:p>
          <w:p w:rsidR="00C84CE3" w:rsidRPr="00F31411" w:rsidRDefault="00C84CE3" w:rsidP="00ED2CA5">
            <w:pPr>
              <w:pStyle w:val="Textpoznpodarou"/>
              <w:jc w:val="both"/>
              <w:rPr>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t>General unemployment rate (15-64 years) gradually decreased till October 2014</w:t>
            </w:r>
          </w:p>
          <w:p w:rsidR="00AF3225" w:rsidRPr="00AF6410" w:rsidRDefault="00AF3225" w:rsidP="00162853">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C84CE3" w:rsidRPr="00AF6410" w:rsidRDefault="00AF6410" w:rsidP="001118AF">
            <w:pPr>
              <w:pStyle w:val="Textpoznpodarou"/>
              <w:jc w:val="both"/>
              <w:rPr>
                <w:color w:val="000000" w:themeColor="text1"/>
                <w:lang w:val="en-GB"/>
              </w:rPr>
            </w:pPr>
            <w:r w:rsidRPr="00AF6410">
              <w:rPr>
                <w:color w:val="000000" w:themeColor="text1"/>
                <w:lang w:val="en-GB"/>
              </w:rPr>
              <w:t>General unemployment rate based on monthly seasonally adjusted data for population aged 15-64 years reduced from January 6.7 % to 5.8 % in October, it was practically only stagnation in the rest of year 2014. This development concerned both males and females.</w:t>
            </w:r>
            <w:r w:rsidR="00162853" w:rsidRPr="00AF6410">
              <w:rPr>
                <w:color w:val="000000" w:themeColor="text1"/>
                <w:lang w:val="en-GB"/>
              </w:rPr>
              <w:t xml:space="preserve">  </w:t>
            </w:r>
          </w:p>
          <w:p w:rsidR="001118AF" w:rsidRPr="00F31411" w:rsidRDefault="001118AF" w:rsidP="001118AF">
            <w:pPr>
              <w:pStyle w:val="Textpoznpodarou"/>
              <w:jc w:val="both"/>
              <w:rPr>
                <w:sz w:val="14"/>
                <w:szCs w:val="14"/>
                <w:lang w:val="en-GB"/>
              </w:rPr>
            </w:pPr>
          </w:p>
        </w:tc>
      </w:tr>
      <w:tr w:rsidR="00AF3225" w:rsidRPr="007D44C3" w:rsidTr="00ED2CA5">
        <w:tc>
          <w:tcPr>
            <w:tcW w:w="1054" w:type="pct"/>
            <w:gridSpan w:val="3"/>
          </w:tcPr>
          <w:p w:rsidR="00AF6410" w:rsidRPr="00AF6410" w:rsidRDefault="00AF6410" w:rsidP="00AF6410">
            <w:pPr>
              <w:spacing w:line="240" w:lineRule="auto"/>
              <w:rPr>
                <w:color w:val="000000" w:themeColor="text1"/>
                <w:sz w:val="16"/>
                <w:szCs w:val="16"/>
                <w:lang w:val="en-GB"/>
              </w:rPr>
            </w:pPr>
            <w:r w:rsidRPr="00AF6410">
              <w:rPr>
                <w:color w:val="000000" w:themeColor="text1"/>
                <w:sz w:val="16"/>
                <w:szCs w:val="16"/>
                <w:lang w:val="en-GB"/>
              </w:rPr>
              <w:lastRenderedPageBreak/>
              <w:t>Rate of economic activity continued to grow, it was above the year's average in the second part of the year</w:t>
            </w:r>
          </w:p>
          <w:p w:rsidR="00AF3225" w:rsidRPr="00AF6410" w:rsidRDefault="00AF3225" w:rsidP="00867E29">
            <w:pPr>
              <w:spacing w:line="240" w:lineRule="auto"/>
              <w:rPr>
                <w:sz w:val="16"/>
                <w:szCs w:val="16"/>
                <w:lang w:val="en-GB"/>
              </w:rPr>
            </w:pPr>
          </w:p>
        </w:tc>
        <w:tc>
          <w:tcPr>
            <w:tcW w:w="143" w:type="pct"/>
          </w:tcPr>
          <w:p w:rsidR="00AF3225" w:rsidRPr="00AF6410" w:rsidRDefault="00AF3225" w:rsidP="00173642">
            <w:pPr>
              <w:pStyle w:val="Textpoznpodarou"/>
              <w:jc w:val="both"/>
              <w:rPr>
                <w:lang w:val="en-GB"/>
              </w:rPr>
            </w:pPr>
          </w:p>
        </w:tc>
        <w:tc>
          <w:tcPr>
            <w:tcW w:w="3803" w:type="pct"/>
            <w:gridSpan w:val="4"/>
          </w:tcPr>
          <w:p w:rsidR="00AF6410" w:rsidRPr="00DD394A" w:rsidRDefault="00AF6410" w:rsidP="00AF6410">
            <w:pPr>
              <w:pStyle w:val="Textpoznpodarou"/>
              <w:jc w:val="both"/>
              <w:rPr>
                <w:color w:val="000000" w:themeColor="text1"/>
                <w:spacing w:val="-2"/>
                <w:lang w:val="en-GB"/>
              </w:rPr>
            </w:pPr>
            <w:r w:rsidRPr="00DD394A">
              <w:rPr>
                <w:color w:val="000000" w:themeColor="text1"/>
                <w:spacing w:val="-2"/>
                <w:lang w:val="en-GB"/>
              </w:rPr>
              <w:t xml:space="preserve">Ceaseless growth of the indicator rate of economic activity in the age category of 15-64 years (LFSS) from year 2009 (70.1 %) up to 73.5 % in 2014 confirms the placement of economically inactive persons on the labour market. Its rate reached above the average for the whole year (roughly 74 %) in the second half of the year. </w:t>
            </w:r>
          </w:p>
          <w:p w:rsidR="001118AF" w:rsidRPr="00F31411" w:rsidRDefault="001118AF" w:rsidP="00AF6410">
            <w:pPr>
              <w:pStyle w:val="Textpoznpodarou"/>
              <w:jc w:val="both"/>
              <w:rPr>
                <w:spacing w:val="-4"/>
                <w:sz w:val="14"/>
                <w:szCs w:val="14"/>
                <w:lang w:val="en-GB"/>
              </w:rPr>
            </w:pPr>
          </w:p>
        </w:tc>
      </w:tr>
      <w:tr w:rsidR="00D00DAF" w:rsidRPr="007D44C3" w:rsidTr="00ED2CA5">
        <w:tc>
          <w:tcPr>
            <w:tcW w:w="1054" w:type="pct"/>
            <w:gridSpan w:val="3"/>
          </w:tcPr>
          <w:p w:rsidR="004A1CC4" w:rsidRPr="004A1CC4" w:rsidRDefault="004A1CC4" w:rsidP="004A1CC4">
            <w:pPr>
              <w:spacing w:line="240" w:lineRule="auto"/>
              <w:rPr>
                <w:sz w:val="16"/>
                <w:szCs w:val="16"/>
                <w:lang w:val="en-GB"/>
              </w:rPr>
            </w:pPr>
            <w:r w:rsidRPr="004A1CC4">
              <w:rPr>
                <w:sz w:val="16"/>
                <w:szCs w:val="16"/>
                <w:lang w:val="en-GB"/>
              </w:rPr>
              <w:t>Real wage increased year-on-year following two years of fall, the growth of nominal wage was only slightly higher than the real wage</w:t>
            </w:r>
          </w:p>
          <w:p w:rsidR="00D00DAF" w:rsidRPr="004A1CC4" w:rsidRDefault="00D00DAF" w:rsidP="00867E29">
            <w:pPr>
              <w:spacing w:line="240" w:lineRule="auto"/>
              <w:rPr>
                <w:sz w:val="16"/>
                <w:szCs w:val="16"/>
                <w:lang w:val="en-GB"/>
              </w:rPr>
            </w:pPr>
          </w:p>
        </w:tc>
        <w:tc>
          <w:tcPr>
            <w:tcW w:w="143" w:type="pct"/>
          </w:tcPr>
          <w:p w:rsidR="00D00DAF" w:rsidRPr="004A1CC4" w:rsidRDefault="00D00DAF" w:rsidP="00173642">
            <w:pPr>
              <w:pStyle w:val="Textpoznpodarou"/>
              <w:jc w:val="both"/>
              <w:rPr>
                <w:lang w:val="en-GB"/>
              </w:rPr>
            </w:pPr>
          </w:p>
        </w:tc>
        <w:tc>
          <w:tcPr>
            <w:tcW w:w="3803" w:type="pct"/>
            <w:gridSpan w:val="4"/>
          </w:tcPr>
          <w:p w:rsidR="004A1CC4" w:rsidRPr="00DD394A" w:rsidRDefault="004A1CC4" w:rsidP="004A1CC4">
            <w:pPr>
              <w:pStyle w:val="Textpoznpodarou"/>
              <w:jc w:val="both"/>
              <w:rPr>
                <w:spacing w:val="-4"/>
                <w:lang w:val="en-GB"/>
              </w:rPr>
            </w:pPr>
            <w:r w:rsidRPr="00DD394A">
              <w:rPr>
                <w:spacing w:val="-4"/>
                <w:lang w:val="en-GB"/>
              </w:rPr>
              <w:t xml:space="preserve">Real wage increased by 2.0 % in 2014, both in the whole national economy and in the business and non-business </w:t>
            </w:r>
            <w:r w:rsidR="00BC3E71" w:rsidRPr="00DD394A">
              <w:rPr>
                <w:spacing w:val="-4"/>
                <w:lang w:val="en-GB"/>
              </w:rPr>
              <w:t>sphere</w:t>
            </w:r>
            <w:r w:rsidRPr="00DD394A">
              <w:rPr>
                <w:spacing w:val="-4"/>
                <w:lang w:val="en-GB"/>
              </w:rPr>
              <w:t>. In nominal terms however, the average monthly wage (to recalculated number of employees) increased only slightly more than the real wage (by 2.4 %) thanks to low inflation rate (+0</w:t>
            </w:r>
            <w:proofErr w:type="gramStart"/>
            <w:r w:rsidR="00F12BC8" w:rsidRPr="00DD394A">
              <w:rPr>
                <w:spacing w:val="-4"/>
                <w:lang w:val="en-GB"/>
              </w:rPr>
              <w:t>,4</w:t>
            </w:r>
            <w:proofErr w:type="gramEnd"/>
            <w:r w:rsidRPr="00DD394A">
              <w:rPr>
                <w:spacing w:val="-4"/>
                <w:lang w:val="en-GB"/>
              </w:rPr>
              <w:t xml:space="preserve"> %) in the CR. While the average nominal wage of employees of firms was somewhat higher compared to the wage in the non-business s</w:t>
            </w:r>
            <w:r w:rsidR="00BC3E71" w:rsidRPr="00DD394A">
              <w:rPr>
                <w:spacing w:val="-4"/>
                <w:lang w:val="en-GB"/>
              </w:rPr>
              <w:t>phere</w:t>
            </w:r>
            <w:r w:rsidRPr="00DD394A">
              <w:rPr>
                <w:spacing w:val="-4"/>
                <w:lang w:val="en-GB"/>
              </w:rPr>
              <w:t xml:space="preserve"> in 2012, it was the opposite in years 2013 and 2014. The government decision regarding the increase of wage tariffs in the non-business s</w:t>
            </w:r>
            <w:r w:rsidR="00BC3E71" w:rsidRPr="00DD394A">
              <w:rPr>
                <w:spacing w:val="-4"/>
                <w:lang w:val="en-GB"/>
              </w:rPr>
              <w:t>phere</w:t>
            </w:r>
            <w:r w:rsidRPr="00DD394A">
              <w:rPr>
                <w:spacing w:val="-4"/>
                <w:lang w:val="en-GB"/>
              </w:rPr>
              <w:t xml:space="preserve"> from November contributed to the differentiation of wages in 2014.  </w:t>
            </w:r>
          </w:p>
          <w:p w:rsidR="00870F2B" w:rsidRPr="004A1CC4" w:rsidRDefault="00870F2B" w:rsidP="00870F2B">
            <w:pPr>
              <w:pStyle w:val="Textpoznpodarou"/>
              <w:jc w:val="both"/>
              <w:rPr>
                <w:rFonts w:cs="Arial"/>
                <w:bCs/>
                <w:color w:val="FF0000"/>
                <w:lang w:val="en-GB"/>
              </w:rPr>
            </w:pPr>
          </w:p>
        </w:tc>
      </w:tr>
      <w:tr w:rsidR="00EB4FA4" w:rsidRPr="00EB4FA4" w:rsidTr="00380E04">
        <w:tblPrEx>
          <w:tblCellMar>
            <w:left w:w="70" w:type="dxa"/>
            <w:right w:w="70" w:type="dxa"/>
          </w:tblCellMar>
          <w:tblLook w:val="0000"/>
        </w:tblPrEx>
        <w:trPr>
          <w:gridBefore w:val="1"/>
          <w:gridAfter w:val="1"/>
          <w:wBefore w:w="19" w:type="pct"/>
          <w:wAfter w:w="19" w:type="pct"/>
        </w:trPr>
        <w:tc>
          <w:tcPr>
            <w:tcW w:w="401" w:type="pct"/>
          </w:tcPr>
          <w:p w:rsidR="00EB5146" w:rsidRPr="00CD4B29" w:rsidRDefault="00D75613" w:rsidP="00D75613">
            <w:pPr>
              <w:spacing w:line="240" w:lineRule="auto"/>
            </w:pPr>
            <w:r>
              <w:t>Chart</w:t>
            </w:r>
            <w:r w:rsidR="00EB5146" w:rsidRPr="00CD4B29">
              <w:t xml:space="preserve"> 15</w:t>
            </w:r>
          </w:p>
        </w:tc>
        <w:tc>
          <w:tcPr>
            <w:tcW w:w="2097" w:type="pct"/>
            <w:gridSpan w:val="3"/>
          </w:tcPr>
          <w:p w:rsidR="00EB5146" w:rsidRPr="0050085A" w:rsidRDefault="00FF5AF7" w:rsidP="00FF5AF7">
            <w:pPr>
              <w:spacing w:line="240" w:lineRule="auto"/>
              <w:rPr>
                <w:b/>
                <w:lang w:val="en-GB"/>
              </w:rPr>
            </w:pPr>
            <w:r>
              <w:rPr>
                <w:b/>
                <w:bCs/>
                <w:lang w:val="en-GB"/>
              </w:rPr>
              <w:t>Total</w:t>
            </w:r>
            <w:r w:rsidR="00D75613" w:rsidRPr="0050085A">
              <w:rPr>
                <w:b/>
                <w:bCs/>
                <w:lang w:val="en-GB"/>
              </w:rPr>
              <w:t xml:space="preserve"> employment and numbers of employees </w:t>
            </w:r>
            <w:r w:rsidR="00EB5146" w:rsidRPr="0050085A">
              <w:rPr>
                <w:bCs/>
                <w:lang w:val="en-GB"/>
              </w:rPr>
              <w:t xml:space="preserve">(y/y </w:t>
            </w:r>
            <w:r w:rsidR="00D75613" w:rsidRPr="0050085A">
              <w:rPr>
                <w:bCs/>
                <w:lang w:val="en-GB"/>
              </w:rPr>
              <w:t>in</w:t>
            </w:r>
            <w:r w:rsidR="00EB5146" w:rsidRPr="0050085A">
              <w:rPr>
                <w:bCs/>
                <w:lang w:val="en-GB"/>
              </w:rPr>
              <w:t xml:space="preserve"> %, se</w:t>
            </w:r>
            <w:r w:rsidR="00D75613" w:rsidRPr="0050085A">
              <w:rPr>
                <w:bCs/>
                <w:lang w:val="en-GB"/>
              </w:rPr>
              <w:t>asonally adjusted</w:t>
            </w:r>
            <w:r w:rsidR="00EB5146" w:rsidRPr="0050085A">
              <w:rPr>
                <w:bCs/>
                <w:lang w:val="en-GB"/>
              </w:rPr>
              <w:t>)</w:t>
            </w:r>
            <w:r w:rsidR="00EB5146" w:rsidRPr="0050085A">
              <w:rPr>
                <w:b/>
                <w:bCs/>
                <w:lang w:val="en-GB"/>
              </w:rPr>
              <w:t xml:space="preserve"> </w:t>
            </w:r>
          </w:p>
        </w:tc>
        <w:tc>
          <w:tcPr>
            <w:tcW w:w="400" w:type="pct"/>
          </w:tcPr>
          <w:p w:rsidR="00EB5146" w:rsidRPr="0050085A" w:rsidRDefault="00D75613" w:rsidP="00D75613">
            <w:pPr>
              <w:spacing w:line="240" w:lineRule="auto"/>
              <w:rPr>
                <w:szCs w:val="20"/>
                <w:lang w:val="en-GB"/>
              </w:rPr>
            </w:pPr>
            <w:r w:rsidRPr="0050085A">
              <w:rPr>
                <w:szCs w:val="20"/>
                <w:lang w:val="en-GB"/>
              </w:rPr>
              <w:t>Chart</w:t>
            </w:r>
            <w:r w:rsidR="00EB5146" w:rsidRPr="0050085A">
              <w:rPr>
                <w:szCs w:val="20"/>
                <w:lang w:val="en-GB"/>
              </w:rPr>
              <w:t xml:space="preserve"> 1</w:t>
            </w:r>
            <w:r w:rsidR="005215EF" w:rsidRPr="0050085A">
              <w:rPr>
                <w:szCs w:val="20"/>
                <w:lang w:val="en-GB"/>
              </w:rPr>
              <w:t>6</w:t>
            </w:r>
          </w:p>
        </w:tc>
        <w:tc>
          <w:tcPr>
            <w:tcW w:w="2064" w:type="pct"/>
          </w:tcPr>
          <w:p w:rsidR="00EB5146" w:rsidRPr="0050085A" w:rsidRDefault="00EB5146" w:rsidP="0050085A">
            <w:pPr>
              <w:spacing w:line="240" w:lineRule="auto"/>
              <w:rPr>
                <w:b/>
                <w:szCs w:val="20"/>
                <w:lang w:val="en-GB"/>
              </w:rPr>
            </w:pPr>
            <w:r w:rsidRPr="0050085A">
              <w:rPr>
                <w:b/>
                <w:bCs/>
                <w:szCs w:val="20"/>
                <w:lang w:val="en-GB"/>
              </w:rPr>
              <w:t>Nomin</w:t>
            </w:r>
            <w:r w:rsidR="00D75613" w:rsidRPr="0050085A">
              <w:rPr>
                <w:b/>
                <w:bCs/>
                <w:szCs w:val="20"/>
                <w:lang w:val="en-GB"/>
              </w:rPr>
              <w:t xml:space="preserve">al and real wage </w:t>
            </w:r>
            <w:r w:rsidRPr="0050085A">
              <w:rPr>
                <w:bCs/>
                <w:szCs w:val="20"/>
                <w:lang w:val="en-GB"/>
              </w:rPr>
              <w:t xml:space="preserve">(y/y </w:t>
            </w:r>
            <w:r w:rsidR="00D75613" w:rsidRPr="0050085A">
              <w:rPr>
                <w:bCs/>
                <w:szCs w:val="20"/>
                <w:lang w:val="en-GB"/>
              </w:rPr>
              <w:t>in</w:t>
            </w:r>
            <w:r w:rsidRPr="0050085A">
              <w:rPr>
                <w:bCs/>
                <w:szCs w:val="20"/>
                <w:lang w:val="en-GB"/>
              </w:rPr>
              <w:t xml:space="preserve"> %, </w:t>
            </w:r>
            <w:r w:rsidR="0050085A">
              <w:rPr>
                <w:bCs/>
                <w:szCs w:val="20"/>
                <w:lang w:val="en-GB"/>
              </w:rPr>
              <w:t>on recalculated numbers</w:t>
            </w:r>
            <w:r w:rsidRPr="0050085A">
              <w:rPr>
                <w:bCs/>
                <w:szCs w:val="20"/>
                <w:lang w:val="en-GB"/>
              </w:rPr>
              <w:t>)</w:t>
            </w:r>
          </w:p>
        </w:tc>
      </w:tr>
      <w:tr w:rsidR="00EB5146" w:rsidTr="00380E04">
        <w:tblPrEx>
          <w:tblCellMar>
            <w:left w:w="70" w:type="dxa"/>
            <w:right w:w="70" w:type="dxa"/>
          </w:tblCellMar>
          <w:tblLook w:val="0000"/>
        </w:tblPrEx>
        <w:trPr>
          <w:gridBefore w:val="1"/>
          <w:gridAfter w:val="1"/>
          <w:wBefore w:w="19" w:type="pct"/>
          <w:wAfter w:w="19" w:type="pct"/>
          <w:trHeight w:val="3256"/>
        </w:trPr>
        <w:tc>
          <w:tcPr>
            <w:tcW w:w="2498" w:type="pct"/>
            <w:gridSpan w:val="4"/>
          </w:tcPr>
          <w:p w:rsidR="00EB5146" w:rsidRDefault="00980FE9" w:rsidP="008B7306">
            <w:pPr>
              <w:pStyle w:val="Zhlav"/>
              <w:tabs>
                <w:tab w:val="clear" w:pos="4536"/>
                <w:tab w:val="clear" w:pos="9072"/>
              </w:tabs>
              <w:rPr>
                <w:rFonts w:ascii="Arial" w:hAnsi="Arial" w:cs="Arial"/>
                <w:sz w:val="20"/>
              </w:rPr>
            </w:pPr>
            <w:r w:rsidRPr="00980FE9">
              <w:rPr>
                <w:rFonts w:ascii="Arial" w:hAnsi="Arial" w:cs="Arial"/>
                <w:noProof/>
                <w:sz w:val="20"/>
                <w:lang w:eastAsia="cs-CZ"/>
              </w:rPr>
              <w:drawing>
                <wp:inline distT="0" distB="0" distL="0" distR="0">
                  <wp:extent cx="3053334" cy="2479852"/>
                  <wp:effectExtent l="19050" t="0" r="0" b="0"/>
                  <wp:docPr id="3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3051565" cy="2478415"/>
                          </a:xfrm>
                          <a:prstGeom prst="rect">
                            <a:avLst/>
                          </a:prstGeom>
                          <a:noFill/>
                        </pic:spPr>
                      </pic:pic>
                    </a:graphicData>
                  </a:graphic>
                </wp:inline>
              </w:drawing>
            </w:r>
          </w:p>
        </w:tc>
        <w:tc>
          <w:tcPr>
            <w:tcW w:w="2464" w:type="pct"/>
            <w:gridSpan w:val="2"/>
          </w:tcPr>
          <w:p w:rsidR="00EB5146" w:rsidRDefault="00980FE9" w:rsidP="008B7306">
            <w:pPr>
              <w:pStyle w:val="Zhlav"/>
              <w:tabs>
                <w:tab w:val="clear" w:pos="4536"/>
                <w:tab w:val="clear" w:pos="9072"/>
              </w:tabs>
              <w:spacing w:line="235" w:lineRule="auto"/>
              <w:jc w:val="both"/>
              <w:rPr>
                <w:rFonts w:ascii="Arial" w:hAnsi="Arial" w:cs="Arial"/>
                <w:sz w:val="20"/>
              </w:rPr>
            </w:pPr>
            <w:r w:rsidRPr="00980FE9">
              <w:rPr>
                <w:rFonts w:ascii="Arial" w:hAnsi="Arial" w:cs="Arial"/>
                <w:noProof/>
                <w:sz w:val="20"/>
                <w:lang w:eastAsia="cs-CZ"/>
              </w:rPr>
              <w:drawing>
                <wp:inline distT="0" distB="0" distL="0" distR="0">
                  <wp:extent cx="2999232" cy="2479852"/>
                  <wp:effectExtent l="19050" t="0" r="0" b="0"/>
                  <wp:docPr id="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996825" cy="2477862"/>
                          </a:xfrm>
                          <a:prstGeom prst="rect">
                            <a:avLst/>
                          </a:prstGeom>
                          <a:noFill/>
                        </pic:spPr>
                      </pic:pic>
                    </a:graphicData>
                  </a:graphic>
                </wp:inline>
              </w:drawing>
            </w:r>
          </w:p>
        </w:tc>
      </w:tr>
      <w:tr w:rsidR="00EB5146" w:rsidRPr="005215EF" w:rsidTr="00380E04">
        <w:tblPrEx>
          <w:tblCellMar>
            <w:left w:w="70" w:type="dxa"/>
            <w:right w:w="70" w:type="dxa"/>
          </w:tblCellMar>
          <w:tblLook w:val="0000"/>
        </w:tblPrEx>
        <w:trPr>
          <w:gridBefore w:val="1"/>
          <w:gridAfter w:val="1"/>
          <w:wBefore w:w="19" w:type="pct"/>
          <w:wAfter w:w="19" w:type="pct"/>
        </w:trPr>
        <w:tc>
          <w:tcPr>
            <w:tcW w:w="401" w:type="pct"/>
          </w:tcPr>
          <w:p w:rsidR="00EB5146" w:rsidRPr="00953AEF" w:rsidRDefault="00EB5146" w:rsidP="008B7306">
            <w:pPr>
              <w:rPr>
                <w:color w:val="FF0000"/>
              </w:rPr>
            </w:pPr>
          </w:p>
        </w:tc>
        <w:tc>
          <w:tcPr>
            <w:tcW w:w="2097" w:type="pct"/>
            <w:gridSpan w:val="3"/>
          </w:tcPr>
          <w:p w:rsidR="00EB5146" w:rsidRPr="009E3710" w:rsidRDefault="00EB5146" w:rsidP="008B7306">
            <w:pPr>
              <w:rPr>
                <w:b/>
              </w:rPr>
            </w:pPr>
          </w:p>
        </w:tc>
        <w:tc>
          <w:tcPr>
            <w:tcW w:w="400" w:type="pct"/>
          </w:tcPr>
          <w:p w:rsidR="00EB5146" w:rsidRPr="00953AEF" w:rsidRDefault="00EB5146" w:rsidP="0095013A">
            <w:pPr>
              <w:rPr>
                <w:color w:val="FF0000"/>
              </w:rPr>
            </w:pPr>
          </w:p>
        </w:tc>
        <w:tc>
          <w:tcPr>
            <w:tcW w:w="2064" w:type="pct"/>
          </w:tcPr>
          <w:p w:rsidR="00380E04" w:rsidRDefault="00D75613" w:rsidP="00D75613">
            <w:pPr>
              <w:jc w:val="right"/>
              <w:rPr>
                <w:sz w:val="18"/>
                <w:szCs w:val="18"/>
              </w:rPr>
            </w:pPr>
            <w:r>
              <w:rPr>
                <w:sz w:val="18"/>
                <w:szCs w:val="18"/>
              </w:rPr>
              <w:t>Source</w:t>
            </w:r>
            <w:r w:rsidR="00380E04">
              <w:rPr>
                <w:sz w:val="18"/>
                <w:szCs w:val="18"/>
              </w:rPr>
              <w:t xml:space="preserve">: </w:t>
            </w:r>
            <w:r>
              <w:rPr>
                <w:sz w:val="18"/>
                <w:szCs w:val="18"/>
              </w:rPr>
              <w:t>CZSO</w:t>
            </w:r>
          </w:p>
          <w:p w:rsidR="0050085A" w:rsidRPr="00801FDD" w:rsidRDefault="0050085A" w:rsidP="0050085A">
            <w:pPr>
              <w:jc w:val="both"/>
              <w:rPr>
                <w:sz w:val="18"/>
                <w:szCs w:val="18"/>
              </w:rPr>
            </w:pPr>
          </w:p>
        </w:tc>
      </w:tr>
    </w:tbl>
    <w:p w:rsidR="0075057A" w:rsidRPr="0050085A" w:rsidRDefault="0075057A" w:rsidP="008E39BC">
      <w:pPr>
        <w:pStyle w:val="Nadpis1"/>
        <w:numPr>
          <w:ilvl w:val="0"/>
          <w:numId w:val="9"/>
        </w:numPr>
        <w:jc w:val="both"/>
        <w:rPr>
          <w:lang w:val="en-GB"/>
        </w:rPr>
      </w:pPr>
      <w:bookmarkStart w:id="10" w:name="_Toc417454528"/>
      <w:r w:rsidRPr="0050085A">
        <w:rPr>
          <w:lang w:val="en-GB"/>
        </w:rPr>
        <w:t>M</w:t>
      </w:r>
      <w:r w:rsidR="00D75613" w:rsidRPr="0050085A">
        <w:rPr>
          <w:lang w:val="en-GB"/>
        </w:rPr>
        <w:t>onetary Conditions</w:t>
      </w:r>
      <w:bookmarkEnd w:id="10"/>
    </w:p>
    <w:tbl>
      <w:tblPr>
        <w:tblW w:w="5000" w:type="pct"/>
        <w:tblLayout w:type="fixed"/>
        <w:tblLook w:val="00A0"/>
      </w:tblPr>
      <w:tblGrid>
        <w:gridCol w:w="38"/>
        <w:gridCol w:w="791"/>
        <w:gridCol w:w="275"/>
        <w:gridCol w:w="979"/>
        <w:gridCol w:w="282"/>
        <w:gridCol w:w="2599"/>
        <w:gridCol w:w="788"/>
        <w:gridCol w:w="453"/>
        <w:gridCol w:w="3614"/>
        <w:gridCol w:w="35"/>
      </w:tblGrid>
      <w:tr w:rsidR="00C53D82" w:rsidRPr="0050085A" w:rsidTr="00ED2CA5">
        <w:tc>
          <w:tcPr>
            <w:tcW w:w="1056" w:type="pct"/>
            <w:gridSpan w:val="4"/>
          </w:tcPr>
          <w:p w:rsidR="00C53D82" w:rsidRPr="002361D6" w:rsidRDefault="00600B0B" w:rsidP="00600B0B">
            <w:pPr>
              <w:spacing w:line="240" w:lineRule="auto"/>
              <w:rPr>
                <w:sz w:val="16"/>
                <w:szCs w:val="16"/>
                <w:lang w:val="en-GB"/>
              </w:rPr>
            </w:pPr>
            <w:r w:rsidRPr="002361D6">
              <w:rPr>
                <w:sz w:val="16"/>
                <w:szCs w:val="16"/>
                <w:lang w:val="en-GB"/>
              </w:rPr>
              <w:t xml:space="preserve">The Czech economy revived without a credit expansion in 2014 </w:t>
            </w:r>
          </w:p>
        </w:tc>
        <w:tc>
          <w:tcPr>
            <w:tcW w:w="143" w:type="pct"/>
          </w:tcPr>
          <w:p w:rsidR="00C53D82" w:rsidRPr="002361D6" w:rsidRDefault="00C53D82" w:rsidP="008B1A8A">
            <w:pPr>
              <w:pStyle w:val="Textpoznpodarou"/>
              <w:jc w:val="both"/>
              <w:rPr>
                <w:lang w:val="en-GB"/>
              </w:rPr>
            </w:pPr>
          </w:p>
        </w:tc>
        <w:tc>
          <w:tcPr>
            <w:tcW w:w="3801" w:type="pct"/>
            <w:gridSpan w:val="5"/>
          </w:tcPr>
          <w:p w:rsidR="00600B0B" w:rsidRPr="002361D6" w:rsidRDefault="00600B0B" w:rsidP="00600B0B">
            <w:pPr>
              <w:pStyle w:val="Textpoznpodarou"/>
              <w:jc w:val="both"/>
              <w:rPr>
                <w:color w:val="000000" w:themeColor="text1"/>
                <w:lang w:val="en-GB"/>
              </w:rPr>
            </w:pPr>
            <w:r w:rsidRPr="002361D6">
              <w:rPr>
                <w:color w:val="000000" w:themeColor="text1"/>
                <w:lang w:val="en-GB"/>
              </w:rPr>
              <w:t xml:space="preserve">Even though the Czech economy again returned to growth in 2014, it was not financed by debt in such an extent as usual. Only in the last three months of 2014, the year-on-year rates of growth of credit to companies were above the year average (+3.1 %). The households however incurred debts below the year's average (+3.4 %) in the last quarter. Rate of growth of domestic credit (+4.1 %) was thus mostly under the direction of the government sector, especially then the central government – net credit to the government sector increased by 10.2 % year-on-year, credit to the central government (state) by 12.1 %. </w:t>
            </w:r>
          </w:p>
          <w:p w:rsidR="00C53D82" w:rsidRPr="00F31411" w:rsidRDefault="00C53D82" w:rsidP="008B1A8A">
            <w:pPr>
              <w:rPr>
                <w:sz w:val="14"/>
                <w:szCs w:val="14"/>
                <w:lang w:val="en-GB"/>
              </w:rPr>
            </w:pPr>
          </w:p>
        </w:tc>
      </w:tr>
      <w:tr w:rsidR="00C53D82" w:rsidRPr="007D44C3" w:rsidTr="00ED2CA5">
        <w:tc>
          <w:tcPr>
            <w:tcW w:w="1056" w:type="pct"/>
            <w:gridSpan w:val="4"/>
          </w:tcPr>
          <w:p w:rsidR="00C53D82" w:rsidRPr="002361D6" w:rsidRDefault="0052751A" w:rsidP="0052751A">
            <w:pPr>
              <w:spacing w:line="240" w:lineRule="auto"/>
              <w:rPr>
                <w:sz w:val="16"/>
                <w:szCs w:val="16"/>
                <w:lang w:val="en-GB"/>
              </w:rPr>
            </w:pPr>
            <w:r>
              <w:rPr>
                <w:sz w:val="16"/>
                <w:szCs w:val="16"/>
                <w:lang w:val="en-GB"/>
              </w:rPr>
              <w:t xml:space="preserve">Easing </w:t>
            </w:r>
            <w:r w:rsidR="00600B0B" w:rsidRPr="002361D6">
              <w:rPr>
                <w:sz w:val="16"/>
                <w:szCs w:val="16"/>
                <w:lang w:val="en-GB"/>
              </w:rPr>
              <w:t xml:space="preserve">of </w:t>
            </w:r>
            <w:r>
              <w:rPr>
                <w:sz w:val="16"/>
                <w:szCs w:val="16"/>
                <w:lang w:val="en-GB"/>
              </w:rPr>
              <w:t>monetary</w:t>
            </w:r>
            <w:r w:rsidR="00600B0B" w:rsidRPr="002361D6">
              <w:rPr>
                <w:sz w:val="16"/>
                <w:szCs w:val="16"/>
                <w:lang w:val="en-GB"/>
              </w:rPr>
              <w:t xml:space="preserve"> conditions p</w:t>
            </w:r>
            <w:r>
              <w:rPr>
                <w:sz w:val="16"/>
                <w:szCs w:val="16"/>
                <w:lang w:val="en-GB"/>
              </w:rPr>
              <w:t>ersists</w:t>
            </w:r>
            <w:r w:rsidR="00600B0B" w:rsidRPr="002361D6">
              <w:rPr>
                <w:sz w:val="16"/>
                <w:szCs w:val="16"/>
                <w:lang w:val="en-GB"/>
              </w:rPr>
              <w:t xml:space="preserve"> </w:t>
            </w:r>
          </w:p>
        </w:tc>
        <w:tc>
          <w:tcPr>
            <w:tcW w:w="143" w:type="pct"/>
          </w:tcPr>
          <w:p w:rsidR="00C53D82" w:rsidRPr="002361D6" w:rsidRDefault="00C53D82" w:rsidP="008B1A8A">
            <w:pPr>
              <w:pStyle w:val="Textpoznpodarou"/>
              <w:jc w:val="both"/>
              <w:rPr>
                <w:lang w:val="en-GB"/>
              </w:rPr>
            </w:pPr>
          </w:p>
        </w:tc>
        <w:tc>
          <w:tcPr>
            <w:tcW w:w="3801" w:type="pct"/>
            <w:gridSpan w:val="5"/>
          </w:tcPr>
          <w:p w:rsidR="00600B0B" w:rsidRPr="002361D6" w:rsidRDefault="00600B0B" w:rsidP="00600B0B">
            <w:pPr>
              <w:pStyle w:val="Textpoznpodarou"/>
              <w:jc w:val="both"/>
              <w:rPr>
                <w:color w:val="000000" w:themeColor="text1"/>
                <w:spacing w:val="-2"/>
                <w:lang w:val="en-GB"/>
              </w:rPr>
            </w:pPr>
            <w:r w:rsidRPr="002361D6">
              <w:rPr>
                <w:color w:val="000000" w:themeColor="text1"/>
                <w:spacing w:val="-2"/>
                <w:lang w:val="en-GB"/>
              </w:rPr>
              <w:t>Money s</w:t>
            </w:r>
            <w:r w:rsidR="000E0681">
              <w:rPr>
                <w:color w:val="000000" w:themeColor="text1"/>
                <w:spacing w:val="-2"/>
                <w:lang w:val="en-GB"/>
              </w:rPr>
              <w:t>upply</w:t>
            </w:r>
            <w:r w:rsidRPr="002361D6">
              <w:rPr>
                <w:color w:val="000000" w:themeColor="text1"/>
                <w:spacing w:val="-2"/>
                <w:lang w:val="en-GB"/>
              </w:rPr>
              <w:t xml:space="preserve"> in the CR economy (M2 aggregate) rose by 4.6 % to </w:t>
            </w:r>
            <w:r w:rsidR="0052751A">
              <w:rPr>
                <w:color w:val="000000" w:themeColor="text1"/>
                <w:spacing w:val="-2"/>
                <w:lang w:val="en-GB"/>
              </w:rPr>
              <w:t xml:space="preserve">CZK </w:t>
            </w:r>
            <w:r w:rsidRPr="002361D6">
              <w:rPr>
                <w:color w:val="000000" w:themeColor="text1"/>
                <w:spacing w:val="-2"/>
                <w:lang w:val="en-GB"/>
              </w:rPr>
              <w:t xml:space="preserve">3 429.9 </w:t>
            </w:r>
            <w:proofErr w:type="spellStart"/>
            <w:proofErr w:type="gramStart"/>
            <w:r w:rsidRPr="002361D6">
              <w:rPr>
                <w:color w:val="000000" w:themeColor="text1"/>
                <w:spacing w:val="-2"/>
                <w:lang w:val="en-GB"/>
              </w:rPr>
              <w:t>bn</w:t>
            </w:r>
            <w:proofErr w:type="spellEnd"/>
            <w:r w:rsidRPr="002361D6">
              <w:rPr>
                <w:color w:val="000000" w:themeColor="text1"/>
                <w:spacing w:val="-2"/>
                <w:lang w:val="en-GB"/>
              </w:rPr>
              <w:t xml:space="preserve">  in</w:t>
            </w:r>
            <w:proofErr w:type="gramEnd"/>
            <w:r w:rsidRPr="002361D6">
              <w:rPr>
                <w:color w:val="000000" w:themeColor="text1"/>
                <w:spacing w:val="-2"/>
                <w:lang w:val="en-GB"/>
              </w:rPr>
              <w:t xml:space="preserve"> 2014 compared to 2013, that is slightly faster than the nominal GDP growth (+4.4 %). </w:t>
            </w:r>
            <w:proofErr w:type="spellStart"/>
            <w:r w:rsidRPr="002361D6">
              <w:rPr>
                <w:color w:val="000000" w:themeColor="text1"/>
                <w:spacing w:val="-2"/>
                <w:lang w:val="en-GB"/>
              </w:rPr>
              <w:t>Expansivity</w:t>
            </w:r>
            <w:proofErr w:type="spellEnd"/>
            <w:r w:rsidRPr="002361D6">
              <w:rPr>
                <w:color w:val="000000" w:themeColor="text1"/>
                <w:spacing w:val="-2"/>
                <w:lang w:val="en-GB"/>
              </w:rPr>
              <w:t xml:space="preserve"> of the </w:t>
            </w:r>
            <w:r w:rsidR="000E0681">
              <w:rPr>
                <w:color w:val="000000" w:themeColor="text1"/>
                <w:spacing w:val="-2"/>
                <w:lang w:val="en-GB"/>
              </w:rPr>
              <w:t>monetary</w:t>
            </w:r>
            <w:r w:rsidRPr="002361D6">
              <w:rPr>
                <w:color w:val="000000" w:themeColor="text1"/>
                <w:spacing w:val="-2"/>
                <w:lang w:val="en-GB"/>
              </w:rPr>
              <w:t xml:space="preserve"> conditions was thus in this sense relatively small – apparent only in the first and the last quarter, the GDP in current prices grew compared to the additions to money </w:t>
            </w:r>
            <w:r w:rsidR="009A2DBF">
              <w:rPr>
                <w:color w:val="000000" w:themeColor="text1"/>
                <w:spacing w:val="-2"/>
                <w:lang w:val="en-GB"/>
              </w:rPr>
              <w:t>supply</w:t>
            </w:r>
            <w:r w:rsidRPr="002361D6">
              <w:rPr>
                <w:color w:val="000000" w:themeColor="text1"/>
                <w:spacing w:val="-2"/>
                <w:lang w:val="en-GB"/>
              </w:rPr>
              <w:t xml:space="preserve"> faster year-on-year in the last two quarters. Still very low interest rates in the economy had a positive effect on the growth of the Czech economy and as the level of the </w:t>
            </w:r>
            <w:r w:rsidR="000E0681">
              <w:rPr>
                <w:color w:val="000000" w:themeColor="text1"/>
                <w:spacing w:val="-2"/>
                <w:lang w:val="en-GB"/>
              </w:rPr>
              <w:t>koruna</w:t>
            </w:r>
            <w:r w:rsidRPr="002361D6">
              <w:rPr>
                <w:color w:val="000000" w:themeColor="text1"/>
                <w:spacing w:val="-2"/>
                <w:lang w:val="en-GB"/>
              </w:rPr>
              <w:t xml:space="preserve"> exchange rate affected by the CNB </w:t>
            </w:r>
            <w:proofErr w:type="spellStart"/>
            <w:r w:rsidR="009A2DBF">
              <w:rPr>
                <w:color w:val="000000" w:themeColor="text1"/>
                <w:spacing w:val="-2"/>
                <w:lang w:val="en-GB"/>
              </w:rPr>
              <w:t>forex</w:t>
            </w:r>
            <w:r w:rsidRPr="002361D6">
              <w:rPr>
                <w:color w:val="000000" w:themeColor="text1"/>
                <w:spacing w:val="-2"/>
                <w:lang w:val="en-GB"/>
              </w:rPr>
              <w:t>y</w:t>
            </w:r>
            <w:proofErr w:type="spellEnd"/>
            <w:r w:rsidRPr="002361D6">
              <w:rPr>
                <w:color w:val="000000" w:themeColor="text1"/>
                <w:spacing w:val="-2"/>
                <w:lang w:val="en-GB"/>
              </w:rPr>
              <w:t xml:space="preserve"> intervention had – </w:t>
            </w:r>
            <w:r w:rsidR="000E0681">
              <w:rPr>
                <w:color w:val="000000" w:themeColor="text1"/>
                <w:spacing w:val="-2"/>
                <w:lang w:val="en-GB"/>
              </w:rPr>
              <w:t>koruna</w:t>
            </w:r>
            <w:r w:rsidRPr="002361D6">
              <w:rPr>
                <w:color w:val="000000" w:themeColor="text1"/>
                <w:spacing w:val="-2"/>
                <w:lang w:val="en-GB"/>
              </w:rPr>
              <w:t xml:space="preserve"> fluctuated against euro in </w:t>
            </w:r>
            <w:r w:rsidR="002361D6" w:rsidRPr="002361D6">
              <w:rPr>
                <w:color w:val="000000" w:themeColor="text1"/>
                <w:spacing w:val="-2"/>
                <w:lang w:val="en-GB"/>
              </w:rPr>
              <w:t>monthly</w:t>
            </w:r>
            <w:r w:rsidRPr="002361D6">
              <w:rPr>
                <w:color w:val="000000" w:themeColor="text1"/>
                <w:spacing w:val="-2"/>
                <w:lang w:val="en-GB"/>
              </w:rPr>
              <w:t xml:space="preserve"> averages between values 27.39-27.82 CZK/EUR during 2014, between 25.48-25.95 CZK/EUR in 2013 (from January to October). </w:t>
            </w:r>
          </w:p>
          <w:p w:rsidR="00C53D82" w:rsidRPr="00F31411" w:rsidRDefault="00C53D82" w:rsidP="00600B0B">
            <w:pPr>
              <w:pStyle w:val="Textpoznpodarou"/>
              <w:jc w:val="both"/>
              <w:rPr>
                <w:sz w:val="14"/>
                <w:szCs w:val="14"/>
                <w:lang w:val="en-GB"/>
              </w:rPr>
            </w:pPr>
          </w:p>
        </w:tc>
      </w:tr>
      <w:tr w:rsidR="00C53D82" w:rsidRPr="007D44C3" w:rsidTr="00ED2CA5">
        <w:tc>
          <w:tcPr>
            <w:tcW w:w="1056" w:type="pct"/>
            <w:gridSpan w:val="4"/>
          </w:tcPr>
          <w:p w:rsidR="003D46A6" w:rsidRPr="003D46A6" w:rsidRDefault="003D46A6" w:rsidP="003D46A6">
            <w:pPr>
              <w:spacing w:line="240" w:lineRule="auto"/>
              <w:rPr>
                <w:color w:val="000000"/>
                <w:sz w:val="16"/>
                <w:szCs w:val="16"/>
                <w:lang w:val="en-GB"/>
              </w:rPr>
            </w:pPr>
            <w:r w:rsidRPr="003D46A6">
              <w:rPr>
                <w:color w:val="000000"/>
                <w:sz w:val="16"/>
                <w:szCs w:val="16"/>
                <w:lang w:val="en-GB"/>
              </w:rPr>
              <w:t xml:space="preserve">Term deposits of both firms and households (deposits with maturity and notice period) markedly shrank in 2014 </w:t>
            </w:r>
            <w:r w:rsidRPr="003D46A6">
              <w:rPr>
                <w:color w:val="000000"/>
                <w:sz w:val="16"/>
                <w:szCs w:val="16"/>
                <w:lang w:val="en-GB"/>
              </w:rPr>
              <w:lastRenderedPageBreak/>
              <w:t xml:space="preserve">(-108.1 bn crowns year-on-year, i.e. -12.6%) in the largest drop since 2010; it was a third year of continuous lowering of these deposits in a row </w:t>
            </w:r>
          </w:p>
          <w:p w:rsidR="00C53D82" w:rsidRPr="003D46A6" w:rsidRDefault="00C53D82" w:rsidP="00D136D4">
            <w:pPr>
              <w:spacing w:line="240" w:lineRule="auto"/>
              <w:rPr>
                <w:color w:val="000000"/>
                <w:sz w:val="16"/>
                <w:szCs w:val="16"/>
                <w:lang w:val="en-GB"/>
              </w:rPr>
            </w:pPr>
          </w:p>
        </w:tc>
        <w:tc>
          <w:tcPr>
            <w:tcW w:w="143" w:type="pct"/>
          </w:tcPr>
          <w:p w:rsidR="00C53D82" w:rsidRPr="003D46A6" w:rsidRDefault="00C53D82" w:rsidP="008B1A8A">
            <w:pPr>
              <w:pStyle w:val="Textpoznpodarou"/>
              <w:jc w:val="both"/>
              <w:rPr>
                <w:lang w:val="en-GB"/>
              </w:rPr>
            </w:pPr>
          </w:p>
        </w:tc>
        <w:tc>
          <w:tcPr>
            <w:tcW w:w="3801" w:type="pct"/>
            <w:gridSpan w:val="5"/>
          </w:tcPr>
          <w:p w:rsidR="003D46A6" w:rsidRPr="003D46A6" w:rsidRDefault="003D46A6" w:rsidP="003D46A6">
            <w:pPr>
              <w:pStyle w:val="Textpoznpodarou"/>
              <w:jc w:val="both"/>
              <w:rPr>
                <w:color w:val="000000" w:themeColor="text1"/>
                <w:spacing w:val="-4"/>
                <w:lang w:val="en-GB"/>
              </w:rPr>
            </w:pPr>
            <w:r w:rsidRPr="003D46A6">
              <w:rPr>
                <w:color w:val="000000" w:themeColor="text1"/>
                <w:spacing w:val="-4"/>
                <w:lang w:val="en-GB"/>
              </w:rPr>
              <w:t>Both people and firms withdraw from their term deposits (deposits on accounts with maturity and notice period) and the speed of reduction of these deposits is accelerating (-5.1%, -4.9 % and -12.6 % in years 2012, 2</w:t>
            </w:r>
            <w:r w:rsidR="000E0681">
              <w:rPr>
                <w:color w:val="000000" w:themeColor="text1"/>
                <w:spacing w:val="-4"/>
                <w:lang w:val="en-GB"/>
              </w:rPr>
              <w:t xml:space="preserve">013 and 2014). The main motive are </w:t>
            </w:r>
            <w:r w:rsidRPr="003D46A6">
              <w:rPr>
                <w:color w:val="000000" w:themeColor="text1"/>
                <w:spacing w:val="-4"/>
                <w:lang w:val="en-GB"/>
              </w:rPr>
              <w:t xml:space="preserve">apparently the low interest rates deterring from longer period savings, </w:t>
            </w:r>
            <w:r w:rsidRPr="003D46A6">
              <w:rPr>
                <w:color w:val="000000" w:themeColor="text1"/>
                <w:spacing w:val="-4"/>
                <w:lang w:val="en-GB"/>
              </w:rPr>
              <w:lastRenderedPageBreak/>
              <w:t>since the one day deposits on the contrary start to rise considerably (by +9.6 %, +8.3 % and +12.5 % year-on-year in the three mentioned years).</w:t>
            </w:r>
          </w:p>
          <w:p w:rsidR="00C53D82" w:rsidRPr="00F31411" w:rsidRDefault="00C53D82" w:rsidP="00C53D82">
            <w:pPr>
              <w:pStyle w:val="Textpoznpodarou"/>
              <w:jc w:val="both"/>
              <w:rPr>
                <w:color w:val="000000" w:themeColor="text1"/>
                <w:sz w:val="14"/>
                <w:szCs w:val="14"/>
                <w:lang w:val="en-GB"/>
              </w:rPr>
            </w:pPr>
          </w:p>
          <w:p w:rsidR="003D46A6" w:rsidRPr="00DD394A" w:rsidRDefault="003D46A6" w:rsidP="003D46A6">
            <w:pPr>
              <w:pStyle w:val="Textpoznpodarou"/>
              <w:jc w:val="both"/>
              <w:rPr>
                <w:color w:val="000000" w:themeColor="text1"/>
                <w:spacing w:val="-2"/>
                <w:lang w:val="en-GB"/>
              </w:rPr>
            </w:pPr>
            <w:r w:rsidRPr="00DD394A">
              <w:rPr>
                <w:color w:val="000000" w:themeColor="text1"/>
                <w:spacing w:val="-2"/>
                <w:lang w:val="en-GB"/>
              </w:rPr>
              <w:t xml:space="preserve">The behaviour of Czech households thus mostly had the decisive impact in 2014 on the fact, that deposits </w:t>
            </w:r>
            <w:r w:rsidR="000E0681" w:rsidRPr="00DD394A">
              <w:rPr>
                <w:color w:val="000000" w:themeColor="text1"/>
                <w:spacing w:val="-2"/>
                <w:lang w:val="en-GB"/>
              </w:rPr>
              <w:t xml:space="preserve">in the economy </w:t>
            </w:r>
            <w:r w:rsidRPr="00DD394A">
              <w:rPr>
                <w:color w:val="000000" w:themeColor="text1"/>
                <w:spacing w:val="-2"/>
                <w:lang w:val="en-GB"/>
              </w:rPr>
              <w:t xml:space="preserve">(quasi money) fell towards the end of the year compared to the same period of 2013. It was their second largest fall year-on-year in the time series starting 2002 – the largest reduction was recorded in 2010, this one was however characterised by a very bad situation on the labour market following the preceding crisis. They were lower by 2 % year-on-year in 2013. </w:t>
            </w:r>
          </w:p>
          <w:p w:rsidR="00C53D82" w:rsidRPr="00F31411" w:rsidRDefault="00C53D82" w:rsidP="003D46A6">
            <w:pPr>
              <w:pStyle w:val="Textpoznpodarou"/>
              <w:jc w:val="both"/>
              <w:rPr>
                <w:color w:val="000000"/>
                <w:sz w:val="14"/>
                <w:szCs w:val="14"/>
                <w:lang w:val="en-GB"/>
              </w:rPr>
            </w:pPr>
          </w:p>
        </w:tc>
      </w:tr>
      <w:tr w:rsidR="00C53D82" w:rsidRPr="007D44C3" w:rsidTr="00ED2CA5">
        <w:tc>
          <w:tcPr>
            <w:tcW w:w="1056" w:type="pct"/>
            <w:gridSpan w:val="4"/>
          </w:tcPr>
          <w:p w:rsidR="00C53D82" w:rsidRPr="001B650E" w:rsidRDefault="001B650E" w:rsidP="001B650E">
            <w:pPr>
              <w:spacing w:line="240" w:lineRule="auto"/>
              <w:rPr>
                <w:color w:val="000000"/>
                <w:sz w:val="16"/>
                <w:szCs w:val="16"/>
                <w:lang w:val="en-GB"/>
              </w:rPr>
            </w:pPr>
            <w:r w:rsidRPr="001B650E">
              <w:rPr>
                <w:color w:val="000000"/>
                <w:sz w:val="16"/>
                <w:szCs w:val="16"/>
                <w:lang w:val="en-GB"/>
              </w:rPr>
              <w:lastRenderedPageBreak/>
              <w:t xml:space="preserve">High accumulation of funds on the current accounts of companies explains their strong investment activity, which was financed only to a lesser extent by credit </w:t>
            </w:r>
          </w:p>
        </w:tc>
        <w:tc>
          <w:tcPr>
            <w:tcW w:w="143" w:type="pct"/>
          </w:tcPr>
          <w:p w:rsidR="00C53D82" w:rsidRPr="001B650E" w:rsidRDefault="00C53D82" w:rsidP="008B1A8A">
            <w:pPr>
              <w:pStyle w:val="Textpoznpodarou"/>
              <w:jc w:val="both"/>
              <w:rPr>
                <w:lang w:val="en-GB"/>
              </w:rPr>
            </w:pPr>
          </w:p>
        </w:tc>
        <w:tc>
          <w:tcPr>
            <w:tcW w:w="3801" w:type="pct"/>
            <w:gridSpan w:val="5"/>
          </w:tcPr>
          <w:p w:rsidR="001B650E" w:rsidRPr="001B650E" w:rsidRDefault="001B650E" w:rsidP="001B650E">
            <w:pPr>
              <w:pStyle w:val="Textpoznpodarou"/>
              <w:jc w:val="both"/>
              <w:rPr>
                <w:color w:val="000000" w:themeColor="text1"/>
                <w:spacing w:val="-2"/>
                <w:lang w:val="en-GB"/>
              </w:rPr>
            </w:pPr>
            <w:r w:rsidRPr="001B650E">
              <w:rPr>
                <w:color w:val="000000" w:themeColor="text1"/>
                <w:spacing w:val="-2"/>
                <w:lang w:val="en-GB"/>
              </w:rPr>
              <w:t xml:space="preserve">On the contrary, the non-term (one day) deposits – featuring considerably higher liquidity compared to terms deposits – further grew (+12.5 % year-on-year), especially on the giro accounts of households (+13.3 %). Strong accumulation of funds however continues on the current accounts of companies (+11.2 %), when these one day deposits of companies grow by double-digit rates already for the third year in a row. It can be assumed, that these funds represent – apart from usual operation financing – also a significant potential for future investment. Nearly five percent (+4.6 %) year-on-year addition to fixed investment in the Czech economy in 2014, which was the largest for the last seven years, could thus be on the part of companies financed just from the funds accumulated on the current accounts. It likely explains the strong investment activity without any significant indebtedness. </w:t>
            </w:r>
          </w:p>
          <w:p w:rsidR="00C53D82" w:rsidRPr="00F31411" w:rsidRDefault="00C53D82" w:rsidP="00C53D82">
            <w:pPr>
              <w:pStyle w:val="Textpoznpodarou"/>
              <w:jc w:val="both"/>
              <w:rPr>
                <w:color w:val="000000" w:themeColor="text1"/>
                <w:sz w:val="14"/>
                <w:szCs w:val="14"/>
                <w:lang w:val="en-GB"/>
              </w:rPr>
            </w:pPr>
          </w:p>
          <w:p w:rsidR="001B650E" w:rsidRPr="001B650E" w:rsidRDefault="001B650E" w:rsidP="001B650E">
            <w:pPr>
              <w:pStyle w:val="Textpoznpodarou"/>
              <w:jc w:val="both"/>
              <w:rPr>
                <w:color w:val="000000" w:themeColor="text1"/>
                <w:lang w:val="en-GB"/>
              </w:rPr>
            </w:pPr>
            <w:r w:rsidRPr="001B650E">
              <w:rPr>
                <w:color w:val="000000" w:themeColor="text1"/>
                <w:lang w:val="en-GB"/>
              </w:rPr>
              <w:t>Still, as apparent from the development in Q4, the situation has been likely „returning to normal“, since the rate of growth of the corporate credit accelerated in this quarter and on the opposite the deposits on current accounts of companies grew significantly (</w:t>
            </w:r>
            <w:r w:rsidR="009A2DBF">
              <w:rPr>
                <w:color w:val="000000" w:themeColor="text1"/>
                <w:lang w:val="en-GB"/>
              </w:rPr>
              <w:t xml:space="preserve">CZK </w:t>
            </w:r>
            <w:r w:rsidRPr="001B650E">
              <w:rPr>
                <w:color w:val="000000" w:themeColor="text1"/>
                <w:lang w:val="en-GB"/>
              </w:rPr>
              <w:t xml:space="preserve">+86 </w:t>
            </w:r>
            <w:proofErr w:type="spellStart"/>
            <w:r w:rsidRPr="001B650E">
              <w:rPr>
                <w:color w:val="000000" w:themeColor="text1"/>
                <w:lang w:val="en-GB"/>
              </w:rPr>
              <w:t>bn</w:t>
            </w:r>
            <w:proofErr w:type="spellEnd"/>
            <w:r w:rsidRPr="001B650E">
              <w:rPr>
                <w:color w:val="000000" w:themeColor="text1"/>
                <w:lang w:val="en-GB"/>
              </w:rPr>
              <w:t xml:space="preserve">). Especially the exporters experienced an inflow of additional profits practically during the whole year 2014 as a result of the </w:t>
            </w:r>
            <w:r w:rsidR="0052751A">
              <w:rPr>
                <w:color w:val="000000" w:themeColor="text1"/>
                <w:lang w:val="en-GB"/>
              </w:rPr>
              <w:t>koruna</w:t>
            </w:r>
            <w:r w:rsidRPr="001B650E">
              <w:rPr>
                <w:color w:val="000000" w:themeColor="text1"/>
                <w:lang w:val="en-GB"/>
              </w:rPr>
              <w:t xml:space="preserve"> depreciation following the CNB </w:t>
            </w:r>
            <w:proofErr w:type="spellStart"/>
            <w:r w:rsidR="009A2DBF">
              <w:rPr>
                <w:color w:val="000000" w:themeColor="text1"/>
                <w:lang w:val="en-GB"/>
              </w:rPr>
              <w:t>forex</w:t>
            </w:r>
            <w:proofErr w:type="spellEnd"/>
            <w:r w:rsidRPr="001B650E">
              <w:rPr>
                <w:color w:val="000000" w:themeColor="text1"/>
                <w:lang w:val="en-GB"/>
              </w:rPr>
              <w:t xml:space="preserve"> intervention, which the companies likely cumulated on their current accounts (the balances on the current accounts were however lowering in the first half of the year, in times of shareholders' meetings, where the decisions were taken regarding the profit distribution and also their repatriation in firms under foreign control). </w:t>
            </w:r>
          </w:p>
          <w:p w:rsidR="00C53D82" w:rsidRPr="00F31411" w:rsidRDefault="00C53D82" w:rsidP="001B650E">
            <w:pPr>
              <w:pStyle w:val="Textpoznpodarou"/>
              <w:jc w:val="both"/>
              <w:rPr>
                <w:color w:val="000000"/>
                <w:sz w:val="14"/>
                <w:szCs w:val="14"/>
                <w:lang w:val="en-GB"/>
              </w:rPr>
            </w:pPr>
          </w:p>
        </w:tc>
      </w:tr>
      <w:tr w:rsidR="00C53D82" w:rsidRPr="00026998" w:rsidTr="00ED2CA5">
        <w:tc>
          <w:tcPr>
            <w:tcW w:w="1056" w:type="pct"/>
            <w:gridSpan w:val="4"/>
          </w:tcPr>
          <w:p w:rsidR="00C53D82" w:rsidRPr="006E76B9" w:rsidRDefault="006E76B9" w:rsidP="009A2DBF">
            <w:pPr>
              <w:spacing w:line="240" w:lineRule="auto"/>
              <w:rPr>
                <w:color w:val="000000"/>
                <w:sz w:val="16"/>
                <w:szCs w:val="16"/>
                <w:lang w:val="en-GB"/>
              </w:rPr>
            </w:pPr>
            <w:r w:rsidRPr="006E76B9">
              <w:rPr>
                <w:color w:val="000000"/>
                <w:sz w:val="16"/>
                <w:szCs w:val="16"/>
                <w:lang w:val="en-GB"/>
              </w:rPr>
              <w:t>C</w:t>
            </w:r>
            <w:r w:rsidR="009A2DBF">
              <w:rPr>
                <w:color w:val="000000"/>
                <w:sz w:val="16"/>
                <w:szCs w:val="16"/>
                <w:lang w:val="en-GB"/>
              </w:rPr>
              <w:t xml:space="preserve">onsumer loans and </w:t>
            </w:r>
            <w:r w:rsidRPr="006E76B9">
              <w:rPr>
                <w:color w:val="000000"/>
                <w:sz w:val="16"/>
                <w:szCs w:val="16"/>
                <w:lang w:val="en-GB"/>
              </w:rPr>
              <w:t xml:space="preserve">housing </w:t>
            </w:r>
            <w:r w:rsidR="009A2DBF">
              <w:rPr>
                <w:color w:val="000000"/>
                <w:sz w:val="16"/>
                <w:szCs w:val="16"/>
                <w:lang w:val="en-GB"/>
              </w:rPr>
              <w:t xml:space="preserve">loans </w:t>
            </w:r>
            <w:r w:rsidRPr="006E76B9">
              <w:rPr>
                <w:color w:val="000000"/>
                <w:sz w:val="16"/>
                <w:szCs w:val="16"/>
                <w:lang w:val="en-GB"/>
              </w:rPr>
              <w:t xml:space="preserve">increased in </w:t>
            </w:r>
            <w:r w:rsidR="009A2DBF">
              <w:rPr>
                <w:color w:val="000000"/>
                <w:sz w:val="16"/>
                <w:szCs w:val="16"/>
                <w:lang w:val="en-GB"/>
              </w:rPr>
              <w:t>total</w:t>
            </w:r>
            <w:r w:rsidRPr="006E76B9">
              <w:rPr>
                <w:color w:val="000000"/>
                <w:sz w:val="16"/>
                <w:szCs w:val="16"/>
                <w:lang w:val="en-GB"/>
              </w:rPr>
              <w:t xml:space="preserve"> identically year-on-year as in 2013, however the volume of </w:t>
            </w:r>
            <w:r w:rsidR="000E0681">
              <w:rPr>
                <w:color w:val="000000"/>
                <w:sz w:val="16"/>
                <w:szCs w:val="16"/>
                <w:lang w:val="en-GB"/>
              </w:rPr>
              <w:t xml:space="preserve">consumer </w:t>
            </w:r>
            <w:r w:rsidR="009A2DBF">
              <w:rPr>
                <w:color w:val="000000"/>
                <w:sz w:val="16"/>
                <w:szCs w:val="16"/>
                <w:lang w:val="en-GB"/>
              </w:rPr>
              <w:t>loans</w:t>
            </w:r>
            <w:r w:rsidRPr="006E76B9">
              <w:rPr>
                <w:color w:val="000000"/>
                <w:sz w:val="16"/>
                <w:szCs w:val="16"/>
                <w:lang w:val="en-GB"/>
              </w:rPr>
              <w:t xml:space="preserve"> decreased … </w:t>
            </w:r>
          </w:p>
        </w:tc>
        <w:tc>
          <w:tcPr>
            <w:tcW w:w="143" w:type="pct"/>
          </w:tcPr>
          <w:p w:rsidR="00C53D82" w:rsidRPr="006E76B9" w:rsidRDefault="00C53D82" w:rsidP="008B1A8A">
            <w:pPr>
              <w:pStyle w:val="Textpoznpodarou"/>
              <w:jc w:val="both"/>
              <w:rPr>
                <w:lang w:val="en-GB"/>
              </w:rPr>
            </w:pPr>
          </w:p>
        </w:tc>
        <w:tc>
          <w:tcPr>
            <w:tcW w:w="3801" w:type="pct"/>
            <w:gridSpan w:val="5"/>
          </w:tcPr>
          <w:p w:rsidR="006E76B9" w:rsidRPr="006E76B9" w:rsidRDefault="006E76B9" w:rsidP="006E76B9">
            <w:pPr>
              <w:pStyle w:val="Textpoznpodarou"/>
              <w:jc w:val="both"/>
              <w:rPr>
                <w:color w:val="000000" w:themeColor="text1"/>
                <w:lang w:val="en-GB"/>
              </w:rPr>
            </w:pPr>
            <w:r w:rsidRPr="006E76B9">
              <w:rPr>
                <w:color w:val="000000" w:themeColor="text1"/>
                <w:lang w:val="en-GB"/>
              </w:rPr>
              <w:t>People keep borrowing from banks, however only with caution. It follows from the bank statistics, that the aggregate credit to population for housing together with consumption credit increased (+4.4 %) by roughly the same rate as in 2013 year-on-year (+4.3 %) to 1.093 tril. crowns. However, while the housing credit rose due to the favourable interest rates and due to anticipation of higher prices of flats in the future by 47.7 bn crowns (i.e. +5.6 %), the volume of consumption credit shrank by one percentage (-1.9 bn crowns).</w:t>
            </w:r>
          </w:p>
          <w:p w:rsidR="0096650F" w:rsidRPr="00F31411" w:rsidRDefault="0096650F" w:rsidP="006E76B9">
            <w:pPr>
              <w:pStyle w:val="Textpoznpodarou"/>
              <w:jc w:val="both"/>
              <w:rPr>
                <w:color w:val="000000" w:themeColor="text1"/>
                <w:sz w:val="14"/>
                <w:szCs w:val="14"/>
                <w:lang w:val="en-GB"/>
              </w:rPr>
            </w:pPr>
          </w:p>
        </w:tc>
      </w:tr>
      <w:tr w:rsidR="00C53D82" w:rsidRPr="007D44C3" w:rsidTr="00ED2CA5">
        <w:tc>
          <w:tcPr>
            <w:tcW w:w="1056" w:type="pct"/>
            <w:gridSpan w:val="4"/>
          </w:tcPr>
          <w:p w:rsidR="00C53D82" w:rsidRPr="006E76B9" w:rsidRDefault="006E76B9" w:rsidP="000E0681">
            <w:pPr>
              <w:spacing w:line="240" w:lineRule="auto"/>
              <w:rPr>
                <w:color w:val="000000"/>
                <w:sz w:val="16"/>
                <w:szCs w:val="16"/>
                <w:lang w:val="en-GB"/>
              </w:rPr>
            </w:pPr>
            <w:r w:rsidRPr="006E76B9">
              <w:rPr>
                <w:color w:val="000000"/>
                <w:sz w:val="16"/>
                <w:szCs w:val="16"/>
                <w:lang w:val="en-GB"/>
              </w:rPr>
              <w:t xml:space="preserve">…while keeping relatively significant share of </w:t>
            </w:r>
            <w:r w:rsidR="000E0681">
              <w:rPr>
                <w:color w:val="000000"/>
                <w:sz w:val="16"/>
                <w:szCs w:val="16"/>
                <w:lang w:val="en-GB"/>
              </w:rPr>
              <w:t>non-performing loans</w:t>
            </w:r>
            <w:r w:rsidRPr="006E76B9">
              <w:rPr>
                <w:color w:val="000000"/>
                <w:sz w:val="16"/>
                <w:szCs w:val="16"/>
                <w:lang w:val="en-GB"/>
              </w:rPr>
              <w:t xml:space="preserve"> on total credit to </w:t>
            </w:r>
            <w:r w:rsidR="000E0681">
              <w:rPr>
                <w:color w:val="000000"/>
                <w:sz w:val="16"/>
                <w:szCs w:val="16"/>
                <w:lang w:val="en-GB"/>
              </w:rPr>
              <w:t>households</w:t>
            </w:r>
            <w:r w:rsidRPr="006E76B9">
              <w:rPr>
                <w:color w:val="000000"/>
                <w:sz w:val="16"/>
                <w:szCs w:val="16"/>
                <w:lang w:val="en-GB"/>
              </w:rPr>
              <w:t xml:space="preserve"> for consumption </w:t>
            </w:r>
          </w:p>
        </w:tc>
        <w:tc>
          <w:tcPr>
            <w:tcW w:w="143" w:type="pct"/>
          </w:tcPr>
          <w:p w:rsidR="00C53D82" w:rsidRPr="006E76B9" w:rsidRDefault="00C53D82" w:rsidP="008B1A8A">
            <w:pPr>
              <w:pStyle w:val="Textpoznpodarou"/>
              <w:jc w:val="both"/>
              <w:rPr>
                <w:lang w:val="en-GB"/>
              </w:rPr>
            </w:pPr>
          </w:p>
        </w:tc>
        <w:tc>
          <w:tcPr>
            <w:tcW w:w="3801" w:type="pct"/>
            <w:gridSpan w:val="5"/>
          </w:tcPr>
          <w:p w:rsidR="006E76B9" w:rsidRPr="006E76B9" w:rsidRDefault="006E76B9" w:rsidP="006E76B9">
            <w:pPr>
              <w:pStyle w:val="Textpoznpodarou"/>
              <w:jc w:val="both"/>
              <w:rPr>
                <w:color w:val="000000" w:themeColor="text1"/>
                <w:lang w:val="en-GB"/>
              </w:rPr>
            </w:pPr>
            <w:r w:rsidRPr="006E76B9">
              <w:rPr>
                <w:color w:val="000000" w:themeColor="text1"/>
                <w:lang w:val="en-GB"/>
              </w:rPr>
              <w:t xml:space="preserve">At the same time, the percentage of credit in default remains relatively high for credit on consumption (12.1 % of these loans against 12.2 % in 2013). Bank clients experience difficulties especially with not repaying their debit balances on the giro accounts (9.9 % in default in 2013 and 12.7 % in 2014) and also on the credit cards. Both these products are the most expensive from the view of interest rates charged by the banks. </w:t>
            </w:r>
          </w:p>
          <w:p w:rsidR="00C53D82" w:rsidRPr="00F31411" w:rsidRDefault="00C53D82" w:rsidP="006E76B9">
            <w:pPr>
              <w:pStyle w:val="Textpoznpodarou"/>
              <w:jc w:val="both"/>
              <w:rPr>
                <w:color w:val="000000" w:themeColor="text1"/>
                <w:sz w:val="14"/>
                <w:szCs w:val="14"/>
                <w:lang w:val="en-GB"/>
              </w:rPr>
            </w:pPr>
          </w:p>
        </w:tc>
      </w:tr>
      <w:tr w:rsidR="00C53D82" w:rsidRPr="007D44C3" w:rsidTr="00ED2CA5">
        <w:tc>
          <w:tcPr>
            <w:tcW w:w="1056" w:type="pct"/>
            <w:gridSpan w:val="4"/>
          </w:tcPr>
          <w:p w:rsidR="00C53D82" w:rsidRPr="006E76B9" w:rsidRDefault="006E76B9" w:rsidP="0029316C">
            <w:pPr>
              <w:spacing w:line="240" w:lineRule="auto"/>
              <w:rPr>
                <w:color w:val="000000"/>
                <w:sz w:val="16"/>
                <w:szCs w:val="16"/>
                <w:lang w:val="en-GB"/>
              </w:rPr>
            </w:pPr>
            <w:r w:rsidRPr="006E76B9">
              <w:rPr>
                <w:color w:val="000000"/>
                <w:sz w:val="16"/>
                <w:szCs w:val="16"/>
                <w:lang w:val="en-GB"/>
              </w:rPr>
              <w:t>The proportion of</w:t>
            </w:r>
            <w:r w:rsidR="0029316C">
              <w:rPr>
                <w:color w:val="000000"/>
                <w:sz w:val="16"/>
                <w:szCs w:val="16"/>
                <w:lang w:val="en-GB"/>
              </w:rPr>
              <w:t xml:space="preserve"> non- performing loans</w:t>
            </w:r>
            <w:r w:rsidRPr="006E76B9">
              <w:rPr>
                <w:color w:val="000000"/>
                <w:sz w:val="16"/>
                <w:szCs w:val="16"/>
                <w:lang w:val="en-GB"/>
              </w:rPr>
              <w:t xml:space="preserve"> of companies is the lowest for the last five years and proves good financial health of firms strengthened also by the additional profits of exporters brought about by the depreciated</w:t>
            </w:r>
            <w:r w:rsidR="0029316C">
              <w:rPr>
                <w:color w:val="000000"/>
                <w:sz w:val="16"/>
                <w:szCs w:val="16"/>
                <w:lang w:val="en-GB"/>
              </w:rPr>
              <w:t xml:space="preserve"> koruna</w:t>
            </w:r>
            <w:r w:rsidRPr="006E76B9">
              <w:rPr>
                <w:color w:val="000000"/>
                <w:sz w:val="16"/>
                <w:szCs w:val="16"/>
                <w:lang w:val="en-GB"/>
              </w:rPr>
              <w:t xml:space="preserve"> </w:t>
            </w:r>
            <w:r w:rsidR="00C53D82" w:rsidRPr="006E76B9">
              <w:rPr>
                <w:color w:val="000000"/>
                <w:sz w:val="16"/>
                <w:szCs w:val="16"/>
                <w:lang w:val="en-GB"/>
              </w:rPr>
              <w:t xml:space="preserve"> </w:t>
            </w:r>
          </w:p>
        </w:tc>
        <w:tc>
          <w:tcPr>
            <w:tcW w:w="143" w:type="pct"/>
          </w:tcPr>
          <w:p w:rsidR="00C53D82" w:rsidRPr="006E76B9" w:rsidRDefault="00C53D82" w:rsidP="008B1A8A">
            <w:pPr>
              <w:pStyle w:val="Textpoznpodarou"/>
              <w:jc w:val="both"/>
              <w:rPr>
                <w:lang w:val="en-GB"/>
              </w:rPr>
            </w:pPr>
          </w:p>
        </w:tc>
        <w:tc>
          <w:tcPr>
            <w:tcW w:w="3801" w:type="pct"/>
            <w:gridSpan w:val="5"/>
          </w:tcPr>
          <w:p w:rsidR="006E76B9" w:rsidRPr="006E76B9" w:rsidRDefault="0029316C" w:rsidP="006E76B9">
            <w:pPr>
              <w:pStyle w:val="Textpoznpodarou"/>
              <w:jc w:val="both"/>
              <w:rPr>
                <w:color w:val="000000" w:themeColor="text1"/>
                <w:lang w:val="en-GB"/>
              </w:rPr>
            </w:pPr>
            <w:r>
              <w:rPr>
                <w:color w:val="000000" w:themeColor="text1"/>
                <w:lang w:val="en-GB"/>
              </w:rPr>
              <w:t xml:space="preserve">Non-performing loans </w:t>
            </w:r>
            <w:r w:rsidR="006E76B9" w:rsidRPr="006E76B9">
              <w:rPr>
                <w:color w:val="000000" w:themeColor="text1"/>
                <w:lang w:val="en-GB"/>
              </w:rPr>
              <w:t xml:space="preserve">of non-financial businesses in relation to total credit of this institutional sector arrived at only 6.6 % towards the end of year 2014, which was the least since 2009. Risk lowered also year-on-year (7.2 % at the end of 2013, falling down from its half year). The proportion of </w:t>
            </w:r>
            <w:r>
              <w:rPr>
                <w:color w:val="000000" w:themeColor="text1"/>
                <w:lang w:val="en-GB"/>
              </w:rPr>
              <w:t>non-performing loans</w:t>
            </w:r>
            <w:r w:rsidR="006E76B9" w:rsidRPr="006E76B9">
              <w:rPr>
                <w:color w:val="000000" w:themeColor="text1"/>
                <w:lang w:val="en-GB"/>
              </w:rPr>
              <w:t xml:space="preserve"> of non-financial businesses does not need to present a problem with respect to the relatively good condition of the Czech economy, accumulated profits and so far adequate domestic as well as foreign demand. </w:t>
            </w:r>
          </w:p>
          <w:p w:rsidR="00C53D82" w:rsidRPr="00F31411" w:rsidRDefault="006E76B9" w:rsidP="006E76B9">
            <w:pPr>
              <w:pStyle w:val="Textpoznpodarou"/>
              <w:jc w:val="both"/>
              <w:rPr>
                <w:color w:val="000000" w:themeColor="text1"/>
                <w:sz w:val="14"/>
                <w:szCs w:val="14"/>
                <w:lang w:val="en-GB"/>
              </w:rPr>
            </w:pPr>
            <w:r w:rsidRPr="006E76B9">
              <w:rPr>
                <w:color w:val="000000" w:themeColor="text1"/>
                <w:lang w:val="en-GB"/>
              </w:rPr>
              <w:t xml:space="preserve"> </w:t>
            </w:r>
          </w:p>
        </w:tc>
      </w:tr>
      <w:tr w:rsidR="00C53D82" w:rsidRPr="007D44C3" w:rsidTr="00ED2CA5">
        <w:tc>
          <w:tcPr>
            <w:tcW w:w="1056" w:type="pct"/>
            <w:gridSpan w:val="4"/>
          </w:tcPr>
          <w:p w:rsidR="00C53D82" w:rsidRDefault="00C53D82" w:rsidP="00D136D4">
            <w:pPr>
              <w:spacing w:line="240" w:lineRule="auto"/>
              <w:rPr>
                <w:color w:val="000000"/>
                <w:sz w:val="16"/>
                <w:szCs w:val="16"/>
              </w:rPr>
            </w:pPr>
          </w:p>
        </w:tc>
        <w:tc>
          <w:tcPr>
            <w:tcW w:w="143" w:type="pct"/>
          </w:tcPr>
          <w:p w:rsidR="00C53D82" w:rsidRDefault="00C53D82" w:rsidP="008B1A8A">
            <w:pPr>
              <w:pStyle w:val="Textpoznpodarou"/>
              <w:jc w:val="both"/>
            </w:pPr>
          </w:p>
        </w:tc>
        <w:tc>
          <w:tcPr>
            <w:tcW w:w="3801" w:type="pct"/>
            <w:gridSpan w:val="5"/>
          </w:tcPr>
          <w:p w:rsidR="006E76B9" w:rsidRPr="006E76B9" w:rsidRDefault="006E76B9" w:rsidP="006E76B9">
            <w:pPr>
              <w:pStyle w:val="Textpoznpodarou"/>
              <w:jc w:val="both"/>
              <w:rPr>
                <w:color w:val="000000" w:themeColor="text1"/>
                <w:lang w:val="en-US"/>
              </w:rPr>
            </w:pPr>
            <w:r>
              <w:rPr>
                <w:color w:val="000000" w:themeColor="text1"/>
              </w:rPr>
              <w:t>On</w:t>
            </w:r>
            <w:r w:rsidRPr="006E76B9">
              <w:rPr>
                <w:color w:val="000000" w:themeColor="text1"/>
                <w:lang w:val="en-US"/>
              </w:rPr>
              <w:t>ly the segment of entrepreneurs</w:t>
            </w:r>
            <w:r w:rsidR="0029316C">
              <w:rPr>
                <w:color w:val="000000" w:themeColor="text1"/>
                <w:lang w:val="en-US"/>
              </w:rPr>
              <w:t xml:space="preserve"> (households-trades)</w:t>
            </w:r>
            <w:r w:rsidRPr="006E76B9">
              <w:rPr>
                <w:color w:val="000000" w:themeColor="text1"/>
                <w:lang w:val="en-US"/>
              </w:rPr>
              <w:t xml:space="preserve">, which owed less </w:t>
            </w:r>
            <w:proofErr w:type="gramStart"/>
            <w:r w:rsidRPr="006E76B9">
              <w:rPr>
                <w:color w:val="000000" w:themeColor="text1"/>
                <w:lang w:val="en-US"/>
              </w:rPr>
              <w:t>by</w:t>
            </w:r>
            <w:proofErr w:type="gramEnd"/>
            <w:r w:rsidRPr="006E76B9">
              <w:rPr>
                <w:color w:val="000000" w:themeColor="text1"/>
                <w:lang w:val="en-US"/>
              </w:rPr>
              <w:t xml:space="preserve"> 4 % </w:t>
            </w:r>
            <w:proofErr w:type="gramStart"/>
            <w:r w:rsidRPr="006E76B9">
              <w:rPr>
                <w:color w:val="000000" w:themeColor="text1"/>
                <w:lang w:val="en-US"/>
              </w:rPr>
              <w:t>by</w:t>
            </w:r>
            <w:proofErr w:type="gramEnd"/>
            <w:r w:rsidRPr="006E76B9">
              <w:rPr>
                <w:color w:val="000000" w:themeColor="text1"/>
                <w:lang w:val="en-US"/>
              </w:rPr>
              <w:t xml:space="preserve"> the end of the year 2014 year-on-year – the volume of their credit however already increased negligibly in 2013 (+ 0.9 %) - shows a relatively large share of </w:t>
            </w:r>
            <w:r w:rsidR="0029316C">
              <w:rPr>
                <w:color w:val="000000" w:themeColor="text1"/>
                <w:lang w:val="en-US"/>
              </w:rPr>
              <w:t>non-performing loans</w:t>
            </w:r>
            <w:r w:rsidRPr="006E76B9">
              <w:rPr>
                <w:color w:val="000000" w:themeColor="text1"/>
                <w:lang w:val="en-US"/>
              </w:rPr>
              <w:t xml:space="preserve"> for already four years. It was 12.7 % out of total provided credit by the end of 2014, which is roughly the average of the last four years (13 %). It confirms the generally known fact, that the segment of small and medium enterprises is generally more risky for the creditors in the economy. </w:t>
            </w:r>
          </w:p>
          <w:p w:rsidR="00C53D82" w:rsidRPr="00F31411" w:rsidRDefault="00C53D82" w:rsidP="006E76B9">
            <w:pPr>
              <w:pStyle w:val="Textpoznpodarou"/>
              <w:jc w:val="both"/>
              <w:rPr>
                <w:color w:val="000000" w:themeColor="text1"/>
                <w:sz w:val="14"/>
                <w:szCs w:val="14"/>
              </w:rPr>
            </w:pPr>
          </w:p>
        </w:tc>
      </w:tr>
      <w:tr w:rsidR="00C53D82" w:rsidRPr="007D44C3" w:rsidTr="00ED2CA5">
        <w:tc>
          <w:tcPr>
            <w:tcW w:w="1056" w:type="pct"/>
            <w:gridSpan w:val="4"/>
          </w:tcPr>
          <w:p w:rsidR="00C53D82" w:rsidRPr="008923CB" w:rsidRDefault="008923CB" w:rsidP="008923CB">
            <w:pPr>
              <w:spacing w:line="240" w:lineRule="auto"/>
              <w:rPr>
                <w:color w:val="000000"/>
                <w:sz w:val="16"/>
                <w:szCs w:val="16"/>
                <w:lang w:val="en-GB"/>
              </w:rPr>
            </w:pPr>
            <w:r w:rsidRPr="008923CB">
              <w:rPr>
                <w:color w:val="000000"/>
                <w:sz w:val="16"/>
                <w:szCs w:val="16"/>
                <w:lang w:val="en-GB"/>
              </w:rPr>
              <w:lastRenderedPageBreak/>
              <w:t xml:space="preserve">The already very low deposit interest rates of banks further declined… </w:t>
            </w:r>
          </w:p>
        </w:tc>
        <w:tc>
          <w:tcPr>
            <w:tcW w:w="143" w:type="pct"/>
          </w:tcPr>
          <w:p w:rsidR="00C53D82" w:rsidRPr="008923CB" w:rsidRDefault="00C53D82" w:rsidP="008B1A8A">
            <w:pPr>
              <w:pStyle w:val="Textpoznpodarou"/>
              <w:jc w:val="both"/>
              <w:rPr>
                <w:lang w:val="en-GB"/>
              </w:rPr>
            </w:pPr>
          </w:p>
        </w:tc>
        <w:tc>
          <w:tcPr>
            <w:tcW w:w="3801" w:type="pct"/>
            <w:gridSpan w:val="5"/>
          </w:tcPr>
          <w:p w:rsidR="008923CB" w:rsidRPr="008923CB" w:rsidRDefault="008923CB" w:rsidP="008923CB">
            <w:pPr>
              <w:pStyle w:val="Textpoznpodarou"/>
              <w:jc w:val="both"/>
              <w:rPr>
                <w:color w:val="000000" w:themeColor="text1"/>
                <w:lang w:val="en-GB"/>
              </w:rPr>
            </w:pPr>
            <w:r w:rsidRPr="008923CB">
              <w:rPr>
                <w:color w:val="000000" w:themeColor="text1"/>
                <w:lang w:val="en-GB"/>
              </w:rPr>
              <w:t xml:space="preserve">Interest rates on non-term deposits fall in case of new deals continuously already a fourth year in a row – it is from 0.72 % p.a. for giro accounts of households towards the end of year 2011 to 0.31 % in December 2014 (from 0.35 % to 0.15 % for firms). The rates of term deposits are also lower year-on-year (from 1.65 % to 1.4 % total deposits with maturity for households, the decrease for firms was less perceptible, at very low levels, i.e. from 0.31 % to 0.29 %). Deposit interest rates are not attractive and people likely search for saving alternatives to saving in banks – the value of their property in funds as well as the pension insurance grows. Direct investments into foreign stock recorded large yields in the past year. </w:t>
            </w:r>
          </w:p>
          <w:p w:rsidR="00C53D82" w:rsidRPr="00F31411" w:rsidRDefault="00C53D82" w:rsidP="00C53D82">
            <w:pPr>
              <w:pStyle w:val="Textpoznpodarou"/>
              <w:jc w:val="both"/>
              <w:rPr>
                <w:color w:val="000000" w:themeColor="text1"/>
                <w:sz w:val="14"/>
                <w:szCs w:val="14"/>
                <w:lang w:val="en-GB"/>
              </w:rPr>
            </w:pPr>
            <w:r w:rsidRPr="008923CB">
              <w:rPr>
                <w:color w:val="000000" w:themeColor="text1"/>
                <w:lang w:val="en-GB"/>
              </w:rPr>
              <w:t xml:space="preserve">    </w:t>
            </w:r>
          </w:p>
        </w:tc>
      </w:tr>
      <w:tr w:rsidR="00C53D82" w:rsidRPr="007D44C3" w:rsidTr="00ED2CA5">
        <w:tc>
          <w:tcPr>
            <w:tcW w:w="1056" w:type="pct"/>
            <w:gridSpan w:val="4"/>
          </w:tcPr>
          <w:p w:rsidR="00C53D82" w:rsidRPr="009C7103" w:rsidRDefault="00EE70B0" w:rsidP="00EE70B0">
            <w:pPr>
              <w:spacing w:line="240" w:lineRule="auto"/>
              <w:rPr>
                <w:rFonts w:cs="Arial"/>
                <w:bCs/>
                <w:iCs/>
                <w:color w:val="000000"/>
                <w:sz w:val="16"/>
                <w:szCs w:val="16"/>
                <w:lang w:val="en-GB"/>
              </w:rPr>
            </w:pPr>
            <w:r w:rsidRPr="009C7103">
              <w:rPr>
                <w:rFonts w:cs="Arial"/>
                <w:bCs/>
                <w:iCs/>
                <w:color w:val="000000"/>
                <w:sz w:val="16"/>
                <w:szCs w:val="16"/>
                <w:lang w:val="en-GB"/>
              </w:rPr>
              <w:t xml:space="preserve">… only the rates for mortgages became cheaper among the lent funds </w:t>
            </w:r>
            <w:r w:rsidR="00C53D82" w:rsidRPr="009C7103">
              <w:rPr>
                <w:rFonts w:cs="Arial"/>
                <w:bCs/>
                <w:iCs/>
                <w:color w:val="000000"/>
                <w:sz w:val="16"/>
                <w:szCs w:val="16"/>
                <w:lang w:val="en-GB"/>
              </w:rPr>
              <w:t xml:space="preserve">  </w:t>
            </w:r>
          </w:p>
        </w:tc>
        <w:tc>
          <w:tcPr>
            <w:tcW w:w="143" w:type="pct"/>
          </w:tcPr>
          <w:p w:rsidR="00C53D82" w:rsidRPr="009C7103" w:rsidRDefault="00C53D82" w:rsidP="008B1A8A">
            <w:pPr>
              <w:pStyle w:val="Textpoznpodarou"/>
              <w:jc w:val="both"/>
              <w:rPr>
                <w:lang w:val="en-GB"/>
              </w:rPr>
            </w:pPr>
          </w:p>
        </w:tc>
        <w:tc>
          <w:tcPr>
            <w:tcW w:w="3801" w:type="pct"/>
            <w:gridSpan w:val="5"/>
          </w:tcPr>
          <w:p w:rsidR="00EE70B0" w:rsidRPr="009C7103" w:rsidRDefault="00EE70B0" w:rsidP="00EE70B0">
            <w:pPr>
              <w:pStyle w:val="Textpoznpodarou"/>
              <w:jc w:val="both"/>
              <w:rPr>
                <w:color w:val="000000" w:themeColor="text1"/>
                <w:lang w:val="en-GB"/>
              </w:rPr>
            </w:pPr>
            <w:r w:rsidRPr="009C7103">
              <w:rPr>
                <w:color w:val="000000" w:themeColor="text1"/>
                <w:lang w:val="en-GB"/>
              </w:rPr>
              <w:t>Consum</w:t>
            </w:r>
            <w:r w:rsidR="0029316C">
              <w:rPr>
                <w:color w:val="000000" w:themeColor="text1"/>
                <w:lang w:val="en-GB"/>
              </w:rPr>
              <w:t>er</w:t>
            </w:r>
            <w:r w:rsidRPr="009C7103">
              <w:rPr>
                <w:color w:val="000000" w:themeColor="text1"/>
                <w:lang w:val="en-GB"/>
              </w:rPr>
              <w:t xml:space="preserve"> </w:t>
            </w:r>
            <w:r w:rsidR="009A2DBF">
              <w:rPr>
                <w:color w:val="000000" w:themeColor="text1"/>
                <w:lang w:val="en-GB"/>
              </w:rPr>
              <w:t>loans</w:t>
            </w:r>
            <w:r w:rsidRPr="009C7103">
              <w:rPr>
                <w:color w:val="000000" w:themeColor="text1"/>
                <w:lang w:val="en-GB"/>
              </w:rPr>
              <w:t xml:space="preserve"> did not become cheaper to the same extent as the credit for housing real estate acquiring. The rates remained at 14 % (compared to 14.1 % towards the end of 2013)</w:t>
            </w:r>
            <w:proofErr w:type="gramStart"/>
            <w:r w:rsidRPr="009C7103">
              <w:rPr>
                <w:color w:val="000000" w:themeColor="text1"/>
                <w:lang w:val="en-GB"/>
              </w:rPr>
              <w:t>,</w:t>
            </w:r>
            <w:proofErr w:type="gramEnd"/>
            <w:r w:rsidRPr="009C7103">
              <w:rPr>
                <w:color w:val="000000" w:themeColor="text1"/>
                <w:lang w:val="en-GB"/>
              </w:rPr>
              <w:t xml:space="preserve"> rates of housing credit fell from 3.4 % to 2.9 %). With respect to companies, the difference in the price of the borrowed funds was only negligible (from 2.45 % by the end of 2013 to 2.22 % at the end of 2014, from 2.95 % to 2.9 % for an overdraft).</w:t>
            </w:r>
          </w:p>
          <w:p w:rsidR="00C53D82" w:rsidRPr="009C7103" w:rsidRDefault="00C53D82" w:rsidP="0023229C">
            <w:pPr>
              <w:pStyle w:val="Textpoznpodarou"/>
              <w:jc w:val="both"/>
              <w:rPr>
                <w:rFonts w:cs="Arial"/>
                <w:bCs/>
                <w:lang w:val="en-GB"/>
              </w:rPr>
            </w:pPr>
            <w:r w:rsidRPr="009C7103">
              <w:rPr>
                <w:rFonts w:cs="Arial"/>
                <w:bCs/>
                <w:lang w:val="en-GB"/>
              </w:rPr>
              <w:t xml:space="preserve">  </w:t>
            </w:r>
          </w:p>
        </w:tc>
      </w:tr>
      <w:tr w:rsidR="00C53D82" w:rsidRPr="00EB4FA4" w:rsidTr="00DD394A">
        <w:tblPrEx>
          <w:tblCellMar>
            <w:left w:w="70" w:type="dxa"/>
            <w:right w:w="70" w:type="dxa"/>
          </w:tblCellMar>
          <w:tblLook w:val="0000"/>
        </w:tblPrEx>
        <w:trPr>
          <w:gridBefore w:val="1"/>
          <w:gridAfter w:val="1"/>
          <w:wBefore w:w="19" w:type="pct"/>
          <w:wAfter w:w="19" w:type="pct"/>
        </w:trPr>
        <w:tc>
          <w:tcPr>
            <w:tcW w:w="540" w:type="pct"/>
            <w:gridSpan w:val="2"/>
          </w:tcPr>
          <w:p w:rsidR="00C53D82" w:rsidRPr="009C7103" w:rsidRDefault="00D75613" w:rsidP="00D75613">
            <w:pPr>
              <w:rPr>
                <w:lang w:val="en-GB"/>
              </w:rPr>
            </w:pPr>
            <w:r w:rsidRPr="009C7103">
              <w:rPr>
                <w:lang w:val="en-GB"/>
              </w:rPr>
              <w:t xml:space="preserve">Chart </w:t>
            </w:r>
            <w:r w:rsidR="0023229C" w:rsidRPr="009C7103">
              <w:rPr>
                <w:lang w:val="en-GB"/>
              </w:rPr>
              <w:t>17</w:t>
            </w:r>
            <w:r w:rsidR="00C53D82" w:rsidRPr="009C7103">
              <w:rPr>
                <w:lang w:val="en-GB"/>
              </w:rPr>
              <w:t xml:space="preserve"> </w:t>
            </w:r>
          </w:p>
        </w:tc>
        <w:tc>
          <w:tcPr>
            <w:tcW w:w="1959" w:type="pct"/>
            <w:gridSpan w:val="3"/>
          </w:tcPr>
          <w:p w:rsidR="00C53D82" w:rsidRPr="009C7103" w:rsidRDefault="009C7103" w:rsidP="009C7103">
            <w:pPr>
              <w:rPr>
                <w:b/>
                <w:lang w:val="en-GB"/>
              </w:rPr>
            </w:pPr>
            <w:r w:rsidRPr="009C7103">
              <w:rPr>
                <w:b/>
                <w:bCs/>
                <w:lang w:val="en-GB"/>
              </w:rPr>
              <w:t xml:space="preserve">Credit dynamics </w:t>
            </w:r>
            <w:r w:rsidR="00C53D82" w:rsidRPr="009C7103">
              <w:rPr>
                <w:bCs/>
                <w:lang w:val="en-GB"/>
              </w:rPr>
              <w:t xml:space="preserve">(y/y </w:t>
            </w:r>
            <w:r w:rsidRPr="009C7103">
              <w:rPr>
                <w:bCs/>
                <w:lang w:val="en-GB"/>
              </w:rPr>
              <w:t>in</w:t>
            </w:r>
            <w:r w:rsidR="00C53D82" w:rsidRPr="009C7103">
              <w:rPr>
                <w:bCs/>
                <w:lang w:val="en-GB"/>
              </w:rPr>
              <w:t xml:space="preserve"> %)</w:t>
            </w:r>
            <w:r w:rsidR="00C53D82" w:rsidRPr="009C7103">
              <w:rPr>
                <w:b/>
                <w:bCs/>
                <w:lang w:val="en-GB"/>
              </w:rPr>
              <w:t xml:space="preserve">  </w:t>
            </w:r>
          </w:p>
        </w:tc>
        <w:tc>
          <w:tcPr>
            <w:tcW w:w="630" w:type="pct"/>
            <w:gridSpan w:val="2"/>
          </w:tcPr>
          <w:p w:rsidR="00C53D82" w:rsidRPr="009C7103" w:rsidRDefault="00D75613" w:rsidP="00D75613">
            <w:pPr>
              <w:rPr>
                <w:szCs w:val="20"/>
                <w:lang w:val="en-GB"/>
              </w:rPr>
            </w:pPr>
            <w:r w:rsidRPr="009C7103">
              <w:rPr>
                <w:szCs w:val="20"/>
                <w:lang w:val="en-GB"/>
              </w:rPr>
              <w:t xml:space="preserve">Chart </w:t>
            </w:r>
            <w:r w:rsidR="00C53D82" w:rsidRPr="009C7103">
              <w:rPr>
                <w:szCs w:val="20"/>
                <w:lang w:val="en-GB"/>
              </w:rPr>
              <w:t>1</w:t>
            </w:r>
            <w:r w:rsidR="00AA23FB" w:rsidRPr="009C7103">
              <w:rPr>
                <w:szCs w:val="20"/>
                <w:lang w:val="en-GB"/>
              </w:rPr>
              <w:t>8</w:t>
            </w:r>
          </w:p>
        </w:tc>
        <w:tc>
          <w:tcPr>
            <w:tcW w:w="1834" w:type="pct"/>
          </w:tcPr>
          <w:p w:rsidR="00C53D82" w:rsidRPr="009C7103" w:rsidRDefault="009A2DBF" w:rsidP="009A2DBF">
            <w:pPr>
              <w:spacing w:line="240" w:lineRule="auto"/>
              <w:rPr>
                <w:b/>
                <w:szCs w:val="20"/>
                <w:lang w:val="en-GB"/>
              </w:rPr>
            </w:pPr>
            <w:r>
              <w:rPr>
                <w:b/>
                <w:bCs/>
                <w:lang w:val="en-GB"/>
              </w:rPr>
              <w:t>Non-performing l</w:t>
            </w:r>
            <w:r w:rsidR="007247A2">
              <w:rPr>
                <w:b/>
                <w:bCs/>
                <w:lang w:val="en-GB"/>
              </w:rPr>
              <w:t xml:space="preserve">oans to households </w:t>
            </w:r>
            <w:r w:rsidR="007247A2" w:rsidRPr="007247A2">
              <w:rPr>
                <w:bCs/>
                <w:lang w:val="en-GB"/>
              </w:rPr>
              <w:t>(</w:t>
            </w:r>
            <w:r w:rsidR="009C7103" w:rsidRPr="009C7103">
              <w:rPr>
                <w:bCs/>
                <w:lang w:val="en-GB"/>
              </w:rPr>
              <w:t>in</w:t>
            </w:r>
            <w:r w:rsidR="00055059" w:rsidRPr="009C7103">
              <w:rPr>
                <w:bCs/>
                <w:lang w:val="en-GB"/>
              </w:rPr>
              <w:t> </w:t>
            </w:r>
            <w:r w:rsidR="00C53D82" w:rsidRPr="009C7103">
              <w:rPr>
                <w:bCs/>
                <w:lang w:val="en-GB"/>
              </w:rPr>
              <w:t>%</w:t>
            </w:r>
            <w:r w:rsidR="00055059" w:rsidRPr="009C7103">
              <w:rPr>
                <w:bCs/>
                <w:lang w:val="en-GB"/>
              </w:rPr>
              <w:t> </w:t>
            </w:r>
            <w:r w:rsidR="009C7103" w:rsidRPr="009C7103">
              <w:rPr>
                <w:bCs/>
                <w:lang w:val="en-GB"/>
              </w:rPr>
              <w:t xml:space="preserve">of total </w:t>
            </w:r>
            <w:r w:rsidR="007247A2">
              <w:rPr>
                <w:bCs/>
                <w:lang w:val="en-GB"/>
              </w:rPr>
              <w:t>loans</w:t>
            </w:r>
            <w:r w:rsidR="009C7103" w:rsidRPr="009C7103">
              <w:rPr>
                <w:bCs/>
                <w:lang w:val="en-GB"/>
              </w:rPr>
              <w:t xml:space="preserve"> to </w:t>
            </w:r>
            <w:r w:rsidR="0020361A">
              <w:rPr>
                <w:bCs/>
                <w:lang w:val="en-GB"/>
              </w:rPr>
              <w:t>households</w:t>
            </w:r>
            <w:r w:rsidR="00C53D82" w:rsidRPr="009C7103">
              <w:rPr>
                <w:bCs/>
                <w:lang w:val="en-GB"/>
              </w:rPr>
              <w:t>)</w:t>
            </w:r>
          </w:p>
        </w:tc>
      </w:tr>
      <w:tr w:rsidR="00C53D82" w:rsidTr="00DD394A">
        <w:tblPrEx>
          <w:tblCellMar>
            <w:left w:w="70" w:type="dxa"/>
            <w:right w:w="70" w:type="dxa"/>
          </w:tblCellMar>
          <w:tblLook w:val="0000"/>
        </w:tblPrEx>
        <w:trPr>
          <w:gridBefore w:val="1"/>
          <w:gridAfter w:val="1"/>
          <w:wBefore w:w="19" w:type="pct"/>
          <w:wAfter w:w="19" w:type="pct"/>
          <w:trHeight w:val="3256"/>
        </w:trPr>
        <w:tc>
          <w:tcPr>
            <w:tcW w:w="2498" w:type="pct"/>
            <w:gridSpan w:val="5"/>
          </w:tcPr>
          <w:p w:rsidR="00C53D82" w:rsidRDefault="00DD394A" w:rsidP="008B1A8A">
            <w:pPr>
              <w:pStyle w:val="Zhlav"/>
              <w:tabs>
                <w:tab w:val="clear" w:pos="4536"/>
                <w:tab w:val="clear" w:pos="9072"/>
              </w:tabs>
              <w:rPr>
                <w:rFonts w:ascii="Arial" w:hAnsi="Arial" w:cs="Arial"/>
                <w:sz w:val="20"/>
              </w:rPr>
            </w:pPr>
            <w:r>
              <w:rPr>
                <w:noProof/>
                <w:sz w:val="16"/>
                <w:szCs w:val="16"/>
                <w:lang w:eastAsia="cs-CZ"/>
              </w:rPr>
              <w:drawing>
                <wp:inline distT="0" distB="0" distL="0" distR="0">
                  <wp:extent cx="3018348" cy="2275426"/>
                  <wp:effectExtent l="19050" t="19050" r="10602" b="10574"/>
                  <wp:docPr id="3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3022008" cy="2278185"/>
                          </a:xfrm>
                          <a:prstGeom prst="rect">
                            <a:avLst/>
                          </a:prstGeom>
                          <a:noFill/>
                          <a:ln w="0">
                            <a:solidFill>
                              <a:sysClr val="windowText" lastClr="000000"/>
                            </a:solidFill>
                            <a:miter lim="800000"/>
                            <a:headEnd/>
                            <a:tailEnd/>
                          </a:ln>
                        </pic:spPr>
                      </pic:pic>
                    </a:graphicData>
                  </a:graphic>
                </wp:inline>
              </w:drawing>
            </w:r>
          </w:p>
        </w:tc>
        <w:tc>
          <w:tcPr>
            <w:tcW w:w="2463" w:type="pct"/>
            <w:gridSpan w:val="3"/>
          </w:tcPr>
          <w:p w:rsidR="00C53D82" w:rsidRDefault="00DD394A" w:rsidP="008B1A8A">
            <w:pPr>
              <w:pStyle w:val="Zhlav"/>
              <w:tabs>
                <w:tab w:val="clear" w:pos="4536"/>
                <w:tab w:val="clear" w:pos="9072"/>
              </w:tabs>
              <w:spacing w:line="235" w:lineRule="auto"/>
              <w:jc w:val="both"/>
              <w:rPr>
                <w:rFonts w:ascii="Arial" w:hAnsi="Arial" w:cs="Arial"/>
                <w:sz w:val="20"/>
              </w:rPr>
            </w:pPr>
            <w:r>
              <w:rPr>
                <w:noProof/>
                <w:sz w:val="16"/>
                <w:szCs w:val="16"/>
                <w:lang w:eastAsia="cs-CZ"/>
              </w:rPr>
              <w:drawing>
                <wp:inline distT="0" distB="0" distL="0" distR="0">
                  <wp:extent cx="2946787" cy="2283681"/>
                  <wp:effectExtent l="19050" t="19050" r="25013" b="21369"/>
                  <wp:docPr id="3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2955361" cy="2290326"/>
                          </a:xfrm>
                          <a:prstGeom prst="rect">
                            <a:avLst/>
                          </a:prstGeom>
                          <a:noFill/>
                          <a:ln w="1270">
                            <a:solidFill>
                              <a:sysClr val="windowText" lastClr="000000"/>
                            </a:solidFill>
                            <a:miter lim="800000"/>
                            <a:headEnd/>
                            <a:tailEnd/>
                          </a:ln>
                        </pic:spPr>
                      </pic:pic>
                    </a:graphicData>
                  </a:graphic>
                </wp:inline>
              </w:drawing>
            </w:r>
          </w:p>
        </w:tc>
      </w:tr>
      <w:tr w:rsidR="00C53D82" w:rsidRPr="005215EF" w:rsidTr="00DD394A">
        <w:tblPrEx>
          <w:tblCellMar>
            <w:left w:w="70" w:type="dxa"/>
            <w:right w:w="70" w:type="dxa"/>
          </w:tblCellMar>
          <w:tblLook w:val="0000"/>
        </w:tblPrEx>
        <w:trPr>
          <w:gridBefore w:val="1"/>
          <w:gridAfter w:val="1"/>
          <w:wBefore w:w="19" w:type="pct"/>
          <w:wAfter w:w="19" w:type="pct"/>
        </w:trPr>
        <w:tc>
          <w:tcPr>
            <w:tcW w:w="401" w:type="pct"/>
          </w:tcPr>
          <w:p w:rsidR="00C53D82" w:rsidRPr="00953AEF" w:rsidRDefault="00C53D82" w:rsidP="008B1A8A">
            <w:pPr>
              <w:rPr>
                <w:color w:val="FF0000"/>
              </w:rPr>
            </w:pPr>
          </w:p>
        </w:tc>
        <w:tc>
          <w:tcPr>
            <w:tcW w:w="2097" w:type="pct"/>
            <w:gridSpan w:val="4"/>
          </w:tcPr>
          <w:p w:rsidR="00C53D82" w:rsidRPr="009E3710" w:rsidRDefault="00C53D82" w:rsidP="008B1A8A">
            <w:pPr>
              <w:rPr>
                <w:b/>
              </w:rPr>
            </w:pPr>
          </w:p>
        </w:tc>
        <w:tc>
          <w:tcPr>
            <w:tcW w:w="400" w:type="pct"/>
          </w:tcPr>
          <w:p w:rsidR="00C53D82" w:rsidRPr="00953AEF" w:rsidRDefault="00C53D82" w:rsidP="008B1A8A">
            <w:pPr>
              <w:rPr>
                <w:color w:val="FF0000"/>
              </w:rPr>
            </w:pPr>
          </w:p>
        </w:tc>
        <w:tc>
          <w:tcPr>
            <w:tcW w:w="2064" w:type="pct"/>
            <w:gridSpan w:val="2"/>
          </w:tcPr>
          <w:p w:rsidR="00096A52" w:rsidRPr="00801FDD" w:rsidRDefault="00C53D82" w:rsidP="00DD394A">
            <w:pPr>
              <w:jc w:val="right"/>
              <w:rPr>
                <w:sz w:val="18"/>
                <w:szCs w:val="18"/>
              </w:rPr>
            </w:pPr>
            <w:r w:rsidRPr="005215EF">
              <w:rPr>
                <w:b/>
                <w:sz w:val="18"/>
                <w:szCs w:val="18"/>
              </w:rPr>
              <w:t xml:space="preserve">                                              </w:t>
            </w:r>
            <w:r>
              <w:rPr>
                <w:b/>
                <w:sz w:val="18"/>
                <w:szCs w:val="18"/>
              </w:rPr>
              <w:t xml:space="preserve">        </w:t>
            </w:r>
            <w:r w:rsidRPr="005215EF">
              <w:rPr>
                <w:b/>
                <w:sz w:val="18"/>
                <w:szCs w:val="18"/>
              </w:rPr>
              <w:t xml:space="preserve"> </w:t>
            </w:r>
            <w:proofErr w:type="spellStart"/>
            <w:r w:rsidR="00D75613">
              <w:rPr>
                <w:sz w:val="18"/>
                <w:szCs w:val="18"/>
              </w:rPr>
              <w:t>Source</w:t>
            </w:r>
            <w:proofErr w:type="spellEnd"/>
            <w:r w:rsidRPr="00801FDD">
              <w:rPr>
                <w:sz w:val="18"/>
                <w:szCs w:val="18"/>
              </w:rPr>
              <w:t xml:space="preserve">: </w:t>
            </w:r>
            <w:r w:rsidR="00D75613">
              <w:rPr>
                <w:sz w:val="18"/>
                <w:szCs w:val="18"/>
              </w:rPr>
              <w:t>C</w:t>
            </w:r>
            <w:r w:rsidR="00DD394A">
              <w:rPr>
                <w:sz w:val="18"/>
                <w:szCs w:val="18"/>
              </w:rPr>
              <w:t>NB</w:t>
            </w:r>
          </w:p>
        </w:tc>
      </w:tr>
    </w:tbl>
    <w:p w:rsidR="009C7103" w:rsidRDefault="009C7103" w:rsidP="0020361A">
      <w:pPr>
        <w:rPr>
          <w:sz w:val="16"/>
          <w:szCs w:val="16"/>
          <w:lang w:val="en-GB"/>
        </w:rPr>
      </w:pPr>
    </w:p>
    <w:p w:rsidR="00BF3DF1" w:rsidRPr="00D75613" w:rsidRDefault="0088733A" w:rsidP="008E39BC">
      <w:pPr>
        <w:pStyle w:val="Nadpis1"/>
        <w:numPr>
          <w:ilvl w:val="0"/>
          <w:numId w:val="9"/>
        </w:numPr>
        <w:jc w:val="both"/>
        <w:rPr>
          <w:lang w:val="en-GB"/>
        </w:rPr>
      </w:pPr>
      <w:bookmarkStart w:id="11" w:name="_Toc417454529"/>
      <w:r w:rsidRPr="00D75613">
        <w:rPr>
          <w:lang w:val="en-GB"/>
        </w:rPr>
        <w:t>St</w:t>
      </w:r>
      <w:r w:rsidR="00D75613" w:rsidRPr="00D75613">
        <w:rPr>
          <w:lang w:val="en-GB"/>
        </w:rPr>
        <w:t>ate Budget</w:t>
      </w:r>
      <w:bookmarkEnd w:id="11"/>
    </w:p>
    <w:tbl>
      <w:tblPr>
        <w:tblW w:w="4998" w:type="pct"/>
        <w:tblLayout w:type="fixed"/>
        <w:tblLook w:val="00A0"/>
      </w:tblPr>
      <w:tblGrid>
        <w:gridCol w:w="2076"/>
        <w:gridCol w:w="282"/>
        <w:gridCol w:w="7492"/>
      </w:tblGrid>
      <w:tr w:rsidR="000B3F02" w:rsidRPr="00D75613" w:rsidTr="006974AA">
        <w:tc>
          <w:tcPr>
            <w:tcW w:w="1054" w:type="pct"/>
          </w:tcPr>
          <w:p w:rsidR="009B560E" w:rsidRPr="009B560E" w:rsidRDefault="009B560E" w:rsidP="009B560E">
            <w:pPr>
              <w:spacing w:line="240" w:lineRule="auto"/>
              <w:rPr>
                <w:spacing w:val="-2"/>
                <w:sz w:val="16"/>
                <w:szCs w:val="16"/>
                <w:lang w:val="en-GB"/>
              </w:rPr>
            </w:pPr>
            <w:r w:rsidRPr="009B560E">
              <w:rPr>
                <w:spacing w:val="-2"/>
                <w:sz w:val="16"/>
                <w:szCs w:val="16"/>
                <w:lang w:val="en-GB"/>
              </w:rPr>
              <w:t>Depth of the state budget deficit lowered already for fifth time in a row. In 2014, the absolute size of the deficit was the fourth lowest since 2003</w:t>
            </w: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0B3F02" w:rsidRPr="009B560E" w:rsidRDefault="000B3F02" w:rsidP="006C559A">
            <w:pPr>
              <w:spacing w:line="240" w:lineRule="auto"/>
              <w:rPr>
                <w:spacing w:val="-2"/>
                <w:sz w:val="16"/>
                <w:szCs w:val="16"/>
                <w:lang w:val="en-GB"/>
              </w:rPr>
            </w:pPr>
          </w:p>
          <w:p w:rsidR="009B560E" w:rsidRPr="009B560E" w:rsidRDefault="009B560E" w:rsidP="009B560E">
            <w:pPr>
              <w:spacing w:line="240" w:lineRule="auto"/>
              <w:rPr>
                <w:spacing w:val="-2"/>
                <w:sz w:val="16"/>
                <w:szCs w:val="16"/>
                <w:lang w:val="en-GB"/>
              </w:rPr>
            </w:pPr>
            <w:r w:rsidRPr="009B560E">
              <w:rPr>
                <w:spacing w:val="-2"/>
                <w:sz w:val="16"/>
                <w:szCs w:val="16"/>
                <w:lang w:val="en-GB"/>
              </w:rPr>
              <w:t>Higher volatility of both revenues and expenditure due to indirect taxes flow and also investment expenditure during the year</w:t>
            </w:r>
          </w:p>
          <w:p w:rsidR="000B3F02" w:rsidRPr="009B560E" w:rsidRDefault="000B3F02" w:rsidP="009B560E">
            <w:pPr>
              <w:spacing w:line="240" w:lineRule="auto"/>
              <w:rPr>
                <w:spacing w:val="-2"/>
                <w:sz w:val="16"/>
                <w:szCs w:val="16"/>
                <w:lang w:val="en-GB"/>
              </w:rPr>
            </w:pPr>
          </w:p>
        </w:tc>
        <w:tc>
          <w:tcPr>
            <w:tcW w:w="143" w:type="pct"/>
          </w:tcPr>
          <w:p w:rsidR="000B3F02" w:rsidRPr="009B560E" w:rsidRDefault="000B3F02" w:rsidP="008B7306">
            <w:pPr>
              <w:pStyle w:val="Textpoznpodarou"/>
              <w:jc w:val="both"/>
              <w:rPr>
                <w:lang w:val="en-GB"/>
              </w:rPr>
            </w:pPr>
          </w:p>
        </w:tc>
        <w:tc>
          <w:tcPr>
            <w:tcW w:w="3804" w:type="pct"/>
          </w:tcPr>
          <w:p w:rsidR="009B560E" w:rsidRPr="006974AA" w:rsidRDefault="009B560E" w:rsidP="009B560E">
            <w:pPr>
              <w:pStyle w:val="Textpoznpodarou"/>
              <w:jc w:val="both"/>
              <w:rPr>
                <w:rFonts w:cs="Arial"/>
                <w:spacing w:val="-2"/>
                <w:lang w:val="en-GB"/>
              </w:rPr>
            </w:pPr>
            <w:r w:rsidRPr="006974AA">
              <w:rPr>
                <w:rFonts w:cs="Arial"/>
                <w:spacing w:val="-2"/>
                <w:lang w:val="en-GB"/>
              </w:rPr>
              <w:t>Next to long-term effort for fiscal consolidation</w:t>
            </w:r>
            <w:r w:rsidR="001E14B7" w:rsidRPr="006974AA">
              <w:rPr>
                <w:rFonts w:cs="Arial"/>
                <w:spacing w:val="-2"/>
                <w:lang w:val="en-GB"/>
              </w:rPr>
              <w:t>,</w:t>
            </w:r>
            <w:bookmarkStart w:id="12" w:name="_GoBack"/>
            <w:bookmarkEnd w:id="12"/>
            <w:r w:rsidR="006974AA" w:rsidRPr="006974AA">
              <w:rPr>
                <w:rFonts w:cs="Arial"/>
                <w:spacing w:val="-2"/>
                <w:lang w:val="en-GB"/>
              </w:rPr>
              <w:t xml:space="preserve"> especially the gradual growth</w:t>
            </w:r>
            <w:r w:rsidRPr="006974AA">
              <w:rPr>
                <w:rFonts w:cs="Arial"/>
                <w:spacing w:val="-2"/>
                <w:lang w:val="en-GB"/>
              </w:rPr>
              <w:t xml:space="preserve"> of the economy and significantly also the record drawing from the EU budget (in connection to the ending programming period) impacted the state budget results during 2014. The 2014 state budget ended (based on cash fulfilment) in the</w:t>
            </w:r>
            <w:r w:rsidR="006974AA" w:rsidRPr="006974AA">
              <w:rPr>
                <w:rFonts w:cs="Arial"/>
                <w:spacing w:val="-2"/>
                <w:lang w:val="en-GB"/>
              </w:rPr>
              <w:t xml:space="preserve"> lowest deficit (-77.8 bn CZK</w:t>
            </w:r>
            <w:r w:rsidRPr="006974AA">
              <w:rPr>
                <w:rFonts w:cs="Arial"/>
                <w:spacing w:val="-2"/>
                <w:lang w:val="en-GB"/>
              </w:rPr>
              <w:t>) since the beginning of deep economic recession. The size of the deficit was more fa</w:t>
            </w:r>
            <w:r w:rsidR="006974AA" w:rsidRPr="006974AA">
              <w:rPr>
                <w:rFonts w:cs="Arial"/>
                <w:spacing w:val="-2"/>
                <w:lang w:val="en-GB"/>
              </w:rPr>
              <w:t>vourable „only“ by 3.5 bn CZK</w:t>
            </w:r>
            <w:r w:rsidRPr="006974AA">
              <w:rPr>
                <w:rFonts w:cs="Arial"/>
                <w:spacing w:val="-2"/>
                <w:lang w:val="en-GB"/>
              </w:rPr>
              <w:t xml:space="preserve"> year-on-year, however it was nearly by one third lower compared to the approved budget for 2014 (by one fifth in the previous year). The development in the first half of the year, when the state even managed a mild surplus, was instrumental in the milder deficit year-on-year. </w:t>
            </w:r>
            <w:r w:rsidR="006974AA" w:rsidRPr="006974AA">
              <w:rPr>
                <w:rFonts w:cs="Arial"/>
                <w:spacing w:val="-2"/>
                <w:lang w:val="en-GB"/>
              </w:rPr>
              <w:t>Not only t</w:t>
            </w:r>
            <w:r w:rsidRPr="006974AA">
              <w:rPr>
                <w:rFonts w:cs="Arial"/>
                <w:spacing w:val="-2"/>
                <w:lang w:val="en-GB"/>
              </w:rPr>
              <w:t xml:space="preserve">he accumulation of investment expenditure at the end of the year or irregularity of drawing of funds from the EU, but also the large collection of indirect taxes at the beginning of the year caused </w:t>
            </w:r>
            <w:r w:rsidR="00F12BC8" w:rsidRPr="006974AA">
              <w:rPr>
                <w:rFonts w:cs="Arial"/>
                <w:spacing w:val="-2"/>
                <w:lang w:val="en-GB"/>
              </w:rPr>
              <w:t>larger fluctuations</w:t>
            </w:r>
            <w:r w:rsidRPr="006974AA">
              <w:rPr>
                <w:rFonts w:cs="Arial"/>
                <w:spacing w:val="-2"/>
                <w:lang w:val="en-GB"/>
              </w:rPr>
              <w:t xml:space="preserve"> during the year</w:t>
            </w:r>
            <w:r w:rsidR="000E20D2" w:rsidRPr="006974AA">
              <w:rPr>
                <w:rStyle w:val="Znakapoznpodarou"/>
                <w:rFonts w:cs="Arial"/>
                <w:spacing w:val="-2"/>
                <w:lang w:val="en-GB"/>
              </w:rPr>
              <w:footnoteReference w:id="11"/>
            </w:r>
            <w:r w:rsidRPr="006974AA">
              <w:rPr>
                <w:rFonts w:cs="Arial"/>
                <w:spacing w:val="-2"/>
                <w:lang w:val="en-GB"/>
              </w:rPr>
              <w:t xml:space="preserve">. The state budget (SB) </w:t>
            </w:r>
            <w:r w:rsidR="009C7103" w:rsidRPr="006974AA">
              <w:rPr>
                <w:rFonts w:cs="Arial"/>
                <w:spacing w:val="-2"/>
                <w:lang w:val="en-GB"/>
              </w:rPr>
              <w:t xml:space="preserve">deficit </w:t>
            </w:r>
            <w:r w:rsidRPr="006974AA">
              <w:rPr>
                <w:rFonts w:cs="Arial"/>
                <w:spacing w:val="-2"/>
                <w:lang w:val="en-GB"/>
              </w:rPr>
              <w:t>in relation to nominal GDP improved to 1.8 % in 2014 (from last y</w:t>
            </w:r>
            <w:r w:rsidR="006974AA" w:rsidRPr="006974AA">
              <w:rPr>
                <w:rFonts w:cs="Arial"/>
                <w:spacing w:val="-2"/>
                <w:lang w:val="en-GB"/>
              </w:rPr>
              <w:t xml:space="preserve">ear's </w:t>
            </w:r>
            <w:r w:rsidR="006974AA">
              <w:rPr>
                <w:rFonts w:cs="Arial"/>
                <w:spacing w:val="-2"/>
                <w:lang w:val="en-GB"/>
              </w:rPr>
              <w:t>-</w:t>
            </w:r>
            <w:r w:rsidR="006974AA" w:rsidRPr="006974AA">
              <w:rPr>
                <w:rFonts w:cs="Arial"/>
                <w:spacing w:val="-2"/>
                <w:lang w:val="en-GB"/>
              </w:rPr>
              <w:t>2.0</w:t>
            </w:r>
            <w:r w:rsidR="006974AA" w:rsidRPr="006974AA">
              <w:rPr>
                <w:rFonts w:cs="Arial"/>
                <w:spacing w:val="-2"/>
              </w:rPr>
              <w:t> </w:t>
            </w:r>
            <w:r w:rsidRPr="006974AA">
              <w:rPr>
                <w:rFonts w:cs="Arial"/>
                <w:spacing w:val="-2"/>
                <w:lang w:val="en-GB"/>
              </w:rPr>
              <w:t>%). Significantly more favourable result occurred since year 2000 only in 2008 (-0.5 %).</w:t>
            </w:r>
          </w:p>
          <w:p w:rsidR="00055059" w:rsidRPr="00F31411" w:rsidRDefault="00055059" w:rsidP="009B560E">
            <w:pPr>
              <w:pStyle w:val="Textpoznpodarou"/>
              <w:jc w:val="both"/>
              <w:rPr>
                <w:rFonts w:cs="Arial"/>
                <w:spacing w:val="-2"/>
                <w:sz w:val="14"/>
                <w:szCs w:val="14"/>
                <w:lang w:val="en-GB"/>
              </w:rPr>
            </w:pPr>
          </w:p>
        </w:tc>
      </w:tr>
      <w:tr w:rsidR="000B3F02" w:rsidRPr="007D44C3" w:rsidTr="006974AA">
        <w:tc>
          <w:tcPr>
            <w:tcW w:w="1054" w:type="pct"/>
          </w:tcPr>
          <w:p w:rsidR="000B3F02" w:rsidRPr="00A96ADF" w:rsidRDefault="0021160E" w:rsidP="00A96ADF">
            <w:pPr>
              <w:spacing w:line="240" w:lineRule="auto"/>
              <w:rPr>
                <w:spacing w:val="-4"/>
                <w:sz w:val="16"/>
                <w:szCs w:val="16"/>
                <w:lang w:val="en-GB"/>
              </w:rPr>
            </w:pPr>
            <w:r w:rsidRPr="00A96ADF">
              <w:rPr>
                <w:spacing w:val="-4"/>
                <w:sz w:val="16"/>
                <w:szCs w:val="16"/>
                <w:lang w:val="en-GB"/>
              </w:rPr>
              <w:lastRenderedPageBreak/>
              <w:t>Lower deficit was secured by lower than anticipated drawing of social benefits as well as savings on non-investment purchases and higher collection of both V</w:t>
            </w:r>
            <w:r w:rsidR="00A96ADF" w:rsidRPr="00A96ADF">
              <w:rPr>
                <w:spacing w:val="-4"/>
                <w:sz w:val="16"/>
                <w:szCs w:val="16"/>
                <w:lang w:val="en-GB"/>
              </w:rPr>
              <w:t>A</w:t>
            </w:r>
            <w:r w:rsidRPr="00A96ADF">
              <w:rPr>
                <w:spacing w:val="-4"/>
                <w:sz w:val="16"/>
                <w:szCs w:val="16"/>
                <w:lang w:val="en-GB"/>
              </w:rPr>
              <w:t xml:space="preserve">T and corporate taxes </w:t>
            </w:r>
          </w:p>
        </w:tc>
        <w:tc>
          <w:tcPr>
            <w:tcW w:w="143" w:type="pct"/>
          </w:tcPr>
          <w:p w:rsidR="000B3F02" w:rsidRPr="00A96ADF" w:rsidRDefault="000B3F02" w:rsidP="008B7306">
            <w:pPr>
              <w:pStyle w:val="Textpoznpodarou"/>
              <w:jc w:val="both"/>
              <w:rPr>
                <w:lang w:val="en-GB"/>
              </w:rPr>
            </w:pPr>
          </w:p>
        </w:tc>
        <w:tc>
          <w:tcPr>
            <w:tcW w:w="3804" w:type="pct"/>
          </w:tcPr>
          <w:p w:rsidR="00A96ADF" w:rsidRPr="00DD394A" w:rsidRDefault="00A96ADF" w:rsidP="00A96ADF">
            <w:pPr>
              <w:pStyle w:val="Textpoznpodarou"/>
              <w:jc w:val="both"/>
              <w:rPr>
                <w:rFonts w:cs="Arial"/>
                <w:lang w:val="en-GB"/>
              </w:rPr>
            </w:pPr>
            <w:r w:rsidRPr="00DD394A">
              <w:rPr>
                <w:rFonts w:cs="Arial"/>
                <w:lang w:val="en-GB"/>
              </w:rPr>
              <w:t>The lead of revenue growth (+ 3.8 % year-on-year) ahead of expenditure (+</w:t>
            </w:r>
            <w:r w:rsidR="00DD394A">
              <w:rPr>
                <w:rFonts w:cs="Arial"/>
                <w:lang w:val="en-GB"/>
              </w:rPr>
              <w:t> </w:t>
            </w:r>
            <w:r w:rsidRPr="00DD394A">
              <w:rPr>
                <w:rFonts w:cs="Arial"/>
                <w:lang w:val="en-GB"/>
              </w:rPr>
              <w:t>3.3</w:t>
            </w:r>
            <w:r w:rsidR="00DD394A">
              <w:rPr>
                <w:rFonts w:cs="Arial"/>
                <w:lang w:val="en-GB"/>
              </w:rPr>
              <w:t> </w:t>
            </w:r>
            <w:r w:rsidRPr="00DD394A">
              <w:rPr>
                <w:rFonts w:cs="Arial"/>
                <w:lang w:val="en-GB"/>
              </w:rPr>
              <w:t>%) was behind the more favourable result of the state budget deficit year-on-year. Especially the VAT collection (bu</w:t>
            </w:r>
            <w:r w:rsidR="00323725" w:rsidRPr="00DD394A">
              <w:rPr>
                <w:rFonts w:cs="Arial"/>
                <w:lang w:val="en-GB"/>
              </w:rPr>
              <w:t xml:space="preserve">dget surpassed by 11.5 </w:t>
            </w:r>
            <w:proofErr w:type="spellStart"/>
            <w:r w:rsidR="00323725" w:rsidRPr="00DD394A">
              <w:rPr>
                <w:rFonts w:cs="Arial"/>
                <w:lang w:val="en-GB"/>
              </w:rPr>
              <w:t>bn</w:t>
            </w:r>
            <w:proofErr w:type="spellEnd"/>
            <w:r w:rsidR="00323725" w:rsidRPr="00DD394A">
              <w:rPr>
                <w:rFonts w:cs="Arial"/>
                <w:lang w:val="en-GB"/>
              </w:rPr>
              <w:t xml:space="preserve"> CZK</w:t>
            </w:r>
            <w:r w:rsidR="009C7103" w:rsidRPr="00DD394A">
              <w:rPr>
                <w:rFonts w:cs="Arial"/>
                <w:lang w:val="en-GB"/>
              </w:rPr>
              <w:t>)</w:t>
            </w:r>
            <w:r w:rsidRPr="00DD394A">
              <w:rPr>
                <w:rFonts w:cs="Arial"/>
                <w:lang w:val="en-GB"/>
              </w:rPr>
              <w:t xml:space="preserve"> and taxes from cor</w:t>
            </w:r>
            <w:r w:rsidR="006974AA" w:rsidRPr="00DD394A">
              <w:rPr>
                <w:rFonts w:cs="Arial"/>
                <w:lang w:val="en-GB"/>
              </w:rPr>
              <w:t xml:space="preserve">porations (+ 7.0 </w:t>
            </w:r>
            <w:proofErr w:type="spellStart"/>
            <w:r w:rsidR="006974AA" w:rsidRPr="00DD394A">
              <w:rPr>
                <w:rFonts w:cs="Arial"/>
                <w:lang w:val="en-GB"/>
              </w:rPr>
              <w:t>bn</w:t>
            </w:r>
            <w:proofErr w:type="spellEnd"/>
            <w:r w:rsidR="006974AA" w:rsidRPr="00DD394A">
              <w:rPr>
                <w:rFonts w:cs="Arial"/>
                <w:lang w:val="en-GB"/>
              </w:rPr>
              <w:t xml:space="preserve"> CZK) result</w:t>
            </w:r>
            <w:r w:rsidRPr="00DD394A">
              <w:rPr>
                <w:rFonts w:cs="Arial"/>
                <w:lang w:val="en-GB"/>
              </w:rPr>
              <w:t xml:space="preserve">ed in the lower than anticipated deficit, savings on non-investment purchases (incl. </w:t>
            </w:r>
            <w:r w:rsidR="009C7103" w:rsidRPr="00DD394A">
              <w:rPr>
                <w:rFonts w:cs="Arial"/>
                <w:lang w:val="en-GB"/>
              </w:rPr>
              <w:t>e</w:t>
            </w:r>
            <w:r w:rsidRPr="00DD394A">
              <w:rPr>
                <w:rFonts w:cs="Arial"/>
                <w:lang w:val="en-GB"/>
              </w:rPr>
              <w:t>xpenditure on state deb</w:t>
            </w:r>
            <w:r w:rsidR="006974AA" w:rsidRPr="00DD394A">
              <w:rPr>
                <w:rFonts w:cs="Arial"/>
                <w:lang w:val="en-GB"/>
              </w:rPr>
              <w:t>t) then on the expenditure side. The a</w:t>
            </w:r>
            <w:r w:rsidRPr="00DD394A">
              <w:rPr>
                <w:rFonts w:cs="Arial"/>
                <w:lang w:val="en-GB"/>
              </w:rPr>
              <w:t>nticipated expenditure on social benefits also remained non-fu</w:t>
            </w:r>
            <w:r w:rsidR="006974AA" w:rsidRPr="00DD394A">
              <w:rPr>
                <w:rFonts w:cs="Arial"/>
                <w:lang w:val="en-GB"/>
              </w:rPr>
              <w:t xml:space="preserve">lfilled (-7.5 </w:t>
            </w:r>
            <w:proofErr w:type="spellStart"/>
            <w:r w:rsidR="006974AA" w:rsidRPr="00DD394A">
              <w:rPr>
                <w:rFonts w:cs="Arial"/>
                <w:lang w:val="en-GB"/>
              </w:rPr>
              <w:t>bn</w:t>
            </w:r>
            <w:proofErr w:type="spellEnd"/>
            <w:r w:rsidR="006974AA" w:rsidRPr="00DD394A">
              <w:rPr>
                <w:rFonts w:cs="Arial"/>
                <w:lang w:val="en-GB"/>
              </w:rPr>
              <w:t xml:space="preserve"> CZK</w:t>
            </w:r>
            <w:r w:rsidRPr="00DD394A">
              <w:rPr>
                <w:rFonts w:cs="Arial"/>
                <w:lang w:val="en-GB"/>
              </w:rPr>
              <w:t>).</w:t>
            </w:r>
          </w:p>
          <w:p w:rsidR="000B3F02" w:rsidRPr="00A96ADF" w:rsidRDefault="000B3F02" w:rsidP="00A96ADF">
            <w:pPr>
              <w:pStyle w:val="Textpoznpodarou"/>
              <w:jc w:val="both"/>
              <w:rPr>
                <w:rFonts w:cs="Arial"/>
                <w:spacing w:val="-2"/>
                <w:lang w:val="en-GB"/>
              </w:rPr>
            </w:pPr>
          </w:p>
        </w:tc>
      </w:tr>
      <w:tr w:rsidR="000B3F02" w:rsidRPr="007D44C3" w:rsidTr="006974AA">
        <w:tc>
          <w:tcPr>
            <w:tcW w:w="1054" w:type="pct"/>
          </w:tcPr>
          <w:p w:rsidR="00A96ADF" w:rsidRPr="00A96ADF" w:rsidRDefault="00A96ADF" w:rsidP="00A96ADF">
            <w:pPr>
              <w:spacing w:line="240" w:lineRule="auto"/>
              <w:rPr>
                <w:sz w:val="16"/>
                <w:szCs w:val="16"/>
                <w:lang w:val="en-GB"/>
              </w:rPr>
            </w:pPr>
            <w:r w:rsidRPr="00A96ADF">
              <w:rPr>
                <w:sz w:val="16"/>
                <w:szCs w:val="16"/>
                <w:lang w:val="en-GB"/>
              </w:rPr>
              <w:t>VAT collection increased by more than doubled rate of growth year-on-year compared to the growth of total consumption in the economy</w:t>
            </w:r>
          </w:p>
          <w:p w:rsidR="000B3F02" w:rsidRPr="00A96ADF" w:rsidRDefault="000B3F02" w:rsidP="006C559A">
            <w:pPr>
              <w:spacing w:line="240" w:lineRule="auto"/>
              <w:rPr>
                <w:sz w:val="16"/>
                <w:szCs w:val="16"/>
                <w:lang w:val="en-GB"/>
              </w:rPr>
            </w:pPr>
          </w:p>
          <w:p w:rsidR="000B3F02" w:rsidRPr="00A96ADF" w:rsidRDefault="000B3F02" w:rsidP="006C559A">
            <w:pPr>
              <w:spacing w:line="240" w:lineRule="auto"/>
              <w:rPr>
                <w:sz w:val="16"/>
                <w:szCs w:val="16"/>
                <w:lang w:val="en-GB"/>
              </w:rPr>
            </w:pPr>
          </w:p>
          <w:p w:rsidR="000B3F02" w:rsidRPr="00A96ADF" w:rsidRDefault="00A96ADF" w:rsidP="00A96ADF">
            <w:pPr>
              <w:spacing w:line="240" w:lineRule="auto"/>
              <w:rPr>
                <w:sz w:val="16"/>
                <w:szCs w:val="16"/>
                <w:lang w:val="en-GB"/>
              </w:rPr>
            </w:pPr>
            <w:r w:rsidRPr="00A96ADF">
              <w:rPr>
                <w:sz w:val="16"/>
                <w:szCs w:val="16"/>
                <w:lang w:val="en-GB"/>
              </w:rPr>
              <w:t xml:space="preserve">The collection stayed behind the budget anticipations for main types of consumption taxes </w:t>
            </w:r>
          </w:p>
        </w:tc>
        <w:tc>
          <w:tcPr>
            <w:tcW w:w="143" w:type="pct"/>
          </w:tcPr>
          <w:p w:rsidR="000B3F02" w:rsidRPr="00A96ADF" w:rsidRDefault="000B3F02" w:rsidP="008B7306">
            <w:pPr>
              <w:pStyle w:val="Textpoznpodarou"/>
              <w:jc w:val="both"/>
              <w:rPr>
                <w:lang w:val="en-GB"/>
              </w:rPr>
            </w:pPr>
          </w:p>
        </w:tc>
        <w:tc>
          <w:tcPr>
            <w:tcW w:w="3804" w:type="pct"/>
          </w:tcPr>
          <w:p w:rsidR="00A96ADF" w:rsidRPr="00DD394A" w:rsidRDefault="00A96ADF" w:rsidP="00A96ADF">
            <w:pPr>
              <w:pStyle w:val="Textpoznpodarou"/>
              <w:jc w:val="both"/>
              <w:rPr>
                <w:rFonts w:cs="Arial"/>
                <w:spacing w:val="-4"/>
                <w:lang w:val="en-GB"/>
              </w:rPr>
            </w:pPr>
            <w:r w:rsidRPr="00DD394A">
              <w:rPr>
                <w:rFonts w:cs="Arial"/>
                <w:spacing w:val="-4"/>
                <w:lang w:val="en-GB"/>
              </w:rPr>
              <w:t xml:space="preserve">The weight dominant tax revenues contributed to the higher year-on-year revenues of the SB by </w:t>
            </w:r>
            <w:r w:rsidR="006974AA" w:rsidRPr="00DD394A">
              <w:rPr>
                <w:rFonts w:cs="Arial"/>
                <w:spacing w:val="-4"/>
                <w:lang w:val="en-GB"/>
              </w:rPr>
              <w:t xml:space="preserve">nearly one half (+18.8 </w:t>
            </w:r>
            <w:proofErr w:type="spellStart"/>
            <w:r w:rsidR="006974AA" w:rsidRPr="00DD394A">
              <w:rPr>
                <w:rFonts w:cs="Arial"/>
                <w:spacing w:val="-4"/>
                <w:lang w:val="en-GB"/>
              </w:rPr>
              <w:t>bn</w:t>
            </w:r>
            <w:proofErr w:type="spellEnd"/>
            <w:r w:rsidR="006974AA" w:rsidRPr="00DD394A">
              <w:rPr>
                <w:rFonts w:cs="Arial"/>
                <w:spacing w:val="-4"/>
                <w:lang w:val="en-GB"/>
              </w:rPr>
              <w:t xml:space="preserve"> CZK</w:t>
            </w:r>
            <w:r w:rsidRPr="00DD394A">
              <w:rPr>
                <w:rFonts w:cs="Arial"/>
                <w:spacing w:val="-4"/>
                <w:lang w:val="en-GB"/>
              </w:rPr>
              <w:t xml:space="preserve">). Collection of insurance on social security also provided a </w:t>
            </w:r>
            <w:r w:rsidR="006974AA" w:rsidRPr="00DD394A">
              <w:rPr>
                <w:rFonts w:cs="Arial"/>
                <w:spacing w:val="-4"/>
                <w:lang w:val="en-GB"/>
              </w:rPr>
              <w:t>positive effect (+10.6 bn CZK</w:t>
            </w:r>
            <w:r w:rsidRPr="00DD394A">
              <w:rPr>
                <w:rFonts w:cs="Arial"/>
                <w:spacing w:val="-4"/>
                <w:lang w:val="en-GB"/>
              </w:rPr>
              <w:t>), as did the revenues outside the ta</w:t>
            </w:r>
            <w:r w:rsidR="006974AA" w:rsidRPr="00DD394A">
              <w:rPr>
                <w:rFonts w:cs="Arial"/>
                <w:spacing w:val="-4"/>
                <w:lang w:val="en-GB"/>
              </w:rPr>
              <w:t>x area (+12.6 bn CZK</w:t>
            </w:r>
            <w:r w:rsidRPr="00DD394A">
              <w:rPr>
                <w:rFonts w:cs="Arial"/>
                <w:spacing w:val="-4"/>
                <w:lang w:val="en-GB"/>
              </w:rPr>
              <w:t>) supported by intensive drawing from the EU budget and also some extraordinary revenues</w:t>
            </w:r>
            <w:r w:rsidR="007B4F1A" w:rsidRPr="00DD394A">
              <w:rPr>
                <w:rStyle w:val="Znakapoznpodarou"/>
                <w:rFonts w:cs="Arial"/>
                <w:spacing w:val="-4"/>
                <w:lang w:val="en-GB"/>
              </w:rPr>
              <w:footnoteReference w:id="12"/>
            </w:r>
            <w:r w:rsidRPr="00DD394A">
              <w:rPr>
                <w:rFonts w:cs="Arial"/>
                <w:spacing w:val="-4"/>
                <w:lang w:val="en-GB"/>
              </w:rPr>
              <w:t>. VAT was the key item for the growth of the SB revenues in 2014, its state-wide collection strengthened by 4.7 % year-on-year, which next to economic recovery also some measures of the tax evasion fight affected. The collection of consumption taxes was on the contrary affected by legislation</w:t>
            </w:r>
            <w:r w:rsidR="007B4F1A" w:rsidRPr="00DD394A">
              <w:rPr>
                <w:rStyle w:val="Znakapoznpodarou"/>
                <w:rFonts w:cs="Arial"/>
                <w:spacing w:val="-4"/>
                <w:lang w:val="en-GB"/>
              </w:rPr>
              <w:footnoteReference w:id="13"/>
            </w:r>
            <w:r w:rsidRPr="00DD394A">
              <w:rPr>
                <w:rFonts w:cs="Arial"/>
                <w:spacing w:val="-4"/>
                <w:lang w:val="en-GB"/>
              </w:rPr>
              <w:t>, and especially for these reasons remained behind the budget anticipations for all its main components. The SB acquired by 4.5 % less from the consumption tax o</w:t>
            </w:r>
            <w:r w:rsidR="000870F3" w:rsidRPr="00DD394A">
              <w:rPr>
                <w:rFonts w:cs="Arial"/>
                <w:spacing w:val="-4"/>
                <w:lang w:val="en-GB"/>
              </w:rPr>
              <w:t>n tobacco products year-on-year. The</w:t>
            </w:r>
            <w:r w:rsidRPr="00DD394A">
              <w:rPr>
                <w:rFonts w:cs="Arial"/>
                <w:spacing w:val="-4"/>
                <w:lang w:val="en-GB"/>
              </w:rPr>
              <w:t xml:space="preserve"> collection </w:t>
            </w:r>
            <w:r w:rsidR="000870F3" w:rsidRPr="00DD394A">
              <w:rPr>
                <w:rFonts w:cs="Arial"/>
                <w:spacing w:val="-4"/>
                <w:lang w:val="en-GB"/>
              </w:rPr>
              <w:t xml:space="preserve">for the most weight significant tax on mineral oils </w:t>
            </w:r>
            <w:r w:rsidRPr="00DD394A">
              <w:rPr>
                <w:rFonts w:cs="Arial"/>
                <w:spacing w:val="-4"/>
                <w:lang w:val="en-GB"/>
              </w:rPr>
              <w:t>strengthened by 4.7 % (sales of fuel sellers themselves incre</w:t>
            </w:r>
            <w:r w:rsidR="000870F3" w:rsidRPr="00DD394A">
              <w:rPr>
                <w:rFonts w:cs="Arial"/>
                <w:spacing w:val="-4"/>
                <w:lang w:val="en-GB"/>
              </w:rPr>
              <w:t>ased by 2.1 % in nominal terms), but also did not meet SB anticipations.</w:t>
            </w:r>
          </w:p>
          <w:p w:rsidR="000B3F02" w:rsidRPr="00F31411" w:rsidRDefault="000B3F02" w:rsidP="00A96ADF">
            <w:pPr>
              <w:pStyle w:val="Textpoznpodarou"/>
              <w:jc w:val="both"/>
              <w:rPr>
                <w:rFonts w:cs="Arial"/>
                <w:spacing w:val="-2"/>
                <w:sz w:val="14"/>
                <w:szCs w:val="14"/>
                <w:lang w:val="en-GB"/>
              </w:rPr>
            </w:pPr>
          </w:p>
        </w:tc>
      </w:tr>
      <w:tr w:rsidR="000B3F02" w:rsidRPr="007D44C3" w:rsidTr="006974AA">
        <w:tc>
          <w:tcPr>
            <w:tcW w:w="1054" w:type="pct"/>
          </w:tcPr>
          <w:p w:rsidR="000870F3" w:rsidRDefault="00D81F74" w:rsidP="00D81F74">
            <w:pPr>
              <w:spacing w:line="240" w:lineRule="auto"/>
              <w:rPr>
                <w:sz w:val="16"/>
                <w:szCs w:val="16"/>
                <w:lang w:val="en-GB"/>
              </w:rPr>
            </w:pPr>
            <w:r w:rsidRPr="00D81F74">
              <w:rPr>
                <w:sz w:val="16"/>
                <w:szCs w:val="16"/>
                <w:lang w:val="en-GB"/>
              </w:rPr>
              <w:t xml:space="preserve">The economic recovery transformed into strong growth of </w:t>
            </w:r>
            <w:r w:rsidR="000870F3">
              <w:rPr>
                <w:sz w:val="16"/>
                <w:szCs w:val="16"/>
                <w:lang w:val="en-GB"/>
              </w:rPr>
              <w:t xml:space="preserve">corporate tax collection, </w:t>
            </w:r>
          </w:p>
          <w:p w:rsidR="000B3F02" w:rsidRPr="00D81F74" w:rsidRDefault="000870F3" w:rsidP="00D81F74">
            <w:pPr>
              <w:spacing w:line="240" w:lineRule="auto"/>
              <w:rPr>
                <w:sz w:val="16"/>
                <w:szCs w:val="16"/>
                <w:lang w:val="en-GB"/>
              </w:rPr>
            </w:pPr>
            <w:r>
              <w:rPr>
                <w:sz w:val="16"/>
                <w:szCs w:val="16"/>
                <w:lang w:val="en-GB"/>
              </w:rPr>
              <w:t>natur</w:t>
            </w:r>
            <w:r w:rsidR="00D81F74" w:rsidRPr="00D81F74">
              <w:rPr>
                <w:sz w:val="16"/>
                <w:szCs w:val="16"/>
                <w:lang w:val="en-GB"/>
              </w:rPr>
              <w:t xml:space="preserve">al person income taxes (PPIT) from the dependent activity did not fulfil the budget anticipations despite a mild growth  </w:t>
            </w:r>
            <w:r w:rsidR="000B3F02" w:rsidRPr="00D81F74">
              <w:rPr>
                <w:sz w:val="16"/>
                <w:szCs w:val="16"/>
                <w:lang w:val="en-GB"/>
              </w:rPr>
              <w:t xml:space="preserve"> </w:t>
            </w:r>
          </w:p>
        </w:tc>
        <w:tc>
          <w:tcPr>
            <w:tcW w:w="143" w:type="pct"/>
          </w:tcPr>
          <w:p w:rsidR="000B3F02" w:rsidRPr="00D81F74" w:rsidRDefault="000B3F02" w:rsidP="008B7306">
            <w:pPr>
              <w:pStyle w:val="Textpoznpodarou"/>
              <w:jc w:val="both"/>
              <w:rPr>
                <w:lang w:val="en-GB"/>
              </w:rPr>
            </w:pPr>
          </w:p>
        </w:tc>
        <w:tc>
          <w:tcPr>
            <w:tcW w:w="3804" w:type="pct"/>
          </w:tcPr>
          <w:p w:rsidR="000B3F02" w:rsidRPr="00D81F74" w:rsidRDefault="00D81F74" w:rsidP="008B7306">
            <w:pPr>
              <w:pStyle w:val="Textpoznpodarou"/>
              <w:jc w:val="both"/>
              <w:rPr>
                <w:rFonts w:cs="Arial"/>
                <w:spacing w:val="-4"/>
                <w:lang w:val="en-GB"/>
              </w:rPr>
            </w:pPr>
            <w:r w:rsidRPr="00D81F74">
              <w:rPr>
                <w:rFonts w:cs="Arial"/>
                <w:spacing w:val="-4"/>
                <w:lang w:val="en-GB"/>
              </w:rPr>
              <w:t>Improved economic situation of companies raised the state-wide collection of corporate taxes by one tenth year-on-year (the fastest growth since 2008). On the contrary, t</w:t>
            </w:r>
            <w:r w:rsidR="000870F3">
              <w:rPr>
                <w:rFonts w:cs="Arial"/>
                <w:spacing w:val="-4"/>
                <w:lang w:val="en-GB"/>
              </w:rPr>
              <w:t>he collection of taxes on natur</w:t>
            </w:r>
            <w:r w:rsidRPr="00D81F74">
              <w:rPr>
                <w:rFonts w:cs="Arial"/>
                <w:spacing w:val="-4"/>
                <w:lang w:val="en-GB"/>
              </w:rPr>
              <w:t>al person income tax from dependent activity (+3.8 %) lagged behind not only the last year's dynamics (+5.3 %), but also the budget anticipations. So far very mild rise of both wages and employment and also the return of basic discoun</w:t>
            </w:r>
            <w:r w:rsidR="000870F3">
              <w:rPr>
                <w:rFonts w:cs="Arial"/>
                <w:spacing w:val="-4"/>
                <w:lang w:val="en-GB"/>
              </w:rPr>
              <w:t>t on tax for working retirees are reflected in the</w:t>
            </w:r>
            <w:r w:rsidRPr="00D81F74">
              <w:rPr>
                <w:rFonts w:cs="Arial"/>
                <w:spacing w:val="-4"/>
                <w:lang w:val="en-GB"/>
              </w:rPr>
              <w:t xml:space="preserve"> rates of growth of the collection. Still, the state-wide collection of taxes from employees for the whole year 2014 found itself above the level of boom top (year 2008) by one seventh, on the contrary it was by more than one quarter lower for corporations (it was dampened next to recession impacts on the profits of companies also by the repeated lowering of the tax rate). The collection from PPIT </w:t>
            </w:r>
            <w:r w:rsidR="000870F3">
              <w:rPr>
                <w:rFonts w:cs="Arial"/>
                <w:spacing w:val="-4"/>
                <w:lang w:val="en-GB"/>
              </w:rPr>
              <w:t>from capital income was high</w:t>
            </w:r>
            <w:r w:rsidRPr="00D81F74">
              <w:rPr>
                <w:rFonts w:cs="Arial"/>
                <w:spacing w:val="-4"/>
                <w:lang w:val="en-GB"/>
              </w:rPr>
              <w:t>er by one seventh year-on-year in 2014.</w:t>
            </w:r>
          </w:p>
          <w:p w:rsidR="000B3F02" w:rsidRPr="00F31411" w:rsidRDefault="000B3F02" w:rsidP="008B7306">
            <w:pPr>
              <w:pStyle w:val="Textpoznpodarou"/>
              <w:spacing w:line="216" w:lineRule="auto"/>
              <w:jc w:val="both"/>
              <w:rPr>
                <w:rFonts w:cs="Arial"/>
                <w:spacing w:val="-2"/>
                <w:sz w:val="14"/>
                <w:szCs w:val="14"/>
                <w:lang w:val="en-GB"/>
              </w:rPr>
            </w:pPr>
          </w:p>
        </w:tc>
      </w:tr>
      <w:tr w:rsidR="000B3F02" w:rsidRPr="007D44C3" w:rsidTr="006974AA">
        <w:tc>
          <w:tcPr>
            <w:tcW w:w="1054" w:type="pct"/>
          </w:tcPr>
          <w:p w:rsidR="000B3F02" w:rsidRPr="004E00B2" w:rsidRDefault="004E00B2" w:rsidP="004E00B2">
            <w:pPr>
              <w:spacing w:line="240" w:lineRule="auto"/>
              <w:rPr>
                <w:sz w:val="16"/>
                <w:szCs w:val="16"/>
                <w:lang w:val="en-GB"/>
              </w:rPr>
            </w:pPr>
            <w:r w:rsidRPr="004E00B2">
              <w:rPr>
                <w:sz w:val="16"/>
                <w:szCs w:val="16"/>
                <w:lang w:val="en-GB"/>
              </w:rPr>
              <w:t xml:space="preserve">The total SB expenditure rose the most for the last five years year-on-year, still it remained nearly by 30 </w:t>
            </w:r>
            <w:proofErr w:type="spellStart"/>
            <w:r w:rsidRPr="004E00B2">
              <w:rPr>
                <w:sz w:val="16"/>
                <w:szCs w:val="16"/>
                <w:lang w:val="en-GB"/>
              </w:rPr>
              <w:t>bn</w:t>
            </w:r>
            <w:proofErr w:type="spellEnd"/>
            <w:r w:rsidRPr="004E00B2">
              <w:rPr>
                <w:sz w:val="16"/>
                <w:szCs w:val="16"/>
                <w:lang w:val="en-GB"/>
              </w:rPr>
              <w:t xml:space="preserve"> </w:t>
            </w:r>
            <w:r w:rsidR="000870F3">
              <w:rPr>
                <w:sz w:val="16"/>
                <w:szCs w:val="16"/>
                <w:lang w:val="en-GB"/>
              </w:rPr>
              <w:t xml:space="preserve">CZK </w:t>
            </w:r>
            <w:r w:rsidRPr="004E00B2">
              <w:rPr>
                <w:sz w:val="16"/>
                <w:szCs w:val="16"/>
                <w:lang w:val="en-GB"/>
              </w:rPr>
              <w:t xml:space="preserve">below the budget anticipations </w:t>
            </w:r>
          </w:p>
        </w:tc>
        <w:tc>
          <w:tcPr>
            <w:tcW w:w="143" w:type="pct"/>
          </w:tcPr>
          <w:p w:rsidR="000B3F02" w:rsidRPr="004E00B2" w:rsidRDefault="000B3F02" w:rsidP="008B7306">
            <w:pPr>
              <w:pStyle w:val="Textpoznpodarou"/>
              <w:jc w:val="both"/>
              <w:rPr>
                <w:lang w:val="en-GB"/>
              </w:rPr>
            </w:pPr>
          </w:p>
        </w:tc>
        <w:tc>
          <w:tcPr>
            <w:tcW w:w="3804" w:type="pct"/>
          </w:tcPr>
          <w:p w:rsidR="004E00B2" w:rsidRPr="004E00B2" w:rsidRDefault="004E00B2" w:rsidP="004E00B2">
            <w:pPr>
              <w:pStyle w:val="Textpoznpodarou"/>
              <w:jc w:val="both"/>
              <w:rPr>
                <w:rFonts w:cs="Arial"/>
                <w:spacing w:val="-4"/>
                <w:lang w:val="en-GB"/>
              </w:rPr>
            </w:pPr>
            <w:r w:rsidRPr="004E00B2">
              <w:rPr>
                <w:rFonts w:cs="Arial"/>
                <w:spacing w:val="-4"/>
                <w:lang w:val="en-GB"/>
              </w:rPr>
              <w:t>The current expenditure (+2.7 %) contributed to the year-on-year growth of total</w:t>
            </w:r>
            <w:r w:rsidR="000870F3">
              <w:rPr>
                <w:rFonts w:cs="Arial"/>
                <w:spacing w:val="-4"/>
                <w:lang w:val="en-GB"/>
              </w:rPr>
              <w:t xml:space="preserve"> SB expenditure (+38.5 bn CZK</w:t>
            </w:r>
            <w:r w:rsidRPr="004E00B2">
              <w:rPr>
                <w:rFonts w:cs="Arial"/>
                <w:spacing w:val="-4"/>
                <w:lang w:val="en-GB"/>
              </w:rPr>
              <w:t>) from three quarters, the continue</w:t>
            </w:r>
            <w:r w:rsidR="00861369">
              <w:rPr>
                <w:rFonts w:cs="Arial"/>
                <w:spacing w:val="-4"/>
                <w:lang w:val="en-GB"/>
              </w:rPr>
              <w:t>d</w:t>
            </w:r>
            <w:r w:rsidRPr="004E00B2">
              <w:rPr>
                <w:rFonts w:cs="Arial"/>
                <w:spacing w:val="-4"/>
                <w:lang w:val="en-GB"/>
              </w:rPr>
              <w:t xml:space="preserve"> fall of capital expenditure halted due to the „finish“ at the end of 2014 after three years (+9.8 %). Four fifths of investment expenditure </w:t>
            </w:r>
            <w:proofErr w:type="gramStart"/>
            <w:r w:rsidRPr="004E00B2">
              <w:rPr>
                <w:rFonts w:cs="Arial"/>
                <w:spacing w:val="-4"/>
                <w:lang w:val="en-GB"/>
              </w:rPr>
              <w:t>were</w:t>
            </w:r>
            <w:proofErr w:type="gramEnd"/>
            <w:r w:rsidRPr="004E00B2">
              <w:rPr>
                <w:rFonts w:cs="Arial"/>
                <w:spacing w:val="-4"/>
                <w:lang w:val="en-GB"/>
              </w:rPr>
              <w:t xml:space="preserve"> allocated on the common programs of the CR and the EU. Investment shared in the total state </w:t>
            </w:r>
            <w:r w:rsidR="000870F3">
              <w:rPr>
                <w:rFonts w:cs="Arial"/>
                <w:spacing w:val="-4"/>
                <w:lang w:val="en-GB"/>
              </w:rPr>
              <w:t xml:space="preserve">budget </w:t>
            </w:r>
            <w:r w:rsidRPr="004E00B2">
              <w:rPr>
                <w:rFonts w:cs="Arial"/>
                <w:spacing w:val="-4"/>
                <w:lang w:val="en-GB"/>
              </w:rPr>
              <w:t xml:space="preserve">expenditure by 9.3 % in 2014, one fifth below the level of years 2009-10, but still more compared </w:t>
            </w:r>
            <w:r w:rsidR="000870F3">
              <w:rPr>
                <w:rFonts w:cs="Arial"/>
                <w:spacing w:val="-4"/>
                <w:lang w:val="en-GB"/>
              </w:rPr>
              <w:t xml:space="preserve">to </w:t>
            </w:r>
            <w:r w:rsidRPr="004E00B2">
              <w:rPr>
                <w:rFonts w:cs="Arial"/>
                <w:spacing w:val="-4"/>
                <w:lang w:val="en-GB"/>
              </w:rPr>
              <w:t>the period shortly before the CR accession to the EU (7-8 %).</w:t>
            </w:r>
          </w:p>
          <w:p w:rsidR="000B3F02" w:rsidRPr="00F31411" w:rsidRDefault="000B3F02" w:rsidP="004E00B2">
            <w:pPr>
              <w:pStyle w:val="Textpoznpodarou"/>
              <w:jc w:val="both"/>
              <w:rPr>
                <w:rFonts w:cs="Arial"/>
                <w:spacing w:val="-2"/>
                <w:sz w:val="14"/>
                <w:szCs w:val="14"/>
                <w:lang w:val="en-GB"/>
              </w:rPr>
            </w:pPr>
          </w:p>
        </w:tc>
      </w:tr>
      <w:tr w:rsidR="000B3F02" w:rsidRPr="007D44C3" w:rsidTr="006974AA">
        <w:tc>
          <w:tcPr>
            <w:tcW w:w="1054" w:type="pct"/>
          </w:tcPr>
          <w:p w:rsidR="000B3F02" w:rsidRPr="004E00B2" w:rsidRDefault="004E00B2" w:rsidP="000870F3">
            <w:pPr>
              <w:spacing w:line="240" w:lineRule="auto"/>
              <w:rPr>
                <w:sz w:val="16"/>
                <w:szCs w:val="16"/>
                <w:lang w:val="en-GB"/>
              </w:rPr>
            </w:pPr>
            <w:r w:rsidRPr="004E00B2">
              <w:rPr>
                <w:sz w:val="16"/>
                <w:szCs w:val="16"/>
                <w:lang w:val="en-GB"/>
              </w:rPr>
              <w:t xml:space="preserve">Stopping of further deepening of the pension account deficit mostly due to the improved collection of insurance (which for the first time after </w:t>
            </w:r>
            <w:r w:rsidR="000870F3">
              <w:rPr>
                <w:sz w:val="16"/>
                <w:szCs w:val="16"/>
                <w:lang w:val="en-GB"/>
              </w:rPr>
              <w:t xml:space="preserve">2007 </w:t>
            </w:r>
            <w:r w:rsidRPr="004E00B2">
              <w:rPr>
                <w:sz w:val="16"/>
                <w:szCs w:val="16"/>
                <w:lang w:val="en-GB"/>
              </w:rPr>
              <w:t xml:space="preserve">fulfilled the budget anticipations in 2014) </w:t>
            </w:r>
          </w:p>
        </w:tc>
        <w:tc>
          <w:tcPr>
            <w:tcW w:w="143" w:type="pct"/>
          </w:tcPr>
          <w:p w:rsidR="000B3F02" w:rsidRPr="004E00B2" w:rsidRDefault="000B3F02" w:rsidP="008B7306">
            <w:pPr>
              <w:pStyle w:val="Textpoznpodarou"/>
              <w:jc w:val="both"/>
              <w:rPr>
                <w:lang w:val="en-GB"/>
              </w:rPr>
            </w:pPr>
          </w:p>
        </w:tc>
        <w:tc>
          <w:tcPr>
            <w:tcW w:w="3804" w:type="pct"/>
          </w:tcPr>
          <w:p w:rsidR="004E00B2" w:rsidRPr="004E00B2" w:rsidRDefault="004E00B2" w:rsidP="004E00B2">
            <w:pPr>
              <w:pStyle w:val="Textpoznpodarou"/>
              <w:jc w:val="both"/>
              <w:rPr>
                <w:rFonts w:cs="Arial"/>
                <w:spacing w:val="-4"/>
                <w:lang w:val="en-GB"/>
              </w:rPr>
            </w:pPr>
            <w:r w:rsidRPr="004E00B2">
              <w:rPr>
                <w:rFonts w:cs="Arial"/>
                <w:spacing w:val="-4"/>
                <w:lang w:val="en-GB"/>
              </w:rPr>
              <w:t>The pension expenditure the most significant in volume (in line with budget anticipation) mildly grew year-on-year (+0.8 %). Especially the number of pension recipients, which in fact stagnates nearly ten quarters in a row, affected the size of the pension expenditure given the lower rate of pension adjustment</w:t>
            </w:r>
            <w:r w:rsidR="000870F3">
              <w:rPr>
                <w:rFonts w:cs="Arial"/>
                <w:spacing w:val="-4"/>
                <w:lang w:val="en-GB"/>
              </w:rPr>
              <w:t xml:space="preserve"> (indexation)</w:t>
            </w:r>
            <w:r w:rsidRPr="004E00B2">
              <w:rPr>
                <w:rFonts w:cs="Arial"/>
                <w:spacing w:val="-4"/>
                <w:lang w:val="en-GB"/>
              </w:rPr>
              <w:t xml:space="preserve">. The improvement on the labour market was reflected in the growth of social insurance collection on pensions, whose dynamics further strengthened during the year 2014. Pension account balance (as a difference between revenues and expenditure on pensions from the SB) </w:t>
            </w:r>
            <w:r w:rsidR="000870F3" w:rsidRPr="004E00B2">
              <w:rPr>
                <w:rFonts w:cs="Arial"/>
                <w:spacing w:val="-4"/>
                <w:lang w:val="en-GB"/>
              </w:rPr>
              <w:t xml:space="preserve">deficit </w:t>
            </w:r>
            <w:r w:rsidR="000870F3">
              <w:rPr>
                <w:rFonts w:cs="Arial"/>
                <w:spacing w:val="-4"/>
                <w:lang w:val="en-GB"/>
              </w:rPr>
              <w:t>lowered to 45 bn CZK</w:t>
            </w:r>
            <w:r w:rsidRPr="004E00B2">
              <w:rPr>
                <w:rFonts w:cs="Arial"/>
                <w:spacing w:val="-4"/>
                <w:lang w:val="en-GB"/>
              </w:rPr>
              <w:t xml:space="preserve"> and recorded the largest positive shift year-on-year (lowering of defici</w:t>
            </w:r>
            <w:r w:rsidR="000870F3">
              <w:rPr>
                <w:rFonts w:cs="Arial"/>
                <w:spacing w:val="-4"/>
                <w:lang w:val="en-GB"/>
              </w:rPr>
              <w:t>t by 5 bn CZK</w:t>
            </w:r>
            <w:r w:rsidRPr="004E00B2">
              <w:rPr>
                <w:rFonts w:cs="Arial"/>
                <w:spacing w:val="-4"/>
                <w:lang w:val="en-GB"/>
              </w:rPr>
              <w:t>) since 2007.</w:t>
            </w:r>
          </w:p>
          <w:p w:rsidR="000B3F02" w:rsidRPr="00F31411" w:rsidRDefault="000B3F02" w:rsidP="004E00B2">
            <w:pPr>
              <w:pStyle w:val="Textpoznpodarou"/>
              <w:jc w:val="both"/>
              <w:rPr>
                <w:rFonts w:cs="Arial"/>
                <w:spacing w:val="-4"/>
                <w:sz w:val="14"/>
                <w:szCs w:val="14"/>
                <w:lang w:val="en-GB"/>
              </w:rPr>
            </w:pPr>
          </w:p>
        </w:tc>
      </w:tr>
      <w:tr w:rsidR="000B3F02" w:rsidRPr="007D44C3" w:rsidTr="00DD394A">
        <w:tc>
          <w:tcPr>
            <w:tcW w:w="1054" w:type="pct"/>
          </w:tcPr>
          <w:p w:rsidR="000B3F02" w:rsidRPr="00AA4BF4" w:rsidRDefault="00AA4BF4" w:rsidP="00AA4BF4">
            <w:pPr>
              <w:spacing w:line="240" w:lineRule="auto"/>
              <w:rPr>
                <w:sz w:val="16"/>
                <w:szCs w:val="16"/>
                <w:lang w:val="en-GB"/>
              </w:rPr>
            </w:pPr>
            <w:r w:rsidRPr="00AA4BF4">
              <w:rPr>
                <w:sz w:val="16"/>
                <w:szCs w:val="16"/>
                <w:lang w:val="en-GB"/>
              </w:rPr>
              <w:t xml:space="preserve">Other social benefits (without pensions) were by 3.1 % larger year-on-year </w:t>
            </w:r>
          </w:p>
        </w:tc>
        <w:tc>
          <w:tcPr>
            <w:tcW w:w="143" w:type="pct"/>
          </w:tcPr>
          <w:p w:rsidR="000B3F02" w:rsidRPr="00AA4BF4" w:rsidRDefault="000B3F02" w:rsidP="008B7306">
            <w:pPr>
              <w:pStyle w:val="Textpoznpodarou"/>
              <w:jc w:val="both"/>
              <w:rPr>
                <w:lang w:val="en-GB"/>
              </w:rPr>
            </w:pPr>
          </w:p>
        </w:tc>
        <w:tc>
          <w:tcPr>
            <w:tcW w:w="3804" w:type="pct"/>
          </w:tcPr>
          <w:p w:rsidR="00AA4BF4" w:rsidRPr="00AA4BF4" w:rsidRDefault="00AA4BF4" w:rsidP="00AA4BF4">
            <w:pPr>
              <w:pStyle w:val="Textpoznpodarou"/>
              <w:jc w:val="both"/>
              <w:rPr>
                <w:rFonts w:cs="Arial"/>
                <w:spacing w:val="-2"/>
                <w:lang w:val="en-GB"/>
              </w:rPr>
            </w:pPr>
            <w:r w:rsidRPr="00AA4BF4">
              <w:rPr>
                <w:rFonts w:cs="Arial"/>
                <w:spacing w:val="-2"/>
                <w:lang w:val="en-GB"/>
              </w:rPr>
              <w:t xml:space="preserve">The size of all social benefits (excluding pensions) grew year-on-year (+3.1 %). Only funds on unemployment benefits (-4 %), which every fifth registered candidate received at the end of the year, dropped among the more significant items. State </w:t>
            </w:r>
            <w:r w:rsidRPr="00AA4BF4">
              <w:rPr>
                <w:rFonts w:cs="Arial"/>
                <w:spacing w:val="-2"/>
                <w:lang w:val="en-GB"/>
              </w:rPr>
              <w:lastRenderedPageBreak/>
              <w:t xml:space="preserve">however expended more on other benefits – especially the social care benefits (mostly the material deprivation assistance – by nearly one half more in </w:t>
            </w:r>
            <w:r w:rsidR="00DA066F">
              <w:rPr>
                <w:rFonts w:cs="Arial"/>
                <w:spacing w:val="-2"/>
                <w:lang w:val="en-GB"/>
              </w:rPr>
              <w:t xml:space="preserve">the last </w:t>
            </w:r>
            <w:r w:rsidRPr="00AA4BF4">
              <w:rPr>
                <w:rFonts w:cs="Arial"/>
                <w:spacing w:val="-2"/>
                <w:lang w:val="en-GB"/>
              </w:rPr>
              <w:t>two years), sickness insurance benefits (+10 %), as well as the most volume si</w:t>
            </w:r>
            <w:r w:rsidR="00DA066F">
              <w:rPr>
                <w:rFonts w:cs="Arial"/>
                <w:spacing w:val="-2"/>
                <w:lang w:val="en-GB"/>
              </w:rPr>
              <w:t xml:space="preserve">gnificant state social support benefits </w:t>
            </w:r>
            <w:r w:rsidRPr="00AA4BF4">
              <w:rPr>
                <w:rFonts w:cs="Arial"/>
                <w:spacing w:val="-2"/>
                <w:lang w:val="en-GB"/>
              </w:rPr>
              <w:t>(+0.3 %), where mostly</w:t>
            </w:r>
            <w:r w:rsidR="00DA066F">
              <w:rPr>
                <w:rFonts w:cs="Arial"/>
                <w:spacing w:val="-2"/>
                <w:lang w:val="en-GB"/>
              </w:rPr>
              <w:t xml:space="preserve"> the housing benefits grew (+19</w:t>
            </w:r>
            <w:r w:rsidR="00DA066F">
              <w:rPr>
                <w:rFonts w:cs="Arial"/>
                <w:spacing w:val="-4"/>
              </w:rPr>
              <w:t> </w:t>
            </w:r>
            <w:r w:rsidRPr="00AA4BF4">
              <w:rPr>
                <w:rFonts w:cs="Arial"/>
                <w:spacing w:val="-2"/>
                <w:lang w:val="en-GB"/>
              </w:rPr>
              <w:t>%). Expenditure on all social benefits „cut</w:t>
            </w:r>
            <w:proofErr w:type="gramStart"/>
            <w:r w:rsidRPr="00AA4BF4">
              <w:rPr>
                <w:rFonts w:cs="Arial"/>
                <w:spacing w:val="-2"/>
                <w:lang w:val="en-GB"/>
              </w:rPr>
              <w:t>“ 40.9</w:t>
            </w:r>
            <w:proofErr w:type="gramEnd"/>
            <w:r w:rsidRPr="00AA4BF4">
              <w:rPr>
                <w:rFonts w:cs="Arial"/>
                <w:spacing w:val="-2"/>
                <w:lang w:val="en-GB"/>
              </w:rPr>
              <w:t xml:space="preserve"> % from the budget (in 2013</w:t>
            </w:r>
            <w:r w:rsidR="00DA066F">
              <w:rPr>
                <w:rFonts w:cs="Arial"/>
                <w:spacing w:val="-2"/>
                <w:lang w:val="en-GB"/>
              </w:rPr>
              <w:t xml:space="preserve"> it was 41.7 %</w:t>
            </w:r>
            <w:r w:rsidRPr="00AA4BF4">
              <w:rPr>
                <w:rFonts w:cs="Arial"/>
                <w:spacing w:val="-2"/>
                <w:lang w:val="en-GB"/>
              </w:rPr>
              <w:t>).</w:t>
            </w:r>
          </w:p>
          <w:p w:rsidR="000B3F02" w:rsidRPr="00F31411" w:rsidRDefault="000B3F02" w:rsidP="00AA4BF4">
            <w:pPr>
              <w:pStyle w:val="Textpoznpodarou"/>
              <w:jc w:val="both"/>
              <w:rPr>
                <w:rFonts w:cs="Arial"/>
                <w:spacing w:val="-4"/>
                <w:sz w:val="14"/>
                <w:szCs w:val="14"/>
                <w:lang w:val="en-GB"/>
              </w:rPr>
            </w:pPr>
          </w:p>
        </w:tc>
      </w:tr>
      <w:tr w:rsidR="000B3F02" w:rsidRPr="0053017A" w:rsidTr="00DD394A">
        <w:tc>
          <w:tcPr>
            <w:tcW w:w="1054" w:type="pct"/>
          </w:tcPr>
          <w:p w:rsidR="00F12BC8" w:rsidRPr="00F12BC8" w:rsidRDefault="00F12BC8" w:rsidP="00F12BC8">
            <w:pPr>
              <w:spacing w:line="240" w:lineRule="auto"/>
              <w:rPr>
                <w:sz w:val="16"/>
                <w:szCs w:val="16"/>
                <w:lang w:val="en-GB"/>
              </w:rPr>
            </w:pPr>
            <w:r w:rsidRPr="00F12BC8">
              <w:rPr>
                <w:sz w:val="16"/>
                <w:szCs w:val="16"/>
                <w:lang w:val="en-GB"/>
              </w:rPr>
              <w:lastRenderedPageBreak/>
              <w:t xml:space="preserve">The CR acquired </w:t>
            </w:r>
            <w:r w:rsidR="00DA066F">
              <w:rPr>
                <w:sz w:val="16"/>
                <w:szCs w:val="16"/>
                <w:lang w:val="en-GB"/>
              </w:rPr>
              <w:t>from EU budget so far „in net“ 410 bn CZK</w:t>
            </w:r>
            <w:r w:rsidRPr="00F12BC8">
              <w:rPr>
                <w:sz w:val="16"/>
                <w:szCs w:val="16"/>
                <w:lang w:val="en-GB"/>
              </w:rPr>
              <w:t xml:space="preserve"> since the accession to the EU, one sixth of this amount in year 2014 itself</w:t>
            </w:r>
          </w:p>
          <w:p w:rsidR="00593CA3" w:rsidRPr="00F12BC8" w:rsidRDefault="00593CA3" w:rsidP="006C559A">
            <w:pPr>
              <w:spacing w:line="240" w:lineRule="auto"/>
              <w:rPr>
                <w:sz w:val="16"/>
                <w:szCs w:val="16"/>
                <w:lang w:val="en-GB"/>
              </w:rPr>
            </w:pPr>
          </w:p>
          <w:p w:rsidR="0039066E" w:rsidRDefault="0039066E" w:rsidP="006C559A">
            <w:pPr>
              <w:spacing w:line="240" w:lineRule="auto"/>
              <w:rPr>
                <w:sz w:val="16"/>
                <w:szCs w:val="16"/>
                <w:lang w:val="en-GB"/>
              </w:rPr>
            </w:pPr>
          </w:p>
          <w:p w:rsidR="00323725" w:rsidRPr="00F12BC8" w:rsidRDefault="00323725" w:rsidP="006C559A">
            <w:pPr>
              <w:spacing w:line="240" w:lineRule="auto"/>
              <w:rPr>
                <w:sz w:val="16"/>
                <w:szCs w:val="16"/>
                <w:lang w:val="en-GB"/>
              </w:rPr>
            </w:pPr>
          </w:p>
          <w:p w:rsidR="000B3F02" w:rsidRPr="00F12BC8" w:rsidRDefault="00F12BC8" w:rsidP="00DD394A">
            <w:pPr>
              <w:spacing w:line="240" w:lineRule="auto"/>
              <w:rPr>
                <w:sz w:val="16"/>
                <w:szCs w:val="16"/>
                <w:lang w:val="en-GB"/>
              </w:rPr>
            </w:pPr>
            <w:r w:rsidRPr="00F12BC8">
              <w:rPr>
                <w:sz w:val="16"/>
                <w:szCs w:val="16"/>
                <w:lang w:val="en-GB"/>
              </w:rPr>
              <w:t xml:space="preserve">The state debt declined </w:t>
            </w:r>
            <w:r w:rsidR="00323725">
              <w:rPr>
                <w:sz w:val="16"/>
                <w:szCs w:val="16"/>
                <w:lang w:val="en-GB"/>
              </w:rPr>
              <w:t xml:space="preserve">(for the first time since 1995) </w:t>
            </w:r>
            <w:r w:rsidRPr="00F12BC8">
              <w:rPr>
                <w:sz w:val="16"/>
                <w:szCs w:val="16"/>
                <w:lang w:val="en-GB"/>
              </w:rPr>
              <w:t>due to the lowering of foreign indebtedness in 2014</w:t>
            </w:r>
          </w:p>
        </w:tc>
        <w:tc>
          <w:tcPr>
            <w:tcW w:w="143" w:type="pct"/>
          </w:tcPr>
          <w:p w:rsidR="000B3F02" w:rsidRPr="00F12BC8" w:rsidRDefault="000B3F02" w:rsidP="008B7306">
            <w:pPr>
              <w:pStyle w:val="Textpoznpodarou"/>
              <w:jc w:val="both"/>
              <w:rPr>
                <w:lang w:val="en-GB"/>
              </w:rPr>
            </w:pPr>
          </w:p>
        </w:tc>
        <w:tc>
          <w:tcPr>
            <w:tcW w:w="3804" w:type="pct"/>
          </w:tcPr>
          <w:p w:rsidR="00F12BC8" w:rsidRPr="00F12BC8" w:rsidRDefault="00F12BC8" w:rsidP="00F12BC8">
            <w:pPr>
              <w:pStyle w:val="Textpoznpodarou"/>
              <w:jc w:val="both"/>
              <w:rPr>
                <w:rFonts w:cs="Arial"/>
                <w:spacing w:val="-4"/>
                <w:lang w:val="en-GB"/>
              </w:rPr>
            </w:pPr>
            <w:r w:rsidRPr="00F12BC8">
              <w:rPr>
                <w:rFonts w:cs="Arial"/>
                <w:spacing w:val="-4"/>
                <w:lang w:val="en-GB"/>
              </w:rPr>
              <w:t>Net positive position of the CR towards the EU</w:t>
            </w:r>
            <w:r w:rsidR="00DA066F">
              <w:rPr>
                <w:rFonts w:cs="Arial"/>
                <w:spacing w:val="-4"/>
                <w:lang w:val="en-GB"/>
              </w:rPr>
              <w:t xml:space="preserve"> budget amounted to 76 </w:t>
            </w:r>
            <w:proofErr w:type="spellStart"/>
            <w:r w:rsidR="00DA066F">
              <w:rPr>
                <w:rFonts w:cs="Arial"/>
                <w:spacing w:val="-4"/>
                <w:lang w:val="en-GB"/>
              </w:rPr>
              <w:t>bn</w:t>
            </w:r>
            <w:proofErr w:type="spellEnd"/>
            <w:r w:rsidR="00DA066F">
              <w:rPr>
                <w:rFonts w:cs="Arial"/>
                <w:spacing w:val="-4"/>
                <w:lang w:val="en-GB"/>
              </w:rPr>
              <w:t xml:space="preserve"> CZK</w:t>
            </w:r>
            <w:r w:rsidRPr="00F12BC8">
              <w:rPr>
                <w:rFonts w:cs="Arial"/>
                <w:spacing w:val="-4"/>
                <w:lang w:val="en-GB"/>
              </w:rPr>
              <w:t xml:space="preserve"> in 2014 and moved close to the so far record level of year 2013. On</w:t>
            </w:r>
            <w:r w:rsidR="00861369">
              <w:rPr>
                <w:rFonts w:cs="Arial"/>
                <w:spacing w:val="-4"/>
                <w:lang w:val="en-GB"/>
              </w:rPr>
              <w:t>e</w:t>
            </w:r>
            <w:r w:rsidRPr="00F12BC8">
              <w:rPr>
                <w:rFonts w:cs="Arial"/>
                <w:spacing w:val="-4"/>
                <w:lang w:val="en-GB"/>
              </w:rPr>
              <w:t xml:space="preserve"> half of revenues came from the most significant part in the long-term – </w:t>
            </w:r>
            <w:r w:rsidR="00861369">
              <w:rPr>
                <w:rFonts w:cs="Arial"/>
                <w:spacing w:val="-4"/>
                <w:lang w:val="en-GB"/>
              </w:rPr>
              <w:t xml:space="preserve">the </w:t>
            </w:r>
            <w:r w:rsidRPr="00F12BC8">
              <w:rPr>
                <w:rFonts w:cs="Arial"/>
                <w:spacing w:val="-4"/>
                <w:lang w:val="en-GB"/>
              </w:rPr>
              <w:t>structural funds. The significance of the cohesion funds was strengthening to th</w:t>
            </w:r>
            <w:r w:rsidR="00DA066F">
              <w:rPr>
                <w:rFonts w:cs="Arial"/>
                <w:spacing w:val="-4"/>
                <w:lang w:val="en-GB"/>
              </w:rPr>
              <w:t>e detriment of funds on rural</w:t>
            </w:r>
            <w:r w:rsidRPr="00F12BC8">
              <w:rPr>
                <w:rFonts w:cs="Arial"/>
                <w:spacing w:val="-4"/>
                <w:lang w:val="en-GB"/>
              </w:rPr>
              <w:t xml:space="preserve"> development from the view of the CR revenues in the past years. The CR paid into</w:t>
            </w:r>
            <w:r>
              <w:rPr>
                <w:rFonts w:cs="Arial"/>
                <w:spacing w:val="-4"/>
                <w:lang w:val="en-GB"/>
              </w:rPr>
              <w:t xml:space="preserve"> </w:t>
            </w:r>
            <w:r w:rsidR="00DA066F">
              <w:rPr>
                <w:rFonts w:cs="Arial"/>
                <w:spacing w:val="-4"/>
                <w:lang w:val="en-GB"/>
              </w:rPr>
              <w:t>the EU budget 387 bn CZK and received 798 bn CZK in years 2004-2014</w:t>
            </w:r>
            <w:r w:rsidRPr="00F12BC8">
              <w:rPr>
                <w:rFonts w:cs="Arial"/>
                <w:spacing w:val="-4"/>
                <w:lang w:val="en-GB"/>
              </w:rPr>
              <w:t>.</w:t>
            </w:r>
          </w:p>
          <w:p w:rsidR="00593CA3" w:rsidRPr="00F31411" w:rsidRDefault="00593CA3" w:rsidP="00C60696">
            <w:pPr>
              <w:pStyle w:val="Textpoznpodarou"/>
              <w:jc w:val="both"/>
              <w:rPr>
                <w:rFonts w:cs="Arial"/>
                <w:spacing w:val="-4"/>
                <w:sz w:val="14"/>
                <w:szCs w:val="14"/>
                <w:lang w:val="en-GB"/>
              </w:rPr>
            </w:pPr>
          </w:p>
          <w:p w:rsidR="00F12BC8" w:rsidRPr="00F12BC8" w:rsidRDefault="00F12BC8" w:rsidP="00F12BC8">
            <w:pPr>
              <w:pStyle w:val="Textpoznpodarou"/>
              <w:jc w:val="both"/>
              <w:rPr>
                <w:rFonts w:cs="Arial"/>
                <w:spacing w:val="-4"/>
                <w:lang w:val="en-GB"/>
              </w:rPr>
            </w:pPr>
            <w:r w:rsidRPr="00F12BC8">
              <w:rPr>
                <w:rFonts w:cs="Arial"/>
                <w:spacing w:val="-4"/>
                <w:lang w:val="en-GB"/>
              </w:rPr>
              <w:t>Total state debt mildly decreased (by 19.</w:t>
            </w:r>
            <w:r w:rsidR="00323725">
              <w:rPr>
                <w:rFonts w:cs="Arial"/>
                <w:spacing w:val="-4"/>
                <w:lang w:val="en-GB"/>
              </w:rPr>
              <w:t xml:space="preserve">6 </w:t>
            </w:r>
            <w:proofErr w:type="spellStart"/>
            <w:r w:rsidR="00323725">
              <w:rPr>
                <w:rFonts w:cs="Arial"/>
                <w:spacing w:val="-4"/>
                <w:lang w:val="en-GB"/>
              </w:rPr>
              <w:t>bn</w:t>
            </w:r>
            <w:proofErr w:type="spellEnd"/>
            <w:r w:rsidR="00323725">
              <w:rPr>
                <w:rFonts w:cs="Arial"/>
                <w:spacing w:val="-4"/>
                <w:lang w:val="en-GB"/>
              </w:rPr>
              <w:t xml:space="preserve"> CZK) to</w:t>
            </w:r>
            <w:r w:rsidR="00DA066F">
              <w:rPr>
                <w:rFonts w:cs="Arial"/>
                <w:spacing w:val="-4"/>
                <w:lang w:val="en-GB"/>
              </w:rPr>
              <w:t xml:space="preserve"> 1 663 </w:t>
            </w:r>
            <w:proofErr w:type="spellStart"/>
            <w:r w:rsidR="00DA066F">
              <w:rPr>
                <w:rFonts w:cs="Arial"/>
                <w:spacing w:val="-4"/>
                <w:lang w:val="en-GB"/>
              </w:rPr>
              <w:t>bn</w:t>
            </w:r>
            <w:proofErr w:type="spellEnd"/>
            <w:r w:rsidR="00DA066F">
              <w:rPr>
                <w:rFonts w:cs="Arial"/>
                <w:spacing w:val="-4"/>
                <w:lang w:val="en-GB"/>
              </w:rPr>
              <w:t xml:space="preserve"> CZK</w:t>
            </w:r>
            <w:r w:rsidRPr="00F12BC8">
              <w:rPr>
                <w:rFonts w:cs="Arial"/>
                <w:spacing w:val="-4"/>
                <w:lang w:val="en-GB"/>
              </w:rPr>
              <w:t xml:space="preserve"> during 2014. It was the first lowering of indebtedness since 1995. Full 82 % of the state debt pertained to the inner indebtedness at the end of 2014 (whose size increased by 5.9 % </w:t>
            </w:r>
            <w:proofErr w:type="gramStart"/>
            <w:r w:rsidRPr="00F12BC8">
              <w:rPr>
                <w:rFonts w:cs="Arial"/>
                <w:spacing w:val="-4"/>
                <w:lang w:val="en-GB"/>
              </w:rPr>
              <w:t>year-on-year</w:t>
            </w:r>
            <w:proofErr w:type="gramEnd"/>
            <w:r w:rsidRPr="00F12BC8">
              <w:rPr>
                <w:rFonts w:cs="Arial"/>
                <w:spacing w:val="-4"/>
                <w:lang w:val="en-GB"/>
              </w:rPr>
              <w:t xml:space="preserve">). </w:t>
            </w:r>
          </w:p>
        </w:tc>
      </w:tr>
    </w:tbl>
    <w:p w:rsidR="006974AA" w:rsidRDefault="006974AA" w:rsidP="006974AA">
      <w:pPr>
        <w:spacing w:line="240" w:lineRule="auto"/>
      </w:pPr>
    </w:p>
    <w:tbl>
      <w:tblPr>
        <w:tblW w:w="5021" w:type="pct"/>
        <w:tblLayout w:type="fixed"/>
        <w:tblCellMar>
          <w:left w:w="28" w:type="dxa"/>
          <w:right w:w="28" w:type="dxa"/>
        </w:tblCellMar>
        <w:tblLook w:val="04A0"/>
      </w:tblPr>
      <w:tblGrid>
        <w:gridCol w:w="633"/>
        <w:gridCol w:w="99"/>
        <w:gridCol w:w="4056"/>
        <w:gridCol w:w="21"/>
        <w:gridCol w:w="705"/>
        <w:gridCol w:w="4221"/>
      </w:tblGrid>
      <w:tr w:rsidR="006974AA" w:rsidTr="006974AA">
        <w:tc>
          <w:tcPr>
            <w:tcW w:w="376" w:type="pct"/>
            <w:gridSpan w:val="2"/>
          </w:tcPr>
          <w:p w:rsidR="006974AA" w:rsidRDefault="006974AA" w:rsidP="006974AA">
            <w:pPr>
              <w:spacing w:line="240" w:lineRule="auto"/>
            </w:pPr>
            <w:r>
              <w:t>Chart 19</w:t>
            </w:r>
          </w:p>
        </w:tc>
        <w:tc>
          <w:tcPr>
            <w:tcW w:w="2083" w:type="pct"/>
          </w:tcPr>
          <w:p w:rsidR="006974AA" w:rsidRPr="00861369" w:rsidRDefault="006974AA" w:rsidP="006974AA">
            <w:pPr>
              <w:spacing w:line="240" w:lineRule="auto"/>
              <w:rPr>
                <w:rFonts w:cs="Arial"/>
                <w:b/>
                <w:bCs/>
                <w:lang w:val="en-GB"/>
              </w:rPr>
            </w:pPr>
            <w:proofErr w:type="spellStart"/>
            <w:r w:rsidRPr="00861369">
              <w:rPr>
                <w:rFonts w:cs="Arial"/>
                <w:b/>
                <w:bCs/>
                <w:lang w:val="en-GB"/>
              </w:rPr>
              <w:t>Statewide</w:t>
            </w:r>
            <w:proofErr w:type="spellEnd"/>
            <w:r w:rsidRPr="00861369">
              <w:rPr>
                <w:rFonts w:cs="Arial"/>
                <w:b/>
                <w:bCs/>
                <w:lang w:val="en-GB"/>
              </w:rPr>
              <w:t xml:space="preserve"> collection of tax revenues </w:t>
            </w:r>
          </w:p>
          <w:p w:rsidR="006974AA" w:rsidRDefault="006974AA" w:rsidP="006974AA">
            <w:pPr>
              <w:spacing w:line="240" w:lineRule="auto"/>
              <w:rPr>
                <w:rFonts w:cs="Arial"/>
                <w:bCs/>
                <w:lang w:val="en-GB"/>
              </w:rPr>
            </w:pPr>
            <w:r w:rsidRPr="00861369">
              <w:rPr>
                <w:rFonts w:cs="Arial"/>
                <w:bCs/>
                <w:lang w:val="en-GB"/>
              </w:rPr>
              <w:t xml:space="preserve">(y/y, in %) </w:t>
            </w:r>
            <w:r w:rsidRPr="00861369">
              <w:rPr>
                <w:rFonts w:cs="Arial"/>
                <w:b/>
                <w:bCs/>
                <w:lang w:val="en-GB"/>
              </w:rPr>
              <w:t>and development of state budget balance</w:t>
            </w:r>
            <w:r>
              <w:rPr>
                <w:rFonts w:cs="Arial"/>
                <w:b/>
                <w:bCs/>
                <w:lang w:val="en-GB"/>
              </w:rPr>
              <w:t xml:space="preserve"> </w:t>
            </w:r>
            <w:r w:rsidRPr="00861369">
              <w:rPr>
                <w:rFonts w:cs="Arial"/>
                <w:bCs/>
                <w:lang w:val="en-GB"/>
              </w:rPr>
              <w:t>(</w:t>
            </w:r>
            <w:r>
              <w:rPr>
                <w:rFonts w:cs="Arial"/>
                <w:bCs/>
                <w:lang w:val="en-GB"/>
              </w:rPr>
              <w:t xml:space="preserve">in </w:t>
            </w:r>
            <w:proofErr w:type="spellStart"/>
            <w:r>
              <w:rPr>
                <w:rFonts w:cs="Arial"/>
                <w:bCs/>
                <w:lang w:val="en-GB"/>
              </w:rPr>
              <w:t>bn</w:t>
            </w:r>
            <w:proofErr w:type="spellEnd"/>
            <w:r>
              <w:rPr>
                <w:rFonts w:cs="Arial"/>
                <w:bCs/>
                <w:lang w:val="en-GB"/>
              </w:rPr>
              <w:t xml:space="preserve"> CZK</w:t>
            </w:r>
            <w:r w:rsidRPr="00861369">
              <w:rPr>
                <w:rFonts w:cs="Arial"/>
                <w:bCs/>
                <w:lang w:val="en-GB"/>
              </w:rPr>
              <w:t xml:space="preserve">), </w:t>
            </w:r>
          </w:p>
          <w:p w:rsidR="006974AA" w:rsidRPr="00861369" w:rsidRDefault="006974AA" w:rsidP="006974AA">
            <w:pPr>
              <w:spacing w:line="240" w:lineRule="auto"/>
              <w:rPr>
                <w:lang w:val="en-GB"/>
              </w:rPr>
            </w:pPr>
            <w:r w:rsidRPr="00861369">
              <w:rPr>
                <w:rFonts w:cs="Arial"/>
                <w:bCs/>
                <w:lang w:val="en-GB"/>
              </w:rPr>
              <w:t>data for individual quarters</w:t>
            </w:r>
          </w:p>
        </w:tc>
        <w:tc>
          <w:tcPr>
            <w:tcW w:w="373" w:type="pct"/>
            <w:gridSpan w:val="2"/>
          </w:tcPr>
          <w:p w:rsidR="006974AA" w:rsidRPr="00861369" w:rsidRDefault="006974AA" w:rsidP="006974AA">
            <w:pPr>
              <w:spacing w:line="240" w:lineRule="auto"/>
              <w:rPr>
                <w:lang w:val="en-GB"/>
              </w:rPr>
            </w:pPr>
            <w:r w:rsidRPr="00861369">
              <w:rPr>
                <w:lang w:val="en-GB"/>
              </w:rPr>
              <w:t>Chart 20</w:t>
            </w:r>
          </w:p>
        </w:tc>
        <w:tc>
          <w:tcPr>
            <w:tcW w:w="2168" w:type="pct"/>
          </w:tcPr>
          <w:p w:rsidR="006974AA" w:rsidRPr="00861369" w:rsidRDefault="006974AA" w:rsidP="006974AA">
            <w:pPr>
              <w:spacing w:line="240" w:lineRule="auto"/>
              <w:rPr>
                <w:rFonts w:cs="Arial"/>
                <w:b/>
                <w:bCs/>
                <w:spacing w:val="-2"/>
                <w:lang w:val="en-GB"/>
              </w:rPr>
            </w:pPr>
            <w:r>
              <w:rPr>
                <w:rFonts w:cs="Arial"/>
                <w:b/>
                <w:bCs/>
                <w:spacing w:val="-2"/>
                <w:lang w:val="en-GB"/>
              </w:rPr>
              <w:t xml:space="preserve">Number of all pension recipients, revenues, expenditure on pensions from state budget </w:t>
            </w:r>
            <w:r w:rsidRPr="00861369">
              <w:rPr>
                <w:rFonts w:cs="Arial"/>
                <w:bCs/>
                <w:lang w:val="en-GB"/>
              </w:rPr>
              <w:t xml:space="preserve">(y/y, in %) </w:t>
            </w:r>
            <w:r>
              <w:rPr>
                <w:rFonts w:cs="Arial"/>
                <w:b/>
                <w:bCs/>
                <w:spacing w:val="-2"/>
                <w:lang w:val="en-GB"/>
              </w:rPr>
              <w:t xml:space="preserve">and pension account balance </w:t>
            </w:r>
            <w:r w:rsidRPr="00861369">
              <w:rPr>
                <w:rFonts w:cs="Arial"/>
                <w:bCs/>
                <w:spacing w:val="-2"/>
                <w:lang w:val="en-GB"/>
              </w:rPr>
              <w:t>(</w:t>
            </w:r>
            <w:r>
              <w:rPr>
                <w:rFonts w:cs="Arial"/>
                <w:bCs/>
                <w:spacing w:val="-2"/>
                <w:lang w:val="en-GB"/>
              </w:rPr>
              <w:t xml:space="preserve">in </w:t>
            </w:r>
            <w:proofErr w:type="spellStart"/>
            <w:r>
              <w:rPr>
                <w:rFonts w:cs="Arial"/>
                <w:bCs/>
                <w:spacing w:val="-2"/>
                <w:lang w:val="en-GB"/>
              </w:rPr>
              <w:t>bn</w:t>
            </w:r>
            <w:proofErr w:type="spellEnd"/>
            <w:r>
              <w:rPr>
                <w:rFonts w:cs="Arial"/>
                <w:bCs/>
                <w:spacing w:val="-2"/>
                <w:lang w:val="en-GB"/>
              </w:rPr>
              <w:t xml:space="preserve"> CZK</w:t>
            </w:r>
            <w:r w:rsidRPr="00861369">
              <w:rPr>
                <w:rFonts w:cs="Arial"/>
                <w:bCs/>
                <w:spacing w:val="-2"/>
                <w:lang w:val="en-GB"/>
              </w:rPr>
              <w:t>)</w:t>
            </w:r>
          </w:p>
        </w:tc>
      </w:tr>
      <w:tr w:rsidR="006974AA" w:rsidTr="006974AA">
        <w:tc>
          <w:tcPr>
            <w:tcW w:w="2459" w:type="pct"/>
            <w:gridSpan w:val="3"/>
          </w:tcPr>
          <w:p w:rsidR="006974AA" w:rsidRDefault="006974AA" w:rsidP="006974AA">
            <w:pPr>
              <w:pStyle w:val="Textpoznpodarou"/>
              <w:jc w:val="both"/>
            </w:pPr>
            <w:r>
              <w:rPr>
                <w:noProof/>
              </w:rPr>
              <w:drawing>
                <wp:inline distT="0" distB="0" distL="0" distR="0">
                  <wp:extent cx="2924175" cy="2511637"/>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2924831" cy="2512201"/>
                          </a:xfrm>
                          <a:prstGeom prst="rect">
                            <a:avLst/>
                          </a:prstGeom>
                          <a:noFill/>
                          <a:ln w="9525">
                            <a:noFill/>
                            <a:miter lim="800000"/>
                            <a:headEnd/>
                            <a:tailEnd/>
                          </a:ln>
                        </pic:spPr>
                      </pic:pic>
                    </a:graphicData>
                  </a:graphic>
                </wp:inline>
              </w:drawing>
            </w:r>
          </w:p>
        </w:tc>
        <w:tc>
          <w:tcPr>
            <w:tcW w:w="2541" w:type="pct"/>
            <w:gridSpan w:val="3"/>
          </w:tcPr>
          <w:p w:rsidR="006974AA" w:rsidRDefault="006974AA" w:rsidP="006974AA">
            <w:pPr>
              <w:pStyle w:val="Textpoznpodarou"/>
              <w:jc w:val="both"/>
            </w:pPr>
            <w:r>
              <w:rPr>
                <w:noProof/>
              </w:rPr>
              <w:drawing>
                <wp:inline distT="0" distB="0" distL="0" distR="0">
                  <wp:extent cx="3078480" cy="2512449"/>
                  <wp:effectExtent l="19050" t="0" r="7620" b="0"/>
                  <wp:docPr id="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3078480" cy="2512449"/>
                          </a:xfrm>
                          <a:prstGeom prst="rect">
                            <a:avLst/>
                          </a:prstGeom>
                          <a:noFill/>
                          <a:ln w="9525">
                            <a:noFill/>
                            <a:miter lim="800000"/>
                            <a:headEnd/>
                            <a:tailEnd/>
                          </a:ln>
                        </pic:spPr>
                      </pic:pic>
                    </a:graphicData>
                  </a:graphic>
                </wp:inline>
              </w:drawing>
            </w:r>
          </w:p>
        </w:tc>
      </w:tr>
      <w:tr w:rsidR="006974AA" w:rsidTr="006974AA">
        <w:trPr>
          <w:trHeight w:val="74"/>
        </w:trPr>
        <w:tc>
          <w:tcPr>
            <w:tcW w:w="5000" w:type="pct"/>
            <w:gridSpan w:val="6"/>
          </w:tcPr>
          <w:p w:rsidR="006974AA" w:rsidRDefault="006200AE" w:rsidP="006200AE">
            <w:pPr>
              <w:pStyle w:val="Textpoznpodarou"/>
              <w:jc w:val="right"/>
            </w:pPr>
            <w:proofErr w:type="spellStart"/>
            <w:r>
              <w:rPr>
                <w:rFonts w:cs="Arial"/>
                <w:sz w:val="18"/>
                <w:szCs w:val="18"/>
              </w:rPr>
              <w:t>Source</w:t>
            </w:r>
            <w:proofErr w:type="spellEnd"/>
            <w:r w:rsidRPr="0085281A">
              <w:rPr>
                <w:rFonts w:cs="Arial"/>
                <w:sz w:val="18"/>
                <w:szCs w:val="18"/>
              </w:rPr>
              <w:t xml:space="preserve">: MF </w:t>
            </w:r>
            <w:r>
              <w:rPr>
                <w:rFonts w:cs="Arial"/>
                <w:sz w:val="18"/>
                <w:szCs w:val="18"/>
              </w:rPr>
              <w:t>C</w:t>
            </w:r>
            <w:r w:rsidRPr="0085281A">
              <w:rPr>
                <w:rFonts w:cs="Arial"/>
                <w:sz w:val="18"/>
                <w:szCs w:val="18"/>
              </w:rPr>
              <w:t xml:space="preserve">R, </w:t>
            </w:r>
            <w:r>
              <w:rPr>
                <w:rFonts w:cs="Arial"/>
                <w:sz w:val="18"/>
                <w:szCs w:val="18"/>
              </w:rPr>
              <w:t>CSSA</w:t>
            </w: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Default="00DD394A" w:rsidP="006974AA">
            <w:pPr>
              <w:pStyle w:val="Textpoznpodarou"/>
            </w:pPr>
          </w:p>
          <w:p w:rsidR="00DD394A" w:rsidRPr="0072704A" w:rsidRDefault="00DD394A" w:rsidP="006974AA">
            <w:pPr>
              <w:pStyle w:val="Textpoznpodarou"/>
            </w:pPr>
          </w:p>
        </w:tc>
      </w:tr>
      <w:tr w:rsidR="006974AA" w:rsidTr="006974AA">
        <w:tc>
          <w:tcPr>
            <w:tcW w:w="325" w:type="pct"/>
          </w:tcPr>
          <w:p w:rsidR="006974AA" w:rsidRDefault="006974AA" w:rsidP="006974AA">
            <w:pPr>
              <w:spacing w:line="240" w:lineRule="auto"/>
            </w:pPr>
            <w:r>
              <w:lastRenderedPageBreak/>
              <w:t>Chart 21</w:t>
            </w:r>
          </w:p>
        </w:tc>
        <w:tc>
          <w:tcPr>
            <w:tcW w:w="2145" w:type="pct"/>
            <w:gridSpan w:val="3"/>
          </w:tcPr>
          <w:p w:rsidR="006974AA" w:rsidRPr="00A51C2B" w:rsidRDefault="006974AA" w:rsidP="006974AA">
            <w:pPr>
              <w:pStyle w:val="Textpoznpodarou"/>
              <w:rPr>
                <w:rFonts w:cs="Arial"/>
                <w:szCs w:val="24"/>
                <w:lang w:val="en-GB"/>
              </w:rPr>
            </w:pPr>
            <w:r w:rsidRPr="00A51C2B">
              <w:rPr>
                <w:rFonts w:cs="Arial"/>
                <w:b/>
                <w:bCs/>
                <w:lang w:val="en-GB"/>
              </w:rPr>
              <w:t xml:space="preserve">Composition of revenues of the CR from the EU budget and net position of the CR towards the EU budget </w:t>
            </w:r>
            <w:r w:rsidRPr="00A51C2B">
              <w:rPr>
                <w:rFonts w:cs="Arial"/>
                <w:bCs/>
                <w:lang w:val="en-GB"/>
              </w:rPr>
              <w:t>(</w:t>
            </w:r>
            <w:r>
              <w:rPr>
                <w:rFonts w:cs="Arial"/>
                <w:bCs/>
                <w:lang w:val="en-GB"/>
              </w:rPr>
              <w:t xml:space="preserve">in </w:t>
            </w:r>
            <w:proofErr w:type="spellStart"/>
            <w:r>
              <w:rPr>
                <w:rFonts w:cs="Arial"/>
                <w:bCs/>
                <w:lang w:val="en-GB"/>
              </w:rPr>
              <w:t>bn</w:t>
            </w:r>
            <w:proofErr w:type="spellEnd"/>
            <w:r>
              <w:rPr>
                <w:rFonts w:cs="Arial"/>
                <w:bCs/>
                <w:lang w:val="en-GB"/>
              </w:rPr>
              <w:t xml:space="preserve"> CZK</w:t>
            </w:r>
            <w:r w:rsidRPr="00A51C2B">
              <w:rPr>
                <w:rFonts w:cs="Arial"/>
                <w:bCs/>
                <w:lang w:val="en-GB"/>
              </w:rPr>
              <w:t>)</w:t>
            </w:r>
          </w:p>
        </w:tc>
        <w:tc>
          <w:tcPr>
            <w:tcW w:w="362" w:type="pct"/>
          </w:tcPr>
          <w:p w:rsidR="006974AA" w:rsidRPr="00A51C2B" w:rsidRDefault="006974AA" w:rsidP="006974AA">
            <w:pPr>
              <w:spacing w:line="240" w:lineRule="auto"/>
              <w:rPr>
                <w:lang w:val="en-GB"/>
              </w:rPr>
            </w:pPr>
            <w:r w:rsidRPr="00A51C2B">
              <w:rPr>
                <w:lang w:val="en-GB"/>
              </w:rPr>
              <w:t>Chart 22</w:t>
            </w:r>
          </w:p>
        </w:tc>
        <w:tc>
          <w:tcPr>
            <w:tcW w:w="2168" w:type="pct"/>
          </w:tcPr>
          <w:p w:rsidR="006974AA" w:rsidRPr="00ED7ABD" w:rsidRDefault="006974AA" w:rsidP="006974AA">
            <w:pPr>
              <w:spacing w:line="240" w:lineRule="auto"/>
              <w:rPr>
                <w:rFonts w:cs="Arial"/>
                <w:b/>
                <w:bCs/>
                <w:szCs w:val="20"/>
                <w:lang w:val="en-GB"/>
              </w:rPr>
            </w:pPr>
            <w:r w:rsidRPr="00ED7ABD">
              <w:rPr>
                <w:rFonts w:cs="Arial"/>
                <w:b/>
                <w:bCs/>
                <w:szCs w:val="20"/>
                <w:lang w:val="en-GB"/>
              </w:rPr>
              <w:t xml:space="preserve">Selected expenditures of state budget </w:t>
            </w:r>
          </w:p>
          <w:p w:rsidR="006974AA" w:rsidRPr="00ED7ABD" w:rsidRDefault="006974AA" w:rsidP="006974AA">
            <w:pPr>
              <w:spacing w:line="240" w:lineRule="auto"/>
              <w:rPr>
                <w:rFonts w:cs="Arial"/>
                <w:bCs/>
                <w:lang w:val="en-GB"/>
              </w:rPr>
            </w:pPr>
            <w:r w:rsidRPr="00ED7ABD">
              <w:rPr>
                <w:rFonts w:cs="Arial"/>
                <w:bCs/>
                <w:szCs w:val="20"/>
                <w:lang w:val="en-GB"/>
              </w:rPr>
              <w:t xml:space="preserve">(in </w:t>
            </w:r>
            <w:proofErr w:type="spellStart"/>
            <w:r w:rsidRPr="00ED7ABD">
              <w:rPr>
                <w:rFonts w:cs="Arial"/>
                <w:bCs/>
                <w:szCs w:val="20"/>
                <w:lang w:val="en-GB"/>
              </w:rPr>
              <w:t>bn</w:t>
            </w:r>
            <w:proofErr w:type="spellEnd"/>
            <w:r w:rsidRPr="00ED7ABD">
              <w:rPr>
                <w:rFonts w:cs="Arial"/>
                <w:bCs/>
                <w:szCs w:val="20"/>
                <w:lang w:val="en-GB"/>
              </w:rPr>
              <w:t xml:space="preserve"> CZK)</w:t>
            </w:r>
          </w:p>
        </w:tc>
      </w:tr>
      <w:tr w:rsidR="006974AA" w:rsidTr="006974AA">
        <w:tc>
          <w:tcPr>
            <w:tcW w:w="2470" w:type="pct"/>
            <w:gridSpan w:val="4"/>
          </w:tcPr>
          <w:p w:rsidR="006974AA" w:rsidRDefault="006974AA" w:rsidP="006974AA">
            <w:pPr>
              <w:pStyle w:val="Textpoznpodarou"/>
              <w:jc w:val="both"/>
            </w:pPr>
            <w:r>
              <w:rPr>
                <w:noProof/>
              </w:rPr>
              <w:drawing>
                <wp:inline distT="0" distB="0" distL="0" distR="0">
                  <wp:extent cx="2924175" cy="2501882"/>
                  <wp:effectExtent l="19050" t="0" r="0" b="0"/>
                  <wp:docPr id="1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926139" cy="2503563"/>
                          </a:xfrm>
                          <a:prstGeom prst="rect">
                            <a:avLst/>
                          </a:prstGeom>
                          <a:noFill/>
                          <a:ln w="9525">
                            <a:noFill/>
                            <a:miter lim="800000"/>
                            <a:headEnd/>
                            <a:tailEnd/>
                          </a:ln>
                        </pic:spPr>
                      </pic:pic>
                    </a:graphicData>
                  </a:graphic>
                </wp:inline>
              </w:drawing>
            </w:r>
          </w:p>
        </w:tc>
        <w:tc>
          <w:tcPr>
            <w:tcW w:w="2530" w:type="pct"/>
            <w:gridSpan w:val="2"/>
          </w:tcPr>
          <w:p w:rsidR="006974AA" w:rsidRDefault="006974AA" w:rsidP="006974AA">
            <w:pPr>
              <w:pStyle w:val="Textpoznpodarou"/>
              <w:jc w:val="both"/>
            </w:pPr>
            <w:r>
              <w:rPr>
                <w:noProof/>
              </w:rPr>
              <w:drawing>
                <wp:inline distT="0" distB="0" distL="0" distR="0">
                  <wp:extent cx="2990850" cy="2501734"/>
                  <wp:effectExtent l="19050" t="0" r="0" b="0"/>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992811" cy="2503374"/>
                          </a:xfrm>
                          <a:prstGeom prst="rect">
                            <a:avLst/>
                          </a:prstGeom>
                          <a:noFill/>
                          <a:ln w="9525">
                            <a:noFill/>
                            <a:miter lim="800000"/>
                            <a:headEnd/>
                            <a:tailEnd/>
                          </a:ln>
                        </pic:spPr>
                      </pic:pic>
                    </a:graphicData>
                  </a:graphic>
                </wp:inline>
              </w:drawing>
            </w:r>
          </w:p>
        </w:tc>
      </w:tr>
      <w:tr w:rsidR="006974AA" w:rsidTr="006974AA">
        <w:tc>
          <w:tcPr>
            <w:tcW w:w="2470" w:type="pct"/>
            <w:gridSpan w:val="4"/>
          </w:tcPr>
          <w:p w:rsidR="006974AA" w:rsidRPr="0085281A" w:rsidRDefault="006974AA" w:rsidP="006974AA">
            <w:pPr>
              <w:pStyle w:val="Textpoznpodarou"/>
              <w:jc w:val="both"/>
              <w:rPr>
                <w:sz w:val="18"/>
                <w:szCs w:val="18"/>
              </w:rPr>
            </w:pPr>
          </w:p>
        </w:tc>
        <w:tc>
          <w:tcPr>
            <w:tcW w:w="2530" w:type="pct"/>
            <w:gridSpan w:val="2"/>
          </w:tcPr>
          <w:p w:rsidR="006974AA" w:rsidRPr="00A51C2B" w:rsidRDefault="006974AA" w:rsidP="006974AA">
            <w:pPr>
              <w:pStyle w:val="Textpoznpodarou"/>
              <w:rPr>
                <w:sz w:val="18"/>
                <w:szCs w:val="18"/>
                <w:lang w:val="en-GB"/>
              </w:rPr>
            </w:pPr>
            <w:r w:rsidRPr="0085281A">
              <w:rPr>
                <w:sz w:val="18"/>
                <w:szCs w:val="18"/>
              </w:rPr>
              <w:t>*</w:t>
            </w:r>
            <w:r w:rsidRPr="00A51C2B">
              <w:rPr>
                <w:sz w:val="18"/>
                <w:szCs w:val="18"/>
                <w:lang w:val="en-GB"/>
              </w:rPr>
              <w:t>incl. foster care benefits</w:t>
            </w:r>
          </w:p>
          <w:p w:rsidR="006974AA" w:rsidRPr="0085281A" w:rsidRDefault="006974AA" w:rsidP="006974AA">
            <w:pPr>
              <w:pStyle w:val="Textpoznpodarou"/>
              <w:rPr>
                <w:rFonts w:cs="Arial"/>
                <w:sz w:val="18"/>
                <w:szCs w:val="18"/>
              </w:rPr>
            </w:pPr>
            <w:r w:rsidRPr="00A51C2B">
              <w:rPr>
                <w:sz w:val="18"/>
                <w:szCs w:val="18"/>
                <w:lang w:val="en-GB"/>
              </w:rPr>
              <w:t xml:space="preserve">**material deprivation assistance benefits, </w:t>
            </w:r>
            <w:r>
              <w:rPr>
                <w:sz w:val="18"/>
                <w:szCs w:val="18"/>
                <w:lang w:val="en-GB"/>
              </w:rPr>
              <w:t>disability benefits</w:t>
            </w:r>
            <w:r w:rsidRPr="00A51C2B">
              <w:rPr>
                <w:sz w:val="18"/>
                <w:szCs w:val="18"/>
                <w:lang w:val="en-GB"/>
              </w:rPr>
              <w:t>,</w:t>
            </w:r>
            <w:r>
              <w:rPr>
                <w:sz w:val="18"/>
                <w:szCs w:val="18"/>
                <w:lang w:val="en-GB"/>
              </w:rPr>
              <w:t xml:space="preserve"> contribution to care </w:t>
            </w:r>
            <w:r w:rsidRPr="00AE3B69">
              <w:rPr>
                <w:sz w:val="18"/>
                <w:szCs w:val="18"/>
                <w:lang w:val="en-GB"/>
              </w:rPr>
              <w:t xml:space="preserve">based on </w:t>
            </w:r>
            <w:r w:rsidRPr="009A61D0">
              <w:rPr>
                <w:sz w:val="18"/>
                <w:szCs w:val="18"/>
                <w:lang w:val="en-GB"/>
              </w:rPr>
              <w:t>Act on State Social Support</w:t>
            </w:r>
            <w:r w:rsidRPr="0085281A">
              <w:rPr>
                <w:rFonts w:cs="Arial"/>
                <w:sz w:val="18"/>
                <w:szCs w:val="18"/>
              </w:rPr>
              <w:t xml:space="preserve"> </w:t>
            </w:r>
          </w:p>
        </w:tc>
      </w:tr>
      <w:tr w:rsidR="006974AA" w:rsidTr="006974AA">
        <w:tc>
          <w:tcPr>
            <w:tcW w:w="5000" w:type="pct"/>
            <w:gridSpan w:val="6"/>
          </w:tcPr>
          <w:p w:rsidR="006974AA" w:rsidRPr="0085281A" w:rsidRDefault="006974AA" w:rsidP="006974AA">
            <w:pPr>
              <w:jc w:val="right"/>
              <w:rPr>
                <w:rFonts w:cs="Arial"/>
                <w:noProof/>
                <w:sz w:val="18"/>
                <w:szCs w:val="18"/>
              </w:rPr>
            </w:pPr>
            <w:proofErr w:type="spellStart"/>
            <w:r>
              <w:rPr>
                <w:rFonts w:cs="Arial"/>
                <w:sz w:val="18"/>
                <w:szCs w:val="18"/>
              </w:rPr>
              <w:t>Source</w:t>
            </w:r>
            <w:proofErr w:type="spellEnd"/>
            <w:r w:rsidRPr="0085281A">
              <w:rPr>
                <w:rFonts w:cs="Arial"/>
                <w:sz w:val="18"/>
                <w:szCs w:val="18"/>
              </w:rPr>
              <w:t xml:space="preserve">: MF </w:t>
            </w:r>
            <w:r>
              <w:rPr>
                <w:rFonts w:cs="Arial"/>
                <w:sz w:val="18"/>
                <w:szCs w:val="18"/>
              </w:rPr>
              <w:t>C</w:t>
            </w:r>
            <w:r w:rsidRPr="0085281A">
              <w:rPr>
                <w:rFonts w:cs="Arial"/>
                <w:sz w:val="18"/>
                <w:szCs w:val="18"/>
              </w:rPr>
              <w:t>R</w:t>
            </w:r>
          </w:p>
        </w:tc>
      </w:tr>
    </w:tbl>
    <w:p w:rsidR="006974AA" w:rsidRDefault="006974AA" w:rsidP="00A51C2B">
      <w:pPr>
        <w:rPr>
          <w:sz w:val="16"/>
          <w:szCs w:val="16"/>
        </w:rPr>
      </w:pPr>
    </w:p>
    <w:p w:rsidR="006974AA" w:rsidRDefault="006974AA" w:rsidP="00A51C2B">
      <w:pPr>
        <w:rPr>
          <w:sz w:val="16"/>
          <w:szCs w:val="16"/>
        </w:rPr>
      </w:pPr>
    </w:p>
    <w:p w:rsidR="006974AA" w:rsidRDefault="006974AA" w:rsidP="00A51C2B">
      <w:pPr>
        <w:rPr>
          <w:sz w:val="16"/>
          <w:szCs w:val="16"/>
        </w:rPr>
      </w:pPr>
    </w:p>
    <w:p w:rsidR="0085281A" w:rsidRDefault="00BB4DC0" w:rsidP="00C615F1">
      <w:pPr>
        <w:pStyle w:val="Nadpis4"/>
        <w:spacing w:line="240" w:lineRule="auto"/>
        <w:rPr>
          <w:rFonts w:cs="Arial"/>
          <w:b w:val="0"/>
          <w:bCs w:val="0"/>
          <w:szCs w:val="20"/>
          <w:lang w:val="en-GB"/>
        </w:rPr>
      </w:pPr>
      <w:r w:rsidRPr="00BB4DC0">
        <w:rPr>
          <w:rFonts w:cs="Arial"/>
          <w:b w:val="0"/>
          <w:bCs w:val="0"/>
          <w:szCs w:val="20"/>
          <w:lang w:val="en-GB"/>
        </w:rPr>
        <w:t xml:space="preserve">Sources of data in the whole analysis: CZSO, MF CR, CNB, </w:t>
      </w:r>
      <w:r>
        <w:rPr>
          <w:rFonts w:cs="Arial"/>
          <w:b w:val="0"/>
          <w:bCs w:val="0"/>
          <w:szCs w:val="20"/>
          <w:lang w:val="en-GB"/>
        </w:rPr>
        <w:t>CSSA</w:t>
      </w:r>
      <w:r w:rsidR="0085281A" w:rsidRPr="00BB4DC0">
        <w:rPr>
          <w:rFonts w:cs="Arial"/>
          <w:b w:val="0"/>
          <w:bCs w:val="0"/>
          <w:szCs w:val="20"/>
          <w:lang w:val="en-GB"/>
        </w:rPr>
        <w:t xml:space="preserve">, Eurostat, </w:t>
      </w:r>
      <w:r w:rsidRPr="00BB4DC0">
        <w:rPr>
          <w:rFonts w:cs="Arial"/>
          <w:b w:val="0"/>
          <w:bCs w:val="0"/>
          <w:szCs w:val="20"/>
          <w:lang w:val="en-GB"/>
        </w:rPr>
        <w:t>CZSO calculations.</w:t>
      </w:r>
    </w:p>
    <w:p w:rsidR="00FD31DC" w:rsidRPr="00BB4DC0" w:rsidRDefault="00A51C2B" w:rsidP="00416543">
      <w:pPr>
        <w:rPr>
          <w:lang w:val="en-GB" w:eastAsia="ar-SA"/>
        </w:rPr>
      </w:pPr>
      <w:r>
        <w:rPr>
          <w:lang w:val="en-GB"/>
        </w:rPr>
        <w:t xml:space="preserve">Latest </w:t>
      </w:r>
      <w:r w:rsidRPr="00BB4DC0">
        <w:rPr>
          <w:rFonts w:cs="Arial"/>
          <w:szCs w:val="20"/>
          <w:lang w:val="en-GB"/>
        </w:rPr>
        <w:t>information from the CZSO and CNB given in this report has been dated the 13th March 2015.</w:t>
      </w:r>
    </w:p>
    <w:sectPr w:rsidR="00FD31DC" w:rsidRPr="00BB4DC0" w:rsidSect="00D43998">
      <w:headerReference w:type="even" r:id="rId34"/>
      <w:headerReference w:type="default" r:id="rId35"/>
      <w:footerReference w:type="even" r:id="rId36"/>
      <w:footerReference w:type="default" r:id="rId37"/>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88960" behindDoc="1" locked="0" layoutInCell="1" allowOverlap="1">
          <wp:simplePos x="0" y="0"/>
          <wp:positionH relativeFrom="column">
            <wp:posOffset>2540</wp:posOffset>
          </wp:positionH>
          <wp:positionV relativeFrom="paragraph">
            <wp:posOffset>146685</wp:posOffset>
          </wp:positionV>
          <wp:extent cx="733425" cy="210185"/>
          <wp:effectExtent l="19050" t="0" r="9525" b="0"/>
          <wp:wrapNone/>
          <wp:docPr id="6"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3425" cy="210185"/>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CE74C9"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E74C9" w:rsidRPr="00223E00">
      <w:rPr>
        <w:rFonts w:ascii="Arial" w:hAnsi="Arial" w:cs="Arial"/>
        <w:sz w:val="16"/>
        <w:szCs w:val="16"/>
      </w:rPr>
      <w:fldChar w:fldCharType="separate"/>
    </w:r>
    <w:r w:rsidR="00FC328C">
      <w:rPr>
        <w:rFonts w:ascii="Arial" w:hAnsi="Arial" w:cs="Arial"/>
        <w:noProof/>
        <w:sz w:val="16"/>
        <w:szCs w:val="16"/>
      </w:rPr>
      <w:t>3</w:t>
    </w:r>
    <w:r w:rsidR="00CE74C9"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CE74C9" w:rsidRPr="005A21E0">
      <w:rPr>
        <w:rFonts w:ascii="Arial" w:hAnsi="Arial" w:cs="Arial"/>
        <w:sz w:val="16"/>
        <w:szCs w:val="16"/>
      </w:rPr>
      <w:fldChar w:fldCharType="begin"/>
    </w:r>
    <w:r w:rsidRPr="005A21E0">
      <w:rPr>
        <w:rFonts w:ascii="Arial" w:hAnsi="Arial" w:cs="Arial"/>
        <w:sz w:val="16"/>
        <w:szCs w:val="16"/>
      </w:rPr>
      <w:instrText>PAGE   \* MERGEFORMAT</w:instrText>
    </w:r>
    <w:r w:rsidR="00CE74C9" w:rsidRPr="005A21E0">
      <w:rPr>
        <w:rFonts w:ascii="Arial" w:hAnsi="Arial" w:cs="Arial"/>
        <w:sz w:val="16"/>
        <w:szCs w:val="16"/>
      </w:rPr>
      <w:fldChar w:fldCharType="separate"/>
    </w:r>
    <w:r w:rsidR="00FC328C">
      <w:rPr>
        <w:rFonts w:ascii="Arial" w:hAnsi="Arial" w:cs="Arial"/>
        <w:noProof/>
        <w:sz w:val="16"/>
        <w:szCs w:val="16"/>
      </w:rPr>
      <w:t>24</w:t>
    </w:r>
    <w:r w:rsidR="00CE74C9" w:rsidRPr="005A21E0">
      <w:rPr>
        <w:rFonts w:ascii="Arial" w:hAnsi="Arial" w:cs="Arial"/>
        <w:sz w:val="16"/>
        <w:szCs w:val="16"/>
      </w:rPr>
      <w:fldChar w:fldCharType="end"/>
    </w:r>
    <w:r>
      <w:rPr>
        <w:rFonts w:ascii="Arial" w:hAnsi="Arial" w:cs="Arial"/>
        <w:sz w:val="16"/>
        <w:szCs w:val="16"/>
      </w:rPr>
      <w:tab/>
      <w:t>2014</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CE74C9"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E74C9" w:rsidRPr="00223E00">
      <w:rPr>
        <w:rFonts w:ascii="Arial" w:hAnsi="Arial" w:cs="Arial"/>
        <w:sz w:val="16"/>
        <w:szCs w:val="16"/>
      </w:rPr>
      <w:fldChar w:fldCharType="separate"/>
    </w:r>
    <w:r w:rsidR="00FC328C">
      <w:rPr>
        <w:rFonts w:ascii="Arial" w:hAnsi="Arial" w:cs="Arial"/>
        <w:noProof/>
        <w:sz w:val="16"/>
        <w:szCs w:val="16"/>
      </w:rPr>
      <w:t>25</w:t>
    </w:r>
    <w:r w:rsidR="00CE74C9"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 w:id="1">
    <w:p w:rsidR="00D36D86" w:rsidRPr="00A47821" w:rsidRDefault="00D36D86" w:rsidP="009252A4">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Unless stated otherwise, data regarding the GDP and its components are expressed in real terms and adjusted for seasonal and calendar effects.</w:t>
      </w:r>
    </w:p>
  </w:footnote>
  <w:footnote w:id="2">
    <w:p w:rsidR="00D36D86" w:rsidRPr="00A90FC1" w:rsidRDefault="00D36D86" w:rsidP="008E39BC">
      <w:pPr>
        <w:pStyle w:val="Textpoznpodarou"/>
        <w:jc w:val="both"/>
        <w:rPr>
          <w:sz w:val="16"/>
          <w:szCs w:val="16"/>
          <w:lang w:val="en-GB"/>
        </w:rPr>
      </w:pPr>
      <w:r w:rsidRPr="00A90FC1">
        <w:rPr>
          <w:rStyle w:val="Znakapoznpodarou"/>
          <w:sz w:val="16"/>
          <w:szCs w:val="16"/>
        </w:rPr>
        <w:footnoteRef/>
      </w:r>
      <w:r w:rsidRPr="00A90FC1">
        <w:rPr>
          <w:sz w:val="16"/>
          <w:szCs w:val="16"/>
        </w:rPr>
        <w:t xml:space="preserve"> </w:t>
      </w:r>
      <w:r w:rsidRPr="00A90FC1">
        <w:rPr>
          <w:sz w:val="16"/>
          <w:szCs w:val="16"/>
          <w:lang w:val="en-GB"/>
        </w:rPr>
        <w:t>In real terms, adjusted for seasonal and calendar effects - unless stated otherwise.</w:t>
      </w:r>
    </w:p>
  </w:footnote>
  <w:footnote w:id="3">
    <w:p w:rsidR="00D36D86" w:rsidRPr="009252A4" w:rsidRDefault="00D36D86" w:rsidP="008E39BC">
      <w:pPr>
        <w:pStyle w:val="Textpoznpodarou"/>
        <w:jc w:val="both"/>
        <w:rPr>
          <w:sz w:val="14"/>
          <w:szCs w:val="14"/>
          <w:lang w:val="en-GB"/>
        </w:rPr>
      </w:pPr>
      <w:r w:rsidRPr="00A90FC1">
        <w:rPr>
          <w:rStyle w:val="Znakapoznpodarou"/>
          <w:sz w:val="16"/>
          <w:szCs w:val="16"/>
        </w:rPr>
        <w:footnoteRef/>
      </w:r>
      <w:r w:rsidRPr="00A90FC1">
        <w:rPr>
          <w:sz w:val="16"/>
          <w:szCs w:val="16"/>
        </w:rPr>
        <w:t xml:space="preserve"> </w:t>
      </w:r>
      <w:r w:rsidRPr="00A90FC1">
        <w:rPr>
          <w:sz w:val="16"/>
          <w:szCs w:val="16"/>
          <w:lang w:val="en-GB"/>
        </w:rPr>
        <w:t>Contributions to GDP change without the exclusion of imports for final uses.</w:t>
      </w:r>
    </w:p>
  </w:footnote>
  <w:footnote w:id="4">
    <w:p w:rsidR="00D36D86" w:rsidRPr="00A47821" w:rsidRDefault="00D36D86" w:rsidP="009252A4">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 xml:space="preserve">Including activities according to CZ-NACE: B (Mining and quarrying), C (Manufacturing industry), </w:t>
      </w:r>
      <w:proofErr w:type="gramStart"/>
      <w:r w:rsidRPr="00A47821">
        <w:rPr>
          <w:sz w:val="16"/>
          <w:szCs w:val="16"/>
          <w:lang w:val="en-GB"/>
        </w:rPr>
        <w:t>D</w:t>
      </w:r>
      <w:proofErr w:type="gramEnd"/>
      <w:r w:rsidRPr="00A47821">
        <w:rPr>
          <w:sz w:val="16"/>
          <w:szCs w:val="16"/>
          <w:lang w:val="en-GB"/>
        </w:rPr>
        <w:t xml:space="preserve"> (Energy industry).</w:t>
      </w:r>
    </w:p>
  </w:footnote>
  <w:footnote w:id="5">
    <w:p w:rsidR="00D36D86" w:rsidRPr="00A47821" w:rsidRDefault="00D36D86" w:rsidP="0016398E">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Do not include the activities of trade, finance and insurance, science and research and also public services.</w:t>
      </w:r>
    </w:p>
  </w:footnote>
  <w:footnote w:id="6">
    <w:p w:rsidR="00D36D86" w:rsidRPr="00A47821" w:rsidRDefault="00D36D86" w:rsidP="0016398E">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 xml:space="preserve">With respect to the terminology, this chapter respects the shift to BPM6 in the part of the balance of payments. BPM6 is the sixth manual for the balance of payments and the CNB published the results according to it in December 2014 for the first time. </w:t>
      </w:r>
    </w:p>
  </w:footnote>
  <w:footnote w:id="7">
    <w:p w:rsidR="00D36D86" w:rsidRPr="0016398E" w:rsidRDefault="00D36D86" w:rsidP="0016398E">
      <w:pPr>
        <w:pStyle w:val="Textpoznpodarou"/>
        <w:jc w:val="both"/>
        <w:rPr>
          <w:sz w:val="14"/>
          <w:szCs w:val="14"/>
          <w:lang w:val="en-GB"/>
        </w:rPr>
      </w:pPr>
      <w:r w:rsidRPr="00A47821">
        <w:rPr>
          <w:rStyle w:val="Znakapoznpodarou"/>
          <w:sz w:val="16"/>
          <w:szCs w:val="16"/>
        </w:rPr>
        <w:footnoteRef/>
      </w:r>
      <w:r w:rsidRPr="00A47821">
        <w:rPr>
          <w:sz w:val="16"/>
          <w:szCs w:val="16"/>
        </w:rPr>
        <w:t xml:space="preserve"> </w:t>
      </w:r>
      <w:proofErr w:type="gramStart"/>
      <w:r w:rsidRPr="00A47821">
        <w:rPr>
          <w:sz w:val="16"/>
          <w:szCs w:val="16"/>
          <w:lang w:val="en-GB"/>
        </w:rPr>
        <w:t>Both imports and exports of goods in FOB prices.</w:t>
      </w:r>
      <w:proofErr w:type="gramEnd"/>
    </w:p>
  </w:footnote>
  <w:footnote w:id="8">
    <w:p w:rsidR="00D36D86" w:rsidRPr="00A47821" w:rsidRDefault="00D36D86" w:rsidP="006D3778">
      <w:pPr>
        <w:pStyle w:val="Textpoznpodarou"/>
        <w:jc w:val="both"/>
        <w:rPr>
          <w:sz w:val="16"/>
          <w:szCs w:val="16"/>
        </w:rPr>
      </w:pPr>
      <w:r w:rsidRPr="00A47821">
        <w:rPr>
          <w:rStyle w:val="Znakapoznpodarou"/>
          <w:sz w:val="16"/>
          <w:szCs w:val="16"/>
        </w:rPr>
        <w:footnoteRef/>
      </w:r>
      <w:r w:rsidRPr="00A47821">
        <w:rPr>
          <w:sz w:val="16"/>
          <w:szCs w:val="16"/>
        </w:rPr>
        <w:t xml:space="preserve"> </w:t>
      </w:r>
      <w:r w:rsidRPr="00A47821">
        <w:rPr>
          <w:sz w:val="16"/>
          <w:szCs w:val="16"/>
          <w:lang w:val="en-GB"/>
        </w:rPr>
        <w:t xml:space="preserve">Balance of goods based on the CZ-CPA in the national conception. </w:t>
      </w:r>
      <w:proofErr w:type="gramStart"/>
      <w:r w:rsidRPr="00A47821">
        <w:rPr>
          <w:sz w:val="16"/>
          <w:szCs w:val="16"/>
          <w:lang w:val="en-GB"/>
        </w:rPr>
        <w:t>Exports in FOB prices, imports in CIF prices.</w:t>
      </w:r>
      <w:proofErr w:type="gramEnd"/>
    </w:p>
  </w:footnote>
  <w:footnote w:id="9">
    <w:p w:rsidR="00D36D86" w:rsidRPr="00EE7F8B" w:rsidRDefault="00D36D86">
      <w:pPr>
        <w:pStyle w:val="Textpoznpodarou"/>
        <w:rPr>
          <w:sz w:val="14"/>
          <w:szCs w:val="14"/>
          <w:lang w:val="en-GB"/>
        </w:rPr>
      </w:pPr>
      <w:r w:rsidRPr="00A47821">
        <w:rPr>
          <w:rStyle w:val="Znakapoznpodarou"/>
          <w:sz w:val="16"/>
          <w:szCs w:val="16"/>
        </w:rPr>
        <w:footnoteRef/>
      </w:r>
      <w:r w:rsidRPr="00A47821">
        <w:rPr>
          <w:sz w:val="16"/>
          <w:szCs w:val="16"/>
        </w:rPr>
        <w:t xml:space="preserve"> CPA – </w:t>
      </w:r>
      <w:r w:rsidRPr="00A47821">
        <w:rPr>
          <w:sz w:val="16"/>
          <w:szCs w:val="16"/>
          <w:lang w:val="en-GB"/>
        </w:rPr>
        <w:t>Classification of products.</w:t>
      </w:r>
    </w:p>
  </w:footnote>
  <w:footnote w:id="10">
    <w:p w:rsidR="00D36D86" w:rsidRPr="00A47821" w:rsidRDefault="00D36D86" w:rsidP="007416B2">
      <w:pPr>
        <w:pStyle w:val="Textpoznpodarou"/>
        <w:jc w:val="both"/>
        <w:rPr>
          <w:sz w:val="16"/>
          <w:szCs w:val="16"/>
        </w:rPr>
      </w:pPr>
      <w:r w:rsidRPr="00A47821">
        <w:rPr>
          <w:sz w:val="16"/>
          <w:szCs w:val="16"/>
          <w:lang w:val="en-GB"/>
        </w:rPr>
        <w:footnoteRef/>
      </w:r>
      <w:r w:rsidRPr="00A47821">
        <w:rPr>
          <w:sz w:val="16"/>
          <w:szCs w:val="16"/>
          <w:lang w:val="en-GB"/>
        </w:rPr>
        <w:t xml:space="preserve"> </w:t>
      </w:r>
      <w:proofErr w:type="spellStart"/>
      <w:proofErr w:type="gramStart"/>
      <w:r w:rsidRPr="00A47821">
        <w:rPr>
          <w:sz w:val="16"/>
          <w:szCs w:val="16"/>
          <w:lang w:val="en-GB"/>
        </w:rPr>
        <w:t>Schwarzsystem</w:t>
      </w:r>
      <w:proofErr w:type="spellEnd"/>
      <w:r w:rsidRPr="00A47821">
        <w:rPr>
          <w:sz w:val="16"/>
          <w:szCs w:val="16"/>
          <w:lang w:val="en-GB"/>
        </w:rPr>
        <w:t xml:space="preserve"> - misclassification of employees as independent contractors.</w:t>
      </w:r>
      <w:proofErr w:type="gramEnd"/>
    </w:p>
  </w:footnote>
  <w:footnote w:id="11">
    <w:p w:rsidR="00D36D86" w:rsidRPr="00A47821" w:rsidRDefault="00D36D86" w:rsidP="000E20D2">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The higher collection of the consumption tax on tobacco products (planned whole-year revenues were filled from 35 % even in January itself) was connected with the pre-stocking of traders at the end of year 2013 for the reason of subsequent increase of the rates for the tobacco products from 1st January. Higher collection for the VAT at the beginning of the year can be explained by the holdup of the pay out of excessive deductions of VAT (within the initiation of the procedure to remove doubts by the tax administrator for some tax entities), majority of this way "delayed" funds was paid out by the end of 2014.</w:t>
      </w:r>
    </w:p>
  </w:footnote>
  <w:footnote w:id="12">
    <w:p w:rsidR="00D36D86" w:rsidRPr="007B4F1A" w:rsidRDefault="00D36D86" w:rsidP="007B4F1A">
      <w:pPr>
        <w:pStyle w:val="Textpoznpodarou"/>
        <w:jc w:val="both"/>
        <w:rPr>
          <w:sz w:val="14"/>
          <w:szCs w:val="14"/>
          <w:lang w:val="en-GB"/>
        </w:rPr>
      </w:pPr>
      <w:r w:rsidRPr="00A47821">
        <w:rPr>
          <w:rStyle w:val="Znakapoznpodarou"/>
          <w:sz w:val="16"/>
          <w:szCs w:val="16"/>
        </w:rPr>
        <w:footnoteRef/>
      </w:r>
      <w:r w:rsidRPr="00A47821">
        <w:rPr>
          <w:sz w:val="16"/>
          <w:szCs w:val="16"/>
        </w:rPr>
        <w:t xml:space="preserve"> </w:t>
      </w:r>
      <w:r w:rsidRPr="00A47821">
        <w:rPr>
          <w:sz w:val="16"/>
          <w:szCs w:val="16"/>
          <w:lang w:val="en-GB"/>
        </w:rPr>
        <w:t>Especially the extraordinary revenue related to the auction of frequency bands for high speed mobile network LTE (+8.5 bn crowns).</w:t>
      </w:r>
    </w:p>
  </w:footnote>
  <w:footnote w:id="13">
    <w:p w:rsidR="00D36D86" w:rsidRPr="00A47821" w:rsidRDefault="00D36D86" w:rsidP="007B4F1A">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 xml:space="preserve">The effect of pre-stocking faded away for the tax on tobacco products (pl. see note 12) during the year and the long-term trends in tobacco products consumption started to prevail. Further planned increase of rates, included in the state budget 2014 proposal, was not approved. </w:t>
      </w:r>
    </w:p>
    <w:p w:rsidR="00D36D86" w:rsidRPr="00A47821" w:rsidRDefault="00D36D86" w:rsidP="007B4F1A">
      <w:pPr>
        <w:pStyle w:val="Textpoznpodarou"/>
        <w:jc w:val="both"/>
        <w:rPr>
          <w:sz w:val="16"/>
          <w:szCs w:val="16"/>
          <w:lang w:val="en-GB"/>
        </w:rPr>
      </w:pPr>
      <w:r w:rsidRPr="00A47821">
        <w:rPr>
          <w:sz w:val="16"/>
          <w:szCs w:val="16"/>
          <w:lang w:val="en-GB"/>
        </w:rPr>
        <w:t xml:space="preserve">The collection of tax on mineral oils was adversely affected by the re-introduction of the so called "green fuel" as of 1.7.2014. </w:t>
      </w:r>
    </w:p>
    <w:p w:rsidR="00D36D86" w:rsidRPr="007B4F1A" w:rsidRDefault="00D36D86" w:rsidP="007B4F1A">
      <w:pPr>
        <w:pStyle w:val="Textpoznpodarou"/>
        <w:jc w:val="both"/>
        <w:rPr>
          <w:sz w:val="14"/>
          <w:szCs w:val="14"/>
          <w:lang w:val="en-GB"/>
        </w:rPr>
      </w:pPr>
      <w:r w:rsidRPr="00A47821">
        <w:rPr>
          <w:sz w:val="16"/>
          <w:szCs w:val="16"/>
          <w:lang w:val="en-GB"/>
        </w:rPr>
        <w:t>Lowering of rates occurred for the tax payments on "solar systems" from 26 % to 10 % (resp. from 28 % to 11 %), at the same time lengthening the payment for equipment introduced to operation during the year 2010.</w:t>
      </w:r>
      <w:r w:rsidRPr="007B4F1A">
        <w:rPr>
          <w:sz w:val="14"/>
          <w:szCs w:val="14"/>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0"/>
  </w:num>
  <w:num w:numId="6">
    <w:abstractNumId w:val="5"/>
  </w:num>
  <w:num w:numId="7">
    <w:abstractNumId w:val="2"/>
  </w:num>
  <w:num w:numId="8">
    <w:abstractNumId w:val="1"/>
  </w:num>
  <w:num w:numId="9">
    <w:abstractNumId w:val="3"/>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83D5B"/>
    <w:rsid w:val="00583FFD"/>
    <w:rsid w:val="0058462F"/>
    <w:rsid w:val="00587CCD"/>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E74C9"/>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328C"/>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ilie.jasova@czso.cz"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4.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983DD-6C70-44FC-BFE5-EBDBFCA9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446</TotalTime>
  <Pages>25</Pages>
  <Words>12815</Words>
  <Characters>75613</Characters>
  <Application>Microsoft Office Word</Application>
  <DocSecurity>0</DocSecurity>
  <Lines>630</Lines>
  <Paragraphs>176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Emilie Jašová</cp:lastModifiedBy>
  <cp:revision>56</cp:revision>
  <cp:lastPrinted>2015-04-20T12:59:00Z</cp:lastPrinted>
  <dcterms:created xsi:type="dcterms:W3CDTF">2015-04-20T13:16:00Z</dcterms:created>
  <dcterms:modified xsi:type="dcterms:W3CDTF">2015-04-22T09:27:00Z</dcterms:modified>
</cp:coreProperties>
</file>