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chart3.xml" ContentType="application/vnd.openxmlformats-officedocument.drawingml.chart+xml"/>
  <Override PartName="/word/charts/style2.xml" ContentType="application/vnd.ms-office.chartstyle+xml"/>
  <Override PartName="/word/charts/colors2.xml" ContentType="application/vnd.ms-office.chartcolorstyle+xml"/>
  <Override PartName="/word/drawings/drawing1.xml" ContentType="application/vnd.openxmlformats-officedocument.drawingml.chartshapes+xml"/>
  <Override PartName="/word/charts/chart4.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5.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6.xml" ContentType="application/vnd.openxmlformats-officedocument.drawingml.chart+xml"/>
  <Override PartName="/word/charts/style5.xml" ContentType="application/vnd.ms-office.chartstyle+xml"/>
  <Override PartName="/word/charts/colors5.xml" ContentType="application/vnd.ms-office.chartcolorstyle+xml"/>
  <Override PartName="/word/drawings/drawing2.xml" ContentType="application/vnd.openxmlformats-officedocument.drawingml.chartshapes+xml"/>
  <Override PartName="/word/charts/chart7.xml" ContentType="application/vnd.openxmlformats-officedocument.drawingml.chart+xml"/>
  <Override PartName="/word/charts/style6.xml" ContentType="application/vnd.ms-office.chartstyle+xml"/>
  <Override PartName="/word/charts/colors6.xml" ContentType="application/vnd.ms-office.chartcolorstyle+xml"/>
  <Override PartName="/word/drawings/drawing3.xml" ContentType="application/vnd.openxmlformats-officedocument.drawingml.chartshapes+xml"/>
  <Override PartName="/word/charts/chart8.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9.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10.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1.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2.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3.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4.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5.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6.xml" ContentType="application/vnd.openxmlformats-officedocument.drawingml.chart+xml"/>
  <Override PartName="/word/charts/style15.xml" ContentType="application/vnd.ms-office.chartstyle+xml"/>
  <Override PartName="/word/charts/colors15.xml" ContentType="application/vnd.ms-office.chartcolorstyle+xml"/>
  <Override PartName="/word/theme/themeOverride1.xml" ContentType="application/vnd.openxmlformats-officedocument.themeOverride+xml"/>
  <Override PartName="/word/charts/chart17.xml" ContentType="application/vnd.openxmlformats-officedocument.drawingml.chart+xml"/>
  <Override PartName="/word/charts/style16.xml" ContentType="application/vnd.ms-office.chartstyle+xml"/>
  <Override PartName="/word/charts/colors16.xml" ContentType="application/vnd.ms-office.chartcolorstyle+xml"/>
  <Override PartName="/word/charts/chart18.xml" ContentType="application/vnd.openxmlformats-officedocument.drawingml.chart+xml"/>
  <Override PartName="/word/charts/style17.xml" ContentType="application/vnd.ms-office.chartstyle+xml"/>
  <Override PartName="/word/charts/colors17.xml" ContentType="application/vnd.ms-office.chartcolorstyle+xml"/>
  <Override PartName="/word/charts/chart19.xml" ContentType="application/vnd.openxmlformats-officedocument.drawingml.chart+xml"/>
  <Override PartName="/word/charts/style18.xml" ContentType="application/vnd.ms-office.chartstyle+xml"/>
  <Override PartName="/word/charts/colors18.xml" ContentType="application/vnd.ms-office.chartcolorstyle+xml"/>
  <Override PartName="/word/theme/themeOverride2.xml" ContentType="application/vnd.openxmlformats-officedocument.themeOverride+xml"/>
  <Override PartName="/word/charts/chart20.xml" ContentType="application/vnd.openxmlformats-officedocument.drawingml.chart+xml"/>
  <Override PartName="/word/charts/style19.xml" ContentType="application/vnd.ms-office.chartstyle+xml"/>
  <Override PartName="/word/charts/colors19.xml" ContentType="application/vnd.ms-office.chartcolorstyle+xml"/>
  <Override PartName="/word/theme/themeOverride3.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74F0" w:rsidRDefault="005A74F0" w:rsidP="005A74F0">
      <w:pPr>
        <w:pStyle w:val="Nadpis2"/>
      </w:pPr>
      <w:bookmarkStart w:id="0" w:name="_Toc198986213"/>
      <w:r>
        <w:t>4. Analytická část</w:t>
      </w:r>
      <w:bookmarkEnd w:id="0"/>
    </w:p>
    <w:p w:rsidR="005A74F0" w:rsidRDefault="005A74F0" w:rsidP="005A74F0">
      <w:pPr>
        <w:pStyle w:val="Nadpis3"/>
      </w:pPr>
      <w:bookmarkStart w:id="1" w:name="_Toc198986214"/>
      <w:r>
        <w:t>4.1 Nemocensky pojištěné osoby</w:t>
      </w:r>
      <w:bookmarkEnd w:id="1"/>
    </w:p>
    <w:p w:rsidR="005A74F0" w:rsidRDefault="005A74F0" w:rsidP="00BD33B9">
      <w:r w:rsidRPr="00DA421C">
        <w:t>Základním ukazatelem, ke kterému se vztahují údaje o pracovní neschopnosti, je ukazatel průměrného počtu nemocensky pojištěných osob.</w:t>
      </w:r>
    </w:p>
    <w:p w:rsidR="005A74F0" w:rsidRPr="005A74F0" w:rsidRDefault="005A74F0" w:rsidP="00BD33B9">
      <w:pPr>
        <w:shd w:val="clear" w:color="auto" w:fill="F8EFDE"/>
        <w:rPr>
          <w:rFonts w:eastAsia="Calibri" w:cs="Arial"/>
          <w:i/>
          <w:szCs w:val="20"/>
        </w:rPr>
      </w:pPr>
      <w:r w:rsidRPr="005A74F0">
        <w:rPr>
          <w:rFonts w:eastAsia="Calibri" w:cs="Arial"/>
          <w:b/>
          <w:i/>
          <w:szCs w:val="20"/>
        </w:rPr>
        <w:t xml:space="preserve">Průměrný počet nemocensky pojištěných osob </w:t>
      </w:r>
      <w:r w:rsidRPr="005A74F0">
        <w:rPr>
          <w:rFonts w:eastAsia="Calibri" w:cs="Arial"/>
          <w:i/>
          <w:szCs w:val="20"/>
        </w:rPr>
        <w:t xml:space="preserve">– ukazatel udává průměrný počet osob, které jsou povinně či dobrovolně nemocensky pojištěné podle zákona č. 187/2006 Sb., o nemocenském pojištění, ve znění pozdějších předpisů. Zahrnuje všechny osoby, které byly alespoň po jeden den vykazovaného období nemocensky pojištěné. V případě více překrývajících se pojistných vztahů pojištěnce v rámci jednoho zaměstnavatele a jedné mzdové účtárny se započítává pojištěnec pouze jedenkrát. V ostatních případech je pojištěnec započítáván tolikrát, kolik má pracovněprávních pojistných vztahů. </w:t>
      </w:r>
    </w:p>
    <w:p w:rsidR="005A74F0" w:rsidRPr="005A74F0" w:rsidRDefault="005A74F0" w:rsidP="00BD33B9">
      <w:pPr>
        <w:shd w:val="clear" w:color="auto" w:fill="F8EFDE"/>
        <w:spacing w:before="120" w:after="0"/>
        <w:rPr>
          <w:rFonts w:eastAsia="Calibri" w:cs="Arial"/>
          <w:i/>
          <w:szCs w:val="20"/>
          <w:u w:val="single"/>
        </w:rPr>
      </w:pPr>
      <w:r w:rsidRPr="005A74F0">
        <w:rPr>
          <w:rFonts w:eastAsia="Calibri" w:cs="Arial"/>
          <w:i/>
          <w:szCs w:val="20"/>
          <w:u w:val="single"/>
        </w:rPr>
        <w:t>Poznámka:</w:t>
      </w:r>
    </w:p>
    <w:p w:rsidR="005A74F0" w:rsidRDefault="005A74F0" w:rsidP="00BD33B9">
      <w:pPr>
        <w:shd w:val="clear" w:color="auto" w:fill="F8EFDE"/>
        <w:rPr>
          <w:rFonts w:eastAsia="Calibri" w:cs="Arial"/>
          <w:i/>
          <w:szCs w:val="20"/>
        </w:rPr>
      </w:pPr>
      <w:r w:rsidRPr="005A74F0">
        <w:rPr>
          <w:rFonts w:eastAsia="Calibri" w:cs="Arial"/>
          <w:i/>
          <w:szCs w:val="20"/>
        </w:rPr>
        <w:t xml:space="preserve">Do průměrného počtu nemocensky pojištěných nejsou započteni vojáci z povolání a příslušníci Policie ČR, Hasičského záchranného sboru ČR, Celní správy ČR, Vězeňské služby ČR, Generální inspekce bezpečnostních sborů, Bezpečnostní informační služby a Úřadu pro zahraniční styky a informace. </w:t>
      </w:r>
    </w:p>
    <w:p w:rsidR="00A65FFE" w:rsidRPr="00542B79" w:rsidRDefault="00A65FFE" w:rsidP="00BD33B9">
      <w:pPr>
        <w:shd w:val="clear" w:color="auto" w:fill="F8EFDE"/>
        <w:rPr>
          <w:rFonts w:eastAsia="Calibri" w:cs="Arial"/>
          <w:i/>
          <w:color w:val="000000" w:themeColor="text1"/>
          <w:szCs w:val="20"/>
        </w:rPr>
      </w:pPr>
      <w:r w:rsidRPr="00542B79">
        <w:rPr>
          <w:rFonts w:eastAsia="Calibri" w:cs="Arial"/>
          <w:i/>
          <w:color w:val="000000" w:themeColor="text1"/>
          <w:szCs w:val="20"/>
        </w:rPr>
        <w:t>Od roku 2024 nejsou zahrnuty osoby pracující na základě DPP.</w:t>
      </w:r>
    </w:p>
    <w:p w:rsidR="005A74F0" w:rsidRPr="00484AE8" w:rsidRDefault="005A74F0" w:rsidP="00484AE8">
      <w:pPr>
        <w:pStyle w:val="Box1"/>
        <w:spacing w:before="120" w:after="0"/>
        <w:ind w:hanging="709"/>
        <w:contextualSpacing w:val="0"/>
        <w:rPr>
          <w:i/>
          <w:u w:val="single"/>
        </w:rPr>
      </w:pPr>
      <w:r w:rsidRPr="00484AE8">
        <w:rPr>
          <w:i/>
          <w:u w:val="single"/>
        </w:rPr>
        <w:t>Způsob výpočtu:</w:t>
      </w:r>
    </w:p>
    <w:p w:rsidR="005A74F0" w:rsidRDefault="005A74F0" w:rsidP="00484AE8">
      <w:pPr>
        <w:pStyle w:val="Box1"/>
        <w:spacing w:before="0" w:after="120"/>
        <w:ind w:left="0"/>
        <w:contextualSpacing w:val="0"/>
        <w:jc w:val="both"/>
      </w:pPr>
      <w:r w:rsidRPr="00484AE8">
        <w:t xml:space="preserve">Průměrný počet nemocensky pojištěných osob = počet dnů nemocenského pojištění </w:t>
      </w:r>
      <w:r w:rsidR="00484AE8">
        <w:t xml:space="preserve">jednotlivých pojištěných </w:t>
      </w:r>
      <w:r w:rsidRPr="00484AE8">
        <w:t>osob ve vykazovaném období / počet kalendářních dnů ve vykazovaném období.</w:t>
      </w:r>
    </w:p>
    <w:p w:rsidR="00E665A5" w:rsidRPr="00E665A5" w:rsidRDefault="00E665A5" w:rsidP="00E665A5">
      <w:r w:rsidRPr="00E665A5">
        <w:t>V roce 202</w:t>
      </w:r>
      <w:r>
        <w:t>4</w:t>
      </w:r>
      <w:r w:rsidRPr="00E665A5">
        <w:t xml:space="preserve"> činil průměrný počet nemocensky pojištěných </w:t>
      </w:r>
      <w:r w:rsidRPr="00E665A5">
        <w:rPr>
          <w:b/>
        </w:rPr>
        <w:t>celkem</w:t>
      </w:r>
      <w:r w:rsidRPr="00E665A5">
        <w:t xml:space="preserve"> </w:t>
      </w:r>
      <w:r w:rsidR="0041327A">
        <w:rPr>
          <w:b/>
        </w:rPr>
        <w:t>4 765</w:t>
      </w:r>
      <w:r w:rsidRPr="00E665A5">
        <w:rPr>
          <w:b/>
        </w:rPr>
        <w:t xml:space="preserve"> tis</w:t>
      </w:r>
      <w:r w:rsidR="000511A2">
        <w:rPr>
          <w:b/>
        </w:rPr>
        <w:t>íc</w:t>
      </w:r>
      <w:r w:rsidRPr="00E665A5">
        <w:rPr>
          <w:b/>
        </w:rPr>
        <w:t xml:space="preserve"> osob</w:t>
      </w:r>
      <w:r w:rsidRPr="0041327A">
        <w:t>, o </w:t>
      </w:r>
      <w:r w:rsidR="0041327A" w:rsidRPr="0041327A">
        <w:t>2</w:t>
      </w:r>
      <w:r w:rsidR="00D41B71" w:rsidRPr="0041327A">
        <w:t> tis</w:t>
      </w:r>
      <w:r w:rsidR="000511A2" w:rsidRPr="0041327A">
        <w:t>íc</w:t>
      </w:r>
      <w:r w:rsidR="0041327A" w:rsidRPr="0041327A">
        <w:t>e (tj. o 0</w:t>
      </w:r>
      <w:r w:rsidRPr="0041327A">
        <w:t>,</w:t>
      </w:r>
      <w:r w:rsidR="0041327A" w:rsidRPr="0041327A">
        <w:t>0</w:t>
      </w:r>
      <w:r w:rsidRPr="0041327A">
        <w:t>4 %)</w:t>
      </w:r>
      <w:r w:rsidRPr="0053114F">
        <w:t xml:space="preserve"> </w:t>
      </w:r>
      <w:r w:rsidR="0041327A">
        <w:t>méně</w:t>
      </w:r>
      <w:r w:rsidRPr="0053114F">
        <w:t xml:space="preserve"> než před</w:t>
      </w:r>
      <w:r w:rsidR="0041327A">
        <w:t xml:space="preserve"> rokem</w:t>
      </w:r>
      <w:r w:rsidR="004620B9">
        <w:t xml:space="preserve"> (viz tabulka 1.1)</w:t>
      </w:r>
      <w:r w:rsidR="0041327A">
        <w:t xml:space="preserve">. </w:t>
      </w:r>
      <w:r w:rsidRPr="0053114F">
        <w:t>Po poklesu v roce 2020, na kterém se zřejmě</w:t>
      </w:r>
      <w:r w:rsidRPr="00E665A5">
        <w:t xml:space="preserve"> odrazilo propouštění v některých odvět</w:t>
      </w:r>
      <w:r w:rsidR="00CD67F3">
        <w:t>vích kvůli epidemii nemoci COVID</w:t>
      </w:r>
      <w:r w:rsidRPr="00E665A5">
        <w:t>-19, se už v roce 2022 počet nemocensky pojištěných vrátil na hodnoty z </w:t>
      </w:r>
      <w:r w:rsidR="00D41B71">
        <w:t>let</w:t>
      </w:r>
      <w:r w:rsidRPr="00E665A5">
        <w:t xml:space="preserve"> 2018 a 2019, ba je dokonce překonal. V roce 2022 meziročně vzrostl počet nemocensky pojištěných téměř o 40 tis</w:t>
      </w:r>
      <w:r w:rsidR="00AE49D8">
        <w:t>íc.</w:t>
      </w:r>
      <w:r w:rsidRPr="00E665A5">
        <w:t xml:space="preserve"> Na meziročním nárůstu se mohou podílet i občané z Ukrajiny, kteří zejména během 1. pol. roku 2022 přicestovali do Česk</w:t>
      </w:r>
      <w:r w:rsidR="00207A84">
        <w:t xml:space="preserve">a </w:t>
      </w:r>
      <w:r w:rsidRPr="00E665A5">
        <w:t xml:space="preserve">a při zaměstnání jim vznikla účast na nemocenském pojištění, tudíž jsou součástí českého systému nemocenského pojištění. </w:t>
      </w:r>
    </w:p>
    <w:p w:rsidR="00484AE8" w:rsidRPr="00484AE8" w:rsidRDefault="00024BB1" w:rsidP="00BF2D72">
      <w:pPr>
        <w:rPr>
          <w:rFonts w:eastAsia="Calibri"/>
        </w:rPr>
      </w:pPr>
      <w:r>
        <w:t>Potřetí</w:t>
      </w:r>
      <w:r w:rsidR="00E665A5" w:rsidRPr="00E665A5">
        <w:t xml:space="preserve"> v řadě za sebou v desetileté historii byl</w:t>
      </w:r>
      <w:r>
        <w:t xml:space="preserve">o mezi pojištěnci více žen </w:t>
      </w:r>
      <w:r w:rsidRPr="0041327A">
        <w:t>(</w:t>
      </w:r>
      <w:r w:rsidR="0041327A" w:rsidRPr="0041327A">
        <w:t>50,9</w:t>
      </w:r>
      <w:r w:rsidRPr="0041327A">
        <w:t xml:space="preserve"> %) než mužů (</w:t>
      </w:r>
      <w:r w:rsidR="0041327A" w:rsidRPr="0041327A">
        <w:t>49,1</w:t>
      </w:r>
      <w:r w:rsidR="00E665A5" w:rsidRPr="0041327A">
        <w:t xml:space="preserve"> %).</w:t>
      </w:r>
      <w:r w:rsidR="00E665A5" w:rsidRPr="00E665A5">
        <w:t xml:space="preserve"> V roce 202</w:t>
      </w:r>
      <w:r>
        <w:t>4</w:t>
      </w:r>
      <w:r w:rsidR="00E665A5" w:rsidRPr="00E665A5">
        <w:t xml:space="preserve"> b</w:t>
      </w:r>
      <w:r>
        <w:t xml:space="preserve">ylo nemocensky pojištěných </w:t>
      </w:r>
      <w:r w:rsidR="0041327A" w:rsidRPr="0041327A">
        <w:t>2 424</w:t>
      </w:r>
      <w:r w:rsidR="00E665A5" w:rsidRPr="0041327A">
        <w:t> tis</w:t>
      </w:r>
      <w:r w:rsidR="00AE49D8" w:rsidRPr="0041327A">
        <w:t>íc</w:t>
      </w:r>
      <w:r w:rsidR="00E665A5" w:rsidRPr="0041327A">
        <w:t xml:space="preserve"> </w:t>
      </w:r>
      <w:r w:rsidRPr="0041327A">
        <w:t>žen a </w:t>
      </w:r>
      <w:r w:rsidR="0041327A" w:rsidRPr="0041327A">
        <w:t>2 341</w:t>
      </w:r>
      <w:r w:rsidR="00E665A5" w:rsidRPr="00E665A5">
        <w:t xml:space="preserve"> tis</w:t>
      </w:r>
      <w:r w:rsidR="00AE49D8">
        <w:t>íc</w:t>
      </w:r>
      <w:r w:rsidR="00E665A5" w:rsidRPr="00E665A5">
        <w:t xml:space="preserve"> mužů. To opět patrně souvisí s příchodem občanů,</w:t>
      </w:r>
      <w:r w:rsidR="0041327A">
        <w:t xml:space="preserve"> resp. převážně právě občanek, žen se svými potomky, </w:t>
      </w:r>
      <w:r w:rsidR="00E665A5" w:rsidRPr="00E665A5">
        <w:t>z Ukrajiny. Vliv může mít i zvyšující se věk žen při odchodu do důchodu. Meziročně vz</w:t>
      </w:r>
      <w:r w:rsidR="00BF2D72">
        <w:t xml:space="preserve">rostl počet pojištěných žen o </w:t>
      </w:r>
      <w:r w:rsidR="0041327A" w:rsidRPr="0041327A">
        <w:t>11</w:t>
      </w:r>
      <w:r w:rsidR="00E665A5" w:rsidRPr="0041327A">
        <w:t xml:space="preserve"> tis</w:t>
      </w:r>
      <w:r w:rsidR="00AE49D8" w:rsidRPr="0041327A">
        <w:t>íc</w:t>
      </w:r>
      <w:r w:rsidR="00BF2D72" w:rsidRPr="0041327A">
        <w:t xml:space="preserve"> (v relativním vyjádření </w:t>
      </w:r>
      <w:r w:rsidR="0041327A" w:rsidRPr="0041327A">
        <w:t>o </w:t>
      </w:r>
      <w:r w:rsidR="0041327A" w:rsidRPr="001B4720">
        <w:rPr>
          <w:color w:val="000000" w:themeColor="text1"/>
        </w:rPr>
        <w:t>0,</w:t>
      </w:r>
      <w:r w:rsidR="00C6570F" w:rsidRPr="001B4720">
        <w:rPr>
          <w:color w:val="000000" w:themeColor="text1"/>
        </w:rPr>
        <w:t>4</w:t>
      </w:r>
      <w:r w:rsidR="0041327A" w:rsidRPr="001B4720">
        <w:rPr>
          <w:color w:val="000000" w:themeColor="text1"/>
        </w:rPr>
        <w:t>5</w:t>
      </w:r>
      <w:r w:rsidR="00BF2D72" w:rsidRPr="001B4720">
        <w:rPr>
          <w:color w:val="000000" w:themeColor="text1"/>
        </w:rPr>
        <w:t> </w:t>
      </w:r>
      <w:r w:rsidR="00BF2D72" w:rsidRPr="0041327A">
        <w:t>%),</w:t>
      </w:r>
      <w:r w:rsidR="00BF2D72">
        <w:t xml:space="preserve"> mezi muži byl pak zaznamenán </w:t>
      </w:r>
      <w:r w:rsidR="0041327A" w:rsidRPr="0041327A">
        <w:t>pokles</w:t>
      </w:r>
      <w:r w:rsidR="00BF2D72" w:rsidRPr="0041327A">
        <w:t xml:space="preserve"> o 1</w:t>
      </w:r>
      <w:r w:rsidR="0041327A" w:rsidRPr="0041327A">
        <w:t>3</w:t>
      </w:r>
      <w:r w:rsidR="00BF2D72" w:rsidRPr="0041327A">
        <w:t xml:space="preserve"> tis</w:t>
      </w:r>
      <w:r w:rsidR="00AE49D8" w:rsidRPr="0041327A">
        <w:t>íc</w:t>
      </w:r>
      <w:r w:rsidR="0041327A">
        <w:t xml:space="preserve"> </w:t>
      </w:r>
      <w:r w:rsidR="0041327A" w:rsidRPr="0041327A">
        <w:t xml:space="preserve">pojištěnců </w:t>
      </w:r>
      <w:r w:rsidR="00BF2D72" w:rsidRPr="0041327A">
        <w:t xml:space="preserve">(tj. o </w:t>
      </w:r>
      <w:r w:rsidR="0041327A" w:rsidRPr="0041327A">
        <w:t>0,55</w:t>
      </w:r>
      <w:r w:rsidR="00E665A5" w:rsidRPr="0041327A">
        <w:t xml:space="preserve"> %).</w:t>
      </w:r>
    </w:p>
    <w:tbl>
      <w:tblPr>
        <w:tblW w:w="9700" w:type="dxa"/>
        <w:tblCellMar>
          <w:left w:w="70" w:type="dxa"/>
          <w:right w:w="70" w:type="dxa"/>
        </w:tblCellMar>
        <w:tblLook w:val="04A0" w:firstRow="1" w:lastRow="0" w:firstColumn="1" w:lastColumn="0" w:noHBand="0" w:noVBand="1"/>
      </w:tblPr>
      <w:tblGrid>
        <w:gridCol w:w="960"/>
        <w:gridCol w:w="960"/>
        <w:gridCol w:w="960"/>
        <w:gridCol w:w="960"/>
        <w:gridCol w:w="1060"/>
        <w:gridCol w:w="960"/>
        <w:gridCol w:w="960"/>
        <w:gridCol w:w="960"/>
        <w:gridCol w:w="960"/>
        <w:gridCol w:w="960"/>
      </w:tblGrid>
      <w:tr w:rsidR="00484AE8" w:rsidRPr="00484AE8" w:rsidTr="00484AE8">
        <w:trPr>
          <w:trHeight w:val="300"/>
        </w:trPr>
        <w:tc>
          <w:tcPr>
            <w:tcW w:w="7780" w:type="dxa"/>
            <w:gridSpan w:val="8"/>
            <w:tcBorders>
              <w:top w:val="nil"/>
              <w:left w:val="nil"/>
              <w:bottom w:val="single" w:sz="4" w:space="0" w:color="auto"/>
              <w:right w:val="nil"/>
            </w:tcBorders>
            <w:shd w:val="clear" w:color="auto" w:fill="auto"/>
            <w:noWrap/>
            <w:vAlign w:val="center"/>
            <w:hideMark/>
          </w:tcPr>
          <w:p w:rsidR="00484AE8" w:rsidRPr="00484AE8" w:rsidRDefault="00484AE8" w:rsidP="00BF2D72">
            <w:pPr>
              <w:spacing w:after="0" w:line="240" w:lineRule="auto"/>
              <w:ind w:left="-57"/>
              <w:jc w:val="left"/>
              <w:rPr>
                <w:rFonts w:cs="Arial"/>
                <w:b/>
                <w:bCs/>
                <w:szCs w:val="20"/>
              </w:rPr>
            </w:pPr>
            <w:r w:rsidRPr="00484AE8">
              <w:rPr>
                <w:rFonts w:cs="Arial"/>
                <w:b/>
                <w:bCs/>
                <w:szCs w:val="20"/>
              </w:rPr>
              <w:t>Tab. 1.1: Průměrný počet nemocensky pojištěných osob, 2014–2024 (v tis.)</w:t>
            </w:r>
          </w:p>
        </w:tc>
        <w:tc>
          <w:tcPr>
            <w:tcW w:w="960" w:type="dxa"/>
            <w:tcBorders>
              <w:top w:val="nil"/>
              <w:left w:val="nil"/>
              <w:bottom w:val="nil"/>
              <w:right w:val="nil"/>
            </w:tcBorders>
            <w:shd w:val="clear" w:color="auto" w:fill="auto"/>
            <w:noWrap/>
            <w:vAlign w:val="bottom"/>
            <w:hideMark/>
          </w:tcPr>
          <w:p w:rsidR="00484AE8" w:rsidRPr="00484AE8" w:rsidRDefault="00484AE8" w:rsidP="00484AE8">
            <w:pPr>
              <w:spacing w:after="0" w:line="240" w:lineRule="auto"/>
              <w:jc w:val="left"/>
              <w:rPr>
                <w:rFonts w:cs="Arial"/>
                <w:b/>
                <w:bCs/>
                <w:szCs w:val="20"/>
              </w:rPr>
            </w:pPr>
          </w:p>
        </w:tc>
        <w:tc>
          <w:tcPr>
            <w:tcW w:w="960" w:type="dxa"/>
            <w:tcBorders>
              <w:top w:val="nil"/>
              <w:left w:val="nil"/>
              <w:bottom w:val="nil"/>
              <w:right w:val="nil"/>
            </w:tcBorders>
            <w:shd w:val="clear" w:color="auto" w:fill="auto"/>
            <w:noWrap/>
            <w:vAlign w:val="bottom"/>
            <w:hideMark/>
          </w:tcPr>
          <w:p w:rsidR="00484AE8" w:rsidRPr="00484AE8" w:rsidRDefault="00484AE8" w:rsidP="00484AE8">
            <w:pPr>
              <w:spacing w:after="0" w:line="240" w:lineRule="auto"/>
              <w:jc w:val="left"/>
              <w:rPr>
                <w:rFonts w:ascii="Times New Roman" w:hAnsi="Times New Roman"/>
                <w:szCs w:val="20"/>
              </w:rPr>
            </w:pPr>
          </w:p>
        </w:tc>
      </w:tr>
      <w:tr w:rsidR="00484AE8" w:rsidRPr="00484AE8" w:rsidTr="00A373E1">
        <w:trPr>
          <w:trHeight w:val="300"/>
        </w:trPr>
        <w:tc>
          <w:tcPr>
            <w:tcW w:w="960" w:type="dxa"/>
            <w:vMerge w:val="restart"/>
            <w:tcBorders>
              <w:top w:val="nil"/>
              <w:left w:val="nil"/>
              <w:bottom w:val="single" w:sz="4" w:space="0" w:color="000000"/>
              <w:right w:val="single" w:sz="4" w:space="0" w:color="auto"/>
            </w:tcBorders>
            <w:shd w:val="clear" w:color="000000" w:fill="E6C483"/>
            <w:vAlign w:val="center"/>
            <w:hideMark/>
          </w:tcPr>
          <w:p w:rsidR="00484AE8" w:rsidRPr="00484AE8" w:rsidRDefault="00484AE8" w:rsidP="00484AE8">
            <w:pPr>
              <w:spacing w:after="0" w:line="240" w:lineRule="auto"/>
              <w:jc w:val="center"/>
              <w:rPr>
                <w:rFonts w:cs="Arial"/>
                <w:color w:val="000000"/>
                <w:sz w:val="16"/>
                <w:szCs w:val="16"/>
              </w:rPr>
            </w:pPr>
            <w:r w:rsidRPr="00484AE8">
              <w:rPr>
                <w:rFonts w:cs="Arial"/>
                <w:color w:val="000000"/>
                <w:sz w:val="16"/>
                <w:szCs w:val="16"/>
              </w:rPr>
              <w:t>Rok</w:t>
            </w:r>
          </w:p>
        </w:tc>
        <w:tc>
          <w:tcPr>
            <w:tcW w:w="960" w:type="dxa"/>
            <w:vMerge w:val="restart"/>
            <w:tcBorders>
              <w:top w:val="nil"/>
              <w:left w:val="nil"/>
              <w:bottom w:val="single" w:sz="4" w:space="0" w:color="000000"/>
              <w:right w:val="nil"/>
            </w:tcBorders>
            <w:shd w:val="clear" w:color="000000" w:fill="E6C483"/>
            <w:vAlign w:val="center"/>
            <w:hideMark/>
          </w:tcPr>
          <w:p w:rsidR="00484AE8" w:rsidRPr="00484AE8" w:rsidRDefault="00484AE8" w:rsidP="00484AE8">
            <w:pPr>
              <w:spacing w:after="0" w:line="240" w:lineRule="auto"/>
              <w:jc w:val="center"/>
              <w:rPr>
                <w:rFonts w:cs="Arial"/>
                <w:b/>
                <w:bCs/>
                <w:color w:val="000000"/>
                <w:sz w:val="16"/>
                <w:szCs w:val="16"/>
              </w:rPr>
            </w:pPr>
            <w:r w:rsidRPr="00484AE8">
              <w:rPr>
                <w:rFonts w:cs="Arial"/>
                <w:b/>
                <w:bCs/>
                <w:color w:val="000000"/>
                <w:sz w:val="16"/>
                <w:szCs w:val="16"/>
              </w:rPr>
              <w:t>Celkem</w:t>
            </w:r>
          </w:p>
        </w:tc>
        <w:tc>
          <w:tcPr>
            <w:tcW w:w="1920" w:type="dxa"/>
            <w:gridSpan w:val="2"/>
            <w:tcBorders>
              <w:top w:val="single" w:sz="4" w:space="0" w:color="auto"/>
              <w:left w:val="single" w:sz="4" w:space="0" w:color="auto"/>
              <w:bottom w:val="single" w:sz="4" w:space="0" w:color="auto"/>
              <w:right w:val="single" w:sz="4" w:space="0" w:color="auto"/>
            </w:tcBorders>
            <w:shd w:val="clear" w:color="000000" w:fill="E6C483"/>
            <w:vAlign w:val="center"/>
            <w:hideMark/>
          </w:tcPr>
          <w:p w:rsidR="00484AE8" w:rsidRPr="00484AE8" w:rsidRDefault="00484AE8" w:rsidP="00484AE8">
            <w:pPr>
              <w:spacing w:after="0" w:line="240" w:lineRule="auto"/>
              <w:jc w:val="center"/>
              <w:rPr>
                <w:rFonts w:cs="Arial"/>
                <w:color w:val="000000"/>
                <w:sz w:val="16"/>
                <w:szCs w:val="16"/>
              </w:rPr>
            </w:pPr>
            <w:r w:rsidRPr="00484AE8">
              <w:rPr>
                <w:rFonts w:cs="Arial"/>
                <w:color w:val="000000"/>
                <w:sz w:val="16"/>
                <w:szCs w:val="16"/>
              </w:rPr>
              <w:t>podle pohlaví</w:t>
            </w:r>
          </w:p>
        </w:tc>
        <w:tc>
          <w:tcPr>
            <w:tcW w:w="1060" w:type="dxa"/>
            <w:vMerge w:val="restart"/>
            <w:tcBorders>
              <w:top w:val="nil"/>
              <w:left w:val="nil"/>
              <w:bottom w:val="single" w:sz="4" w:space="0" w:color="000000"/>
              <w:right w:val="nil"/>
            </w:tcBorders>
            <w:shd w:val="clear" w:color="000000" w:fill="E6C483"/>
            <w:vAlign w:val="center"/>
            <w:hideMark/>
          </w:tcPr>
          <w:p w:rsidR="00484AE8" w:rsidRPr="00484AE8" w:rsidRDefault="00484AE8" w:rsidP="00484AE8">
            <w:pPr>
              <w:spacing w:after="0" w:line="240" w:lineRule="auto"/>
              <w:jc w:val="center"/>
              <w:rPr>
                <w:rFonts w:cs="Arial"/>
                <w:color w:val="000000"/>
                <w:sz w:val="16"/>
                <w:szCs w:val="16"/>
              </w:rPr>
            </w:pPr>
            <w:r w:rsidRPr="00484AE8">
              <w:rPr>
                <w:rFonts w:cs="Arial"/>
                <w:color w:val="000000"/>
                <w:sz w:val="16"/>
                <w:szCs w:val="16"/>
              </w:rPr>
              <w:t>Zaměstnanci</w:t>
            </w:r>
          </w:p>
        </w:tc>
        <w:tc>
          <w:tcPr>
            <w:tcW w:w="1920" w:type="dxa"/>
            <w:gridSpan w:val="2"/>
            <w:tcBorders>
              <w:top w:val="single" w:sz="4" w:space="0" w:color="auto"/>
              <w:left w:val="single" w:sz="4" w:space="0" w:color="auto"/>
              <w:bottom w:val="single" w:sz="4" w:space="0" w:color="auto"/>
              <w:right w:val="single" w:sz="4" w:space="0" w:color="auto"/>
            </w:tcBorders>
            <w:shd w:val="clear" w:color="000000" w:fill="E6C483"/>
            <w:vAlign w:val="center"/>
            <w:hideMark/>
          </w:tcPr>
          <w:p w:rsidR="00484AE8" w:rsidRPr="00484AE8" w:rsidRDefault="00484AE8" w:rsidP="00484AE8">
            <w:pPr>
              <w:spacing w:after="0" w:line="240" w:lineRule="auto"/>
              <w:jc w:val="center"/>
              <w:rPr>
                <w:rFonts w:cs="Arial"/>
                <w:color w:val="000000"/>
                <w:sz w:val="16"/>
                <w:szCs w:val="16"/>
              </w:rPr>
            </w:pPr>
            <w:r w:rsidRPr="00484AE8">
              <w:rPr>
                <w:rFonts w:cs="Arial"/>
                <w:color w:val="000000"/>
                <w:sz w:val="16"/>
                <w:szCs w:val="16"/>
              </w:rPr>
              <w:t>podle pohlaví</w:t>
            </w:r>
          </w:p>
        </w:tc>
        <w:tc>
          <w:tcPr>
            <w:tcW w:w="960" w:type="dxa"/>
            <w:vMerge w:val="restart"/>
            <w:tcBorders>
              <w:top w:val="nil"/>
              <w:left w:val="nil"/>
              <w:bottom w:val="single" w:sz="4" w:space="0" w:color="000000"/>
              <w:right w:val="nil"/>
            </w:tcBorders>
            <w:shd w:val="clear" w:color="000000" w:fill="E6C483"/>
            <w:vAlign w:val="center"/>
            <w:hideMark/>
          </w:tcPr>
          <w:p w:rsidR="00484AE8" w:rsidRPr="00484AE8" w:rsidRDefault="00484AE8" w:rsidP="00484AE8">
            <w:pPr>
              <w:spacing w:after="0" w:line="240" w:lineRule="auto"/>
              <w:jc w:val="center"/>
              <w:rPr>
                <w:rFonts w:cs="Arial"/>
                <w:color w:val="000000"/>
                <w:sz w:val="16"/>
                <w:szCs w:val="16"/>
              </w:rPr>
            </w:pPr>
            <w:r w:rsidRPr="00484AE8">
              <w:rPr>
                <w:rFonts w:cs="Arial"/>
                <w:color w:val="000000"/>
                <w:sz w:val="16"/>
                <w:szCs w:val="16"/>
              </w:rPr>
              <w:t>OSVČ</w:t>
            </w:r>
          </w:p>
        </w:tc>
        <w:tc>
          <w:tcPr>
            <w:tcW w:w="1920" w:type="dxa"/>
            <w:gridSpan w:val="2"/>
            <w:tcBorders>
              <w:top w:val="single" w:sz="4" w:space="0" w:color="auto"/>
              <w:left w:val="single" w:sz="4" w:space="0" w:color="auto"/>
              <w:bottom w:val="single" w:sz="4" w:space="0" w:color="auto"/>
            </w:tcBorders>
            <w:shd w:val="clear" w:color="000000" w:fill="E6C483"/>
            <w:vAlign w:val="center"/>
            <w:hideMark/>
          </w:tcPr>
          <w:p w:rsidR="00484AE8" w:rsidRPr="00484AE8" w:rsidRDefault="00484AE8" w:rsidP="00484AE8">
            <w:pPr>
              <w:spacing w:after="0" w:line="240" w:lineRule="auto"/>
              <w:jc w:val="center"/>
              <w:rPr>
                <w:rFonts w:cs="Arial"/>
                <w:color w:val="000000"/>
                <w:sz w:val="16"/>
                <w:szCs w:val="16"/>
              </w:rPr>
            </w:pPr>
            <w:r w:rsidRPr="00484AE8">
              <w:rPr>
                <w:rFonts w:cs="Arial"/>
                <w:color w:val="000000"/>
                <w:sz w:val="16"/>
                <w:szCs w:val="16"/>
              </w:rPr>
              <w:t>podle pohlaví</w:t>
            </w:r>
          </w:p>
        </w:tc>
      </w:tr>
      <w:tr w:rsidR="00484AE8" w:rsidRPr="00484AE8" w:rsidTr="00484AE8">
        <w:trPr>
          <w:trHeight w:val="300"/>
        </w:trPr>
        <w:tc>
          <w:tcPr>
            <w:tcW w:w="960" w:type="dxa"/>
            <w:vMerge/>
            <w:tcBorders>
              <w:top w:val="nil"/>
              <w:left w:val="nil"/>
              <w:bottom w:val="single" w:sz="4" w:space="0" w:color="000000"/>
              <w:right w:val="single" w:sz="4" w:space="0" w:color="auto"/>
            </w:tcBorders>
            <w:vAlign w:val="center"/>
            <w:hideMark/>
          </w:tcPr>
          <w:p w:rsidR="00484AE8" w:rsidRPr="00484AE8" w:rsidRDefault="00484AE8" w:rsidP="00484AE8">
            <w:pPr>
              <w:spacing w:after="0" w:line="240" w:lineRule="auto"/>
              <w:jc w:val="left"/>
              <w:rPr>
                <w:rFonts w:cs="Arial"/>
                <w:color w:val="000000"/>
                <w:sz w:val="16"/>
                <w:szCs w:val="16"/>
              </w:rPr>
            </w:pPr>
          </w:p>
        </w:tc>
        <w:tc>
          <w:tcPr>
            <w:tcW w:w="960" w:type="dxa"/>
            <w:vMerge/>
            <w:tcBorders>
              <w:top w:val="nil"/>
              <w:left w:val="nil"/>
              <w:bottom w:val="single" w:sz="4" w:space="0" w:color="000000"/>
              <w:right w:val="nil"/>
            </w:tcBorders>
            <w:vAlign w:val="center"/>
            <w:hideMark/>
          </w:tcPr>
          <w:p w:rsidR="00484AE8" w:rsidRPr="00484AE8" w:rsidRDefault="00484AE8" w:rsidP="00484AE8">
            <w:pPr>
              <w:spacing w:after="0" w:line="240" w:lineRule="auto"/>
              <w:jc w:val="left"/>
              <w:rPr>
                <w:rFonts w:cs="Arial"/>
                <w:b/>
                <w:bCs/>
                <w:color w:val="000000"/>
                <w:sz w:val="16"/>
                <w:szCs w:val="16"/>
              </w:rPr>
            </w:pPr>
          </w:p>
        </w:tc>
        <w:tc>
          <w:tcPr>
            <w:tcW w:w="960" w:type="dxa"/>
            <w:tcBorders>
              <w:top w:val="nil"/>
              <w:left w:val="single" w:sz="4" w:space="0" w:color="auto"/>
              <w:bottom w:val="single" w:sz="4" w:space="0" w:color="auto"/>
              <w:right w:val="single" w:sz="4" w:space="0" w:color="auto"/>
            </w:tcBorders>
            <w:shd w:val="clear" w:color="000000" w:fill="E6C483"/>
            <w:vAlign w:val="center"/>
            <w:hideMark/>
          </w:tcPr>
          <w:p w:rsidR="00484AE8" w:rsidRPr="00484AE8" w:rsidRDefault="00484AE8" w:rsidP="00484AE8">
            <w:pPr>
              <w:spacing w:after="0" w:line="240" w:lineRule="auto"/>
              <w:jc w:val="center"/>
              <w:rPr>
                <w:rFonts w:cs="Arial"/>
                <w:color w:val="000000"/>
                <w:sz w:val="16"/>
                <w:szCs w:val="16"/>
              </w:rPr>
            </w:pPr>
            <w:r w:rsidRPr="00484AE8">
              <w:rPr>
                <w:rFonts w:cs="Arial"/>
                <w:color w:val="000000"/>
                <w:sz w:val="16"/>
                <w:szCs w:val="16"/>
              </w:rPr>
              <w:t>muži</w:t>
            </w:r>
          </w:p>
        </w:tc>
        <w:tc>
          <w:tcPr>
            <w:tcW w:w="960" w:type="dxa"/>
            <w:tcBorders>
              <w:top w:val="nil"/>
              <w:left w:val="nil"/>
              <w:bottom w:val="single" w:sz="4" w:space="0" w:color="auto"/>
              <w:right w:val="single" w:sz="4" w:space="0" w:color="auto"/>
            </w:tcBorders>
            <w:shd w:val="clear" w:color="000000" w:fill="E6C483"/>
            <w:vAlign w:val="center"/>
            <w:hideMark/>
          </w:tcPr>
          <w:p w:rsidR="00484AE8" w:rsidRPr="00484AE8" w:rsidRDefault="00484AE8" w:rsidP="00484AE8">
            <w:pPr>
              <w:spacing w:after="0" w:line="240" w:lineRule="auto"/>
              <w:jc w:val="center"/>
              <w:rPr>
                <w:rFonts w:cs="Arial"/>
                <w:color w:val="000000"/>
                <w:sz w:val="16"/>
                <w:szCs w:val="16"/>
              </w:rPr>
            </w:pPr>
            <w:r w:rsidRPr="00484AE8">
              <w:rPr>
                <w:rFonts w:cs="Arial"/>
                <w:color w:val="000000"/>
                <w:sz w:val="16"/>
                <w:szCs w:val="16"/>
              </w:rPr>
              <w:t>ženy</w:t>
            </w:r>
          </w:p>
        </w:tc>
        <w:tc>
          <w:tcPr>
            <w:tcW w:w="1060" w:type="dxa"/>
            <w:vMerge/>
            <w:tcBorders>
              <w:top w:val="nil"/>
              <w:left w:val="nil"/>
              <w:bottom w:val="single" w:sz="4" w:space="0" w:color="000000"/>
              <w:right w:val="nil"/>
            </w:tcBorders>
            <w:vAlign w:val="center"/>
            <w:hideMark/>
          </w:tcPr>
          <w:p w:rsidR="00484AE8" w:rsidRPr="00484AE8" w:rsidRDefault="00484AE8" w:rsidP="00484AE8">
            <w:pPr>
              <w:spacing w:after="0" w:line="240" w:lineRule="auto"/>
              <w:jc w:val="left"/>
              <w:rPr>
                <w:rFonts w:cs="Arial"/>
                <w:color w:val="000000"/>
                <w:sz w:val="16"/>
                <w:szCs w:val="16"/>
              </w:rPr>
            </w:pPr>
          </w:p>
        </w:tc>
        <w:tc>
          <w:tcPr>
            <w:tcW w:w="960" w:type="dxa"/>
            <w:tcBorders>
              <w:top w:val="nil"/>
              <w:left w:val="single" w:sz="4" w:space="0" w:color="auto"/>
              <w:bottom w:val="single" w:sz="4" w:space="0" w:color="auto"/>
              <w:right w:val="single" w:sz="4" w:space="0" w:color="auto"/>
            </w:tcBorders>
            <w:shd w:val="clear" w:color="000000" w:fill="E6C483"/>
            <w:vAlign w:val="center"/>
            <w:hideMark/>
          </w:tcPr>
          <w:p w:rsidR="00484AE8" w:rsidRPr="00484AE8" w:rsidRDefault="00484AE8" w:rsidP="00484AE8">
            <w:pPr>
              <w:spacing w:after="0" w:line="240" w:lineRule="auto"/>
              <w:jc w:val="center"/>
              <w:rPr>
                <w:rFonts w:cs="Arial"/>
                <w:color w:val="000000"/>
                <w:sz w:val="16"/>
                <w:szCs w:val="16"/>
              </w:rPr>
            </w:pPr>
            <w:r w:rsidRPr="00484AE8">
              <w:rPr>
                <w:rFonts w:cs="Arial"/>
                <w:color w:val="000000"/>
                <w:sz w:val="16"/>
                <w:szCs w:val="16"/>
              </w:rPr>
              <w:t>muži</w:t>
            </w:r>
          </w:p>
        </w:tc>
        <w:tc>
          <w:tcPr>
            <w:tcW w:w="960" w:type="dxa"/>
            <w:tcBorders>
              <w:top w:val="nil"/>
              <w:left w:val="nil"/>
              <w:bottom w:val="single" w:sz="4" w:space="0" w:color="auto"/>
              <w:right w:val="single" w:sz="4" w:space="0" w:color="auto"/>
            </w:tcBorders>
            <w:shd w:val="clear" w:color="000000" w:fill="E6C483"/>
            <w:vAlign w:val="center"/>
            <w:hideMark/>
          </w:tcPr>
          <w:p w:rsidR="00484AE8" w:rsidRPr="00484AE8" w:rsidRDefault="00484AE8" w:rsidP="00484AE8">
            <w:pPr>
              <w:spacing w:after="0" w:line="240" w:lineRule="auto"/>
              <w:jc w:val="center"/>
              <w:rPr>
                <w:rFonts w:cs="Arial"/>
                <w:color w:val="000000"/>
                <w:sz w:val="16"/>
                <w:szCs w:val="16"/>
              </w:rPr>
            </w:pPr>
            <w:r w:rsidRPr="00484AE8">
              <w:rPr>
                <w:rFonts w:cs="Arial"/>
                <w:color w:val="000000"/>
                <w:sz w:val="16"/>
                <w:szCs w:val="16"/>
              </w:rPr>
              <w:t>ženy</w:t>
            </w:r>
          </w:p>
        </w:tc>
        <w:tc>
          <w:tcPr>
            <w:tcW w:w="960" w:type="dxa"/>
            <w:vMerge/>
            <w:tcBorders>
              <w:top w:val="nil"/>
              <w:left w:val="nil"/>
              <w:bottom w:val="single" w:sz="4" w:space="0" w:color="000000"/>
              <w:right w:val="nil"/>
            </w:tcBorders>
            <w:vAlign w:val="center"/>
            <w:hideMark/>
          </w:tcPr>
          <w:p w:rsidR="00484AE8" w:rsidRPr="00484AE8" w:rsidRDefault="00484AE8" w:rsidP="00484AE8">
            <w:pPr>
              <w:spacing w:after="0" w:line="240" w:lineRule="auto"/>
              <w:jc w:val="left"/>
              <w:rPr>
                <w:rFonts w:cs="Arial"/>
                <w:color w:val="000000"/>
                <w:sz w:val="16"/>
                <w:szCs w:val="16"/>
              </w:rPr>
            </w:pPr>
          </w:p>
        </w:tc>
        <w:tc>
          <w:tcPr>
            <w:tcW w:w="960" w:type="dxa"/>
            <w:tcBorders>
              <w:top w:val="nil"/>
              <w:left w:val="single" w:sz="4" w:space="0" w:color="auto"/>
              <w:bottom w:val="single" w:sz="4" w:space="0" w:color="auto"/>
              <w:right w:val="single" w:sz="4" w:space="0" w:color="auto"/>
            </w:tcBorders>
            <w:shd w:val="clear" w:color="000000" w:fill="E6C483"/>
            <w:vAlign w:val="center"/>
            <w:hideMark/>
          </w:tcPr>
          <w:p w:rsidR="00484AE8" w:rsidRPr="00484AE8" w:rsidRDefault="00484AE8" w:rsidP="00484AE8">
            <w:pPr>
              <w:spacing w:after="0" w:line="240" w:lineRule="auto"/>
              <w:jc w:val="center"/>
              <w:rPr>
                <w:rFonts w:cs="Arial"/>
                <w:color w:val="000000"/>
                <w:sz w:val="16"/>
                <w:szCs w:val="16"/>
              </w:rPr>
            </w:pPr>
            <w:r w:rsidRPr="00484AE8">
              <w:rPr>
                <w:rFonts w:cs="Arial"/>
                <w:color w:val="000000"/>
                <w:sz w:val="16"/>
                <w:szCs w:val="16"/>
              </w:rPr>
              <w:t>muži</w:t>
            </w:r>
          </w:p>
        </w:tc>
        <w:tc>
          <w:tcPr>
            <w:tcW w:w="960" w:type="dxa"/>
            <w:tcBorders>
              <w:top w:val="nil"/>
              <w:left w:val="nil"/>
              <w:bottom w:val="single" w:sz="4" w:space="0" w:color="auto"/>
              <w:right w:val="nil"/>
            </w:tcBorders>
            <w:shd w:val="clear" w:color="000000" w:fill="E6C483"/>
            <w:vAlign w:val="center"/>
            <w:hideMark/>
          </w:tcPr>
          <w:p w:rsidR="00484AE8" w:rsidRPr="00484AE8" w:rsidRDefault="00484AE8" w:rsidP="00484AE8">
            <w:pPr>
              <w:spacing w:after="0" w:line="240" w:lineRule="auto"/>
              <w:jc w:val="center"/>
              <w:rPr>
                <w:rFonts w:cs="Arial"/>
                <w:color w:val="000000"/>
                <w:sz w:val="16"/>
                <w:szCs w:val="16"/>
              </w:rPr>
            </w:pPr>
            <w:r w:rsidRPr="00484AE8">
              <w:rPr>
                <w:rFonts w:cs="Arial"/>
                <w:color w:val="000000"/>
                <w:sz w:val="16"/>
                <w:szCs w:val="16"/>
              </w:rPr>
              <w:t>ženy</w:t>
            </w:r>
          </w:p>
        </w:tc>
      </w:tr>
      <w:tr w:rsidR="00484AE8" w:rsidRPr="00484AE8" w:rsidTr="00484AE8">
        <w:trPr>
          <w:trHeight w:val="300"/>
        </w:trPr>
        <w:tc>
          <w:tcPr>
            <w:tcW w:w="960" w:type="dxa"/>
            <w:tcBorders>
              <w:top w:val="nil"/>
              <w:left w:val="nil"/>
              <w:bottom w:val="nil"/>
              <w:right w:val="single" w:sz="4" w:space="0" w:color="auto"/>
            </w:tcBorders>
            <w:shd w:val="clear" w:color="auto" w:fill="auto"/>
            <w:vAlign w:val="center"/>
            <w:hideMark/>
          </w:tcPr>
          <w:p w:rsidR="00484AE8" w:rsidRPr="00484AE8" w:rsidRDefault="00484AE8" w:rsidP="000C2D37">
            <w:pPr>
              <w:spacing w:after="0" w:line="240" w:lineRule="auto"/>
              <w:jc w:val="center"/>
              <w:rPr>
                <w:rFonts w:cs="Arial"/>
                <w:color w:val="000000"/>
                <w:sz w:val="16"/>
                <w:szCs w:val="16"/>
              </w:rPr>
            </w:pPr>
            <w:r w:rsidRPr="00484AE8">
              <w:rPr>
                <w:rFonts w:cs="Arial"/>
                <w:color w:val="000000"/>
                <w:sz w:val="16"/>
                <w:szCs w:val="16"/>
              </w:rPr>
              <w:t>2014</w:t>
            </w:r>
          </w:p>
        </w:tc>
        <w:tc>
          <w:tcPr>
            <w:tcW w:w="960" w:type="dxa"/>
            <w:tcBorders>
              <w:top w:val="nil"/>
              <w:left w:val="nil"/>
              <w:bottom w:val="nil"/>
              <w:right w:val="nil"/>
            </w:tcBorders>
            <w:shd w:val="clear" w:color="auto" w:fill="auto"/>
            <w:vAlign w:val="center"/>
            <w:hideMark/>
          </w:tcPr>
          <w:p w:rsidR="00484AE8" w:rsidRPr="00484AE8" w:rsidRDefault="00484AE8" w:rsidP="00484AE8">
            <w:pPr>
              <w:spacing w:after="0" w:line="240" w:lineRule="auto"/>
              <w:jc w:val="right"/>
              <w:rPr>
                <w:rFonts w:cs="Arial"/>
                <w:color w:val="000000"/>
                <w:sz w:val="16"/>
                <w:szCs w:val="16"/>
              </w:rPr>
            </w:pPr>
            <w:r w:rsidRPr="00484AE8">
              <w:rPr>
                <w:rFonts w:cs="Arial"/>
                <w:color w:val="000000"/>
                <w:sz w:val="16"/>
                <w:szCs w:val="16"/>
              </w:rPr>
              <w:t>4 464,1</w:t>
            </w:r>
          </w:p>
        </w:tc>
        <w:tc>
          <w:tcPr>
            <w:tcW w:w="960" w:type="dxa"/>
            <w:tcBorders>
              <w:top w:val="nil"/>
              <w:left w:val="nil"/>
              <w:bottom w:val="nil"/>
              <w:right w:val="nil"/>
            </w:tcBorders>
            <w:shd w:val="clear" w:color="auto" w:fill="auto"/>
            <w:vAlign w:val="center"/>
            <w:hideMark/>
          </w:tcPr>
          <w:p w:rsidR="00484AE8" w:rsidRPr="00484AE8" w:rsidRDefault="00484AE8" w:rsidP="00484AE8">
            <w:pPr>
              <w:spacing w:after="0" w:line="240" w:lineRule="auto"/>
              <w:jc w:val="right"/>
              <w:rPr>
                <w:rFonts w:cs="Arial"/>
                <w:color w:val="000000"/>
                <w:sz w:val="16"/>
                <w:szCs w:val="16"/>
              </w:rPr>
            </w:pPr>
            <w:r w:rsidRPr="00484AE8">
              <w:rPr>
                <w:rFonts w:cs="Arial"/>
                <w:color w:val="000000"/>
                <w:sz w:val="16"/>
                <w:szCs w:val="16"/>
              </w:rPr>
              <w:t>2 272,9</w:t>
            </w:r>
          </w:p>
        </w:tc>
        <w:tc>
          <w:tcPr>
            <w:tcW w:w="960" w:type="dxa"/>
            <w:tcBorders>
              <w:top w:val="nil"/>
              <w:left w:val="nil"/>
              <w:bottom w:val="nil"/>
              <w:right w:val="single" w:sz="4" w:space="0" w:color="auto"/>
            </w:tcBorders>
            <w:shd w:val="clear" w:color="auto" w:fill="auto"/>
            <w:vAlign w:val="center"/>
            <w:hideMark/>
          </w:tcPr>
          <w:p w:rsidR="00484AE8" w:rsidRPr="00484AE8" w:rsidRDefault="00484AE8" w:rsidP="00484AE8">
            <w:pPr>
              <w:spacing w:after="0" w:line="240" w:lineRule="auto"/>
              <w:jc w:val="right"/>
              <w:rPr>
                <w:rFonts w:cs="Arial"/>
                <w:color w:val="000000"/>
                <w:sz w:val="16"/>
                <w:szCs w:val="16"/>
              </w:rPr>
            </w:pPr>
            <w:r w:rsidRPr="00484AE8">
              <w:rPr>
                <w:rFonts w:cs="Arial"/>
                <w:color w:val="000000"/>
                <w:sz w:val="16"/>
                <w:szCs w:val="16"/>
              </w:rPr>
              <w:t>2 191,2</w:t>
            </w:r>
          </w:p>
        </w:tc>
        <w:tc>
          <w:tcPr>
            <w:tcW w:w="1060" w:type="dxa"/>
            <w:tcBorders>
              <w:top w:val="nil"/>
              <w:left w:val="nil"/>
              <w:bottom w:val="nil"/>
              <w:right w:val="nil"/>
            </w:tcBorders>
            <w:shd w:val="clear" w:color="auto" w:fill="auto"/>
            <w:vAlign w:val="center"/>
            <w:hideMark/>
          </w:tcPr>
          <w:p w:rsidR="00484AE8" w:rsidRPr="00484AE8" w:rsidRDefault="00484AE8" w:rsidP="00484AE8">
            <w:pPr>
              <w:spacing w:after="0" w:line="240" w:lineRule="auto"/>
              <w:jc w:val="right"/>
              <w:rPr>
                <w:rFonts w:cs="Arial"/>
                <w:color w:val="000000"/>
                <w:sz w:val="16"/>
                <w:szCs w:val="16"/>
              </w:rPr>
            </w:pPr>
            <w:r w:rsidRPr="00484AE8">
              <w:rPr>
                <w:rFonts w:cs="Arial"/>
                <w:color w:val="000000"/>
                <w:sz w:val="16"/>
                <w:szCs w:val="16"/>
              </w:rPr>
              <w:t>4 358,3</w:t>
            </w:r>
          </w:p>
        </w:tc>
        <w:tc>
          <w:tcPr>
            <w:tcW w:w="960" w:type="dxa"/>
            <w:tcBorders>
              <w:top w:val="nil"/>
              <w:left w:val="nil"/>
              <w:bottom w:val="nil"/>
              <w:right w:val="nil"/>
            </w:tcBorders>
            <w:shd w:val="clear" w:color="auto" w:fill="auto"/>
            <w:vAlign w:val="center"/>
            <w:hideMark/>
          </w:tcPr>
          <w:p w:rsidR="00484AE8" w:rsidRPr="00484AE8" w:rsidRDefault="00484AE8" w:rsidP="00484AE8">
            <w:pPr>
              <w:spacing w:after="0" w:line="240" w:lineRule="auto"/>
              <w:jc w:val="right"/>
              <w:rPr>
                <w:rFonts w:cs="Arial"/>
                <w:color w:val="000000"/>
                <w:sz w:val="16"/>
                <w:szCs w:val="16"/>
              </w:rPr>
            </w:pPr>
            <w:r w:rsidRPr="00484AE8">
              <w:rPr>
                <w:rFonts w:cs="Arial"/>
                <w:color w:val="000000"/>
                <w:sz w:val="16"/>
                <w:szCs w:val="16"/>
              </w:rPr>
              <w:t>2 207,8</w:t>
            </w:r>
          </w:p>
        </w:tc>
        <w:tc>
          <w:tcPr>
            <w:tcW w:w="960" w:type="dxa"/>
            <w:tcBorders>
              <w:top w:val="nil"/>
              <w:left w:val="nil"/>
              <w:bottom w:val="nil"/>
              <w:right w:val="single" w:sz="4" w:space="0" w:color="auto"/>
            </w:tcBorders>
            <w:shd w:val="clear" w:color="auto" w:fill="auto"/>
            <w:vAlign w:val="center"/>
            <w:hideMark/>
          </w:tcPr>
          <w:p w:rsidR="00484AE8" w:rsidRPr="00484AE8" w:rsidRDefault="00484AE8" w:rsidP="00484AE8">
            <w:pPr>
              <w:spacing w:after="0" w:line="240" w:lineRule="auto"/>
              <w:jc w:val="right"/>
              <w:rPr>
                <w:rFonts w:cs="Arial"/>
                <w:color w:val="000000"/>
                <w:sz w:val="16"/>
                <w:szCs w:val="16"/>
              </w:rPr>
            </w:pPr>
            <w:r w:rsidRPr="00484AE8">
              <w:rPr>
                <w:rFonts w:cs="Arial"/>
                <w:color w:val="000000"/>
                <w:sz w:val="16"/>
                <w:szCs w:val="16"/>
              </w:rPr>
              <w:t>2 150,6</w:t>
            </w:r>
          </w:p>
        </w:tc>
        <w:tc>
          <w:tcPr>
            <w:tcW w:w="960" w:type="dxa"/>
            <w:tcBorders>
              <w:top w:val="nil"/>
              <w:left w:val="nil"/>
              <w:bottom w:val="nil"/>
              <w:right w:val="nil"/>
            </w:tcBorders>
            <w:shd w:val="clear" w:color="auto" w:fill="auto"/>
            <w:vAlign w:val="center"/>
            <w:hideMark/>
          </w:tcPr>
          <w:p w:rsidR="00484AE8" w:rsidRPr="00484AE8" w:rsidRDefault="00484AE8" w:rsidP="00484AE8">
            <w:pPr>
              <w:spacing w:after="0" w:line="240" w:lineRule="auto"/>
              <w:jc w:val="right"/>
              <w:rPr>
                <w:rFonts w:cs="Arial"/>
                <w:color w:val="000000"/>
                <w:sz w:val="16"/>
                <w:szCs w:val="16"/>
              </w:rPr>
            </w:pPr>
            <w:r w:rsidRPr="00484AE8">
              <w:rPr>
                <w:rFonts w:cs="Arial"/>
                <w:color w:val="000000"/>
                <w:sz w:val="16"/>
                <w:szCs w:val="16"/>
              </w:rPr>
              <w:t>105,7</w:t>
            </w:r>
          </w:p>
        </w:tc>
        <w:tc>
          <w:tcPr>
            <w:tcW w:w="960" w:type="dxa"/>
            <w:tcBorders>
              <w:top w:val="nil"/>
              <w:left w:val="nil"/>
              <w:bottom w:val="nil"/>
              <w:right w:val="nil"/>
            </w:tcBorders>
            <w:shd w:val="clear" w:color="auto" w:fill="auto"/>
            <w:vAlign w:val="center"/>
            <w:hideMark/>
          </w:tcPr>
          <w:p w:rsidR="00484AE8" w:rsidRPr="00484AE8" w:rsidRDefault="00484AE8" w:rsidP="00484AE8">
            <w:pPr>
              <w:spacing w:after="0" w:line="240" w:lineRule="auto"/>
              <w:jc w:val="right"/>
              <w:rPr>
                <w:rFonts w:cs="Arial"/>
                <w:color w:val="000000"/>
                <w:sz w:val="16"/>
                <w:szCs w:val="16"/>
              </w:rPr>
            </w:pPr>
            <w:r w:rsidRPr="00484AE8">
              <w:rPr>
                <w:rFonts w:cs="Arial"/>
                <w:color w:val="000000"/>
                <w:sz w:val="16"/>
                <w:szCs w:val="16"/>
              </w:rPr>
              <w:t>65,1</w:t>
            </w:r>
          </w:p>
        </w:tc>
        <w:tc>
          <w:tcPr>
            <w:tcW w:w="960" w:type="dxa"/>
            <w:tcBorders>
              <w:top w:val="nil"/>
              <w:left w:val="nil"/>
              <w:bottom w:val="nil"/>
              <w:right w:val="nil"/>
            </w:tcBorders>
            <w:shd w:val="clear" w:color="auto" w:fill="auto"/>
            <w:vAlign w:val="center"/>
            <w:hideMark/>
          </w:tcPr>
          <w:p w:rsidR="00484AE8" w:rsidRPr="00484AE8" w:rsidRDefault="00484AE8" w:rsidP="00484AE8">
            <w:pPr>
              <w:spacing w:after="0" w:line="240" w:lineRule="auto"/>
              <w:jc w:val="right"/>
              <w:rPr>
                <w:rFonts w:cs="Arial"/>
                <w:color w:val="000000"/>
                <w:sz w:val="16"/>
                <w:szCs w:val="16"/>
              </w:rPr>
            </w:pPr>
            <w:r w:rsidRPr="00484AE8">
              <w:rPr>
                <w:rFonts w:cs="Arial"/>
                <w:color w:val="000000"/>
                <w:sz w:val="16"/>
                <w:szCs w:val="16"/>
              </w:rPr>
              <w:t>40,6</w:t>
            </w:r>
          </w:p>
        </w:tc>
      </w:tr>
      <w:tr w:rsidR="00484AE8" w:rsidRPr="00484AE8" w:rsidTr="00484AE8">
        <w:trPr>
          <w:trHeight w:val="300"/>
        </w:trPr>
        <w:tc>
          <w:tcPr>
            <w:tcW w:w="960" w:type="dxa"/>
            <w:tcBorders>
              <w:top w:val="nil"/>
              <w:left w:val="nil"/>
              <w:bottom w:val="nil"/>
              <w:right w:val="single" w:sz="4" w:space="0" w:color="auto"/>
            </w:tcBorders>
            <w:shd w:val="clear" w:color="auto" w:fill="auto"/>
            <w:vAlign w:val="center"/>
            <w:hideMark/>
          </w:tcPr>
          <w:p w:rsidR="00484AE8" w:rsidRPr="00484AE8" w:rsidRDefault="00484AE8" w:rsidP="000C2D37">
            <w:pPr>
              <w:spacing w:after="0" w:line="240" w:lineRule="auto"/>
              <w:jc w:val="center"/>
              <w:rPr>
                <w:rFonts w:cs="Arial"/>
                <w:color w:val="000000"/>
                <w:sz w:val="16"/>
                <w:szCs w:val="16"/>
              </w:rPr>
            </w:pPr>
            <w:r w:rsidRPr="00484AE8">
              <w:rPr>
                <w:rFonts w:cs="Arial"/>
                <w:color w:val="000000"/>
                <w:sz w:val="16"/>
                <w:szCs w:val="16"/>
              </w:rPr>
              <w:t>2015</w:t>
            </w:r>
          </w:p>
        </w:tc>
        <w:tc>
          <w:tcPr>
            <w:tcW w:w="960" w:type="dxa"/>
            <w:tcBorders>
              <w:top w:val="nil"/>
              <w:left w:val="nil"/>
              <w:bottom w:val="nil"/>
              <w:right w:val="nil"/>
            </w:tcBorders>
            <w:shd w:val="clear" w:color="auto" w:fill="auto"/>
            <w:vAlign w:val="center"/>
            <w:hideMark/>
          </w:tcPr>
          <w:p w:rsidR="00484AE8" w:rsidRPr="00484AE8" w:rsidRDefault="00484AE8" w:rsidP="00484AE8">
            <w:pPr>
              <w:spacing w:after="0" w:line="240" w:lineRule="auto"/>
              <w:jc w:val="right"/>
              <w:rPr>
                <w:rFonts w:cs="Arial"/>
                <w:color w:val="000000"/>
                <w:sz w:val="16"/>
                <w:szCs w:val="16"/>
              </w:rPr>
            </w:pPr>
            <w:r w:rsidRPr="00484AE8">
              <w:rPr>
                <w:rFonts w:cs="Arial"/>
                <w:color w:val="000000"/>
                <w:sz w:val="16"/>
                <w:szCs w:val="16"/>
              </w:rPr>
              <w:t>4 507,0</w:t>
            </w:r>
          </w:p>
        </w:tc>
        <w:tc>
          <w:tcPr>
            <w:tcW w:w="960" w:type="dxa"/>
            <w:tcBorders>
              <w:top w:val="nil"/>
              <w:left w:val="nil"/>
              <w:bottom w:val="nil"/>
              <w:right w:val="nil"/>
            </w:tcBorders>
            <w:shd w:val="clear" w:color="auto" w:fill="auto"/>
            <w:vAlign w:val="center"/>
            <w:hideMark/>
          </w:tcPr>
          <w:p w:rsidR="00484AE8" w:rsidRPr="00484AE8" w:rsidRDefault="00484AE8" w:rsidP="00484AE8">
            <w:pPr>
              <w:spacing w:after="0" w:line="240" w:lineRule="auto"/>
              <w:jc w:val="right"/>
              <w:rPr>
                <w:rFonts w:cs="Arial"/>
                <w:color w:val="000000"/>
                <w:sz w:val="16"/>
                <w:szCs w:val="16"/>
              </w:rPr>
            </w:pPr>
            <w:r w:rsidRPr="00484AE8">
              <w:rPr>
                <w:rFonts w:cs="Arial"/>
                <w:color w:val="000000"/>
                <w:sz w:val="16"/>
                <w:szCs w:val="16"/>
              </w:rPr>
              <w:t>2 301,3</w:t>
            </w:r>
          </w:p>
        </w:tc>
        <w:tc>
          <w:tcPr>
            <w:tcW w:w="960" w:type="dxa"/>
            <w:tcBorders>
              <w:top w:val="nil"/>
              <w:left w:val="nil"/>
              <w:bottom w:val="nil"/>
              <w:right w:val="single" w:sz="4" w:space="0" w:color="auto"/>
            </w:tcBorders>
            <w:shd w:val="clear" w:color="auto" w:fill="auto"/>
            <w:vAlign w:val="center"/>
            <w:hideMark/>
          </w:tcPr>
          <w:p w:rsidR="00484AE8" w:rsidRPr="00484AE8" w:rsidRDefault="00484AE8" w:rsidP="00484AE8">
            <w:pPr>
              <w:spacing w:after="0" w:line="240" w:lineRule="auto"/>
              <w:jc w:val="right"/>
              <w:rPr>
                <w:rFonts w:cs="Arial"/>
                <w:color w:val="000000"/>
                <w:sz w:val="16"/>
                <w:szCs w:val="16"/>
              </w:rPr>
            </w:pPr>
            <w:r w:rsidRPr="00484AE8">
              <w:rPr>
                <w:rFonts w:cs="Arial"/>
                <w:color w:val="000000"/>
                <w:sz w:val="16"/>
                <w:szCs w:val="16"/>
              </w:rPr>
              <w:t>2 205,7</w:t>
            </w:r>
          </w:p>
        </w:tc>
        <w:tc>
          <w:tcPr>
            <w:tcW w:w="1060" w:type="dxa"/>
            <w:tcBorders>
              <w:top w:val="nil"/>
              <w:left w:val="nil"/>
              <w:bottom w:val="nil"/>
              <w:right w:val="nil"/>
            </w:tcBorders>
            <w:shd w:val="clear" w:color="auto" w:fill="auto"/>
            <w:vAlign w:val="center"/>
            <w:hideMark/>
          </w:tcPr>
          <w:p w:rsidR="00484AE8" w:rsidRPr="00484AE8" w:rsidRDefault="00484AE8" w:rsidP="00484AE8">
            <w:pPr>
              <w:spacing w:after="0" w:line="240" w:lineRule="auto"/>
              <w:jc w:val="right"/>
              <w:rPr>
                <w:rFonts w:cs="Arial"/>
                <w:color w:val="000000"/>
                <w:sz w:val="16"/>
                <w:szCs w:val="16"/>
              </w:rPr>
            </w:pPr>
            <w:r w:rsidRPr="00484AE8">
              <w:rPr>
                <w:rFonts w:cs="Arial"/>
                <w:color w:val="000000"/>
                <w:sz w:val="16"/>
                <w:szCs w:val="16"/>
              </w:rPr>
              <w:t>4 417,6</w:t>
            </w:r>
          </w:p>
        </w:tc>
        <w:tc>
          <w:tcPr>
            <w:tcW w:w="960" w:type="dxa"/>
            <w:tcBorders>
              <w:top w:val="nil"/>
              <w:left w:val="nil"/>
              <w:bottom w:val="nil"/>
              <w:right w:val="nil"/>
            </w:tcBorders>
            <w:shd w:val="clear" w:color="auto" w:fill="auto"/>
            <w:vAlign w:val="center"/>
            <w:hideMark/>
          </w:tcPr>
          <w:p w:rsidR="00484AE8" w:rsidRPr="00484AE8" w:rsidRDefault="00484AE8" w:rsidP="00484AE8">
            <w:pPr>
              <w:spacing w:after="0" w:line="240" w:lineRule="auto"/>
              <w:jc w:val="right"/>
              <w:rPr>
                <w:rFonts w:cs="Arial"/>
                <w:color w:val="000000"/>
                <w:sz w:val="16"/>
                <w:szCs w:val="16"/>
              </w:rPr>
            </w:pPr>
            <w:r w:rsidRPr="00484AE8">
              <w:rPr>
                <w:rFonts w:cs="Arial"/>
                <w:color w:val="000000"/>
                <w:sz w:val="16"/>
                <w:szCs w:val="16"/>
              </w:rPr>
              <w:t>2 252,8</w:t>
            </w:r>
          </w:p>
        </w:tc>
        <w:tc>
          <w:tcPr>
            <w:tcW w:w="960" w:type="dxa"/>
            <w:tcBorders>
              <w:top w:val="nil"/>
              <w:left w:val="nil"/>
              <w:bottom w:val="nil"/>
              <w:right w:val="single" w:sz="4" w:space="0" w:color="auto"/>
            </w:tcBorders>
            <w:shd w:val="clear" w:color="auto" w:fill="auto"/>
            <w:vAlign w:val="center"/>
            <w:hideMark/>
          </w:tcPr>
          <w:p w:rsidR="00484AE8" w:rsidRPr="00484AE8" w:rsidRDefault="00484AE8" w:rsidP="00484AE8">
            <w:pPr>
              <w:spacing w:after="0" w:line="240" w:lineRule="auto"/>
              <w:jc w:val="right"/>
              <w:rPr>
                <w:rFonts w:cs="Arial"/>
                <w:color w:val="000000"/>
                <w:sz w:val="16"/>
                <w:szCs w:val="16"/>
              </w:rPr>
            </w:pPr>
            <w:r w:rsidRPr="00484AE8">
              <w:rPr>
                <w:rFonts w:cs="Arial"/>
                <w:color w:val="000000"/>
                <w:sz w:val="16"/>
                <w:szCs w:val="16"/>
              </w:rPr>
              <w:t>2 164,8</w:t>
            </w:r>
          </w:p>
        </w:tc>
        <w:tc>
          <w:tcPr>
            <w:tcW w:w="960" w:type="dxa"/>
            <w:tcBorders>
              <w:top w:val="nil"/>
              <w:left w:val="nil"/>
              <w:bottom w:val="nil"/>
              <w:right w:val="nil"/>
            </w:tcBorders>
            <w:shd w:val="clear" w:color="auto" w:fill="auto"/>
            <w:vAlign w:val="center"/>
            <w:hideMark/>
          </w:tcPr>
          <w:p w:rsidR="00484AE8" w:rsidRPr="00484AE8" w:rsidRDefault="00484AE8" w:rsidP="00484AE8">
            <w:pPr>
              <w:spacing w:after="0" w:line="240" w:lineRule="auto"/>
              <w:jc w:val="right"/>
              <w:rPr>
                <w:rFonts w:cs="Arial"/>
                <w:color w:val="000000"/>
                <w:sz w:val="16"/>
                <w:szCs w:val="16"/>
              </w:rPr>
            </w:pPr>
            <w:r w:rsidRPr="00484AE8">
              <w:rPr>
                <w:rFonts w:cs="Arial"/>
                <w:color w:val="000000"/>
                <w:sz w:val="16"/>
                <w:szCs w:val="16"/>
              </w:rPr>
              <w:t>89,4</w:t>
            </w:r>
          </w:p>
        </w:tc>
        <w:tc>
          <w:tcPr>
            <w:tcW w:w="960" w:type="dxa"/>
            <w:tcBorders>
              <w:top w:val="nil"/>
              <w:left w:val="nil"/>
              <w:bottom w:val="nil"/>
              <w:right w:val="nil"/>
            </w:tcBorders>
            <w:shd w:val="clear" w:color="auto" w:fill="auto"/>
            <w:vAlign w:val="center"/>
            <w:hideMark/>
          </w:tcPr>
          <w:p w:rsidR="00484AE8" w:rsidRPr="00484AE8" w:rsidRDefault="00484AE8" w:rsidP="00484AE8">
            <w:pPr>
              <w:spacing w:after="0" w:line="240" w:lineRule="auto"/>
              <w:jc w:val="right"/>
              <w:rPr>
                <w:rFonts w:cs="Arial"/>
                <w:color w:val="000000"/>
                <w:sz w:val="16"/>
                <w:szCs w:val="16"/>
              </w:rPr>
            </w:pPr>
            <w:r w:rsidRPr="00484AE8">
              <w:rPr>
                <w:rFonts w:cs="Arial"/>
                <w:color w:val="000000"/>
                <w:sz w:val="16"/>
                <w:szCs w:val="16"/>
              </w:rPr>
              <w:t>48,5</w:t>
            </w:r>
          </w:p>
        </w:tc>
        <w:tc>
          <w:tcPr>
            <w:tcW w:w="960" w:type="dxa"/>
            <w:tcBorders>
              <w:top w:val="nil"/>
              <w:left w:val="nil"/>
              <w:bottom w:val="nil"/>
              <w:right w:val="nil"/>
            </w:tcBorders>
            <w:shd w:val="clear" w:color="auto" w:fill="auto"/>
            <w:vAlign w:val="center"/>
            <w:hideMark/>
          </w:tcPr>
          <w:p w:rsidR="00484AE8" w:rsidRPr="00484AE8" w:rsidRDefault="00484AE8" w:rsidP="00484AE8">
            <w:pPr>
              <w:spacing w:after="0" w:line="240" w:lineRule="auto"/>
              <w:jc w:val="right"/>
              <w:rPr>
                <w:rFonts w:cs="Arial"/>
                <w:color w:val="000000"/>
                <w:sz w:val="16"/>
                <w:szCs w:val="16"/>
              </w:rPr>
            </w:pPr>
            <w:r w:rsidRPr="00484AE8">
              <w:rPr>
                <w:rFonts w:cs="Arial"/>
                <w:color w:val="000000"/>
                <w:sz w:val="16"/>
                <w:szCs w:val="16"/>
              </w:rPr>
              <w:t>40,9</w:t>
            </w:r>
          </w:p>
        </w:tc>
      </w:tr>
      <w:tr w:rsidR="00484AE8" w:rsidRPr="00484AE8" w:rsidTr="00484AE8">
        <w:trPr>
          <w:trHeight w:val="300"/>
        </w:trPr>
        <w:tc>
          <w:tcPr>
            <w:tcW w:w="960" w:type="dxa"/>
            <w:tcBorders>
              <w:top w:val="nil"/>
              <w:left w:val="nil"/>
              <w:bottom w:val="nil"/>
              <w:right w:val="single" w:sz="4" w:space="0" w:color="auto"/>
            </w:tcBorders>
            <w:shd w:val="clear" w:color="auto" w:fill="auto"/>
            <w:vAlign w:val="center"/>
            <w:hideMark/>
          </w:tcPr>
          <w:p w:rsidR="00484AE8" w:rsidRPr="00484AE8" w:rsidRDefault="00484AE8" w:rsidP="000C2D37">
            <w:pPr>
              <w:spacing w:after="0" w:line="240" w:lineRule="auto"/>
              <w:jc w:val="center"/>
              <w:rPr>
                <w:rFonts w:cs="Arial"/>
                <w:color w:val="000000"/>
                <w:sz w:val="16"/>
                <w:szCs w:val="16"/>
              </w:rPr>
            </w:pPr>
            <w:r w:rsidRPr="00484AE8">
              <w:rPr>
                <w:rFonts w:cs="Arial"/>
                <w:color w:val="000000"/>
                <w:sz w:val="16"/>
                <w:szCs w:val="16"/>
              </w:rPr>
              <w:t>2016</w:t>
            </w:r>
          </w:p>
        </w:tc>
        <w:tc>
          <w:tcPr>
            <w:tcW w:w="960" w:type="dxa"/>
            <w:tcBorders>
              <w:top w:val="nil"/>
              <w:left w:val="nil"/>
              <w:bottom w:val="nil"/>
              <w:right w:val="nil"/>
            </w:tcBorders>
            <w:shd w:val="clear" w:color="auto" w:fill="auto"/>
            <w:vAlign w:val="center"/>
            <w:hideMark/>
          </w:tcPr>
          <w:p w:rsidR="00484AE8" w:rsidRPr="00484AE8" w:rsidRDefault="00484AE8" w:rsidP="00484AE8">
            <w:pPr>
              <w:spacing w:after="0" w:line="240" w:lineRule="auto"/>
              <w:jc w:val="right"/>
              <w:rPr>
                <w:rFonts w:cs="Arial"/>
                <w:color w:val="000000"/>
                <w:sz w:val="16"/>
                <w:szCs w:val="16"/>
              </w:rPr>
            </w:pPr>
            <w:r w:rsidRPr="00484AE8">
              <w:rPr>
                <w:rFonts w:cs="Arial"/>
                <w:color w:val="000000"/>
                <w:sz w:val="16"/>
                <w:szCs w:val="16"/>
              </w:rPr>
              <w:t>4 571,3</w:t>
            </w:r>
          </w:p>
        </w:tc>
        <w:tc>
          <w:tcPr>
            <w:tcW w:w="960" w:type="dxa"/>
            <w:tcBorders>
              <w:top w:val="nil"/>
              <w:left w:val="nil"/>
              <w:bottom w:val="nil"/>
              <w:right w:val="nil"/>
            </w:tcBorders>
            <w:shd w:val="clear" w:color="auto" w:fill="auto"/>
            <w:vAlign w:val="center"/>
            <w:hideMark/>
          </w:tcPr>
          <w:p w:rsidR="00484AE8" w:rsidRPr="00484AE8" w:rsidRDefault="00484AE8" w:rsidP="00484AE8">
            <w:pPr>
              <w:spacing w:after="0" w:line="240" w:lineRule="auto"/>
              <w:jc w:val="right"/>
              <w:rPr>
                <w:rFonts w:cs="Arial"/>
                <w:color w:val="000000"/>
                <w:sz w:val="16"/>
                <w:szCs w:val="16"/>
              </w:rPr>
            </w:pPr>
            <w:r w:rsidRPr="00484AE8">
              <w:rPr>
                <w:rFonts w:cs="Arial"/>
                <w:color w:val="000000"/>
                <w:sz w:val="16"/>
                <w:szCs w:val="16"/>
              </w:rPr>
              <w:t>2 328,5</w:t>
            </w:r>
          </w:p>
        </w:tc>
        <w:tc>
          <w:tcPr>
            <w:tcW w:w="960" w:type="dxa"/>
            <w:tcBorders>
              <w:top w:val="nil"/>
              <w:left w:val="nil"/>
              <w:bottom w:val="nil"/>
              <w:right w:val="single" w:sz="4" w:space="0" w:color="auto"/>
            </w:tcBorders>
            <w:shd w:val="clear" w:color="auto" w:fill="auto"/>
            <w:vAlign w:val="center"/>
            <w:hideMark/>
          </w:tcPr>
          <w:p w:rsidR="00484AE8" w:rsidRPr="00484AE8" w:rsidRDefault="00484AE8" w:rsidP="00484AE8">
            <w:pPr>
              <w:spacing w:after="0" w:line="240" w:lineRule="auto"/>
              <w:jc w:val="right"/>
              <w:rPr>
                <w:rFonts w:cs="Arial"/>
                <w:color w:val="000000"/>
                <w:sz w:val="16"/>
                <w:szCs w:val="16"/>
              </w:rPr>
            </w:pPr>
            <w:r w:rsidRPr="00484AE8">
              <w:rPr>
                <w:rFonts w:cs="Arial"/>
                <w:color w:val="000000"/>
                <w:sz w:val="16"/>
                <w:szCs w:val="16"/>
              </w:rPr>
              <w:t>2 242,8</w:t>
            </w:r>
          </w:p>
        </w:tc>
        <w:tc>
          <w:tcPr>
            <w:tcW w:w="1060" w:type="dxa"/>
            <w:tcBorders>
              <w:top w:val="nil"/>
              <w:left w:val="nil"/>
              <w:bottom w:val="nil"/>
              <w:right w:val="nil"/>
            </w:tcBorders>
            <w:shd w:val="clear" w:color="auto" w:fill="auto"/>
            <w:vAlign w:val="center"/>
            <w:hideMark/>
          </w:tcPr>
          <w:p w:rsidR="00484AE8" w:rsidRPr="00484AE8" w:rsidRDefault="00484AE8" w:rsidP="00484AE8">
            <w:pPr>
              <w:spacing w:after="0" w:line="240" w:lineRule="auto"/>
              <w:jc w:val="right"/>
              <w:rPr>
                <w:rFonts w:cs="Arial"/>
                <w:color w:val="000000"/>
                <w:sz w:val="16"/>
                <w:szCs w:val="16"/>
              </w:rPr>
            </w:pPr>
            <w:r w:rsidRPr="00484AE8">
              <w:rPr>
                <w:rFonts w:cs="Arial"/>
                <w:color w:val="000000"/>
                <w:sz w:val="16"/>
                <w:szCs w:val="16"/>
              </w:rPr>
              <w:t>4 481,8</w:t>
            </w:r>
          </w:p>
        </w:tc>
        <w:tc>
          <w:tcPr>
            <w:tcW w:w="960" w:type="dxa"/>
            <w:tcBorders>
              <w:top w:val="nil"/>
              <w:left w:val="nil"/>
              <w:bottom w:val="nil"/>
              <w:right w:val="nil"/>
            </w:tcBorders>
            <w:shd w:val="clear" w:color="auto" w:fill="auto"/>
            <w:vAlign w:val="center"/>
            <w:hideMark/>
          </w:tcPr>
          <w:p w:rsidR="00484AE8" w:rsidRPr="00484AE8" w:rsidRDefault="00484AE8" w:rsidP="00484AE8">
            <w:pPr>
              <w:spacing w:after="0" w:line="240" w:lineRule="auto"/>
              <w:jc w:val="right"/>
              <w:rPr>
                <w:rFonts w:cs="Arial"/>
                <w:color w:val="000000"/>
                <w:sz w:val="16"/>
                <w:szCs w:val="16"/>
              </w:rPr>
            </w:pPr>
            <w:r w:rsidRPr="00484AE8">
              <w:rPr>
                <w:rFonts w:cs="Arial"/>
                <w:color w:val="000000"/>
                <w:sz w:val="16"/>
                <w:szCs w:val="16"/>
              </w:rPr>
              <w:t>2 273,5</w:t>
            </w:r>
          </w:p>
        </w:tc>
        <w:tc>
          <w:tcPr>
            <w:tcW w:w="960" w:type="dxa"/>
            <w:tcBorders>
              <w:top w:val="nil"/>
              <w:left w:val="nil"/>
              <w:bottom w:val="nil"/>
              <w:right w:val="single" w:sz="4" w:space="0" w:color="auto"/>
            </w:tcBorders>
            <w:shd w:val="clear" w:color="auto" w:fill="auto"/>
            <w:vAlign w:val="center"/>
            <w:hideMark/>
          </w:tcPr>
          <w:p w:rsidR="00484AE8" w:rsidRPr="00484AE8" w:rsidRDefault="00484AE8" w:rsidP="00484AE8">
            <w:pPr>
              <w:spacing w:after="0" w:line="240" w:lineRule="auto"/>
              <w:jc w:val="right"/>
              <w:rPr>
                <w:rFonts w:cs="Arial"/>
                <w:color w:val="000000"/>
                <w:sz w:val="16"/>
                <w:szCs w:val="16"/>
              </w:rPr>
            </w:pPr>
            <w:r w:rsidRPr="00484AE8">
              <w:rPr>
                <w:rFonts w:cs="Arial"/>
                <w:color w:val="000000"/>
                <w:sz w:val="16"/>
                <w:szCs w:val="16"/>
              </w:rPr>
              <w:t>2 208,3</w:t>
            </w:r>
          </w:p>
        </w:tc>
        <w:tc>
          <w:tcPr>
            <w:tcW w:w="960" w:type="dxa"/>
            <w:tcBorders>
              <w:top w:val="nil"/>
              <w:left w:val="nil"/>
              <w:bottom w:val="nil"/>
              <w:right w:val="nil"/>
            </w:tcBorders>
            <w:shd w:val="clear" w:color="auto" w:fill="auto"/>
            <w:vAlign w:val="center"/>
            <w:hideMark/>
          </w:tcPr>
          <w:p w:rsidR="00484AE8" w:rsidRPr="00484AE8" w:rsidRDefault="00484AE8" w:rsidP="00484AE8">
            <w:pPr>
              <w:spacing w:after="0" w:line="240" w:lineRule="auto"/>
              <w:jc w:val="right"/>
              <w:rPr>
                <w:rFonts w:cs="Arial"/>
                <w:color w:val="000000"/>
                <w:sz w:val="16"/>
                <w:szCs w:val="16"/>
              </w:rPr>
            </w:pPr>
            <w:r w:rsidRPr="00484AE8">
              <w:rPr>
                <w:rFonts w:cs="Arial"/>
                <w:color w:val="000000"/>
                <w:sz w:val="16"/>
                <w:szCs w:val="16"/>
              </w:rPr>
              <w:t>89,5</w:t>
            </w:r>
          </w:p>
        </w:tc>
        <w:tc>
          <w:tcPr>
            <w:tcW w:w="960" w:type="dxa"/>
            <w:tcBorders>
              <w:top w:val="nil"/>
              <w:left w:val="nil"/>
              <w:bottom w:val="nil"/>
              <w:right w:val="nil"/>
            </w:tcBorders>
            <w:shd w:val="clear" w:color="auto" w:fill="auto"/>
            <w:vAlign w:val="center"/>
            <w:hideMark/>
          </w:tcPr>
          <w:p w:rsidR="00484AE8" w:rsidRPr="00484AE8" w:rsidRDefault="00484AE8" w:rsidP="00484AE8">
            <w:pPr>
              <w:spacing w:after="0" w:line="240" w:lineRule="auto"/>
              <w:jc w:val="right"/>
              <w:rPr>
                <w:rFonts w:cs="Arial"/>
                <w:color w:val="000000"/>
                <w:sz w:val="16"/>
                <w:szCs w:val="16"/>
              </w:rPr>
            </w:pPr>
            <w:r w:rsidRPr="00484AE8">
              <w:rPr>
                <w:rFonts w:cs="Arial"/>
                <w:color w:val="000000"/>
                <w:sz w:val="16"/>
                <w:szCs w:val="16"/>
              </w:rPr>
              <w:t>55,0</w:t>
            </w:r>
          </w:p>
        </w:tc>
        <w:tc>
          <w:tcPr>
            <w:tcW w:w="960" w:type="dxa"/>
            <w:tcBorders>
              <w:top w:val="nil"/>
              <w:left w:val="nil"/>
              <w:bottom w:val="nil"/>
              <w:right w:val="nil"/>
            </w:tcBorders>
            <w:shd w:val="clear" w:color="auto" w:fill="auto"/>
            <w:vAlign w:val="center"/>
            <w:hideMark/>
          </w:tcPr>
          <w:p w:rsidR="00484AE8" w:rsidRPr="00484AE8" w:rsidRDefault="00484AE8" w:rsidP="00484AE8">
            <w:pPr>
              <w:spacing w:after="0" w:line="240" w:lineRule="auto"/>
              <w:jc w:val="right"/>
              <w:rPr>
                <w:rFonts w:cs="Arial"/>
                <w:color w:val="000000"/>
                <w:sz w:val="16"/>
                <w:szCs w:val="16"/>
              </w:rPr>
            </w:pPr>
            <w:r w:rsidRPr="00484AE8">
              <w:rPr>
                <w:rFonts w:cs="Arial"/>
                <w:color w:val="000000"/>
                <w:sz w:val="16"/>
                <w:szCs w:val="16"/>
              </w:rPr>
              <w:t>34,5</w:t>
            </w:r>
          </w:p>
        </w:tc>
      </w:tr>
      <w:tr w:rsidR="00484AE8" w:rsidRPr="00484AE8" w:rsidTr="00484AE8">
        <w:trPr>
          <w:trHeight w:val="300"/>
        </w:trPr>
        <w:tc>
          <w:tcPr>
            <w:tcW w:w="960" w:type="dxa"/>
            <w:tcBorders>
              <w:top w:val="nil"/>
              <w:left w:val="nil"/>
              <w:bottom w:val="nil"/>
              <w:right w:val="single" w:sz="4" w:space="0" w:color="auto"/>
            </w:tcBorders>
            <w:shd w:val="clear" w:color="auto" w:fill="auto"/>
            <w:vAlign w:val="center"/>
            <w:hideMark/>
          </w:tcPr>
          <w:p w:rsidR="00484AE8" w:rsidRPr="00484AE8" w:rsidRDefault="00484AE8" w:rsidP="000C2D37">
            <w:pPr>
              <w:spacing w:after="0" w:line="240" w:lineRule="auto"/>
              <w:jc w:val="center"/>
              <w:rPr>
                <w:rFonts w:cs="Arial"/>
                <w:color w:val="000000"/>
                <w:sz w:val="16"/>
                <w:szCs w:val="16"/>
              </w:rPr>
            </w:pPr>
            <w:r w:rsidRPr="00484AE8">
              <w:rPr>
                <w:rFonts w:cs="Arial"/>
                <w:color w:val="000000"/>
                <w:sz w:val="16"/>
                <w:szCs w:val="16"/>
              </w:rPr>
              <w:t>2017</w:t>
            </w:r>
          </w:p>
        </w:tc>
        <w:tc>
          <w:tcPr>
            <w:tcW w:w="960" w:type="dxa"/>
            <w:tcBorders>
              <w:top w:val="nil"/>
              <w:left w:val="nil"/>
              <w:bottom w:val="nil"/>
              <w:right w:val="nil"/>
            </w:tcBorders>
            <w:shd w:val="clear" w:color="auto" w:fill="auto"/>
            <w:vAlign w:val="center"/>
            <w:hideMark/>
          </w:tcPr>
          <w:p w:rsidR="00484AE8" w:rsidRPr="00484AE8" w:rsidRDefault="00484AE8" w:rsidP="00484AE8">
            <w:pPr>
              <w:spacing w:after="0" w:line="240" w:lineRule="auto"/>
              <w:jc w:val="right"/>
              <w:rPr>
                <w:rFonts w:cs="Arial"/>
                <w:color w:val="000000"/>
                <w:sz w:val="16"/>
                <w:szCs w:val="16"/>
              </w:rPr>
            </w:pPr>
            <w:r w:rsidRPr="00484AE8">
              <w:rPr>
                <w:rFonts w:cs="Arial"/>
                <w:color w:val="000000"/>
                <w:sz w:val="16"/>
                <w:szCs w:val="16"/>
              </w:rPr>
              <w:t>4 671,8</w:t>
            </w:r>
          </w:p>
        </w:tc>
        <w:tc>
          <w:tcPr>
            <w:tcW w:w="960" w:type="dxa"/>
            <w:tcBorders>
              <w:top w:val="nil"/>
              <w:left w:val="nil"/>
              <w:bottom w:val="nil"/>
              <w:right w:val="nil"/>
            </w:tcBorders>
            <w:shd w:val="clear" w:color="auto" w:fill="auto"/>
            <w:vAlign w:val="center"/>
            <w:hideMark/>
          </w:tcPr>
          <w:p w:rsidR="00484AE8" w:rsidRPr="00484AE8" w:rsidRDefault="00484AE8" w:rsidP="00484AE8">
            <w:pPr>
              <w:spacing w:after="0" w:line="240" w:lineRule="auto"/>
              <w:jc w:val="right"/>
              <w:rPr>
                <w:rFonts w:cs="Arial"/>
                <w:color w:val="000000"/>
                <w:sz w:val="16"/>
                <w:szCs w:val="16"/>
              </w:rPr>
            </w:pPr>
            <w:r w:rsidRPr="00484AE8">
              <w:rPr>
                <w:rFonts w:cs="Arial"/>
                <w:color w:val="000000"/>
                <w:sz w:val="16"/>
                <w:szCs w:val="16"/>
              </w:rPr>
              <w:t>2 370,0</w:t>
            </w:r>
          </w:p>
        </w:tc>
        <w:tc>
          <w:tcPr>
            <w:tcW w:w="960" w:type="dxa"/>
            <w:tcBorders>
              <w:top w:val="nil"/>
              <w:left w:val="nil"/>
              <w:bottom w:val="nil"/>
              <w:right w:val="single" w:sz="4" w:space="0" w:color="auto"/>
            </w:tcBorders>
            <w:shd w:val="clear" w:color="auto" w:fill="auto"/>
            <w:vAlign w:val="center"/>
            <w:hideMark/>
          </w:tcPr>
          <w:p w:rsidR="00484AE8" w:rsidRPr="00484AE8" w:rsidRDefault="00484AE8" w:rsidP="00484AE8">
            <w:pPr>
              <w:spacing w:after="0" w:line="240" w:lineRule="auto"/>
              <w:jc w:val="right"/>
              <w:rPr>
                <w:rFonts w:cs="Arial"/>
                <w:color w:val="000000"/>
                <w:sz w:val="16"/>
                <w:szCs w:val="16"/>
              </w:rPr>
            </w:pPr>
            <w:r w:rsidRPr="00484AE8">
              <w:rPr>
                <w:rFonts w:cs="Arial"/>
                <w:color w:val="000000"/>
                <w:sz w:val="16"/>
                <w:szCs w:val="16"/>
              </w:rPr>
              <w:t>2 301,8</w:t>
            </w:r>
          </w:p>
        </w:tc>
        <w:tc>
          <w:tcPr>
            <w:tcW w:w="1060" w:type="dxa"/>
            <w:tcBorders>
              <w:top w:val="nil"/>
              <w:left w:val="nil"/>
              <w:bottom w:val="nil"/>
              <w:right w:val="nil"/>
            </w:tcBorders>
            <w:shd w:val="clear" w:color="auto" w:fill="auto"/>
            <w:vAlign w:val="center"/>
            <w:hideMark/>
          </w:tcPr>
          <w:p w:rsidR="00484AE8" w:rsidRPr="00484AE8" w:rsidRDefault="00484AE8" w:rsidP="00484AE8">
            <w:pPr>
              <w:spacing w:after="0" w:line="240" w:lineRule="auto"/>
              <w:jc w:val="right"/>
              <w:rPr>
                <w:rFonts w:cs="Arial"/>
                <w:color w:val="000000"/>
                <w:sz w:val="16"/>
                <w:szCs w:val="16"/>
              </w:rPr>
            </w:pPr>
            <w:r w:rsidRPr="00484AE8">
              <w:rPr>
                <w:rFonts w:cs="Arial"/>
                <w:color w:val="000000"/>
                <w:sz w:val="16"/>
                <w:szCs w:val="16"/>
              </w:rPr>
              <w:t>4 582,2</w:t>
            </w:r>
          </w:p>
        </w:tc>
        <w:tc>
          <w:tcPr>
            <w:tcW w:w="960" w:type="dxa"/>
            <w:tcBorders>
              <w:top w:val="nil"/>
              <w:left w:val="nil"/>
              <w:bottom w:val="nil"/>
              <w:right w:val="nil"/>
            </w:tcBorders>
            <w:shd w:val="clear" w:color="auto" w:fill="auto"/>
            <w:vAlign w:val="center"/>
            <w:hideMark/>
          </w:tcPr>
          <w:p w:rsidR="00484AE8" w:rsidRPr="00484AE8" w:rsidRDefault="00484AE8" w:rsidP="00484AE8">
            <w:pPr>
              <w:spacing w:after="0" w:line="240" w:lineRule="auto"/>
              <w:jc w:val="right"/>
              <w:rPr>
                <w:rFonts w:cs="Arial"/>
                <w:color w:val="000000"/>
                <w:sz w:val="16"/>
                <w:szCs w:val="16"/>
              </w:rPr>
            </w:pPr>
            <w:r w:rsidRPr="00484AE8">
              <w:rPr>
                <w:rFonts w:cs="Arial"/>
                <w:color w:val="000000"/>
                <w:sz w:val="16"/>
                <w:szCs w:val="16"/>
              </w:rPr>
              <w:t>2 315,8</w:t>
            </w:r>
          </w:p>
        </w:tc>
        <w:tc>
          <w:tcPr>
            <w:tcW w:w="960" w:type="dxa"/>
            <w:tcBorders>
              <w:top w:val="nil"/>
              <w:left w:val="nil"/>
              <w:bottom w:val="nil"/>
              <w:right w:val="single" w:sz="4" w:space="0" w:color="auto"/>
            </w:tcBorders>
            <w:shd w:val="clear" w:color="auto" w:fill="auto"/>
            <w:vAlign w:val="center"/>
            <w:hideMark/>
          </w:tcPr>
          <w:p w:rsidR="00484AE8" w:rsidRPr="00484AE8" w:rsidRDefault="00484AE8" w:rsidP="00484AE8">
            <w:pPr>
              <w:spacing w:after="0" w:line="240" w:lineRule="auto"/>
              <w:jc w:val="right"/>
              <w:rPr>
                <w:rFonts w:cs="Arial"/>
                <w:color w:val="000000"/>
                <w:sz w:val="16"/>
                <w:szCs w:val="16"/>
              </w:rPr>
            </w:pPr>
            <w:r w:rsidRPr="00484AE8">
              <w:rPr>
                <w:rFonts w:cs="Arial"/>
                <w:color w:val="000000"/>
                <w:sz w:val="16"/>
                <w:szCs w:val="16"/>
              </w:rPr>
              <w:t>2 266,4</w:t>
            </w:r>
          </w:p>
        </w:tc>
        <w:tc>
          <w:tcPr>
            <w:tcW w:w="960" w:type="dxa"/>
            <w:tcBorders>
              <w:top w:val="nil"/>
              <w:left w:val="nil"/>
              <w:bottom w:val="nil"/>
              <w:right w:val="nil"/>
            </w:tcBorders>
            <w:shd w:val="clear" w:color="auto" w:fill="auto"/>
            <w:vAlign w:val="center"/>
            <w:hideMark/>
          </w:tcPr>
          <w:p w:rsidR="00484AE8" w:rsidRPr="00484AE8" w:rsidRDefault="00484AE8" w:rsidP="00484AE8">
            <w:pPr>
              <w:spacing w:after="0" w:line="240" w:lineRule="auto"/>
              <w:jc w:val="right"/>
              <w:rPr>
                <w:rFonts w:cs="Arial"/>
                <w:color w:val="000000"/>
                <w:sz w:val="16"/>
                <w:szCs w:val="16"/>
              </w:rPr>
            </w:pPr>
            <w:r w:rsidRPr="00484AE8">
              <w:rPr>
                <w:rFonts w:cs="Arial"/>
                <w:color w:val="000000"/>
                <w:sz w:val="16"/>
                <w:szCs w:val="16"/>
              </w:rPr>
              <w:t>89,7</w:t>
            </w:r>
          </w:p>
        </w:tc>
        <w:tc>
          <w:tcPr>
            <w:tcW w:w="960" w:type="dxa"/>
            <w:tcBorders>
              <w:top w:val="nil"/>
              <w:left w:val="nil"/>
              <w:bottom w:val="nil"/>
              <w:right w:val="nil"/>
            </w:tcBorders>
            <w:shd w:val="clear" w:color="auto" w:fill="auto"/>
            <w:vAlign w:val="center"/>
            <w:hideMark/>
          </w:tcPr>
          <w:p w:rsidR="00484AE8" w:rsidRPr="00484AE8" w:rsidRDefault="00484AE8" w:rsidP="00484AE8">
            <w:pPr>
              <w:spacing w:after="0" w:line="240" w:lineRule="auto"/>
              <w:jc w:val="right"/>
              <w:rPr>
                <w:rFonts w:cs="Arial"/>
                <w:color w:val="000000"/>
                <w:sz w:val="16"/>
                <w:szCs w:val="16"/>
              </w:rPr>
            </w:pPr>
            <w:r w:rsidRPr="00484AE8">
              <w:rPr>
                <w:rFonts w:cs="Arial"/>
                <w:color w:val="000000"/>
                <w:sz w:val="16"/>
                <w:szCs w:val="16"/>
              </w:rPr>
              <w:t>54,2</w:t>
            </w:r>
          </w:p>
        </w:tc>
        <w:tc>
          <w:tcPr>
            <w:tcW w:w="960" w:type="dxa"/>
            <w:tcBorders>
              <w:top w:val="nil"/>
              <w:left w:val="nil"/>
              <w:bottom w:val="nil"/>
              <w:right w:val="nil"/>
            </w:tcBorders>
            <w:shd w:val="clear" w:color="auto" w:fill="auto"/>
            <w:vAlign w:val="center"/>
            <w:hideMark/>
          </w:tcPr>
          <w:p w:rsidR="00484AE8" w:rsidRPr="00484AE8" w:rsidRDefault="00484AE8" w:rsidP="00484AE8">
            <w:pPr>
              <w:spacing w:after="0" w:line="240" w:lineRule="auto"/>
              <w:jc w:val="right"/>
              <w:rPr>
                <w:rFonts w:cs="Arial"/>
                <w:color w:val="000000"/>
                <w:sz w:val="16"/>
                <w:szCs w:val="16"/>
              </w:rPr>
            </w:pPr>
            <w:r w:rsidRPr="00484AE8">
              <w:rPr>
                <w:rFonts w:cs="Arial"/>
                <w:color w:val="000000"/>
                <w:sz w:val="16"/>
                <w:szCs w:val="16"/>
              </w:rPr>
              <w:t>35,4</w:t>
            </w:r>
          </w:p>
        </w:tc>
      </w:tr>
      <w:tr w:rsidR="00484AE8" w:rsidRPr="00484AE8" w:rsidTr="00484AE8">
        <w:trPr>
          <w:trHeight w:val="300"/>
        </w:trPr>
        <w:tc>
          <w:tcPr>
            <w:tcW w:w="960" w:type="dxa"/>
            <w:tcBorders>
              <w:top w:val="nil"/>
              <w:left w:val="nil"/>
              <w:bottom w:val="nil"/>
              <w:right w:val="single" w:sz="4" w:space="0" w:color="auto"/>
            </w:tcBorders>
            <w:shd w:val="clear" w:color="auto" w:fill="auto"/>
            <w:vAlign w:val="center"/>
            <w:hideMark/>
          </w:tcPr>
          <w:p w:rsidR="00484AE8" w:rsidRPr="00484AE8" w:rsidRDefault="00484AE8" w:rsidP="000C2D37">
            <w:pPr>
              <w:spacing w:after="0" w:line="240" w:lineRule="auto"/>
              <w:jc w:val="center"/>
              <w:rPr>
                <w:rFonts w:cs="Arial"/>
                <w:color w:val="000000"/>
                <w:sz w:val="16"/>
                <w:szCs w:val="16"/>
              </w:rPr>
            </w:pPr>
            <w:r w:rsidRPr="00484AE8">
              <w:rPr>
                <w:rFonts w:cs="Arial"/>
                <w:color w:val="000000"/>
                <w:sz w:val="16"/>
                <w:szCs w:val="16"/>
              </w:rPr>
              <w:t>2018</w:t>
            </w:r>
          </w:p>
        </w:tc>
        <w:tc>
          <w:tcPr>
            <w:tcW w:w="960" w:type="dxa"/>
            <w:tcBorders>
              <w:top w:val="nil"/>
              <w:left w:val="nil"/>
              <w:bottom w:val="nil"/>
              <w:right w:val="nil"/>
            </w:tcBorders>
            <w:shd w:val="clear" w:color="auto" w:fill="auto"/>
            <w:vAlign w:val="center"/>
            <w:hideMark/>
          </w:tcPr>
          <w:p w:rsidR="00484AE8" w:rsidRPr="00484AE8" w:rsidRDefault="00484AE8" w:rsidP="00484AE8">
            <w:pPr>
              <w:spacing w:after="0" w:line="240" w:lineRule="auto"/>
              <w:jc w:val="right"/>
              <w:rPr>
                <w:rFonts w:cs="Arial"/>
                <w:color w:val="000000"/>
                <w:sz w:val="16"/>
                <w:szCs w:val="16"/>
              </w:rPr>
            </w:pPr>
            <w:r w:rsidRPr="00484AE8">
              <w:rPr>
                <w:rFonts w:cs="Arial"/>
                <w:color w:val="000000"/>
                <w:sz w:val="16"/>
                <w:szCs w:val="16"/>
              </w:rPr>
              <w:t>4 732,7</w:t>
            </w:r>
          </w:p>
        </w:tc>
        <w:tc>
          <w:tcPr>
            <w:tcW w:w="960" w:type="dxa"/>
            <w:tcBorders>
              <w:top w:val="nil"/>
              <w:left w:val="nil"/>
              <w:bottom w:val="nil"/>
              <w:right w:val="nil"/>
            </w:tcBorders>
            <w:shd w:val="clear" w:color="auto" w:fill="auto"/>
            <w:vAlign w:val="center"/>
            <w:hideMark/>
          </w:tcPr>
          <w:p w:rsidR="00484AE8" w:rsidRPr="00484AE8" w:rsidRDefault="00484AE8" w:rsidP="00484AE8">
            <w:pPr>
              <w:spacing w:after="0" w:line="240" w:lineRule="auto"/>
              <w:jc w:val="right"/>
              <w:rPr>
                <w:rFonts w:cs="Arial"/>
                <w:color w:val="000000"/>
                <w:sz w:val="16"/>
                <w:szCs w:val="16"/>
              </w:rPr>
            </w:pPr>
            <w:r w:rsidRPr="00484AE8">
              <w:rPr>
                <w:rFonts w:cs="Arial"/>
                <w:color w:val="000000"/>
                <w:sz w:val="16"/>
                <w:szCs w:val="16"/>
              </w:rPr>
              <w:t>2 391,4</w:t>
            </w:r>
          </w:p>
        </w:tc>
        <w:tc>
          <w:tcPr>
            <w:tcW w:w="960" w:type="dxa"/>
            <w:tcBorders>
              <w:top w:val="nil"/>
              <w:left w:val="nil"/>
              <w:bottom w:val="nil"/>
              <w:right w:val="single" w:sz="4" w:space="0" w:color="auto"/>
            </w:tcBorders>
            <w:shd w:val="clear" w:color="auto" w:fill="auto"/>
            <w:vAlign w:val="center"/>
            <w:hideMark/>
          </w:tcPr>
          <w:p w:rsidR="00484AE8" w:rsidRPr="00484AE8" w:rsidRDefault="00484AE8" w:rsidP="00484AE8">
            <w:pPr>
              <w:spacing w:after="0" w:line="240" w:lineRule="auto"/>
              <w:jc w:val="right"/>
              <w:rPr>
                <w:rFonts w:cs="Arial"/>
                <w:color w:val="000000"/>
                <w:sz w:val="16"/>
                <w:szCs w:val="16"/>
              </w:rPr>
            </w:pPr>
            <w:r w:rsidRPr="00484AE8">
              <w:rPr>
                <w:rFonts w:cs="Arial"/>
                <w:color w:val="000000"/>
                <w:sz w:val="16"/>
                <w:szCs w:val="16"/>
              </w:rPr>
              <w:t>2 341,3</w:t>
            </w:r>
          </w:p>
        </w:tc>
        <w:tc>
          <w:tcPr>
            <w:tcW w:w="1060" w:type="dxa"/>
            <w:tcBorders>
              <w:top w:val="nil"/>
              <w:left w:val="nil"/>
              <w:bottom w:val="nil"/>
              <w:right w:val="nil"/>
            </w:tcBorders>
            <w:shd w:val="clear" w:color="auto" w:fill="auto"/>
            <w:vAlign w:val="center"/>
            <w:hideMark/>
          </w:tcPr>
          <w:p w:rsidR="00484AE8" w:rsidRPr="00484AE8" w:rsidRDefault="00484AE8" w:rsidP="00484AE8">
            <w:pPr>
              <w:spacing w:after="0" w:line="240" w:lineRule="auto"/>
              <w:jc w:val="right"/>
              <w:rPr>
                <w:rFonts w:cs="Arial"/>
                <w:color w:val="000000"/>
                <w:sz w:val="16"/>
                <w:szCs w:val="16"/>
              </w:rPr>
            </w:pPr>
            <w:r w:rsidRPr="00484AE8">
              <w:rPr>
                <w:rFonts w:cs="Arial"/>
                <w:color w:val="000000"/>
                <w:sz w:val="16"/>
                <w:szCs w:val="16"/>
              </w:rPr>
              <w:t>4 641,5</w:t>
            </w:r>
          </w:p>
        </w:tc>
        <w:tc>
          <w:tcPr>
            <w:tcW w:w="960" w:type="dxa"/>
            <w:tcBorders>
              <w:top w:val="nil"/>
              <w:left w:val="nil"/>
              <w:bottom w:val="nil"/>
              <w:right w:val="nil"/>
            </w:tcBorders>
            <w:shd w:val="clear" w:color="auto" w:fill="auto"/>
            <w:vAlign w:val="center"/>
            <w:hideMark/>
          </w:tcPr>
          <w:p w:rsidR="00484AE8" w:rsidRPr="00484AE8" w:rsidRDefault="00484AE8" w:rsidP="00484AE8">
            <w:pPr>
              <w:spacing w:after="0" w:line="240" w:lineRule="auto"/>
              <w:jc w:val="right"/>
              <w:rPr>
                <w:rFonts w:cs="Arial"/>
                <w:color w:val="000000"/>
                <w:sz w:val="16"/>
                <w:szCs w:val="16"/>
              </w:rPr>
            </w:pPr>
            <w:r w:rsidRPr="00484AE8">
              <w:rPr>
                <w:rFonts w:cs="Arial"/>
                <w:color w:val="000000"/>
                <w:sz w:val="16"/>
                <w:szCs w:val="16"/>
              </w:rPr>
              <w:t>2 336,8</w:t>
            </w:r>
          </w:p>
        </w:tc>
        <w:tc>
          <w:tcPr>
            <w:tcW w:w="960" w:type="dxa"/>
            <w:tcBorders>
              <w:top w:val="nil"/>
              <w:left w:val="nil"/>
              <w:bottom w:val="nil"/>
              <w:right w:val="single" w:sz="4" w:space="0" w:color="auto"/>
            </w:tcBorders>
            <w:shd w:val="clear" w:color="auto" w:fill="auto"/>
            <w:vAlign w:val="center"/>
            <w:hideMark/>
          </w:tcPr>
          <w:p w:rsidR="00484AE8" w:rsidRPr="00484AE8" w:rsidRDefault="00484AE8" w:rsidP="00484AE8">
            <w:pPr>
              <w:spacing w:after="0" w:line="240" w:lineRule="auto"/>
              <w:jc w:val="right"/>
              <w:rPr>
                <w:rFonts w:cs="Arial"/>
                <w:color w:val="000000"/>
                <w:sz w:val="16"/>
                <w:szCs w:val="16"/>
              </w:rPr>
            </w:pPr>
            <w:r w:rsidRPr="00484AE8">
              <w:rPr>
                <w:rFonts w:cs="Arial"/>
                <w:color w:val="000000"/>
                <w:sz w:val="16"/>
                <w:szCs w:val="16"/>
              </w:rPr>
              <w:t>2 304,6</w:t>
            </w:r>
          </w:p>
        </w:tc>
        <w:tc>
          <w:tcPr>
            <w:tcW w:w="960" w:type="dxa"/>
            <w:tcBorders>
              <w:top w:val="nil"/>
              <w:left w:val="nil"/>
              <w:bottom w:val="nil"/>
              <w:right w:val="nil"/>
            </w:tcBorders>
            <w:shd w:val="clear" w:color="auto" w:fill="auto"/>
            <w:vAlign w:val="center"/>
            <w:hideMark/>
          </w:tcPr>
          <w:p w:rsidR="00484AE8" w:rsidRPr="00484AE8" w:rsidRDefault="00484AE8" w:rsidP="00484AE8">
            <w:pPr>
              <w:spacing w:after="0" w:line="240" w:lineRule="auto"/>
              <w:jc w:val="right"/>
              <w:rPr>
                <w:rFonts w:cs="Arial"/>
                <w:color w:val="000000"/>
                <w:sz w:val="16"/>
                <w:szCs w:val="16"/>
              </w:rPr>
            </w:pPr>
            <w:r w:rsidRPr="00484AE8">
              <w:rPr>
                <w:rFonts w:cs="Arial"/>
                <w:color w:val="000000"/>
                <w:sz w:val="16"/>
                <w:szCs w:val="16"/>
              </w:rPr>
              <w:t>91,3</w:t>
            </w:r>
          </w:p>
        </w:tc>
        <w:tc>
          <w:tcPr>
            <w:tcW w:w="960" w:type="dxa"/>
            <w:tcBorders>
              <w:top w:val="nil"/>
              <w:left w:val="nil"/>
              <w:bottom w:val="nil"/>
              <w:right w:val="nil"/>
            </w:tcBorders>
            <w:shd w:val="clear" w:color="auto" w:fill="auto"/>
            <w:vAlign w:val="center"/>
            <w:hideMark/>
          </w:tcPr>
          <w:p w:rsidR="00484AE8" w:rsidRPr="00484AE8" w:rsidRDefault="00484AE8" w:rsidP="00484AE8">
            <w:pPr>
              <w:spacing w:after="0" w:line="240" w:lineRule="auto"/>
              <w:jc w:val="right"/>
              <w:rPr>
                <w:rFonts w:cs="Arial"/>
                <w:color w:val="000000"/>
                <w:sz w:val="16"/>
                <w:szCs w:val="16"/>
              </w:rPr>
            </w:pPr>
            <w:r w:rsidRPr="00484AE8">
              <w:rPr>
                <w:rFonts w:cs="Arial"/>
                <w:color w:val="000000"/>
                <w:sz w:val="16"/>
                <w:szCs w:val="16"/>
              </w:rPr>
              <w:t>54,5</w:t>
            </w:r>
          </w:p>
        </w:tc>
        <w:tc>
          <w:tcPr>
            <w:tcW w:w="960" w:type="dxa"/>
            <w:tcBorders>
              <w:top w:val="nil"/>
              <w:left w:val="nil"/>
              <w:bottom w:val="nil"/>
              <w:right w:val="nil"/>
            </w:tcBorders>
            <w:shd w:val="clear" w:color="auto" w:fill="auto"/>
            <w:vAlign w:val="center"/>
            <w:hideMark/>
          </w:tcPr>
          <w:p w:rsidR="00484AE8" w:rsidRPr="00484AE8" w:rsidRDefault="00484AE8" w:rsidP="00484AE8">
            <w:pPr>
              <w:spacing w:after="0" w:line="240" w:lineRule="auto"/>
              <w:jc w:val="right"/>
              <w:rPr>
                <w:rFonts w:cs="Arial"/>
                <w:color w:val="000000"/>
                <w:sz w:val="16"/>
                <w:szCs w:val="16"/>
              </w:rPr>
            </w:pPr>
            <w:r w:rsidRPr="00484AE8">
              <w:rPr>
                <w:rFonts w:cs="Arial"/>
                <w:color w:val="000000"/>
                <w:sz w:val="16"/>
                <w:szCs w:val="16"/>
              </w:rPr>
              <w:t>36,7</w:t>
            </w:r>
          </w:p>
        </w:tc>
      </w:tr>
      <w:tr w:rsidR="00484AE8" w:rsidRPr="00484AE8" w:rsidTr="00484AE8">
        <w:trPr>
          <w:trHeight w:val="300"/>
        </w:trPr>
        <w:tc>
          <w:tcPr>
            <w:tcW w:w="960" w:type="dxa"/>
            <w:tcBorders>
              <w:top w:val="nil"/>
              <w:left w:val="nil"/>
              <w:bottom w:val="nil"/>
              <w:right w:val="single" w:sz="4" w:space="0" w:color="auto"/>
            </w:tcBorders>
            <w:shd w:val="clear" w:color="auto" w:fill="auto"/>
            <w:vAlign w:val="center"/>
            <w:hideMark/>
          </w:tcPr>
          <w:p w:rsidR="00484AE8" w:rsidRPr="00484AE8" w:rsidRDefault="00484AE8" w:rsidP="000C2D37">
            <w:pPr>
              <w:spacing w:after="0" w:line="240" w:lineRule="auto"/>
              <w:jc w:val="center"/>
              <w:rPr>
                <w:rFonts w:cs="Arial"/>
                <w:color w:val="000000"/>
                <w:sz w:val="16"/>
                <w:szCs w:val="16"/>
              </w:rPr>
            </w:pPr>
            <w:r w:rsidRPr="00484AE8">
              <w:rPr>
                <w:rFonts w:cs="Arial"/>
                <w:color w:val="000000"/>
                <w:sz w:val="16"/>
                <w:szCs w:val="16"/>
              </w:rPr>
              <w:t>2019</w:t>
            </w:r>
          </w:p>
        </w:tc>
        <w:tc>
          <w:tcPr>
            <w:tcW w:w="960" w:type="dxa"/>
            <w:tcBorders>
              <w:top w:val="nil"/>
              <w:left w:val="nil"/>
              <w:bottom w:val="nil"/>
              <w:right w:val="nil"/>
            </w:tcBorders>
            <w:shd w:val="clear" w:color="auto" w:fill="auto"/>
            <w:vAlign w:val="center"/>
            <w:hideMark/>
          </w:tcPr>
          <w:p w:rsidR="00484AE8" w:rsidRPr="00484AE8" w:rsidRDefault="00484AE8" w:rsidP="00484AE8">
            <w:pPr>
              <w:spacing w:after="0" w:line="240" w:lineRule="auto"/>
              <w:jc w:val="right"/>
              <w:rPr>
                <w:rFonts w:cs="Arial"/>
                <w:color w:val="000000"/>
                <w:sz w:val="16"/>
                <w:szCs w:val="16"/>
              </w:rPr>
            </w:pPr>
            <w:r w:rsidRPr="00484AE8">
              <w:rPr>
                <w:rFonts w:cs="Arial"/>
                <w:color w:val="000000"/>
                <w:sz w:val="16"/>
                <w:szCs w:val="16"/>
              </w:rPr>
              <w:t>4 732,9</w:t>
            </w:r>
          </w:p>
        </w:tc>
        <w:tc>
          <w:tcPr>
            <w:tcW w:w="960" w:type="dxa"/>
            <w:tcBorders>
              <w:top w:val="nil"/>
              <w:left w:val="nil"/>
              <w:bottom w:val="nil"/>
              <w:right w:val="nil"/>
            </w:tcBorders>
            <w:shd w:val="clear" w:color="auto" w:fill="auto"/>
            <w:vAlign w:val="center"/>
            <w:hideMark/>
          </w:tcPr>
          <w:p w:rsidR="00484AE8" w:rsidRPr="00484AE8" w:rsidRDefault="00484AE8" w:rsidP="00484AE8">
            <w:pPr>
              <w:spacing w:after="0" w:line="240" w:lineRule="auto"/>
              <w:jc w:val="right"/>
              <w:rPr>
                <w:rFonts w:cs="Arial"/>
                <w:color w:val="000000"/>
                <w:sz w:val="16"/>
                <w:szCs w:val="16"/>
              </w:rPr>
            </w:pPr>
            <w:r w:rsidRPr="00484AE8">
              <w:rPr>
                <w:rFonts w:cs="Arial"/>
                <w:color w:val="000000"/>
                <w:sz w:val="16"/>
                <w:szCs w:val="16"/>
              </w:rPr>
              <w:t>2 384,9</w:t>
            </w:r>
          </w:p>
        </w:tc>
        <w:tc>
          <w:tcPr>
            <w:tcW w:w="960" w:type="dxa"/>
            <w:tcBorders>
              <w:top w:val="nil"/>
              <w:left w:val="nil"/>
              <w:bottom w:val="nil"/>
              <w:right w:val="single" w:sz="4" w:space="0" w:color="auto"/>
            </w:tcBorders>
            <w:shd w:val="clear" w:color="auto" w:fill="auto"/>
            <w:vAlign w:val="center"/>
            <w:hideMark/>
          </w:tcPr>
          <w:p w:rsidR="00484AE8" w:rsidRPr="00484AE8" w:rsidRDefault="00484AE8" w:rsidP="00484AE8">
            <w:pPr>
              <w:spacing w:after="0" w:line="240" w:lineRule="auto"/>
              <w:jc w:val="right"/>
              <w:rPr>
                <w:rFonts w:cs="Arial"/>
                <w:color w:val="000000"/>
                <w:sz w:val="16"/>
                <w:szCs w:val="16"/>
              </w:rPr>
            </w:pPr>
            <w:r w:rsidRPr="00484AE8">
              <w:rPr>
                <w:rFonts w:cs="Arial"/>
                <w:color w:val="000000"/>
                <w:sz w:val="16"/>
                <w:szCs w:val="16"/>
              </w:rPr>
              <w:t>2 348,0</w:t>
            </w:r>
          </w:p>
        </w:tc>
        <w:tc>
          <w:tcPr>
            <w:tcW w:w="1060" w:type="dxa"/>
            <w:tcBorders>
              <w:top w:val="nil"/>
              <w:left w:val="nil"/>
              <w:bottom w:val="nil"/>
              <w:right w:val="nil"/>
            </w:tcBorders>
            <w:shd w:val="clear" w:color="auto" w:fill="auto"/>
            <w:vAlign w:val="center"/>
            <w:hideMark/>
          </w:tcPr>
          <w:p w:rsidR="00484AE8" w:rsidRPr="00484AE8" w:rsidRDefault="00484AE8" w:rsidP="00484AE8">
            <w:pPr>
              <w:spacing w:after="0" w:line="240" w:lineRule="auto"/>
              <w:jc w:val="right"/>
              <w:rPr>
                <w:rFonts w:cs="Arial"/>
                <w:color w:val="000000"/>
                <w:sz w:val="16"/>
                <w:szCs w:val="16"/>
              </w:rPr>
            </w:pPr>
            <w:r w:rsidRPr="00484AE8">
              <w:rPr>
                <w:rFonts w:cs="Arial"/>
                <w:color w:val="000000"/>
                <w:sz w:val="16"/>
                <w:szCs w:val="16"/>
              </w:rPr>
              <w:t>4 638,5</w:t>
            </w:r>
          </w:p>
        </w:tc>
        <w:tc>
          <w:tcPr>
            <w:tcW w:w="960" w:type="dxa"/>
            <w:tcBorders>
              <w:top w:val="nil"/>
              <w:left w:val="nil"/>
              <w:bottom w:val="nil"/>
              <w:right w:val="nil"/>
            </w:tcBorders>
            <w:shd w:val="clear" w:color="auto" w:fill="auto"/>
            <w:vAlign w:val="center"/>
            <w:hideMark/>
          </w:tcPr>
          <w:p w:rsidR="00484AE8" w:rsidRPr="00484AE8" w:rsidRDefault="00484AE8" w:rsidP="00484AE8">
            <w:pPr>
              <w:spacing w:after="0" w:line="240" w:lineRule="auto"/>
              <w:jc w:val="right"/>
              <w:rPr>
                <w:rFonts w:cs="Arial"/>
                <w:color w:val="000000"/>
                <w:sz w:val="16"/>
                <w:szCs w:val="16"/>
              </w:rPr>
            </w:pPr>
            <w:r w:rsidRPr="00484AE8">
              <w:rPr>
                <w:rFonts w:cs="Arial"/>
                <w:color w:val="000000"/>
                <w:sz w:val="16"/>
                <w:szCs w:val="16"/>
              </w:rPr>
              <w:t>2 329,4</w:t>
            </w:r>
          </w:p>
        </w:tc>
        <w:tc>
          <w:tcPr>
            <w:tcW w:w="960" w:type="dxa"/>
            <w:tcBorders>
              <w:top w:val="nil"/>
              <w:left w:val="nil"/>
              <w:bottom w:val="nil"/>
              <w:right w:val="single" w:sz="4" w:space="0" w:color="auto"/>
            </w:tcBorders>
            <w:shd w:val="clear" w:color="auto" w:fill="auto"/>
            <w:vAlign w:val="center"/>
            <w:hideMark/>
          </w:tcPr>
          <w:p w:rsidR="00484AE8" w:rsidRPr="00484AE8" w:rsidRDefault="00484AE8" w:rsidP="00484AE8">
            <w:pPr>
              <w:spacing w:after="0" w:line="240" w:lineRule="auto"/>
              <w:jc w:val="right"/>
              <w:rPr>
                <w:rFonts w:cs="Arial"/>
                <w:color w:val="000000"/>
                <w:sz w:val="16"/>
                <w:szCs w:val="16"/>
              </w:rPr>
            </w:pPr>
            <w:r w:rsidRPr="00484AE8">
              <w:rPr>
                <w:rFonts w:cs="Arial"/>
                <w:color w:val="000000"/>
                <w:sz w:val="16"/>
                <w:szCs w:val="16"/>
              </w:rPr>
              <w:t>2 309,1</w:t>
            </w:r>
          </w:p>
        </w:tc>
        <w:tc>
          <w:tcPr>
            <w:tcW w:w="960" w:type="dxa"/>
            <w:tcBorders>
              <w:top w:val="nil"/>
              <w:left w:val="nil"/>
              <w:bottom w:val="nil"/>
              <w:right w:val="nil"/>
            </w:tcBorders>
            <w:shd w:val="clear" w:color="auto" w:fill="auto"/>
            <w:vAlign w:val="center"/>
            <w:hideMark/>
          </w:tcPr>
          <w:p w:rsidR="00484AE8" w:rsidRPr="00484AE8" w:rsidRDefault="00484AE8" w:rsidP="00484AE8">
            <w:pPr>
              <w:spacing w:after="0" w:line="240" w:lineRule="auto"/>
              <w:jc w:val="right"/>
              <w:rPr>
                <w:rFonts w:cs="Arial"/>
                <w:color w:val="000000"/>
                <w:sz w:val="16"/>
                <w:szCs w:val="16"/>
              </w:rPr>
            </w:pPr>
            <w:r w:rsidRPr="00484AE8">
              <w:rPr>
                <w:rFonts w:cs="Arial"/>
                <w:color w:val="000000"/>
                <w:sz w:val="16"/>
                <w:szCs w:val="16"/>
              </w:rPr>
              <w:t>94,4</w:t>
            </w:r>
          </w:p>
        </w:tc>
        <w:tc>
          <w:tcPr>
            <w:tcW w:w="960" w:type="dxa"/>
            <w:tcBorders>
              <w:top w:val="nil"/>
              <w:left w:val="nil"/>
              <w:bottom w:val="nil"/>
              <w:right w:val="nil"/>
            </w:tcBorders>
            <w:shd w:val="clear" w:color="auto" w:fill="auto"/>
            <w:vAlign w:val="center"/>
            <w:hideMark/>
          </w:tcPr>
          <w:p w:rsidR="00484AE8" w:rsidRPr="00484AE8" w:rsidRDefault="00484AE8" w:rsidP="00484AE8">
            <w:pPr>
              <w:spacing w:after="0" w:line="240" w:lineRule="auto"/>
              <w:jc w:val="right"/>
              <w:rPr>
                <w:rFonts w:cs="Arial"/>
                <w:color w:val="000000"/>
                <w:sz w:val="16"/>
                <w:szCs w:val="16"/>
              </w:rPr>
            </w:pPr>
            <w:r w:rsidRPr="00484AE8">
              <w:rPr>
                <w:rFonts w:cs="Arial"/>
                <w:color w:val="000000"/>
                <w:sz w:val="16"/>
                <w:szCs w:val="16"/>
              </w:rPr>
              <w:t>55,5</w:t>
            </w:r>
          </w:p>
        </w:tc>
        <w:tc>
          <w:tcPr>
            <w:tcW w:w="960" w:type="dxa"/>
            <w:tcBorders>
              <w:top w:val="nil"/>
              <w:left w:val="nil"/>
              <w:bottom w:val="nil"/>
              <w:right w:val="nil"/>
            </w:tcBorders>
            <w:shd w:val="clear" w:color="auto" w:fill="auto"/>
            <w:vAlign w:val="center"/>
            <w:hideMark/>
          </w:tcPr>
          <w:p w:rsidR="00484AE8" w:rsidRPr="00484AE8" w:rsidRDefault="00484AE8" w:rsidP="00484AE8">
            <w:pPr>
              <w:spacing w:after="0" w:line="240" w:lineRule="auto"/>
              <w:jc w:val="right"/>
              <w:rPr>
                <w:rFonts w:cs="Arial"/>
                <w:color w:val="000000"/>
                <w:sz w:val="16"/>
                <w:szCs w:val="16"/>
              </w:rPr>
            </w:pPr>
            <w:r w:rsidRPr="00484AE8">
              <w:rPr>
                <w:rFonts w:cs="Arial"/>
                <w:color w:val="000000"/>
                <w:sz w:val="16"/>
                <w:szCs w:val="16"/>
              </w:rPr>
              <w:t>39,0</w:t>
            </w:r>
          </w:p>
        </w:tc>
      </w:tr>
      <w:tr w:rsidR="00484AE8" w:rsidRPr="00484AE8" w:rsidTr="00484AE8">
        <w:trPr>
          <w:trHeight w:val="300"/>
        </w:trPr>
        <w:tc>
          <w:tcPr>
            <w:tcW w:w="960" w:type="dxa"/>
            <w:tcBorders>
              <w:top w:val="nil"/>
              <w:left w:val="nil"/>
              <w:bottom w:val="nil"/>
              <w:right w:val="single" w:sz="4" w:space="0" w:color="auto"/>
            </w:tcBorders>
            <w:shd w:val="clear" w:color="auto" w:fill="auto"/>
            <w:vAlign w:val="center"/>
            <w:hideMark/>
          </w:tcPr>
          <w:p w:rsidR="00484AE8" w:rsidRPr="00484AE8" w:rsidRDefault="00484AE8" w:rsidP="000C2D37">
            <w:pPr>
              <w:spacing w:after="0" w:line="240" w:lineRule="auto"/>
              <w:jc w:val="center"/>
              <w:rPr>
                <w:rFonts w:cs="Arial"/>
                <w:color w:val="000000"/>
                <w:sz w:val="16"/>
                <w:szCs w:val="16"/>
              </w:rPr>
            </w:pPr>
            <w:r w:rsidRPr="00484AE8">
              <w:rPr>
                <w:rFonts w:cs="Arial"/>
                <w:color w:val="000000"/>
                <w:sz w:val="16"/>
                <w:szCs w:val="16"/>
              </w:rPr>
              <w:t>2020</w:t>
            </w:r>
          </w:p>
        </w:tc>
        <w:tc>
          <w:tcPr>
            <w:tcW w:w="960" w:type="dxa"/>
            <w:tcBorders>
              <w:top w:val="nil"/>
              <w:left w:val="nil"/>
              <w:bottom w:val="nil"/>
              <w:right w:val="nil"/>
            </w:tcBorders>
            <w:shd w:val="clear" w:color="auto" w:fill="auto"/>
            <w:vAlign w:val="center"/>
            <w:hideMark/>
          </w:tcPr>
          <w:p w:rsidR="00484AE8" w:rsidRPr="00484AE8" w:rsidRDefault="00484AE8" w:rsidP="00484AE8">
            <w:pPr>
              <w:spacing w:after="0" w:line="240" w:lineRule="auto"/>
              <w:jc w:val="right"/>
              <w:rPr>
                <w:rFonts w:cs="Arial"/>
                <w:color w:val="000000"/>
                <w:sz w:val="16"/>
                <w:szCs w:val="16"/>
              </w:rPr>
            </w:pPr>
            <w:r w:rsidRPr="00484AE8">
              <w:rPr>
                <w:rFonts w:cs="Arial"/>
                <w:color w:val="000000"/>
                <w:sz w:val="16"/>
                <w:szCs w:val="16"/>
              </w:rPr>
              <w:t>4 690,4</w:t>
            </w:r>
          </w:p>
        </w:tc>
        <w:tc>
          <w:tcPr>
            <w:tcW w:w="960" w:type="dxa"/>
            <w:tcBorders>
              <w:top w:val="nil"/>
              <w:left w:val="nil"/>
              <w:bottom w:val="nil"/>
              <w:right w:val="nil"/>
            </w:tcBorders>
            <w:shd w:val="clear" w:color="auto" w:fill="auto"/>
            <w:vAlign w:val="center"/>
            <w:hideMark/>
          </w:tcPr>
          <w:p w:rsidR="00484AE8" w:rsidRPr="00484AE8" w:rsidRDefault="00484AE8" w:rsidP="00484AE8">
            <w:pPr>
              <w:spacing w:after="0" w:line="240" w:lineRule="auto"/>
              <w:jc w:val="right"/>
              <w:rPr>
                <w:rFonts w:cs="Arial"/>
                <w:color w:val="000000"/>
                <w:sz w:val="16"/>
                <w:szCs w:val="16"/>
              </w:rPr>
            </w:pPr>
            <w:r w:rsidRPr="00484AE8">
              <w:rPr>
                <w:rFonts w:cs="Arial"/>
                <w:color w:val="000000"/>
                <w:sz w:val="16"/>
                <w:szCs w:val="16"/>
              </w:rPr>
              <w:t>2 354,0</w:t>
            </w:r>
          </w:p>
        </w:tc>
        <w:tc>
          <w:tcPr>
            <w:tcW w:w="960" w:type="dxa"/>
            <w:tcBorders>
              <w:top w:val="nil"/>
              <w:left w:val="nil"/>
              <w:bottom w:val="nil"/>
              <w:right w:val="single" w:sz="4" w:space="0" w:color="auto"/>
            </w:tcBorders>
            <w:shd w:val="clear" w:color="auto" w:fill="auto"/>
            <w:vAlign w:val="center"/>
            <w:hideMark/>
          </w:tcPr>
          <w:p w:rsidR="00484AE8" w:rsidRPr="00484AE8" w:rsidRDefault="00484AE8" w:rsidP="00484AE8">
            <w:pPr>
              <w:spacing w:after="0" w:line="240" w:lineRule="auto"/>
              <w:jc w:val="right"/>
              <w:rPr>
                <w:rFonts w:cs="Arial"/>
                <w:color w:val="000000"/>
                <w:sz w:val="16"/>
                <w:szCs w:val="16"/>
              </w:rPr>
            </w:pPr>
            <w:r w:rsidRPr="00484AE8">
              <w:rPr>
                <w:rFonts w:cs="Arial"/>
                <w:color w:val="000000"/>
                <w:sz w:val="16"/>
                <w:szCs w:val="16"/>
              </w:rPr>
              <w:t>2 336,4</w:t>
            </w:r>
          </w:p>
        </w:tc>
        <w:tc>
          <w:tcPr>
            <w:tcW w:w="1060" w:type="dxa"/>
            <w:tcBorders>
              <w:top w:val="nil"/>
              <w:left w:val="nil"/>
              <w:bottom w:val="nil"/>
              <w:right w:val="nil"/>
            </w:tcBorders>
            <w:shd w:val="clear" w:color="auto" w:fill="auto"/>
            <w:vAlign w:val="center"/>
            <w:hideMark/>
          </w:tcPr>
          <w:p w:rsidR="00484AE8" w:rsidRPr="00484AE8" w:rsidRDefault="00484AE8" w:rsidP="00484AE8">
            <w:pPr>
              <w:spacing w:after="0" w:line="240" w:lineRule="auto"/>
              <w:jc w:val="right"/>
              <w:rPr>
                <w:rFonts w:cs="Arial"/>
                <w:color w:val="000000"/>
                <w:sz w:val="16"/>
                <w:szCs w:val="16"/>
              </w:rPr>
            </w:pPr>
            <w:r w:rsidRPr="00484AE8">
              <w:rPr>
                <w:rFonts w:cs="Arial"/>
                <w:color w:val="000000"/>
                <w:sz w:val="16"/>
                <w:szCs w:val="16"/>
              </w:rPr>
              <w:t>4 594,7</w:t>
            </w:r>
          </w:p>
        </w:tc>
        <w:tc>
          <w:tcPr>
            <w:tcW w:w="960" w:type="dxa"/>
            <w:tcBorders>
              <w:top w:val="nil"/>
              <w:left w:val="nil"/>
              <w:bottom w:val="nil"/>
              <w:right w:val="nil"/>
            </w:tcBorders>
            <w:shd w:val="clear" w:color="auto" w:fill="auto"/>
            <w:vAlign w:val="center"/>
            <w:hideMark/>
          </w:tcPr>
          <w:p w:rsidR="00484AE8" w:rsidRPr="00484AE8" w:rsidRDefault="00484AE8" w:rsidP="00484AE8">
            <w:pPr>
              <w:spacing w:after="0" w:line="240" w:lineRule="auto"/>
              <w:jc w:val="right"/>
              <w:rPr>
                <w:rFonts w:cs="Arial"/>
                <w:color w:val="000000"/>
                <w:sz w:val="16"/>
                <w:szCs w:val="16"/>
              </w:rPr>
            </w:pPr>
            <w:r w:rsidRPr="00484AE8">
              <w:rPr>
                <w:rFonts w:cs="Arial"/>
                <w:color w:val="000000"/>
                <w:sz w:val="16"/>
                <w:szCs w:val="16"/>
              </w:rPr>
              <w:t>2 298,4</w:t>
            </w:r>
          </w:p>
        </w:tc>
        <w:tc>
          <w:tcPr>
            <w:tcW w:w="960" w:type="dxa"/>
            <w:tcBorders>
              <w:top w:val="nil"/>
              <w:left w:val="nil"/>
              <w:bottom w:val="nil"/>
              <w:right w:val="single" w:sz="4" w:space="0" w:color="auto"/>
            </w:tcBorders>
            <w:shd w:val="clear" w:color="auto" w:fill="auto"/>
            <w:vAlign w:val="center"/>
            <w:hideMark/>
          </w:tcPr>
          <w:p w:rsidR="00484AE8" w:rsidRPr="00484AE8" w:rsidRDefault="00484AE8" w:rsidP="00484AE8">
            <w:pPr>
              <w:spacing w:after="0" w:line="240" w:lineRule="auto"/>
              <w:jc w:val="right"/>
              <w:rPr>
                <w:rFonts w:cs="Arial"/>
                <w:color w:val="000000"/>
                <w:sz w:val="16"/>
                <w:szCs w:val="16"/>
              </w:rPr>
            </w:pPr>
            <w:r w:rsidRPr="00484AE8">
              <w:rPr>
                <w:rFonts w:cs="Arial"/>
                <w:color w:val="000000"/>
                <w:sz w:val="16"/>
                <w:szCs w:val="16"/>
              </w:rPr>
              <w:t>2 296,3</w:t>
            </w:r>
          </w:p>
        </w:tc>
        <w:tc>
          <w:tcPr>
            <w:tcW w:w="960" w:type="dxa"/>
            <w:tcBorders>
              <w:top w:val="nil"/>
              <w:left w:val="nil"/>
              <w:bottom w:val="nil"/>
              <w:right w:val="nil"/>
            </w:tcBorders>
            <w:shd w:val="clear" w:color="auto" w:fill="auto"/>
            <w:vAlign w:val="center"/>
            <w:hideMark/>
          </w:tcPr>
          <w:p w:rsidR="00484AE8" w:rsidRPr="00484AE8" w:rsidRDefault="00484AE8" w:rsidP="00484AE8">
            <w:pPr>
              <w:spacing w:after="0" w:line="240" w:lineRule="auto"/>
              <w:jc w:val="right"/>
              <w:rPr>
                <w:rFonts w:cs="Arial"/>
                <w:color w:val="000000"/>
                <w:sz w:val="16"/>
                <w:szCs w:val="16"/>
              </w:rPr>
            </w:pPr>
            <w:r w:rsidRPr="00484AE8">
              <w:rPr>
                <w:rFonts w:cs="Arial"/>
                <w:color w:val="000000"/>
                <w:sz w:val="16"/>
                <w:szCs w:val="16"/>
              </w:rPr>
              <w:t>95,7</w:t>
            </w:r>
          </w:p>
        </w:tc>
        <w:tc>
          <w:tcPr>
            <w:tcW w:w="960" w:type="dxa"/>
            <w:tcBorders>
              <w:top w:val="nil"/>
              <w:left w:val="nil"/>
              <w:bottom w:val="nil"/>
              <w:right w:val="nil"/>
            </w:tcBorders>
            <w:shd w:val="clear" w:color="auto" w:fill="auto"/>
            <w:vAlign w:val="center"/>
            <w:hideMark/>
          </w:tcPr>
          <w:p w:rsidR="00484AE8" w:rsidRPr="00484AE8" w:rsidRDefault="00484AE8" w:rsidP="00484AE8">
            <w:pPr>
              <w:spacing w:after="0" w:line="240" w:lineRule="auto"/>
              <w:jc w:val="right"/>
              <w:rPr>
                <w:rFonts w:cs="Arial"/>
                <w:color w:val="000000"/>
                <w:sz w:val="16"/>
                <w:szCs w:val="16"/>
              </w:rPr>
            </w:pPr>
            <w:r w:rsidRPr="00484AE8">
              <w:rPr>
                <w:rFonts w:cs="Arial"/>
                <w:color w:val="000000"/>
                <w:sz w:val="16"/>
                <w:szCs w:val="16"/>
              </w:rPr>
              <w:t>55,5</w:t>
            </w:r>
          </w:p>
        </w:tc>
        <w:tc>
          <w:tcPr>
            <w:tcW w:w="960" w:type="dxa"/>
            <w:tcBorders>
              <w:top w:val="nil"/>
              <w:left w:val="nil"/>
              <w:bottom w:val="nil"/>
              <w:right w:val="nil"/>
            </w:tcBorders>
            <w:shd w:val="clear" w:color="auto" w:fill="auto"/>
            <w:vAlign w:val="center"/>
            <w:hideMark/>
          </w:tcPr>
          <w:p w:rsidR="00484AE8" w:rsidRPr="00484AE8" w:rsidRDefault="00484AE8" w:rsidP="00484AE8">
            <w:pPr>
              <w:spacing w:after="0" w:line="240" w:lineRule="auto"/>
              <w:jc w:val="right"/>
              <w:rPr>
                <w:rFonts w:cs="Arial"/>
                <w:color w:val="000000"/>
                <w:sz w:val="16"/>
                <w:szCs w:val="16"/>
              </w:rPr>
            </w:pPr>
            <w:r w:rsidRPr="00484AE8">
              <w:rPr>
                <w:rFonts w:cs="Arial"/>
                <w:color w:val="000000"/>
                <w:sz w:val="16"/>
                <w:szCs w:val="16"/>
              </w:rPr>
              <w:t>40,1</w:t>
            </w:r>
          </w:p>
        </w:tc>
      </w:tr>
      <w:tr w:rsidR="00484AE8" w:rsidRPr="00484AE8" w:rsidTr="00484AE8">
        <w:trPr>
          <w:trHeight w:val="300"/>
        </w:trPr>
        <w:tc>
          <w:tcPr>
            <w:tcW w:w="960" w:type="dxa"/>
            <w:tcBorders>
              <w:top w:val="nil"/>
              <w:left w:val="nil"/>
              <w:bottom w:val="nil"/>
              <w:right w:val="single" w:sz="4" w:space="0" w:color="auto"/>
            </w:tcBorders>
            <w:shd w:val="clear" w:color="auto" w:fill="auto"/>
            <w:vAlign w:val="center"/>
            <w:hideMark/>
          </w:tcPr>
          <w:p w:rsidR="00484AE8" w:rsidRPr="00484AE8" w:rsidRDefault="00484AE8" w:rsidP="000C2D37">
            <w:pPr>
              <w:spacing w:after="0" w:line="240" w:lineRule="auto"/>
              <w:jc w:val="center"/>
              <w:rPr>
                <w:rFonts w:cs="Arial"/>
                <w:color w:val="000000"/>
                <w:sz w:val="16"/>
                <w:szCs w:val="16"/>
              </w:rPr>
            </w:pPr>
            <w:r w:rsidRPr="00484AE8">
              <w:rPr>
                <w:rFonts w:cs="Arial"/>
                <w:color w:val="000000"/>
                <w:sz w:val="16"/>
                <w:szCs w:val="16"/>
              </w:rPr>
              <w:t>2021</w:t>
            </w:r>
          </w:p>
        </w:tc>
        <w:tc>
          <w:tcPr>
            <w:tcW w:w="960" w:type="dxa"/>
            <w:tcBorders>
              <w:top w:val="nil"/>
              <w:left w:val="nil"/>
              <w:bottom w:val="nil"/>
              <w:right w:val="nil"/>
            </w:tcBorders>
            <w:shd w:val="clear" w:color="auto" w:fill="auto"/>
            <w:noWrap/>
            <w:vAlign w:val="center"/>
            <w:hideMark/>
          </w:tcPr>
          <w:p w:rsidR="00484AE8" w:rsidRPr="00484AE8" w:rsidRDefault="00484AE8" w:rsidP="00484AE8">
            <w:pPr>
              <w:spacing w:after="0" w:line="240" w:lineRule="auto"/>
              <w:jc w:val="right"/>
              <w:rPr>
                <w:rFonts w:cs="Arial"/>
                <w:color w:val="000000"/>
                <w:sz w:val="16"/>
                <w:szCs w:val="16"/>
              </w:rPr>
            </w:pPr>
            <w:r w:rsidRPr="00484AE8">
              <w:rPr>
                <w:rFonts w:cs="Arial"/>
                <w:color w:val="000000"/>
                <w:sz w:val="16"/>
                <w:szCs w:val="16"/>
              </w:rPr>
              <w:t>4 708,2</w:t>
            </w:r>
          </w:p>
        </w:tc>
        <w:tc>
          <w:tcPr>
            <w:tcW w:w="960" w:type="dxa"/>
            <w:tcBorders>
              <w:top w:val="nil"/>
              <w:left w:val="nil"/>
              <w:bottom w:val="nil"/>
              <w:right w:val="nil"/>
            </w:tcBorders>
            <w:shd w:val="clear" w:color="auto" w:fill="auto"/>
            <w:vAlign w:val="center"/>
            <w:hideMark/>
          </w:tcPr>
          <w:p w:rsidR="00484AE8" w:rsidRPr="00484AE8" w:rsidRDefault="00484AE8" w:rsidP="00484AE8">
            <w:pPr>
              <w:spacing w:after="0" w:line="240" w:lineRule="auto"/>
              <w:jc w:val="right"/>
              <w:rPr>
                <w:rFonts w:cs="Arial"/>
                <w:color w:val="000000"/>
                <w:sz w:val="16"/>
                <w:szCs w:val="16"/>
              </w:rPr>
            </w:pPr>
            <w:r w:rsidRPr="00484AE8">
              <w:rPr>
                <w:rFonts w:cs="Arial"/>
                <w:color w:val="000000"/>
                <w:sz w:val="16"/>
                <w:szCs w:val="16"/>
              </w:rPr>
              <w:t>2 354,2</w:t>
            </w:r>
          </w:p>
        </w:tc>
        <w:tc>
          <w:tcPr>
            <w:tcW w:w="960" w:type="dxa"/>
            <w:tcBorders>
              <w:top w:val="nil"/>
              <w:left w:val="nil"/>
              <w:bottom w:val="nil"/>
              <w:right w:val="single" w:sz="4" w:space="0" w:color="auto"/>
            </w:tcBorders>
            <w:shd w:val="clear" w:color="auto" w:fill="auto"/>
            <w:noWrap/>
            <w:vAlign w:val="center"/>
            <w:hideMark/>
          </w:tcPr>
          <w:p w:rsidR="00484AE8" w:rsidRPr="00484AE8" w:rsidRDefault="00484AE8" w:rsidP="00484AE8">
            <w:pPr>
              <w:spacing w:after="0" w:line="240" w:lineRule="auto"/>
              <w:jc w:val="right"/>
              <w:rPr>
                <w:rFonts w:cs="Arial"/>
                <w:color w:val="000000"/>
                <w:sz w:val="16"/>
                <w:szCs w:val="16"/>
              </w:rPr>
            </w:pPr>
            <w:r w:rsidRPr="00484AE8">
              <w:rPr>
                <w:rFonts w:cs="Arial"/>
                <w:color w:val="000000"/>
                <w:sz w:val="16"/>
                <w:szCs w:val="16"/>
              </w:rPr>
              <w:t>2 354,0</w:t>
            </w:r>
          </w:p>
        </w:tc>
        <w:tc>
          <w:tcPr>
            <w:tcW w:w="1060" w:type="dxa"/>
            <w:tcBorders>
              <w:top w:val="nil"/>
              <w:left w:val="nil"/>
              <w:bottom w:val="nil"/>
              <w:right w:val="nil"/>
            </w:tcBorders>
            <w:shd w:val="clear" w:color="auto" w:fill="auto"/>
            <w:vAlign w:val="center"/>
            <w:hideMark/>
          </w:tcPr>
          <w:p w:rsidR="00484AE8" w:rsidRPr="00484AE8" w:rsidRDefault="00484AE8" w:rsidP="00484AE8">
            <w:pPr>
              <w:spacing w:after="0" w:line="240" w:lineRule="auto"/>
              <w:jc w:val="right"/>
              <w:rPr>
                <w:rFonts w:cs="Arial"/>
                <w:color w:val="000000"/>
                <w:sz w:val="16"/>
                <w:szCs w:val="16"/>
              </w:rPr>
            </w:pPr>
            <w:r w:rsidRPr="00484AE8">
              <w:rPr>
                <w:rFonts w:cs="Arial"/>
                <w:color w:val="000000"/>
                <w:sz w:val="16"/>
                <w:szCs w:val="16"/>
              </w:rPr>
              <w:t>4 609,6</w:t>
            </w:r>
          </w:p>
        </w:tc>
        <w:tc>
          <w:tcPr>
            <w:tcW w:w="960" w:type="dxa"/>
            <w:tcBorders>
              <w:top w:val="nil"/>
              <w:left w:val="nil"/>
              <w:bottom w:val="nil"/>
              <w:right w:val="nil"/>
            </w:tcBorders>
            <w:shd w:val="clear" w:color="auto" w:fill="auto"/>
            <w:vAlign w:val="center"/>
            <w:hideMark/>
          </w:tcPr>
          <w:p w:rsidR="00484AE8" w:rsidRPr="00484AE8" w:rsidRDefault="00484AE8" w:rsidP="00484AE8">
            <w:pPr>
              <w:spacing w:after="0" w:line="240" w:lineRule="auto"/>
              <w:jc w:val="right"/>
              <w:rPr>
                <w:rFonts w:cs="Arial"/>
                <w:color w:val="000000"/>
                <w:sz w:val="16"/>
                <w:szCs w:val="16"/>
              </w:rPr>
            </w:pPr>
            <w:r w:rsidRPr="00484AE8">
              <w:rPr>
                <w:rFonts w:cs="Arial"/>
                <w:color w:val="000000"/>
                <w:sz w:val="16"/>
                <w:szCs w:val="16"/>
              </w:rPr>
              <w:t>2 297,4</w:t>
            </w:r>
          </w:p>
        </w:tc>
        <w:tc>
          <w:tcPr>
            <w:tcW w:w="960" w:type="dxa"/>
            <w:tcBorders>
              <w:top w:val="nil"/>
              <w:left w:val="nil"/>
              <w:bottom w:val="nil"/>
              <w:right w:val="single" w:sz="4" w:space="0" w:color="auto"/>
            </w:tcBorders>
            <w:shd w:val="clear" w:color="auto" w:fill="auto"/>
            <w:vAlign w:val="center"/>
            <w:hideMark/>
          </w:tcPr>
          <w:p w:rsidR="00484AE8" w:rsidRPr="00484AE8" w:rsidRDefault="00484AE8" w:rsidP="00484AE8">
            <w:pPr>
              <w:spacing w:after="0" w:line="240" w:lineRule="auto"/>
              <w:jc w:val="right"/>
              <w:rPr>
                <w:rFonts w:cs="Arial"/>
                <w:color w:val="000000"/>
                <w:sz w:val="16"/>
                <w:szCs w:val="16"/>
              </w:rPr>
            </w:pPr>
            <w:r w:rsidRPr="00484AE8">
              <w:rPr>
                <w:rFonts w:cs="Arial"/>
                <w:color w:val="000000"/>
                <w:sz w:val="16"/>
                <w:szCs w:val="16"/>
              </w:rPr>
              <w:t>2 312,2</w:t>
            </w:r>
          </w:p>
        </w:tc>
        <w:tc>
          <w:tcPr>
            <w:tcW w:w="960" w:type="dxa"/>
            <w:tcBorders>
              <w:top w:val="nil"/>
              <w:left w:val="nil"/>
              <w:bottom w:val="nil"/>
              <w:right w:val="nil"/>
            </w:tcBorders>
            <w:shd w:val="clear" w:color="auto" w:fill="auto"/>
            <w:noWrap/>
            <w:vAlign w:val="center"/>
            <w:hideMark/>
          </w:tcPr>
          <w:p w:rsidR="00484AE8" w:rsidRPr="00484AE8" w:rsidRDefault="00484AE8" w:rsidP="00484AE8">
            <w:pPr>
              <w:spacing w:after="0" w:line="240" w:lineRule="auto"/>
              <w:jc w:val="right"/>
              <w:rPr>
                <w:rFonts w:cs="Arial"/>
                <w:color w:val="000000"/>
                <w:sz w:val="16"/>
                <w:szCs w:val="16"/>
              </w:rPr>
            </w:pPr>
            <w:r w:rsidRPr="00484AE8">
              <w:rPr>
                <w:rFonts w:cs="Arial"/>
                <w:color w:val="000000"/>
                <w:sz w:val="16"/>
                <w:szCs w:val="16"/>
              </w:rPr>
              <w:t>98,5</w:t>
            </w:r>
          </w:p>
        </w:tc>
        <w:tc>
          <w:tcPr>
            <w:tcW w:w="960" w:type="dxa"/>
            <w:tcBorders>
              <w:top w:val="nil"/>
              <w:left w:val="nil"/>
              <w:bottom w:val="nil"/>
              <w:right w:val="nil"/>
            </w:tcBorders>
            <w:shd w:val="clear" w:color="auto" w:fill="auto"/>
            <w:vAlign w:val="center"/>
            <w:hideMark/>
          </w:tcPr>
          <w:p w:rsidR="00484AE8" w:rsidRPr="00484AE8" w:rsidRDefault="00484AE8" w:rsidP="00484AE8">
            <w:pPr>
              <w:spacing w:after="0" w:line="240" w:lineRule="auto"/>
              <w:jc w:val="right"/>
              <w:rPr>
                <w:rFonts w:cs="Arial"/>
                <w:color w:val="000000"/>
                <w:sz w:val="16"/>
                <w:szCs w:val="16"/>
              </w:rPr>
            </w:pPr>
            <w:r w:rsidRPr="00484AE8">
              <w:rPr>
                <w:rFonts w:cs="Arial"/>
                <w:color w:val="000000"/>
                <w:sz w:val="16"/>
                <w:szCs w:val="16"/>
              </w:rPr>
              <w:t>56,8</w:t>
            </w:r>
          </w:p>
        </w:tc>
        <w:tc>
          <w:tcPr>
            <w:tcW w:w="960" w:type="dxa"/>
            <w:tcBorders>
              <w:top w:val="nil"/>
              <w:left w:val="nil"/>
              <w:bottom w:val="nil"/>
              <w:right w:val="nil"/>
            </w:tcBorders>
            <w:shd w:val="clear" w:color="auto" w:fill="auto"/>
            <w:noWrap/>
            <w:vAlign w:val="center"/>
            <w:hideMark/>
          </w:tcPr>
          <w:p w:rsidR="00484AE8" w:rsidRPr="00484AE8" w:rsidRDefault="00484AE8" w:rsidP="00484AE8">
            <w:pPr>
              <w:spacing w:after="0" w:line="240" w:lineRule="auto"/>
              <w:jc w:val="right"/>
              <w:rPr>
                <w:rFonts w:cs="Arial"/>
                <w:color w:val="000000"/>
                <w:sz w:val="16"/>
                <w:szCs w:val="16"/>
              </w:rPr>
            </w:pPr>
            <w:r w:rsidRPr="00484AE8">
              <w:rPr>
                <w:rFonts w:cs="Arial"/>
                <w:color w:val="000000"/>
                <w:sz w:val="16"/>
                <w:szCs w:val="16"/>
              </w:rPr>
              <w:t>41,8</w:t>
            </w:r>
          </w:p>
        </w:tc>
      </w:tr>
      <w:tr w:rsidR="00484AE8" w:rsidRPr="00484AE8" w:rsidTr="00484AE8">
        <w:trPr>
          <w:trHeight w:val="300"/>
        </w:trPr>
        <w:tc>
          <w:tcPr>
            <w:tcW w:w="960" w:type="dxa"/>
            <w:tcBorders>
              <w:top w:val="nil"/>
              <w:left w:val="nil"/>
              <w:bottom w:val="nil"/>
              <w:right w:val="single" w:sz="4" w:space="0" w:color="auto"/>
            </w:tcBorders>
            <w:shd w:val="clear" w:color="auto" w:fill="auto"/>
            <w:vAlign w:val="center"/>
            <w:hideMark/>
          </w:tcPr>
          <w:p w:rsidR="00484AE8" w:rsidRPr="00484AE8" w:rsidRDefault="00484AE8" w:rsidP="000C2D37">
            <w:pPr>
              <w:spacing w:after="0" w:line="240" w:lineRule="auto"/>
              <w:jc w:val="center"/>
              <w:rPr>
                <w:rFonts w:cs="Arial"/>
                <w:color w:val="000000"/>
                <w:sz w:val="16"/>
                <w:szCs w:val="16"/>
              </w:rPr>
            </w:pPr>
            <w:r w:rsidRPr="00484AE8">
              <w:rPr>
                <w:rFonts w:cs="Arial"/>
                <w:color w:val="000000"/>
                <w:sz w:val="16"/>
                <w:szCs w:val="16"/>
              </w:rPr>
              <w:t>2022</w:t>
            </w:r>
          </w:p>
        </w:tc>
        <w:tc>
          <w:tcPr>
            <w:tcW w:w="960" w:type="dxa"/>
            <w:tcBorders>
              <w:top w:val="nil"/>
              <w:left w:val="nil"/>
              <w:bottom w:val="nil"/>
              <w:right w:val="nil"/>
            </w:tcBorders>
            <w:shd w:val="clear" w:color="auto" w:fill="auto"/>
            <w:noWrap/>
            <w:vAlign w:val="center"/>
            <w:hideMark/>
          </w:tcPr>
          <w:p w:rsidR="00484AE8" w:rsidRPr="00484AE8" w:rsidRDefault="00484AE8" w:rsidP="00484AE8">
            <w:pPr>
              <w:spacing w:after="0" w:line="240" w:lineRule="auto"/>
              <w:jc w:val="right"/>
              <w:rPr>
                <w:rFonts w:cs="Arial"/>
                <w:color w:val="000000"/>
                <w:sz w:val="16"/>
                <w:szCs w:val="16"/>
              </w:rPr>
            </w:pPr>
            <w:r w:rsidRPr="00484AE8">
              <w:rPr>
                <w:rFonts w:cs="Arial"/>
                <w:color w:val="000000"/>
                <w:sz w:val="16"/>
                <w:szCs w:val="16"/>
              </w:rPr>
              <w:t>4 747,9</w:t>
            </w:r>
          </w:p>
        </w:tc>
        <w:tc>
          <w:tcPr>
            <w:tcW w:w="960" w:type="dxa"/>
            <w:tcBorders>
              <w:top w:val="nil"/>
              <w:left w:val="nil"/>
              <w:bottom w:val="nil"/>
              <w:right w:val="nil"/>
            </w:tcBorders>
            <w:shd w:val="clear" w:color="auto" w:fill="auto"/>
            <w:vAlign w:val="center"/>
            <w:hideMark/>
          </w:tcPr>
          <w:p w:rsidR="00484AE8" w:rsidRPr="00484AE8" w:rsidRDefault="00484AE8" w:rsidP="00484AE8">
            <w:pPr>
              <w:spacing w:after="0" w:line="240" w:lineRule="auto"/>
              <w:jc w:val="right"/>
              <w:rPr>
                <w:rFonts w:cs="Arial"/>
                <w:color w:val="000000"/>
                <w:sz w:val="16"/>
                <w:szCs w:val="16"/>
              </w:rPr>
            </w:pPr>
            <w:r w:rsidRPr="00484AE8">
              <w:rPr>
                <w:rFonts w:cs="Arial"/>
                <w:color w:val="000000"/>
                <w:sz w:val="16"/>
                <w:szCs w:val="16"/>
              </w:rPr>
              <w:t>2 358,5</w:t>
            </w:r>
          </w:p>
        </w:tc>
        <w:tc>
          <w:tcPr>
            <w:tcW w:w="960" w:type="dxa"/>
            <w:tcBorders>
              <w:top w:val="nil"/>
              <w:left w:val="nil"/>
              <w:bottom w:val="nil"/>
              <w:right w:val="single" w:sz="4" w:space="0" w:color="auto"/>
            </w:tcBorders>
            <w:shd w:val="clear" w:color="auto" w:fill="auto"/>
            <w:noWrap/>
            <w:vAlign w:val="center"/>
            <w:hideMark/>
          </w:tcPr>
          <w:p w:rsidR="00484AE8" w:rsidRPr="00484AE8" w:rsidRDefault="00484AE8" w:rsidP="00484AE8">
            <w:pPr>
              <w:spacing w:after="0" w:line="240" w:lineRule="auto"/>
              <w:jc w:val="right"/>
              <w:rPr>
                <w:rFonts w:cs="Arial"/>
                <w:color w:val="000000"/>
                <w:sz w:val="16"/>
                <w:szCs w:val="16"/>
              </w:rPr>
            </w:pPr>
            <w:r w:rsidRPr="00484AE8">
              <w:rPr>
                <w:rFonts w:cs="Arial"/>
                <w:color w:val="000000"/>
                <w:sz w:val="16"/>
                <w:szCs w:val="16"/>
              </w:rPr>
              <w:t>2 389,4</w:t>
            </w:r>
          </w:p>
        </w:tc>
        <w:tc>
          <w:tcPr>
            <w:tcW w:w="1060" w:type="dxa"/>
            <w:tcBorders>
              <w:top w:val="nil"/>
              <w:left w:val="nil"/>
              <w:bottom w:val="nil"/>
              <w:right w:val="nil"/>
            </w:tcBorders>
            <w:shd w:val="clear" w:color="auto" w:fill="auto"/>
            <w:vAlign w:val="center"/>
            <w:hideMark/>
          </w:tcPr>
          <w:p w:rsidR="00484AE8" w:rsidRPr="00484AE8" w:rsidRDefault="00484AE8" w:rsidP="00484AE8">
            <w:pPr>
              <w:spacing w:after="0" w:line="240" w:lineRule="auto"/>
              <w:jc w:val="right"/>
              <w:rPr>
                <w:rFonts w:cs="Arial"/>
                <w:color w:val="000000"/>
                <w:sz w:val="16"/>
                <w:szCs w:val="16"/>
              </w:rPr>
            </w:pPr>
            <w:r w:rsidRPr="00484AE8">
              <w:rPr>
                <w:rFonts w:cs="Arial"/>
                <w:color w:val="000000"/>
                <w:sz w:val="16"/>
                <w:szCs w:val="16"/>
              </w:rPr>
              <w:t>4 647,0</w:t>
            </w:r>
          </w:p>
        </w:tc>
        <w:tc>
          <w:tcPr>
            <w:tcW w:w="960" w:type="dxa"/>
            <w:tcBorders>
              <w:top w:val="nil"/>
              <w:left w:val="nil"/>
              <w:bottom w:val="nil"/>
              <w:right w:val="nil"/>
            </w:tcBorders>
            <w:shd w:val="clear" w:color="auto" w:fill="auto"/>
            <w:vAlign w:val="center"/>
            <w:hideMark/>
          </w:tcPr>
          <w:p w:rsidR="00484AE8" w:rsidRPr="00484AE8" w:rsidRDefault="00484AE8" w:rsidP="00484AE8">
            <w:pPr>
              <w:spacing w:after="0" w:line="240" w:lineRule="auto"/>
              <w:jc w:val="right"/>
              <w:rPr>
                <w:rFonts w:cs="Arial"/>
                <w:color w:val="000000"/>
                <w:sz w:val="16"/>
                <w:szCs w:val="16"/>
              </w:rPr>
            </w:pPr>
            <w:r w:rsidRPr="00484AE8">
              <w:rPr>
                <w:rFonts w:cs="Arial"/>
                <w:color w:val="000000"/>
                <w:sz w:val="16"/>
                <w:szCs w:val="16"/>
              </w:rPr>
              <w:t>2 300,7</w:t>
            </w:r>
          </w:p>
        </w:tc>
        <w:tc>
          <w:tcPr>
            <w:tcW w:w="960" w:type="dxa"/>
            <w:tcBorders>
              <w:top w:val="nil"/>
              <w:left w:val="nil"/>
              <w:bottom w:val="nil"/>
              <w:right w:val="single" w:sz="4" w:space="0" w:color="auto"/>
            </w:tcBorders>
            <w:shd w:val="clear" w:color="auto" w:fill="auto"/>
            <w:vAlign w:val="center"/>
            <w:hideMark/>
          </w:tcPr>
          <w:p w:rsidR="00484AE8" w:rsidRPr="00484AE8" w:rsidRDefault="00484AE8" w:rsidP="00484AE8">
            <w:pPr>
              <w:spacing w:after="0" w:line="240" w:lineRule="auto"/>
              <w:jc w:val="right"/>
              <w:rPr>
                <w:rFonts w:cs="Arial"/>
                <w:color w:val="000000"/>
                <w:sz w:val="16"/>
                <w:szCs w:val="16"/>
              </w:rPr>
            </w:pPr>
            <w:r w:rsidRPr="00484AE8">
              <w:rPr>
                <w:rFonts w:cs="Arial"/>
                <w:color w:val="000000"/>
                <w:sz w:val="16"/>
                <w:szCs w:val="16"/>
              </w:rPr>
              <w:t>2 346,3</w:t>
            </w:r>
          </w:p>
        </w:tc>
        <w:tc>
          <w:tcPr>
            <w:tcW w:w="960" w:type="dxa"/>
            <w:tcBorders>
              <w:top w:val="nil"/>
              <w:left w:val="nil"/>
              <w:bottom w:val="nil"/>
              <w:right w:val="nil"/>
            </w:tcBorders>
            <w:shd w:val="clear" w:color="auto" w:fill="auto"/>
            <w:noWrap/>
            <w:vAlign w:val="center"/>
            <w:hideMark/>
          </w:tcPr>
          <w:p w:rsidR="00484AE8" w:rsidRPr="00484AE8" w:rsidRDefault="00484AE8" w:rsidP="00484AE8">
            <w:pPr>
              <w:spacing w:after="0" w:line="240" w:lineRule="auto"/>
              <w:jc w:val="right"/>
              <w:rPr>
                <w:rFonts w:cs="Arial"/>
                <w:color w:val="000000"/>
                <w:sz w:val="16"/>
                <w:szCs w:val="16"/>
              </w:rPr>
            </w:pPr>
            <w:r w:rsidRPr="00484AE8">
              <w:rPr>
                <w:rFonts w:cs="Arial"/>
                <w:color w:val="000000"/>
                <w:sz w:val="16"/>
                <w:szCs w:val="16"/>
              </w:rPr>
              <w:t>100,9</w:t>
            </w:r>
          </w:p>
        </w:tc>
        <w:tc>
          <w:tcPr>
            <w:tcW w:w="960" w:type="dxa"/>
            <w:tcBorders>
              <w:top w:val="nil"/>
              <w:left w:val="nil"/>
              <w:bottom w:val="nil"/>
              <w:right w:val="nil"/>
            </w:tcBorders>
            <w:shd w:val="clear" w:color="auto" w:fill="auto"/>
            <w:vAlign w:val="center"/>
            <w:hideMark/>
          </w:tcPr>
          <w:p w:rsidR="00484AE8" w:rsidRPr="00484AE8" w:rsidRDefault="00484AE8" w:rsidP="00484AE8">
            <w:pPr>
              <w:spacing w:after="0" w:line="240" w:lineRule="auto"/>
              <w:jc w:val="right"/>
              <w:rPr>
                <w:rFonts w:cs="Arial"/>
                <w:color w:val="000000"/>
                <w:sz w:val="16"/>
                <w:szCs w:val="16"/>
              </w:rPr>
            </w:pPr>
            <w:r w:rsidRPr="00484AE8">
              <w:rPr>
                <w:rFonts w:cs="Arial"/>
                <w:color w:val="000000"/>
                <w:sz w:val="16"/>
                <w:szCs w:val="16"/>
              </w:rPr>
              <w:t>57,8</w:t>
            </w:r>
          </w:p>
        </w:tc>
        <w:tc>
          <w:tcPr>
            <w:tcW w:w="960" w:type="dxa"/>
            <w:tcBorders>
              <w:top w:val="nil"/>
              <w:left w:val="nil"/>
              <w:bottom w:val="nil"/>
              <w:right w:val="nil"/>
            </w:tcBorders>
            <w:shd w:val="clear" w:color="auto" w:fill="auto"/>
            <w:noWrap/>
            <w:vAlign w:val="center"/>
            <w:hideMark/>
          </w:tcPr>
          <w:p w:rsidR="00484AE8" w:rsidRPr="00484AE8" w:rsidRDefault="00484AE8" w:rsidP="00484AE8">
            <w:pPr>
              <w:spacing w:after="0" w:line="240" w:lineRule="auto"/>
              <w:jc w:val="right"/>
              <w:rPr>
                <w:rFonts w:cs="Arial"/>
                <w:color w:val="000000"/>
                <w:sz w:val="16"/>
                <w:szCs w:val="16"/>
              </w:rPr>
            </w:pPr>
            <w:r w:rsidRPr="00484AE8">
              <w:rPr>
                <w:rFonts w:cs="Arial"/>
                <w:color w:val="000000"/>
                <w:sz w:val="16"/>
                <w:szCs w:val="16"/>
              </w:rPr>
              <w:t>43,1</w:t>
            </w:r>
          </w:p>
        </w:tc>
      </w:tr>
      <w:tr w:rsidR="00484AE8" w:rsidRPr="00484AE8" w:rsidTr="00484AE8">
        <w:trPr>
          <w:trHeight w:val="300"/>
        </w:trPr>
        <w:tc>
          <w:tcPr>
            <w:tcW w:w="960" w:type="dxa"/>
            <w:tcBorders>
              <w:top w:val="nil"/>
              <w:left w:val="nil"/>
              <w:bottom w:val="nil"/>
              <w:right w:val="single" w:sz="4" w:space="0" w:color="auto"/>
            </w:tcBorders>
            <w:shd w:val="clear" w:color="auto" w:fill="auto"/>
            <w:vAlign w:val="center"/>
            <w:hideMark/>
          </w:tcPr>
          <w:p w:rsidR="00484AE8" w:rsidRPr="00484AE8" w:rsidRDefault="00484AE8" w:rsidP="000C2D37">
            <w:pPr>
              <w:spacing w:after="0" w:line="240" w:lineRule="auto"/>
              <w:jc w:val="center"/>
              <w:rPr>
                <w:rFonts w:cs="Arial"/>
                <w:color w:val="000000"/>
                <w:sz w:val="16"/>
                <w:szCs w:val="16"/>
              </w:rPr>
            </w:pPr>
            <w:r w:rsidRPr="00484AE8">
              <w:rPr>
                <w:rFonts w:cs="Arial"/>
                <w:color w:val="000000"/>
                <w:sz w:val="16"/>
                <w:szCs w:val="16"/>
              </w:rPr>
              <w:t>2023</w:t>
            </w:r>
          </w:p>
        </w:tc>
        <w:tc>
          <w:tcPr>
            <w:tcW w:w="960" w:type="dxa"/>
            <w:tcBorders>
              <w:top w:val="nil"/>
              <w:left w:val="nil"/>
              <w:bottom w:val="nil"/>
              <w:right w:val="nil"/>
            </w:tcBorders>
            <w:shd w:val="clear" w:color="auto" w:fill="auto"/>
            <w:noWrap/>
            <w:vAlign w:val="center"/>
            <w:hideMark/>
          </w:tcPr>
          <w:p w:rsidR="00484AE8" w:rsidRPr="00484AE8" w:rsidRDefault="00484AE8" w:rsidP="00484AE8">
            <w:pPr>
              <w:spacing w:after="0" w:line="240" w:lineRule="auto"/>
              <w:jc w:val="right"/>
              <w:rPr>
                <w:rFonts w:cs="Arial"/>
                <w:color w:val="000000"/>
                <w:sz w:val="16"/>
                <w:szCs w:val="16"/>
              </w:rPr>
            </w:pPr>
            <w:r w:rsidRPr="00484AE8">
              <w:rPr>
                <w:rFonts w:cs="Arial"/>
                <w:color w:val="000000"/>
                <w:sz w:val="16"/>
                <w:szCs w:val="16"/>
              </w:rPr>
              <w:t>4 766,9</w:t>
            </w:r>
          </w:p>
        </w:tc>
        <w:tc>
          <w:tcPr>
            <w:tcW w:w="960" w:type="dxa"/>
            <w:tcBorders>
              <w:top w:val="nil"/>
              <w:left w:val="nil"/>
              <w:bottom w:val="nil"/>
              <w:right w:val="nil"/>
            </w:tcBorders>
            <w:shd w:val="clear" w:color="auto" w:fill="auto"/>
            <w:vAlign w:val="center"/>
            <w:hideMark/>
          </w:tcPr>
          <w:p w:rsidR="00484AE8" w:rsidRPr="00484AE8" w:rsidRDefault="00484AE8" w:rsidP="00484AE8">
            <w:pPr>
              <w:spacing w:after="0" w:line="240" w:lineRule="auto"/>
              <w:jc w:val="right"/>
              <w:rPr>
                <w:rFonts w:cs="Arial"/>
                <w:color w:val="000000"/>
                <w:sz w:val="16"/>
                <w:szCs w:val="16"/>
              </w:rPr>
            </w:pPr>
            <w:r w:rsidRPr="00484AE8">
              <w:rPr>
                <w:rFonts w:cs="Arial"/>
                <w:color w:val="000000"/>
                <w:sz w:val="16"/>
                <w:szCs w:val="16"/>
              </w:rPr>
              <w:t>2 353,9</w:t>
            </w:r>
          </w:p>
        </w:tc>
        <w:tc>
          <w:tcPr>
            <w:tcW w:w="960" w:type="dxa"/>
            <w:tcBorders>
              <w:top w:val="nil"/>
              <w:left w:val="nil"/>
              <w:bottom w:val="nil"/>
              <w:right w:val="single" w:sz="4" w:space="0" w:color="auto"/>
            </w:tcBorders>
            <w:shd w:val="clear" w:color="auto" w:fill="auto"/>
            <w:noWrap/>
            <w:vAlign w:val="center"/>
            <w:hideMark/>
          </w:tcPr>
          <w:p w:rsidR="00484AE8" w:rsidRPr="00484AE8" w:rsidRDefault="00484AE8" w:rsidP="00484AE8">
            <w:pPr>
              <w:spacing w:after="0" w:line="240" w:lineRule="auto"/>
              <w:jc w:val="right"/>
              <w:rPr>
                <w:rFonts w:cs="Arial"/>
                <w:color w:val="000000"/>
                <w:sz w:val="16"/>
                <w:szCs w:val="16"/>
              </w:rPr>
            </w:pPr>
            <w:r w:rsidRPr="00484AE8">
              <w:rPr>
                <w:rFonts w:cs="Arial"/>
                <w:color w:val="000000"/>
                <w:sz w:val="16"/>
                <w:szCs w:val="16"/>
              </w:rPr>
              <w:t>2 413,0</w:t>
            </w:r>
          </w:p>
        </w:tc>
        <w:tc>
          <w:tcPr>
            <w:tcW w:w="1060" w:type="dxa"/>
            <w:tcBorders>
              <w:top w:val="nil"/>
              <w:left w:val="nil"/>
              <w:bottom w:val="nil"/>
              <w:right w:val="nil"/>
            </w:tcBorders>
            <w:shd w:val="clear" w:color="auto" w:fill="auto"/>
            <w:vAlign w:val="center"/>
            <w:hideMark/>
          </w:tcPr>
          <w:p w:rsidR="00484AE8" w:rsidRPr="00484AE8" w:rsidRDefault="00484AE8" w:rsidP="00484AE8">
            <w:pPr>
              <w:spacing w:after="0" w:line="240" w:lineRule="auto"/>
              <w:jc w:val="right"/>
              <w:rPr>
                <w:rFonts w:cs="Arial"/>
                <w:color w:val="000000"/>
                <w:sz w:val="16"/>
                <w:szCs w:val="16"/>
              </w:rPr>
            </w:pPr>
            <w:r w:rsidRPr="00484AE8">
              <w:rPr>
                <w:rFonts w:cs="Arial"/>
                <w:color w:val="000000"/>
                <w:sz w:val="16"/>
                <w:szCs w:val="16"/>
              </w:rPr>
              <w:t>4 667,9</w:t>
            </w:r>
          </w:p>
        </w:tc>
        <w:tc>
          <w:tcPr>
            <w:tcW w:w="960" w:type="dxa"/>
            <w:tcBorders>
              <w:top w:val="nil"/>
              <w:left w:val="nil"/>
              <w:bottom w:val="nil"/>
              <w:right w:val="nil"/>
            </w:tcBorders>
            <w:shd w:val="clear" w:color="auto" w:fill="auto"/>
            <w:vAlign w:val="center"/>
            <w:hideMark/>
          </w:tcPr>
          <w:p w:rsidR="00484AE8" w:rsidRPr="00484AE8" w:rsidRDefault="00484AE8" w:rsidP="00484AE8">
            <w:pPr>
              <w:spacing w:after="0" w:line="240" w:lineRule="auto"/>
              <w:jc w:val="right"/>
              <w:rPr>
                <w:rFonts w:cs="Arial"/>
                <w:color w:val="000000"/>
                <w:sz w:val="16"/>
                <w:szCs w:val="16"/>
              </w:rPr>
            </w:pPr>
            <w:r w:rsidRPr="00484AE8">
              <w:rPr>
                <w:rFonts w:cs="Arial"/>
                <w:color w:val="000000"/>
                <w:sz w:val="16"/>
                <w:szCs w:val="16"/>
              </w:rPr>
              <w:t>2 297,5</w:t>
            </w:r>
          </w:p>
        </w:tc>
        <w:tc>
          <w:tcPr>
            <w:tcW w:w="960" w:type="dxa"/>
            <w:tcBorders>
              <w:top w:val="nil"/>
              <w:left w:val="nil"/>
              <w:bottom w:val="nil"/>
              <w:right w:val="single" w:sz="4" w:space="0" w:color="auto"/>
            </w:tcBorders>
            <w:shd w:val="clear" w:color="auto" w:fill="auto"/>
            <w:vAlign w:val="center"/>
            <w:hideMark/>
          </w:tcPr>
          <w:p w:rsidR="00484AE8" w:rsidRPr="00484AE8" w:rsidRDefault="00484AE8" w:rsidP="00484AE8">
            <w:pPr>
              <w:spacing w:after="0" w:line="240" w:lineRule="auto"/>
              <w:jc w:val="right"/>
              <w:rPr>
                <w:rFonts w:cs="Arial"/>
                <w:color w:val="000000"/>
                <w:sz w:val="16"/>
                <w:szCs w:val="16"/>
              </w:rPr>
            </w:pPr>
            <w:r w:rsidRPr="00484AE8">
              <w:rPr>
                <w:rFonts w:cs="Arial"/>
                <w:color w:val="000000"/>
                <w:sz w:val="16"/>
                <w:szCs w:val="16"/>
              </w:rPr>
              <w:t>2 370,5</w:t>
            </w:r>
          </w:p>
        </w:tc>
        <w:tc>
          <w:tcPr>
            <w:tcW w:w="960" w:type="dxa"/>
            <w:tcBorders>
              <w:top w:val="nil"/>
              <w:left w:val="nil"/>
              <w:bottom w:val="nil"/>
              <w:right w:val="nil"/>
            </w:tcBorders>
            <w:shd w:val="clear" w:color="auto" w:fill="auto"/>
            <w:noWrap/>
            <w:vAlign w:val="center"/>
            <w:hideMark/>
          </w:tcPr>
          <w:p w:rsidR="00484AE8" w:rsidRPr="00484AE8" w:rsidRDefault="00484AE8" w:rsidP="00484AE8">
            <w:pPr>
              <w:spacing w:after="0" w:line="240" w:lineRule="auto"/>
              <w:jc w:val="right"/>
              <w:rPr>
                <w:rFonts w:cs="Arial"/>
                <w:color w:val="000000"/>
                <w:sz w:val="16"/>
                <w:szCs w:val="16"/>
              </w:rPr>
            </w:pPr>
            <w:r w:rsidRPr="00484AE8">
              <w:rPr>
                <w:rFonts w:cs="Arial"/>
                <w:color w:val="000000"/>
                <w:sz w:val="16"/>
                <w:szCs w:val="16"/>
              </w:rPr>
              <w:t>98,9</w:t>
            </w:r>
          </w:p>
        </w:tc>
        <w:tc>
          <w:tcPr>
            <w:tcW w:w="960" w:type="dxa"/>
            <w:tcBorders>
              <w:top w:val="nil"/>
              <w:left w:val="nil"/>
              <w:bottom w:val="nil"/>
              <w:right w:val="nil"/>
            </w:tcBorders>
            <w:shd w:val="clear" w:color="auto" w:fill="auto"/>
            <w:vAlign w:val="center"/>
            <w:hideMark/>
          </w:tcPr>
          <w:p w:rsidR="00484AE8" w:rsidRPr="00484AE8" w:rsidRDefault="00484AE8" w:rsidP="00484AE8">
            <w:pPr>
              <w:spacing w:after="0" w:line="240" w:lineRule="auto"/>
              <w:jc w:val="right"/>
              <w:rPr>
                <w:rFonts w:cs="Arial"/>
                <w:color w:val="000000"/>
                <w:sz w:val="16"/>
                <w:szCs w:val="16"/>
              </w:rPr>
            </w:pPr>
            <w:r w:rsidRPr="00484AE8">
              <w:rPr>
                <w:rFonts w:cs="Arial"/>
                <w:color w:val="000000"/>
                <w:sz w:val="16"/>
                <w:szCs w:val="16"/>
              </w:rPr>
              <w:t>56,4</w:t>
            </w:r>
          </w:p>
        </w:tc>
        <w:tc>
          <w:tcPr>
            <w:tcW w:w="960" w:type="dxa"/>
            <w:tcBorders>
              <w:top w:val="nil"/>
              <w:left w:val="nil"/>
              <w:bottom w:val="nil"/>
              <w:right w:val="nil"/>
            </w:tcBorders>
            <w:shd w:val="clear" w:color="auto" w:fill="auto"/>
            <w:noWrap/>
            <w:vAlign w:val="center"/>
            <w:hideMark/>
          </w:tcPr>
          <w:p w:rsidR="00484AE8" w:rsidRPr="00484AE8" w:rsidRDefault="00484AE8" w:rsidP="00484AE8">
            <w:pPr>
              <w:spacing w:after="0" w:line="240" w:lineRule="auto"/>
              <w:jc w:val="right"/>
              <w:rPr>
                <w:rFonts w:cs="Arial"/>
                <w:color w:val="000000"/>
                <w:sz w:val="16"/>
                <w:szCs w:val="16"/>
              </w:rPr>
            </w:pPr>
            <w:r w:rsidRPr="00484AE8">
              <w:rPr>
                <w:rFonts w:cs="Arial"/>
                <w:color w:val="000000"/>
                <w:sz w:val="16"/>
                <w:szCs w:val="16"/>
              </w:rPr>
              <w:t>42,5</w:t>
            </w:r>
          </w:p>
        </w:tc>
      </w:tr>
      <w:tr w:rsidR="00484AE8" w:rsidRPr="00484AE8" w:rsidTr="00D41B71">
        <w:trPr>
          <w:trHeight w:val="300"/>
        </w:trPr>
        <w:tc>
          <w:tcPr>
            <w:tcW w:w="960" w:type="dxa"/>
            <w:tcBorders>
              <w:top w:val="nil"/>
              <w:left w:val="nil"/>
              <w:bottom w:val="nil"/>
              <w:right w:val="single" w:sz="4" w:space="0" w:color="auto"/>
            </w:tcBorders>
            <w:shd w:val="clear" w:color="auto" w:fill="auto"/>
            <w:vAlign w:val="center"/>
            <w:hideMark/>
          </w:tcPr>
          <w:p w:rsidR="00484AE8" w:rsidRPr="000C2D37" w:rsidRDefault="000C2D37" w:rsidP="000C2D37">
            <w:pPr>
              <w:spacing w:after="0" w:line="240" w:lineRule="auto"/>
              <w:jc w:val="center"/>
              <w:rPr>
                <w:rFonts w:cs="Arial"/>
                <w:color w:val="000000"/>
                <w:sz w:val="16"/>
                <w:szCs w:val="16"/>
              </w:rPr>
            </w:pPr>
            <w:r>
              <w:rPr>
                <w:rFonts w:cs="Arial"/>
                <w:color w:val="000000"/>
                <w:sz w:val="16"/>
                <w:szCs w:val="16"/>
              </w:rPr>
              <w:t>2024</w:t>
            </w:r>
          </w:p>
        </w:tc>
        <w:tc>
          <w:tcPr>
            <w:tcW w:w="960" w:type="dxa"/>
            <w:tcBorders>
              <w:top w:val="nil"/>
              <w:left w:val="nil"/>
              <w:bottom w:val="nil"/>
              <w:right w:val="nil"/>
            </w:tcBorders>
            <w:shd w:val="clear" w:color="auto" w:fill="auto"/>
            <w:noWrap/>
            <w:vAlign w:val="center"/>
            <w:hideMark/>
          </w:tcPr>
          <w:p w:rsidR="00484AE8" w:rsidRPr="000C2D37" w:rsidRDefault="000C2D37" w:rsidP="00484AE8">
            <w:pPr>
              <w:spacing w:after="0" w:line="240" w:lineRule="auto"/>
              <w:jc w:val="right"/>
              <w:rPr>
                <w:rFonts w:cs="Arial"/>
                <w:color w:val="000000"/>
                <w:sz w:val="16"/>
                <w:szCs w:val="16"/>
              </w:rPr>
            </w:pPr>
            <w:r w:rsidRPr="000C2D37">
              <w:rPr>
                <w:rFonts w:cs="Arial"/>
                <w:color w:val="000000"/>
                <w:sz w:val="16"/>
                <w:szCs w:val="16"/>
              </w:rPr>
              <w:t>4 764,8</w:t>
            </w:r>
          </w:p>
        </w:tc>
        <w:tc>
          <w:tcPr>
            <w:tcW w:w="960" w:type="dxa"/>
            <w:tcBorders>
              <w:top w:val="nil"/>
              <w:left w:val="nil"/>
              <w:bottom w:val="nil"/>
              <w:right w:val="nil"/>
            </w:tcBorders>
            <w:shd w:val="clear" w:color="auto" w:fill="auto"/>
            <w:vAlign w:val="center"/>
            <w:hideMark/>
          </w:tcPr>
          <w:p w:rsidR="00484AE8" w:rsidRPr="000C2D37" w:rsidRDefault="000C2D37" w:rsidP="00484AE8">
            <w:pPr>
              <w:spacing w:after="0" w:line="240" w:lineRule="auto"/>
              <w:jc w:val="right"/>
              <w:rPr>
                <w:rFonts w:cs="Arial"/>
                <w:color w:val="000000"/>
                <w:sz w:val="16"/>
                <w:szCs w:val="16"/>
              </w:rPr>
            </w:pPr>
            <w:r w:rsidRPr="000C2D37">
              <w:rPr>
                <w:rFonts w:cs="Arial"/>
                <w:color w:val="000000"/>
                <w:sz w:val="16"/>
                <w:szCs w:val="16"/>
              </w:rPr>
              <w:t>2 341,0</w:t>
            </w:r>
          </w:p>
        </w:tc>
        <w:tc>
          <w:tcPr>
            <w:tcW w:w="960" w:type="dxa"/>
            <w:tcBorders>
              <w:top w:val="nil"/>
              <w:left w:val="nil"/>
              <w:bottom w:val="nil"/>
              <w:right w:val="nil"/>
            </w:tcBorders>
            <w:shd w:val="clear" w:color="auto" w:fill="auto"/>
            <w:noWrap/>
            <w:vAlign w:val="center"/>
            <w:hideMark/>
          </w:tcPr>
          <w:p w:rsidR="00484AE8" w:rsidRPr="000C2D37" w:rsidRDefault="000C2D37" w:rsidP="00484AE8">
            <w:pPr>
              <w:spacing w:after="0" w:line="240" w:lineRule="auto"/>
              <w:jc w:val="right"/>
              <w:rPr>
                <w:rFonts w:cs="Arial"/>
                <w:color w:val="000000"/>
                <w:sz w:val="16"/>
                <w:szCs w:val="16"/>
              </w:rPr>
            </w:pPr>
            <w:r w:rsidRPr="000C2D37">
              <w:rPr>
                <w:rFonts w:cs="Arial"/>
                <w:color w:val="000000"/>
                <w:sz w:val="16"/>
                <w:szCs w:val="16"/>
              </w:rPr>
              <w:t>2 423,8</w:t>
            </w:r>
          </w:p>
        </w:tc>
        <w:tc>
          <w:tcPr>
            <w:tcW w:w="1060" w:type="dxa"/>
            <w:tcBorders>
              <w:top w:val="nil"/>
              <w:left w:val="single" w:sz="4" w:space="0" w:color="auto"/>
              <w:bottom w:val="nil"/>
              <w:right w:val="nil"/>
            </w:tcBorders>
            <w:shd w:val="clear" w:color="auto" w:fill="auto"/>
            <w:vAlign w:val="center"/>
            <w:hideMark/>
          </w:tcPr>
          <w:p w:rsidR="00484AE8" w:rsidRPr="000C2D37" w:rsidRDefault="000C2D37" w:rsidP="00484AE8">
            <w:pPr>
              <w:spacing w:after="0" w:line="240" w:lineRule="auto"/>
              <w:jc w:val="right"/>
              <w:rPr>
                <w:rFonts w:cs="Arial"/>
                <w:color w:val="000000"/>
                <w:sz w:val="16"/>
                <w:szCs w:val="16"/>
              </w:rPr>
            </w:pPr>
            <w:r w:rsidRPr="000C2D37">
              <w:rPr>
                <w:rFonts w:cs="Arial"/>
                <w:color w:val="000000"/>
                <w:sz w:val="16"/>
                <w:szCs w:val="16"/>
              </w:rPr>
              <w:t xml:space="preserve"> 4 669,4</w:t>
            </w:r>
          </w:p>
        </w:tc>
        <w:tc>
          <w:tcPr>
            <w:tcW w:w="960" w:type="dxa"/>
            <w:tcBorders>
              <w:top w:val="nil"/>
              <w:left w:val="nil"/>
              <w:bottom w:val="nil"/>
              <w:right w:val="nil"/>
            </w:tcBorders>
            <w:shd w:val="clear" w:color="auto" w:fill="auto"/>
            <w:vAlign w:val="center"/>
            <w:hideMark/>
          </w:tcPr>
          <w:p w:rsidR="00484AE8" w:rsidRPr="000C2D37" w:rsidRDefault="000C2D37" w:rsidP="00484AE8">
            <w:pPr>
              <w:spacing w:after="0" w:line="240" w:lineRule="auto"/>
              <w:jc w:val="right"/>
              <w:rPr>
                <w:rFonts w:cs="Arial"/>
                <w:color w:val="000000"/>
                <w:sz w:val="16"/>
                <w:szCs w:val="16"/>
              </w:rPr>
            </w:pPr>
            <w:r w:rsidRPr="000C2D37">
              <w:rPr>
                <w:rFonts w:cs="Arial"/>
                <w:color w:val="000000"/>
                <w:sz w:val="16"/>
                <w:szCs w:val="16"/>
              </w:rPr>
              <w:t>2 287,2</w:t>
            </w:r>
          </w:p>
        </w:tc>
        <w:tc>
          <w:tcPr>
            <w:tcW w:w="960" w:type="dxa"/>
            <w:tcBorders>
              <w:top w:val="nil"/>
              <w:left w:val="nil"/>
              <w:bottom w:val="nil"/>
              <w:right w:val="nil"/>
            </w:tcBorders>
            <w:shd w:val="clear" w:color="auto" w:fill="auto"/>
            <w:vAlign w:val="center"/>
            <w:hideMark/>
          </w:tcPr>
          <w:p w:rsidR="00484AE8" w:rsidRPr="000C2D37" w:rsidRDefault="000C2D37" w:rsidP="00484AE8">
            <w:pPr>
              <w:spacing w:after="0" w:line="240" w:lineRule="auto"/>
              <w:jc w:val="right"/>
              <w:rPr>
                <w:rFonts w:cs="Arial"/>
                <w:color w:val="000000"/>
                <w:sz w:val="16"/>
                <w:szCs w:val="16"/>
              </w:rPr>
            </w:pPr>
            <w:r w:rsidRPr="000C2D37">
              <w:rPr>
                <w:rFonts w:cs="Arial"/>
                <w:color w:val="000000"/>
                <w:sz w:val="16"/>
                <w:szCs w:val="16"/>
              </w:rPr>
              <w:t>2 382,2</w:t>
            </w:r>
          </w:p>
        </w:tc>
        <w:tc>
          <w:tcPr>
            <w:tcW w:w="960" w:type="dxa"/>
            <w:tcBorders>
              <w:top w:val="nil"/>
              <w:left w:val="single" w:sz="4" w:space="0" w:color="auto"/>
              <w:bottom w:val="nil"/>
              <w:right w:val="nil"/>
            </w:tcBorders>
            <w:shd w:val="clear" w:color="auto" w:fill="auto"/>
            <w:noWrap/>
            <w:vAlign w:val="center"/>
            <w:hideMark/>
          </w:tcPr>
          <w:p w:rsidR="00484AE8" w:rsidRPr="000C2D37" w:rsidRDefault="00484AE8" w:rsidP="00484AE8">
            <w:pPr>
              <w:spacing w:after="0" w:line="240" w:lineRule="auto"/>
              <w:jc w:val="right"/>
              <w:rPr>
                <w:rFonts w:cs="Arial"/>
                <w:color w:val="000000"/>
                <w:sz w:val="16"/>
                <w:szCs w:val="16"/>
              </w:rPr>
            </w:pPr>
            <w:r w:rsidRPr="000C2D37">
              <w:rPr>
                <w:rFonts w:cs="Arial"/>
                <w:color w:val="000000"/>
                <w:sz w:val="16"/>
                <w:szCs w:val="16"/>
              </w:rPr>
              <w:t>95,4</w:t>
            </w:r>
          </w:p>
        </w:tc>
        <w:tc>
          <w:tcPr>
            <w:tcW w:w="960" w:type="dxa"/>
            <w:tcBorders>
              <w:top w:val="nil"/>
              <w:left w:val="nil"/>
              <w:bottom w:val="nil"/>
              <w:right w:val="nil"/>
            </w:tcBorders>
            <w:shd w:val="clear" w:color="auto" w:fill="auto"/>
            <w:vAlign w:val="center"/>
            <w:hideMark/>
          </w:tcPr>
          <w:p w:rsidR="00484AE8" w:rsidRPr="000C2D37" w:rsidRDefault="00484AE8" w:rsidP="00484AE8">
            <w:pPr>
              <w:spacing w:after="0" w:line="240" w:lineRule="auto"/>
              <w:jc w:val="right"/>
              <w:rPr>
                <w:rFonts w:cs="Arial"/>
                <w:color w:val="000000"/>
                <w:sz w:val="16"/>
                <w:szCs w:val="16"/>
              </w:rPr>
            </w:pPr>
            <w:r w:rsidRPr="000C2D37">
              <w:rPr>
                <w:rFonts w:cs="Arial"/>
                <w:color w:val="000000"/>
                <w:sz w:val="16"/>
                <w:szCs w:val="16"/>
              </w:rPr>
              <w:t>53,8</w:t>
            </w:r>
          </w:p>
        </w:tc>
        <w:tc>
          <w:tcPr>
            <w:tcW w:w="960" w:type="dxa"/>
            <w:tcBorders>
              <w:top w:val="nil"/>
              <w:left w:val="nil"/>
              <w:bottom w:val="nil"/>
              <w:right w:val="nil"/>
            </w:tcBorders>
            <w:shd w:val="clear" w:color="auto" w:fill="auto"/>
            <w:noWrap/>
            <w:vAlign w:val="center"/>
            <w:hideMark/>
          </w:tcPr>
          <w:p w:rsidR="00484AE8" w:rsidRPr="000C2D37" w:rsidRDefault="00484AE8" w:rsidP="00484AE8">
            <w:pPr>
              <w:spacing w:after="0" w:line="240" w:lineRule="auto"/>
              <w:jc w:val="right"/>
              <w:rPr>
                <w:rFonts w:cs="Arial"/>
                <w:color w:val="000000"/>
                <w:sz w:val="16"/>
                <w:szCs w:val="16"/>
              </w:rPr>
            </w:pPr>
            <w:r w:rsidRPr="000C2D37">
              <w:rPr>
                <w:rFonts w:cs="Arial"/>
                <w:color w:val="000000"/>
                <w:sz w:val="16"/>
                <w:szCs w:val="16"/>
              </w:rPr>
              <w:t>41,6</w:t>
            </w:r>
          </w:p>
        </w:tc>
      </w:tr>
    </w:tbl>
    <w:p w:rsidR="005A74F0" w:rsidRDefault="00484AE8" w:rsidP="00B3495F">
      <w:pPr>
        <w:spacing w:before="120"/>
        <w:rPr>
          <w:rFonts w:cs="Arial"/>
          <w:sz w:val="16"/>
          <w:szCs w:val="16"/>
        </w:rPr>
      </w:pPr>
      <w:r w:rsidRPr="00484AE8">
        <w:rPr>
          <w:rFonts w:cs="Arial"/>
          <w:sz w:val="16"/>
          <w:szCs w:val="16"/>
        </w:rPr>
        <w:t>zdroj: ČSÚ</w:t>
      </w:r>
    </w:p>
    <w:p w:rsidR="00BF2D72" w:rsidRDefault="00014389" w:rsidP="00014389">
      <w:r w:rsidRPr="00251BF8">
        <w:lastRenderedPageBreak/>
        <w:t xml:space="preserve">Počet </w:t>
      </w:r>
      <w:r w:rsidRPr="00251BF8">
        <w:rPr>
          <w:b/>
        </w:rPr>
        <w:t>d</w:t>
      </w:r>
      <w:r>
        <w:rPr>
          <w:b/>
        </w:rPr>
        <w:t xml:space="preserve">obrovolně nemocensky pojištěných, </w:t>
      </w:r>
      <w:r w:rsidRPr="00251BF8">
        <w:t xml:space="preserve">tedy </w:t>
      </w:r>
      <w:r w:rsidRPr="00251BF8">
        <w:rPr>
          <w:b/>
        </w:rPr>
        <w:t>osob samostatně výdělečně činných</w:t>
      </w:r>
      <w:r w:rsidRPr="00251BF8">
        <w:t xml:space="preserve"> </w:t>
      </w:r>
      <w:r w:rsidRPr="00251BF8">
        <w:rPr>
          <w:b/>
        </w:rPr>
        <w:t>(OSVČ)</w:t>
      </w:r>
      <w:r>
        <w:t xml:space="preserve">, </w:t>
      </w:r>
      <w:r w:rsidR="0040587D">
        <w:t xml:space="preserve">klesl </w:t>
      </w:r>
      <w:r w:rsidRPr="00251BF8">
        <w:t>meziro</w:t>
      </w:r>
      <w:r w:rsidR="000E32AF">
        <w:t xml:space="preserve">čně </w:t>
      </w:r>
      <w:r w:rsidR="000E32AF" w:rsidRPr="009B309E">
        <w:t>o 3,5 tis</w:t>
      </w:r>
      <w:r w:rsidR="00AE49D8" w:rsidRPr="009B309E">
        <w:t>íc</w:t>
      </w:r>
      <w:r w:rsidR="000E32AF" w:rsidRPr="009B309E">
        <w:t xml:space="preserve"> </w:t>
      </w:r>
      <w:r w:rsidR="009B309E" w:rsidRPr="009B309E">
        <w:t>(3,6</w:t>
      </w:r>
      <w:r w:rsidR="0040587D" w:rsidRPr="009B309E">
        <w:t xml:space="preserve"> %) na hodnotu 95</w:t>
      </w:r>
      <w:r w:rsidR="00EA4FCF" w:rsidRPr="009B309E">
        <w:t>,4</w:t>
      </w:r>
      <w:r w:rsidRPr="009B309E">
        <w:t xml:space="preserve"> tis</w:t>
      </w:r>
      <w:r w:rsidR="00AE49D8" w:rsidRPr="009B309E">
        <w:t>íc</w:t>
      </w:r>
      <w:r w:rsidR="000E32AF">
        <w:t xml:space="preserve"> osob.</w:t>
      </w:r>
      <w:r w:rsidRPr="00251BF8">
        <w:t xml:space="preserve"> Podíl pojištěných OSVČ na celkovém počtu OSVČ vykonávajících hlavní činnost </w:t>
      </w:r>
      <w:r w:rsidRPr="009B309E">
        <w:t xml:space="preserve">přestavoval </w:t>
      </w:r>
      <w:r w:rsidR="00EA4FCF" w:rsidRPr="009B309E">
        <w:t>14 %. Muži tvořili 56</w:t>
      </w:r>
      <w:r w:rsidR="00F16A15" w:rsidRPr="009B309E">
        <w:t>,4</w:t>
      </w:r>
      <w:r w:rsidRPr="00251BF8">
        <w:t xml:space="preserve"> % nemocensky pojištěných OSVČ.</w:t>
      </w:r>
      <w:r w:rsidR="00C6570F">
        <w:t xml:space="preserve"> </w:t>
      </w:r>
      <w:r w:rsidRPr="00251BF8">
        <w:t>Zatímco v roce 201</w:t>
      </w:r>
      <w:r w:rsidR="00EA4FCF">
        <w:t>4</w:t>
      </w:r>
      <w:r w:rsidRPr="00251BF8">
        <w:t xml:space="preserve"> ženy tvořily 3</w:t>
      </w:r>
      <w:r w:rsidR="00EA4FCF">
        <w:t>8,4</w:t>
      </w:r>
      <w:r w:rsidRPr="00251BF8">
        <w:t xml:space="preserve"> % všech nemocensky pojištěných OSVČ, v roce 202</w:t>
      </w:r>
      <w:r w:rsidR="00EA4FCF">
        <w:t xml:space="preserve">4 to </w:t>
      </w:r>
      <w:r w:rsidR="00F16A15">
        <w:t xml:space="preserve">již </w:t>
      </w:r>
      <w:r w:rsidR="00EA4FCF" w:rsidRPr="009B309E">
        <w:t>bylo o 5,2</w:t>
      </w:r>
      <w:r w:rsidRPr="009B309E">
        <w:t xml:space="preserve"> p. b. </w:t>
      </w:r>
      <w:proofErr w:type="gramStart"/>
      <w:r w:rsidRPr="009B309E">
        <w:t>více</w:t>
      </w:r>
      <w:proofErr w:type="gramEnd"/>
      <w:r w:rsidRPr="009B309E">
        <w:t>.</w:t>
      </w:r>
    </w:p>
    <w:p w:rsidR="00F16A15" w:rsidRDefault="001A42B2" w:rsidP="00014389">
      <w:r w:rsidRPr="00251BF8">
        <w:t xml:space="preserve">Pomineme-li meziroční pokles v roce 2020 a stagnaci v roce </w:t>
      </w:r>
      <w:r>
        <w:t>2019</w:t>
      </w:r>
      <w:r w:rsidRPr="00251BF8">
        <w:t>, je patrné, že vlivem rostoucího počtu zaměstnanců se v</w:t>
      </w:r>
      <w:r>
        <w:t> </w:t>
      </w:r>
      <w:r w:rsidRPr="00251BF8">
        <w:t>poslední</w:t>
      </w:r>
      <w:r>
        <w:t>m desetiletí</w:t>
      </w:r>
      <w:r w:rsidRPr="00251BF8">
        <w:t xml:space="preserve"> kontinuálně zvyšoval i průměrný počet nemocensky pojištěných. Mezi </w:t>
      </w:r>
      <w:r>
        <w:t>lety</w:t>
      </w:r>
      <w:r w:rsidRPr="00251BF8">
        <w:t xml:space="preserve"> 201</w:t>
      </w:r>
      <w:r>
        <w:t>4</w:t>
      </w:r>
      <w:r w:rsidRPr="00251BF8">
        <w:t xml:space="preserve"> a 202</w:t>
      </w:r>
      <w:r>
        <w:t>4</w:t>
      </w:r>
      <w:r w:rsidRPr="00251BF8">
        <w:t xml:space="preserve"> došlo k nárůstu počtu pojištěnců </w:t>
      </w:r>
      <w:r w:rsidRPr="00EA74DB">
        <w:rPr>
          <w:b/>
        </w:rPr>
        <w:t>mezi zaměstnanci</w:t>
      </w:r>
      <w:r>
        <w:t xml:space="preserve"> </w:t>
      </w:r>
      <w:r w:rsidRPr="006F5FF5">
        <w:t xml:space="preserve">o </w:t>
      </w:r>
      <w:r w:rsidR="006F5FF5" w:rsidRPr="006F5FF5">
        <w:t>7</w:t>
      </w:r>
      <w:r w:rsidRPr="006F5FF5">
        <w:t>,1 % (</w:t>
      </w:r>
      <w:r w:rsidR="006F5FF5" w:rsidRPr="006F5FF5">
        <w:t>311</w:t>
      </w:r>
      <w:r w:rsidRPr="006F5FF5">
        <w:t xml:space="preserve"> tis</w:t>
      </w:r>
      <w:r w:rsidR="00AE49D8" w:rsidRPr="006F5FF5">
        <w:t>íc</w:t>
      </w:r>
      <w:r w:rsidRPr="006F5FF5">
        <w:t>).</w:t>
      </w:r>
      <w:r w:rsidRPr="00251BF8">
        <w:t xml:space="preserve"> Na tomto nárůstu se p</w:t>
      </w:r>
      <w:r>
        <w:t xml:space="preserve">odílely větší měrou ženy. Za uvedené </w:t>
      </w:r>
      <w:r w:rsidRPr="00251BF8">
        <w:t xml:space="preserve">období vzrostl </w:t>
      </w:r>
      <w:r w:rsidRPr="00251BF8">
        <w:rPr>
          <w:b/>
        </w:rPr>
        <w:t xml:space="preserve">počet nemocensky pojištěných zaměstnankyň </w:t>
      </w:r>
      <w:r w:rsidRPr="006F5FF5">
        <w:t>o </w:t>
      </w:r>
      <w:r w:rsidR="006F5FF5" w:rsidRPr="006F5FF5">
        <w:t>10,8 % (232</w:t>
      </w:r>
      <w:r w:rsidRPr="006F5FF5">
        <w:t> tis</w:t>
      </w:r>
      <w:r w:rsidR="00AE49D8" w:rsidRPr="006F5FF5">
        <w:t>íc</w:t>
      </w:r>
      <w:r w:rsidRPr="006F5FF5">
        <w:t xml:space="preserve">), </w:t>
      </w:r>
      <w:r w:rsidR="006F5FF5" w:rsidRPr="006F5FF5">
        <w:t xml:space="preserve">počet </w:t>
      </w:r>
      <w:r w:rsidRPr="006F5FF5">
        <w:t xml:space="preserve">nemocensky pojištěných zaměstnanců (mužů) </w:t>
      </w:r>
      <w:r w:rsidR="006F5FF5" w:rsidRPr="006F5FF5">
        <w:t>se zvýšil o</w:t>
      </w:r>
      <w:r w:rsidRPr="006F5FF5">
        <w:t xml:space="preserve"> </w:t>
      </w:r>
      <w:r w:rsidR="006F5FF5" w:rsidRPr="006F5FF5">
        <w:t>3,6 % (79</w:t>
      </w:r>
      <w:r w:rsidRPr="006F5FF5">
        <w:t xml:space="preserve"> tis</w:t>
      </w:r>
      <w:r w:rsidR="00AE49D8" w:rsidRPr="006F5FF5">
        <w:t>íc</w:t>
      </w:r>
      <w:r w:rsidRPr="006F5FF5">
        <w:t>).</w:t>
      </w:r>
    </w:p>
    <w:p w:rsidR="006F11AE" w:rsidRDefault="006F11AE" w:rsidP="00014389">
      <w:r>
        <w:t xml:space="preserve">Z pohledu </w:t>
      </w:r>
      <w:r w:rsidRPr="00251BF8">
        <w:rPr>
          <w:b/>
        </w:rPr>
        <w:t>velikosti podniku</w:t>
      </w:r>
      <w:r w:rsidRPr="00251BF8">
        <w:t xml:space="preserve"> </w:t>
      </w:r>
      <w:r w:rsidR="00B3495F" w:rsidRPr="00B3495F">
        <w:t>pracovala</w:t>
      </w:r>
      <w:r w:rsidR="00B3495F">
        <w:t xml:space="preserve"> </w:t>
      </w:r>
      <w:r>
        <w:t>necelá třetina</w:t>
      </w:r>
      <w:r w:rsidRPr="00251BF8">
        <w:t xml:space="preserve"> nemocensky pojištěných </w:t>
      </w:r>
      <w:r w:rsidRPr="004620B9">
        <w:t xml:space="preserve">osob </w:t>
      </w:r>
      <w:r w:rsidR="004620B9" w:rsidRPr="004620B9">
        <w:t>(1 516</w:t>
      </w:r>
      <w:r w:rsidRPr="004620B9">
        <w:t xml:space="preserve"> tis</w:t>
      </w:r>
      <w:r w:rsidR="00AE49D8" w:rsidRPr="004620B9">
        <w:t>íc</w:t>
      </w:r>
      <w:r w:rsidRPr="004620B9">
        <w:t xml:space="preserve">) ve velkých firmách s 500 a více zaměstnanci. Za posledních deset let jejich počet vzrostl o </w:t>
      </w:r>
      <w:r w:rsidR="004620B9" w:rsidRPr="004620B9">
        <w:t>72</w:t>
      </w:r>
      <w:r w:rsidRPr="004620B9">
        <w:t xml:space="preserve"> tis</w:t>
      </w:r>
      <w:r w:rsidR="00AE49D8" w:rsidRPr="004620B9">
        <w:t>íc</w:t>
      </w:r>
      <w:r w:rsidRPr="004620B9">
        <w:t xml:space="preserve"> osob. Další třetina připadá na podniky mající </w:t>
      </w:r>
      <w:r w:rsidR="00600D3B" w:rsidRPr="004620B9">
        <w:t xml:space="preserve">méně než </w:t>
      </w:r>
      <w:r w:rsidRPr="004620B9">
        <w:t xml:space="preserve">50 zaměstnanců, kde v roce 2024 pracovalo </w:t>
      </w:r>
      <w:r w:rsidR="004620B9" w:rsidRPr="004620B9">
        <w:t>1 512</w:t>
      </w:r>
      <w:r w:rsidRPr="004620B9">
        <w:t xml:space="preserve"> tis</w:t>
      </w:r>
      <w:r w:rsidR="00AE49D8" w:rsidRPr="004620B9">
        <w:t>íc</w:t>
      </w:r>
      <w:r>
        <w:t xml:space="preserve"> </w:t>
      </w:r>
      <w:r w:rsidRPr="00251BF8">
        <w:t xml:space="preserve">nemocensky pojištěných osob. Nejnižší podíl mezi nemocensky pojištěnými osobami představují </w:t>
      </w:r>
      <w:r w:rsidRPr="00251BF8">
        <w:rPr>
          <w:b/>
        </w:rPr>
        <w:t>OS</w:t>
      </w:r>
      <w:r w:rsidRPr="006F11AE">
        <w:rPr>
          <w:b/>
        </w:rPr>
        <w:t>VČ</w:t>
      </w:r>
      <w:r w:rsidR="004620B9">
        <w:t>, které jsou, jak již</w:t>
      </w:r>
      <w:r w:rsidRPr="00251BF8">
        <w:t xml:space="preserve"> bylo zmíněno, pojištěny dobrovolně.</w:t>
      </w:r>
      <w:r>
        <w:t xml:space="preserve"> V roce 2024</w:t>
      </w:r>
      <w:r w:rsidRPr="00251BF8">
        <w:t xml:space="preserve"> tvořily </w:t>
      </w:r>
      <w:r w:rsidRPr="004620B9">
        <w:t>pouze 2 % z celkového počtu pojištěnců v </w:t>
      </w:r>
      <w:r w:rsidR="006B0089" w:rsidRPr="004620B9">
        <w:t>Česku</w:t>
      </w:r>
      <w:r w:rsidRPr="004620B9">
        <w:t>, oproti roku 2014</w:t>
      </w:r>
      <w:r w:rsidR="006B0089" w:rsidRPr="004620B9">
        <w:t xml:space="preserve"> klesl tento podíl </w:t>
      </w:r>
      <w:r w:rsidR="004620B9" w:rsidRPr="004620B9">
        <w:t>o 0,4</w:t>
      </w:r>
      <w:r w:rsidR="006B0089" w:rsidRPr="004620B9">
        <w:t xml:space="preserve"> p. b.</w:t>
      </w:r>
    </w:p>
    <w:p w:rsidR="007233BC" w:rsidRPr="007233BC" w:rsidRDefault="007233BC" w:rsidP="007602F1">
      <w:pPr>
        <w:spacing w:after="0" w:line="240" w:lineRule="auto"/>
        <w:rPr>
          <w:rFonts w:cs="Arial"/>
          <w:color w:val="000000"/>
          <w:szCs w:val="20"/>
        </w:rPr>
      </w:pPr>
      <w:r>
        <w:rPr>
          <w:noProof/>
        </w:rPr>
        <w:drawing>
          <wp:anchor distT="0" distB="0" distL="114300" distR="114300" simplePos="0" relativeHeight="251682304" behindDoc="0" locked="0" layoutInCell="1" allowOverlap="1">
            <wp:simplePos x="0" y="0"/>
            <wp:positionH relativeFrom="column">
              <wp:posOffset>2680335</wp:posOffset>
            </wp:positionH>
            <wp:positionV relativeFrom="paragraph">
              <wp:posOffset>314960</wp:posOffset>
            </wp:positionV>
            <wp:extent cx="3452400" cy="2703600"/>
            <wp:effectExtent l="0" t="0" r="0" b="1905"/>
            <wp:wrapTopAndBottom/>
            <wp:docPr id="40" name="Graf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r>
        <w:rPr>
          <w:noProof/>
        </w:rPr>
        <w:drawing>
          <wp:anchor distT="0" distB="0" distL="114300" distR="114300" simplePos="0" relativeHeight="251681280" behindDoc="0" locked="0" layoutInCell="1" allowOverlap="1">
            <wp:simplePos x="0" y="0"/>
            <wp:positionH relativeFrom="column">
              <wp:posOffset>3810</wp:posOffset>
            </wp:positionH>
            <wp:positionV relativeFrom="paragraph">
              <wp:posOffset>309245</wp:posOffset>
            </wp:positionV>
            <wp:extent cx="2782800" cy="2703600"/>
            <wp:effectExtent l="0" t="0" r="0" b="1905"/>
            <wp:wrapTopAndBottom/>
            <wp:docPr id="39" name="Graf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r w:rsidR="00B3495F" w:rsidRPr="00E2604A">
        <w:rPr>
          <w:rFonts w:cs="Arial"/>
          <w:b/>
          <w:bCs/>
          <w:color w:val="000000"/>
          <w:szCs w:val="20"/>
        </w:rPr>
        <w:t>Graf 1.1: Průměrný počet nemocensky pojištěných osob dle velikosti</w:t>
      </w:r>
      <w:r w:rsidR="00B3495F" w:rsidRPr="00E2604A">
        <w:rPr>
          <w:rFonts w:cs="Arial"/>
          <w:color w:val="000000"/>
          <w:szCs w:val="20"/>
        </w:rPr>
        <w:t xml:space="preserve"> </w:t>
      </w:r>
      <w:r w:rsidR="00B3495F" w:rsidRPr="00E2604A">
        <w:rPr>
          <w:rFonts w:cs="Arial"/>
          <w:b/>
          <w:bCs/>
          <w:color w:val="000000"/>
          <w:szCs w:val="20"/>
        </w:rPr>
        <w:t xml:space="preserve">podniku, 2014, </w:t>
      </w:r>
      <w:r w:rsidR="00B3495F" w:rsidRPr="004620B9">
        <w:rPr>
          <w:rFonts w:cs="Arial"/>
          <w:b/>
          <w:bCs/>
          <w:color w:val="000000"/>
          <w:szCs w:val="20"/>
        </w:rPr>
        <w:t>2019, 2024</w:t>
      </w:r>
      <w:r w:rsidR="00E2604A" w:rsidRPr="00E2604A">
        <w:rPr>
          <w:rFonts w:cs="Arial"/>
          <w:b/>
          <w:bCs/>
          <w:color w:val="000000"/>
          <w:szCs w:val="20"/>
        </w:rPr>
        <w:br/>
      </w:r>
      <w:r w:rsidR="00B3495F" w:rsidRPr="00E2604A">
        <w:rPr>
          <w:rFonts w:cs="Arial"/>
          <w:b/>
          <w:bCs/>
          <w:color w:val="000000"/>
          <w:szCs w:val="20"/>
        </w:rPr>
        <w:t>(v tis.</w:t>
      </w:r>
      <w:r w:rsidR="00E2604A" w:rsidRPr="00E2604A">
        <w:rPr>
          <w:rFonts w:cs="Arial"/>
          <w:b/>
          <w:bCs/>
          <w:color w:val="000000"/>
          <w:szCs w:val="20"/>
        </w:rPr>
        <w:t xml:space="preserve"> osob a</w:t>
      </w:r>
      <w:r w:rsidR="007602F1" w:rsidRPr="00E2604A">
        <w:rPr>
          <w:rFonts w:cs="Arial"/>
          <w:b/>
          <w:bCs/>
          <w:color w:val="000000"/>
          <w:szCs w:val="20"/>
        </w:rPr>
        <w:t xml:space="preserve"> v %)</w:t>
      </w:r>
      <w:r w:rsidR="007602F1" w:rsidRPr="00E2604A">
        <w:rPr>
          <w:rFonts w:cs="Arial"/>
          <w:color w:val="000000"/>
          <w:szCs w:val="20"/>
        </w:rPr>
        <w:t xml:space="preserve"> </w:t>
      </w:r>
    </w:p>
    <w:p w:rsidR="007602F1" w:rsidRDefault="007602F1" w:rsidP="00014389">
      <w:pPr>
        <w:rPr>
          <w:rFonts w:cs="Arial"/>
          <w:noProof/>
          <w:sz w:val="16"/>
          <w:szCs w:val="16"/>
        </w:rPr>
      </w:pPr>
      <w:r w:rsidRPr="007602F1">
        <w:rPr>
          <w:rFonts w:cs="Arial"/>
          <w:noProof/>
          <w:sz w:val="16"/>
          <w:szCs w:val="16"/>
        </w:rPr>
        <w:t>Zdroj: ČSÚ</w:t>
      </w:r>
    </w:p>
    <w:p w:rsidR="007602F1" w:rsidRPr="00C35778" w:rsidRDefault="00C57A92" w:rsidP="007602F1">
      <w:r w:rsidRPr="00C35778">
        <w:t xml:space="preserve">Nejvíce zastoupenými </w:t>
      </w:r>
      <w:r w:rsidRPr="00C35778">
        <w:rPr>
          <w:b/>
        </w:rPr>
        <w:t>odvětvími</w:t>
      </w:r>
      <w:r w:rsidRPr="00C35778">
        <w:t xml:space="preserve">, co </w:t>
      </w:r>
      <w:r w:rsidR="00C35778">
        <w:t xml:space="preserve">se </w:t>
      </w:r>
      <w:r w:rsidRPr="00C35778">
        <w:t>počtu nemocensky pojištěných</w:t>
      </w:r>
      <w:r w:rsidR="00C35778">
        <w:t xml:space="preserve"> týká</w:t>
      </w:r>
      <w:r w:rsidRPr="00C35778">
        <w:t>, jsou sekce Zpracovatelský průmysl a Velkoobchod a maloobchod, opravy a údržba motorových vozidel, což odráží strukturu české ekonomiky</w:t>
      </w:r>
      <w:r w:rsidR="00B00C45">
        <w:t>. Ta</w:t>
      </w:r>
      <w:r w:rsidRPr="00C35778">
        <w:t xml:space="preserve">to dvě odvětví dohromady </w:t>
      </w:r>
      <w:r w:rsidRPr="00432645">
        <w:t>z</w:t>
      </w:r>
      <w:r w:rsidR="008D7614" w:rsidRPr="00432645">
        <w:t xml:space="preserve">aměstnávají </w:t>
      </w:r>
      <w:r w:rsidR="00432645" w:rsidRPr="00432645">
        <w:t>37</w:t>
      </w:r>
      <w:r w:rsidR="008D7614" w:rsidRPr="00432645">
        <w:t xml:space="preserve"> %</w:t>
      </w:r>
      <w:r w:rsidRPr="00432645">
        <w:t xml:space="preserve"> všech</w:t>
      </w:r>
      <w:r w:rsidRPr="00C35778">
        <w:t xml:space="preserve"> nemocensky pojištěných, přičemž na podniky s převažující ekonomickou činností ve zpr</w:t>
      </w:r>
      <w:r w:rsidR="008D7614">
        <w:t xml:space="preserve">acovatelském průmyslu </w:t>
      </w:r>
      <w:r w:rsidR="008D7614" w:rsidRPr="00432645">
        <w:t xml:space="preserve">připadá </w:t>
      </w:r>
      <w:r w:rsidR="00432645" w:rsidRPr="00432645">
        <w:t>24</w:t>
      </w:r>
      <w:r w:rsidRPr="00432645">
        <w:t xml:space="preserve"> % pojištěnců</w:t>
      </w:r>
      <w:r w:rsidRPr="00C35778">
        <w:t xml:space="preserve">. </w:t>
      </w:r>
      <w:r w:rsidRPr="008A3EFE">
        <w:rPr>
          <w:spacing w:val="2"/>
        </w:rPr>
        <w:t>V rámci zpracovatelského průmyslu působilo nejvíce nemocensky pojištěnýc</w:t>
      </w:r>
      <w:r w:rsidR="008A3EFE" w:rsidRPr="008A3EFE">
        <w:rPr>
          <w:spacing w:val="2"/>
        </w:rPr>
        <w:t>h osob v automobilovém průmyslu</w:t>
      </w:r>
      <w:r w:rsidR="008A3EFE">
        <w:br/>
      </w:r>
      <w:r w:rsidRPr="00C35778">
        <w:t>(CZ</w:t>
      </w:r>
      <w:r w:rsidR="008A3EFE">
        <w:t>-NACE oddíl 29), kde v </w:t>
      </w:r>
      <w:r w:rsidR="008A3EFE" w:rsidRPr="00432645">
        <w:t>roce 2024</w:t>
      </w:r>
      <w:r w:rsidRPr="00432645">
        <w:t xml:space="preserve"> pracovalo 15 % všech nemocensky pojištěných osob </w:t>
      </w:r>
      <w:r w:rsidR="008D7614" w:rsidRPr="00432645">
        <w:t>zaměstnaných ve zpracovatelském</w:t>
      </w:r>
      <w:r w:rsidRPr="00432645">
        <w:t xml:space="preserve"> průmyslu. S menším </w:t>
      </w:r>
      <w:r w:rsidRPr="00432645">
        <w:rPr>
          <w:spacing w:val="-2"/>
        </w:rPr>
        <w:t>odstupem následovaly kovozpracující (oddíl 25) a strojírenský (oddíl</w:t>
      </w:r>
      <w:r w:rsidRPr="00432645">
        <w:t xml:space="preserve"> 28</w:t>
      </w:r>
      <w:r w:rsidR="008D7614" w:rsidRPr="00432645">
        <w:t>) průmysl, na které připadalo 14</w:t>
      </w:r>
      <w:r w:rsidRPr="00432645">
        <w:t xml:space="preserve"> %, resp. 10 % ze</w:t>
      </w:r>
      <w:r w:rsidRPr="00C35778">
        <w:t xml:space="preserve"> všech nemocensky pojištěných osob ve zpracovatelském průmyslu. Vzhledem k velkému zastoupení zpracovatelského průmyslu v rámci české ekonomiky je této sekci věnována část </w:t>
      </w:r>
      <w:r w:rsidR="00B3495F">
        <w:t>6</w:t>
      </w:r>
      <w:r w:rsidRPr="00C35778">
        <w:t xml:space="preserve"> tabulkové přílohy.</w:t>
      </w:r>
    </w:p>
    <w:p w:rsidR="00F34B23" w:rsidRDefault="00C57A92" w:rsidP="00F34B23">
      <w:pPr>
        <w:rPr>
          <w:b/>
          <w:spacing w:val="-2"/>
          <w:szCs w:val="20"/>
        </w:rPr>
      </w:pPr>
      <w:r w:rsidRPr="008A3EFE">
        <w:rPr>
          <w:color w:val="000000" w:themeColor="text1"/>
        </w:rPr>
        <w:t>V odvětvových sekcích Veřejná správa</w:t>
      </w:r>
      <w:r w:rsidR="008A3EFE" w:rsidRPr="008A3EFE">
        <w:rPr>
          <w:rStyle w:val="Znakapoznpodarou"/>
          <w:color w:val="000000" w:themeColor="text1"/>
        </w:rPr>
        <w:footnoteReference w:id="1"/>
      </w:r>
      <w:r w:rsidRPr="008A3EFE">
        <w:rPr>
          <w:color w:val="000000" w:themeColor="text1"/>
        </w:rPr>
        <w:t xml:space="preserve">, Vzdělávání a Zdravotní </w:t>
      </w:r>
      <w:r w:rsidR="008A3EFE" w:rsidRPr="008A3EFE">
        <w:rPr>
          <w:color w:val="000000" w:themeColor="text1"/>
        </w:rPr>
        <w:t>a sociální péče byla v roce 2024</w:t>
      </w:r>
      <w:r w:rsidRPr="008A3EFE">
        <w:rPr>
          <w:color w:val="000000" w:themeColor="text1"/>
        </w:rPr>
        <w:t xml:space="preserve"> celkově zaměstnána </w:t>
      </w:r>
      <w:r w:rsidR="00F34B23">
        <w:rPr>
          <w:color w:val="000000" w:themeColor="text1"/>
        </w:rPr>
        <w:t>téměř čtvrtina</w:t>
      </w:r>
      <w:r w:rsidRPr="008A3EFE">
        <w:rPr>
          <w:color w:val="000000" w:themeColor="text1"/>
        </w:rPr>
        <w:t xml:space="preserve"> </w:t>
      </w:r>
      <w:r w:rsidRPr="00F34B23">
        <w:rPr>
          <w:color w:val="000000" w:themeColor="text1"/>
        </w:rPr>
        <w:t>(</w:t>
      </w:r>
      <w:r w:rsidR="00F34B23" w:rsidRPr="00F34B23">
        <w:rPr>
          <w:color w:val="000000" w:themeColor="text1"/>
        </w:rPr>
        <w:t>24,4</w:t>
      </w:r>
      <w:r w:rsidRPr="00F34B23">
        <w:rPr>
          <w:color w:val="000000" w:themeColor="text1"/>
        </w:rPr>
        <w:t xml:space="preserve"> %)</w:t>
      </w:r>
      <w:r w:rsidR="00F34B23">
        <w:rPr>
          <w:color w:val="000000" w:themeColor="text1"/>
        </w:rPr>
        <w:t xml:space="preserve"> </w:t>
      </w:r>
      <w:r w:rsidRPr="008A3EFE">
        <w:rPr>
          <w:color w:val="000000" w:themeColor="text1"/>
        </w:rPr>
        <w:t>všech nemocensky pojištěných</w:t>
      </w:r>
      <w:r w:rsidR="008A3EFE" w:rsidRPr="00E61904">
        <w:rPr>
          <w:rStyle w:val="Znakapoznpodarou"/>
          <w:color w:val="000000" w:themeColor="text1"/>
        </w:rPr>
        <w:footnoteReference w:id="2"/>
      </w:r>
      <w:r w:rsidRPr="00E61904">
        <w:rPr>
          <w:color w:val="000000" w:themeColor="text1"/>
        </w:rPr>
        <w:t xml:space="preserve">. </w:t>
      </w:r>
      <w:r w:rsidR="00E61904" w:rsidRPr="00E61904">
        <w:rPr>
          <w:color w:val="000000" w:themeColor="text1"/>
        </w:rPr>
        <w:t>V roce 2024</w:t>
      </w:r>
      <w:r w:rsidRPr="00E61904">
        <w:rPr>
          <w:color w:val="000000" w:themeColor="text1"/>
        </w:rPr>
        <w:t xml:space="preserve"> dohromady v těchto </w:t>
      </w:r>
      <w:r w:rsidRPr="00E61904">
        <w:rPr>
          <w:color w:val="000000" w:themeColor="text1"/>
        </w:rPr>
        <w:lastRenderedPageBreak/>
        <w:t xml:space="preserve">odvětvových </w:t>
      </w:r>
      <w:r w:rsidR="00E61904">
        <w:rPr>
          <w:color w:val="000000" w:themeColor="text1"/>
        </w:rPr>
        <w:t xml:space="preserve">sekcích více </w:t>
      </w:r>
      <w:r w:rsidR="00E61904" w:rsidRPr="00F34B23">
        <w:rPr>
          <w:color w:val="000000" w:themeColor="text1"/>
        </w:rPr>
        <w:t xml:space="preserve">než tři čtvrtiny z </w:t>
      </w:r>
      <w:r w:rsidRPr="00F34B23">
        <w:rPr>
          <w:color w:val="000000" w:themeColor="text1"/>
        </w:rPr>
        <w:t xml:space="preserve">nemocensky pojištěných osob tvořily ženy. </w:t>
      </w:r>
      <w:r w:rsidR="00E61904" w:rsidRPr="00F34B23">
        <w:rPr>
          <w:color w:val="000000" w:themeColor="text1"/>
        </w:rPr>
        <w:t xml:space="preserve">Například jen v sekci </w:t>
      </w:r>
      <w:r w:rsidRPr="00F34B23">
        <w:rPr>
          <w:color w:val="000000" w:themeColor="text1"/>
        </w:rPr>
        <w:t>Zdravotní a</w:t>
      </w:r>
      <w:r w:rsidR="00E61904" w:rsidRPr="00F34B23">
        <w:rPr>
          <w:color w:val="000000" w:themeColor="text1"/>
        </w:rPr>
        <w:t xml:space="preserve"> sociální péče dosáhl podíl žen </w:t>
      </w:r>
      <w:r w:rsidRPr="00F34B23">
        <w:rPr>
          <w:color w:val="000000" w:themeColor="text1"/>
        </w:rPr>
        <w:t>80 %.</w:t>
      </w:r>
      <w:r w:rsidR="00F34B23" w:rsidRPr="00F34B23">
        <w:rPr>
          <w:b/>
          <w:spacing w:val="-2"/>
          <w:szCs w:val="20"/>
        </w:rPr>
        <w:t xml:space="preserve"> </w:t>
      </w:r>
    </w:p>
    <w:p w:rsidR="00C57A92" w:rsidRPr="00F34B23" w:rsidRDefault="00F34B23" w:rsidP="007602F1">
      <w:pPr>
        <w:rPr>
          <w:b/>
        </w:rPr>
      </w:pPr>
      <w:r w:rsidRPr="00BB1795">
        <w:rPr>
          <w:b/>
          <w:spacing w:val="-2"/>
        </w:rPr>
        <w:t>Oproti roku 2023</w:t>
      </w:r>
      <w:r w:rsidRPr="00BB1795">
        <w:rPr>
          <w:spacing w:val="-2"/>
        </w:rPr>
        <w:t xml:space="preserve"> vzrostl počet nemocensky pojištěných osob </w:t>
      </w:r>
      <w:r w:rsidR="0067138C">
        <w:rPr>
          <w:spacing w:val="-2"/>
        </w:rPr>
        <w:t xml:space="preserve">nejvíce </w:t>
      </w:r>
      <w:r>
        <w:rPr>
          <w:spacing w:val="-2"/>
        </w:rPr>
        <w:t>v </w:t>
      </w:r>
      <w:r>
        <w:t>odvětvích Vzdělávání (</w:t>
      </w:r>
      <w:r w:rsidRPr="00322CC6">
        <w:t xml:space="preserve">o </w:t>
      </w:r>
      <w:r w:rsidR="0067138C" w:rsidRPr="00322CC6">
        <w:t>37</w:t>
      </w:r>
      <w:r w:rsidRPr="00322CC6">
        <w:t xml:space="preserve"> </w:t>
      </w:r>
      <w:r w:rsidR="0067138C" w:rsidRPr="00322CC6">
        <w:t xml:space="preserve">tisíc, tj. o 8,8 %) a </w:t>
      </w:r>
      <w:r w:rsidRPr="00322CC6">
        <w:t>Zdravotní a sociální péče (o </w:t>
      </w:r>
      <w:r w:rsidR="0067138C" w:rsidRPr="00322CC6">
        <w:t>16,5</w:t>
      </w:r>
      <w:r w:rsidRPr="00322CC6">
        <w:t xml:space="preserve"> tisíc</w:t>
      </w:r>
      <w:r w:rsidR="0067138C" w:rsidRPr="00322CC6">
        <w:t>e</w:t>
      </w:r>
      <w:r w:rsidRPr="00322CC6">
        <w:t>, tj. </w:t>
      </w:r>
      <w:r w:rsidR="0067138C" w:rsidRPr="00322CC6">
        <w:t>o 3,8</w:t>
      </w:r>
      <w:r w:rsidRPr="00322CC6">
        <w:t> %</w:t>
      </w:r>
      <w:r>
        <w:t>)</w:t>
      </w:r>
      <w:r w:rsidR="00322CC6">
        <w:t>.</w:t>
      </w:r>
      <w:r>
        <w:t xml:space="preserve"> </w:t>
      </w:r>
      <w:r w:rsidR="00322CC6">
        <w:t>Naopak nejvýraznější meziroční pokles počtu</w:t>
      </w:r>
      <w:r>
        <w:t xml:space="preserve"> nemocensky pojištěných osob evidovala</w:t>
      </w:r>
      <w:r w:rsidR="00322CC6">
        <w:t xml:space="preserve"> odvětví Zpracovatelský průmysl a </w:t>
      </w:r>
      <w:r w:rsidR="00322CC6" w:rsidRPr="00322CC6">
        <w:t>Velkoobchod a maloobchod; opravy a údržba motorových vozidel</w:t>
      </w:r>
      <w:r w:rsidR="00322CC6">
        <w:t xml:space="preserve"> (o 31 a 17,5 tisíce, resp. o 2,6 a 2,8 %).</w:t>
      </w:r>
    </w:p>
    <w:p w:rsidR="00B00C45" w:rsidRDefault="00EE34FB" w:rsidP="00EE34FB">
      <w:pPr>
        <w:spacing w:after="0" w:line="240" w:lineRule="auto"/>
        <w:rPr>
          <w:rFonts w:cs="Arial"/>
          <w:b/>
          <w:bCs/>
          <w:color w:val="000000"/>
          <w:szCs w:val="20"/>
        </w:rPr>
      </w:pPr>
      <w:r w:rsidRPr="00EE34FB">
        <w:rPr>
          <w:rFonts w:cs="Arial"/>
          <w:b/>
          <w:bCs/>
          <w:color w:val="000000"/>
          <w:szCs w:val="20"/>
        </w:rPr>
        <w:t>Graf 1.2: Průměrný počet nemocensky pojištěných osob podle odvětví (sekc</w:t>
      </w:r>
      <w:r>
        <w:rPr>
          <w:rFonts w:cs="Arial"/>
          <w:b/>
          <w:bCs/>
          <w:color w:val="000000"/>
          <w:szCs w:val="20"/>
        </w:rPr>
        <w:t>e CZ-NACE), 2014 a 2024</w:t>
      </w:r>
    </w:p>
    <w:p w:rsidR="003F7111" w:rsidRDefault="00B00C45" w:rsidP="0091427E">
      <w:pPr>
        <w:spacing w:line="240" w:lineRule="auto"/>
        <w:rPr>
          <w:rFonts w:cs="Arial"/>
          <w:noProof/>
          <w:sz w:val="16"/>
          <w:szCs w:val="16"/>
        </w:rPr>
      </w:pPr>
      <w:r>
        <w:rPr>
          <w:noProof/>
        </w:rPr>
        <w:drawing>
          <wp:inline distT="0" distB="0" distL="0" distR="0" wp14:anchorId="2235FF03" wp14:editId="528F9475">
            <wp:extent cx="6120000" cy="5040000"/>
            <wp:effectExtent l="0" t="0" r="0" b="8255"/>
            <wp:docPr id="41" name="Graf 4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0091427E">
        <w:rPr>
          <w:rFonts w:cs="Arial"/>
          <w:noProof/>
          <w:sz w:val="16"/>
          <w:szCs w:val="16"/>
        </w:rPr>
        <w:t>Z</w:t>
      </w:r>
      <w:r w:rsidR="003F7111" w:rsidRPr="007602F1">
        <w:rPr>
          <w:rFonts w:cs="Arial"/>
          <w:noProof/>
          <w:sz w:val="16"/>
          <w:szCs w:val="16"/>
        </w:rPr>
        <w:t>droj: ČSÚ</w:t>
      </w:r>
    </w:p>
    <w:p w:rsidR="00296DD1" w:rsidRDefault="003F7111" w:rsidP="00462543">
      <w:r>
        <w:rPr>
          <w:b/>
        </w:rPr>
        <w:t>Mezi lety 2014 a 2024</w:t>
      </w:r>
      <w:r w:rsidRPr="00251BF8">
        <w:t xml:space="preserve"> došlo k nárůstu počtu ne</w:t>
      </w:r>
      <w:r>
        <w:t xml:space="preserve">mocensky pojištěných osob o </w:t>
      </w:r>
      <w:r w:rsidR="008F70A5" w:rsidRPr="008F70A5">
        <w:t>necelých</w:t>
      </w:r>
      <w:r w:rsidRPr="008F70A5">
        <w:t xml:space="preserve"> </w:t>
      </w:r>
      <w:r w:rsidR="008F70A5" w:rsidRPr="008F70A5">
        <w:t>3</w:t>
      </w:r>
      <w:r w:rsidR="00BE17A4">
        <w:t>01</w:t>
      </w:r>
      <w:r w:rsidR="008F70A5" w:rsidRPr="008F70A5">
        <w:t xml:space="preserve"> tisíc (tj. o </w:t>
      </w:r>
      <w:r w:rsidR="00BE17A4">
        <w:t>6</w:t>
      </w:r>
      <w:r w:rsidR="008F70A5" w:rsidRPr="008F70A5">
        <w:t>,</w:t>
      </w:r>
      <w:r w:rsidR="00BE17A4">
        <w:t>7</w:t>
      </w:r>
      <w:r w:rsidRPr="008F70A5">
        <w:t xml:space="preserve"> %).</w:t>
      </w:r>
      <w:r w:rsidRPr="00251BF8">
        <w:t xml:space="preserve"> Na tomto nárůstu se </w:t>
      </w:r>
      <w:r w:rsidR="00297266">
        <w:t>z</w:t>
      </w:r>
      <w:r w:rsidR="008F70A5">
        <w:t>e tří čtvrtin</w:t>
      </w:r>
      <w:r w:rsidR="00297266">
        <w:t xml:space="preserve"> podílely </w:t>
      </w:r>
      <w:r w:rsidRPr="00251BF8">
        <w:t xml:space="preserve">ženy. Jejich počet </w:t>
      </w:r>
      <w:r>
        <w:t xml:space="preserve">za </w:t>
      </w:r>
      <w:r w:rsidR="00297266">
        <w:t>uvedené období</w:t>
      </w:r>
      <w:r>
        <w:t xml:space="preserve"> </w:t>
      </w:r>
      <w:r w:rsidRPr="009C19B2">
        <w:t xml:space="preserve">vzrostl </w:t>
      </w:r>
      <w:r w:rsidR="00297266" w:rsidRPr="009C19B2">
        <w:t xml:space="preserve">o </w:t>
      </w:r>
      <w:r w:rsidR="009C19B2" w:rsidRPr="009C19B2">
        <w:t>11 %</w:t>
      </w:r>
      <w:r w:rsidR="00297266" w:rsidRPr="009C19B2">
        <w:t xml:space="preserve">, </w:t>
      </w:r>
      <w:r w:rsidRPr="009C19B2">
        <w:t xml:space="preserve">v absolutním vyjádření </w:t>
      </w:r>
      <w:r w:rsidR="00297266" w:rsidRPr="009C19B2">
        <w:t xml:space="preserve">o </w:t>
      </w:r>
      <w:r w:rsidR="009C19B2" w:rsidRPr="009C19B2">
        <w:t>2</w:t>
      </w:r>
      <w:r w:rsidR="00BE17A4">
        <w:t>33</w:t>
      </w:r>
      <w:r w:rsidRPr="009C19B2">
        <w:t xml:space="preserve"> tisíc.</w:t>
      </w:r>
      <w:r w:rsidR="00297266" w:rsidRPr="009C19B2">
        <w:t xml:space="preserve"> P</w:t>
      </w:r>
      <w:r w:rsidRPr="009C19B2">
        <w:t>ro</w:t>
      </w:r>
      <w:r w:rsidRPr="00251BF8">
        <w:t xml:space="preserve"> sr</w:t>
      </w:r>
      <w:r w:rsidR="00600D3B">
        <w:t xml:space="preserve">ovnání, počet </w:t>
      </w:r>
      <w:r w:rsidR="006B5EFB">
        <w:t xml:space="preserve">pojištěných </w:t>
      </w:r>
      <w:r w:rsidR="00600D3B">
        <w:t xml:space="preserve">mužů se </w:t>
      </w:r>
      <w:r w:rsidR="00600D3B" w:rsidRPr="009C19B2">
        <w:t xml:space="preserve">zvýšil </w:t>
      </w:r>
      <w:r w:rsidR="009C19B2" w:rsidRPr="009C19B2">
        <w:t xml:space="preserve">o </w:t>
      </w:r>
      <w:r w:rsidR="00BE17A4">
        <w:t>68</w:t>
      </w:r>
      <w:r w:rsidR="00600D3B" w:rsidRPr="009C19B2">
        <w:t xml:space="preserve"> tisíc</w:t>
      </w:r>
      <w:r w:rsidR="009C19B2" w:rsidRPr="009C19B2">
        <w:t xml:space="preserve"> </w:t>
      </w:r>
      <w:r w:rsidR="00600D3B" w:rsidRPr="009C19B2">
        <w:t>(</w:t>
      </w:r>
      <w:r w:rsidR="009C19B2" w:rsidRPr="009C19B2">
        <w:t>tj. o 3</w:t>
      </w:r>
      <w:r w:rsidRPr="009C19B2">
        <w:t xml:space="preserve"> %</w:t>
      </w:r>
      <w:r w:rsidR="00600D3B" w:rsidRPr="009C19B2">
        <w:t>).</w:t>
      </w:r>
      <w:r w:rsidRPr="00251BF8">
        <w:t xml:space="preserve"> </w:t>
      </w:r>
      <w:r w:rsidRPr="006B5EFB">
        <w:t>Tomu odpovídá i</w:t>
      </w:r>
      <w:r w:rsidR="009C19B2">
        <w:t> </w:t>
      </w:r>
      <w:r w:rsidRPr="006B5EFB">
        <w:t xml:space="preserve">srovnání dle odvětví. Nejvíce pojištěnců, </w:t>
      </w:r>
      <w:r w:rsidR="00BE17A4">
        <w:t>téměř</w:t>
      </w:r>
      <w:r w:rsidRPr="009C19B2">
        <w:t xml:space="preserve"> </w:t>
      </w:r>
      <w:r w:rsidR="00A65FFE" w:rsidRPr="009C19B2">
        <w:t>11</w:t>
      </w:r>
      <w:r w:rsidR="00A65FFE">
        <w:t>7</w:t>
      </w:r>
      <w:r w:rsidR="00A65FFE" w:rsidRPr="009C19B2">
        <w:t xml:space="preserve"> </w:t>
      </w:r>
      <w:r w:rsidR="009C19B2" w:rsidRPr="009C19B2">
        <w:t>tisíc (tedy 35</w:t>
      </w:r>
      <w:r w:rsidRPr="009C19B2">
        <w:t xml:space="preserve"> %)</w:t>
      </w:r>
      <w:r w:rsidRPr="006B5EFB">
        <w:t xml:space="preserve"> přibylo v sekci Zdravotní a sociální péče.</w:t>
      </w:r>
      <w:r w:rsidRPr="00600D3B">
        <w:rPr>
          <w:color w:val="4F81BD" w:themeColor="accent1"/>
        </w:rPr>
        <w:t xml:space="preserve"> </w:t>
      </w:r>
      <w:r w:rsidRPr="006B5EFB">
        <w:t>Přičemž jen nárůst oproti roku 2019 – v souvislosti s nebývalým náporem na zdravotnictví v podobě pandemie, potažmo i důsled</w:t>
      </w:r>
      <w:r w:rsidR="006B5EFB" w:rsidRPr="006B5EFB">
        <w:t xml:space="preserve">kem stárnutí </w:t>
      </w:r>
      <w:r w:rsidR="006B5EFB" w:rsidRPr="009C19B2">
        <w:t xml:space="preserve">populace – činil </w:t>
      </w:r>
      <w:r w:rsidR="009C19B2" w:rsidRPr="009C19B2">
        <w:t xml:space="preserve">76 </w:t>
      </w:r>
      <w:r w:rsidRPr="009C19B2">
        <w:t>tis</w:t>
      </w:r>
      <w:r w:rsidR="006B5EFB" w:rsidRPr="009C19B2">
        <w:t>íc</w:t>
      </w:r>
      <w:r w:rsidRPr="009C19B2">
        <w:t xml:space="preserve">., resp. </w:t>
      </w:r>
      <w:r w:rsidR="009C19B2" w:rsidRPr="009C19B2">
        <w:t>20</w:t>
      </w:r>
      <w:r w:rsidRPr="009C19B2">
        <w:t xml:space="preserve"> %.</w:t>
      </w:r>
      <w:r w:rsidRPr="006B5EFB">
        <w:t xml:space="preserve"> Odvětvovou sekcí s druhým nejvyšším absolutním přírůstkem </w:t>
      </w:r>
      <w:r w:rsidR="006B5EFB" w:rsidRPr="006B5EFB">
        <w:t>od roku 2014</w:t>
      </w:r>
      <w:r w:rsidRPr="006B5EFB">
        <w:t xml:space="preserve"> bylo Vzdělávání. Zde vzrostl po</w:t>
      </w:r>
      <w:r w:rsidR="006B5EFB" w:rsidRPr="006B5EFB">
        <w:t xml:space="preserve">čet </w:t>
      </w:r>
      <w:r w:rsidR="00086EF9" w:rsidRPr="006B5EFB">
        <w:t>nemocensk</w:t>
      </w:r>
      <w:r w:rsidR="00086EF9">
        <w:t xml:space="preserve">y </w:t>
      </w:r>
      <w:r w:rsidR="006B5EFB" w:rsidRPr="006B5EFB">
        <w:t>pojištěn</w:t>
      </w:r>
      <w:r w:rsidR="00A65FFE">
        <w:t>ých</w:t>
      </w:r>
      <w:r w:rsidR="006B5EFB" w:rsidRPr="006B5EFB">
        <w:t xml:space="preserve"> </w:t>
      </w:r>
      <w:r w:rsidR="009C19B2" w:rsidRPr="009C19B2">
        <w:t>o 116</w:t>
      </w:r>
      <w:r w:rsidRPr="009C19B2">
        <w:t xml:space="preserve"> tis</w:t>
      </w:r>
      <w:r w:rsidR="006B5EFB" w:rsidRPr="009C19B2">
        <w:t xml:space="preserve">íc, což představovalo </w:t>
      </w:r>
      <w:r w:rsidR="009C19B2" w:rsidRPr="009C19B2">
        <w:t>34</w:t>
      </w:r>
      <w:r w:rsidRPr="009C19B2">
        <w:t>% nárůst</w:t>
      </w:r>
      <w:r w:rsidRPr="006B5EFB">
        <w:t>.</w:t>
      </w:r>
      <w:r w:rsidR="00462543">
        <w:t xml:space="preserve"> </w:t>
      </w:r>
      <w:r w:rsidR="00462543" w:rsidRPr="00251BF8">
        <w:t>Výrazné zvýšení bylo zaznamenáno i</w:t>
      </w:r>
      <w:r w:rsidR="00462543">
        <w:t> </w:t>
      </w:r>
      <w:r w:rsidR="00462543" w:rsidRPr="00251BF8">
        <w:t>v odvětvové sekci Informační</w:t>
      </w:r>
      <w:r w:rsidR="00086EF9">
        <w:br/>
      </w:r>
      <w:r w:rsidR="00462543" w:rsidRPr="00251BF8">
        <w:t xml:space="preserve">a komunikační činnosti, kde </w:t>
      </w:r>
      <w:r w:rsidR="00462543">
        <w:t xml:space="preserve">ve sledovaném období stoupl </w:t>
      </w:r>
      <w:r w:rsidR="00462543" w:rsidRPr="00251BF8">
        <w:t xml:space="preserve">počet nemocensky pojištěných osob </w:t>
      </w:r>
      <w:r w:rsidR="00462543" w:rsidRPr="009C19B2">
        <w:t xml:space="preserve">o </w:t>
      </w:r>
      <w:r w:rsidR="009C19B2" w:rsidRPr="009C19B2">
        <w:t>43,5</w:t>
      </w:r>
      <w:r w:rsidR="00462543" w:rsidRPr="009C19B2">
        <w:t xml:space="preserve"> tisíc</w:t>
      </w:r>
      <w:r w:rsidR="009C19B2" w:rsidRPr="009C19B2">
        <w:t>e</w:t>
      </w:r>
      <w:r w:rsidR="00462543" w:rsidRPr="009C19B2">
        <w:t>, tj</w:t>
      </w:r>
      <w:r w:rsidR="009C19B2" w:rsidRPr="009C19B2">
        <w:t>. o 37,5</w:t>
      </w:r>
      <w:r w:rsidR="00462543" w:rsidRPr="009C19B2">
        <w:t xml:space="preserve"> %. Tato</w:t>
      </w:r>
      <w:r w:rsidR="00462543" w:rsidRPr="00251BF8">
        <w:t xml:space="preserve"> odvětvová sekce zahrnuje </w:t>
      </w:r>
      <w:r w:rsidR="00462543">
        <w:t>kromě činností</w:t>
      </w:r>
      <w:r w:rsidR="00462543" w:rsidRPr="00251BF8">
        <w:t xml:space="preserve"> v oblasti informačních a</w:t>
      </w:r>
      <w:r w:rsidR="00296DD1">
        <w:t> </w:t>
      </w:r>
      <w:r w:rsidR="00462543" w:rsidRPr="00251BF8">
        <w:t>komunikačních technologií</w:t>
      </w:r>
      <w:r w:rsidR="00462543">
        <w:t xml:space="preserve"> (programování, IT poradenství, </w:t>
      </w:r>
      <w:r w:rsidR="00462543" w:rsidRPr="00251BF8">
        <w:t>zpracování dat</w:t>
      </w:r>
      <w:r w:rsidR="00462543">
        <w:t xml:space="preserve"> apod.) také řadu dalších </w:t>
      </w:r>
      <w:r w:rsidR="00462543" w:rsidRPr="00251BF8">
        <w:t>ekonomických činností</w:t>
      </w:r>
      <w:r w:rsidR="00462543">
        <w:t>, např.</w:t>
      </w:r>
      <w:r w:rsidR="00462543" w:rsidRPr="00251BF8">
        <w:t xml:space="preserve"> vy</w:t>
      </w:r>
      <w:r w:rsidR="00462543">
        <w:t xml:space="preserve">davatelských, audiovizuálních, </w:t>
      </w:r>
      <w:r w:rsidR="00462543" w:rsidRPr="00251BF8">
        <w:t xml:space="preserve">mediálních </w:t>
      </w:r>
      <w:r w:rsidR="00462543">
        <w:t>či telekomunikačních.</w:t>
      </w:r>
      <w:r w:rsidR="000C5250">
        <w:t xml:space="preserve"> </w:t>
      </w:r>
      <w:r w:rsidR="00296DD1">
        <w:t>Naopak odvětvím</w:t>
      </w:r>
      <w:r w:rsidR="009C19B2">
        <w:t>i</w:t>
      </w:r>
      <w:r w:rsidR="00296DD1">
        <w:t>, kte</w:t>
      </w:r>
      <w:r w:rsidR="009C19B2">
        <w:t>rá měla</w:t>
      </w:r>
      <w:r w:rsidR="00296DD1" w:rsidRPr="00251BF8">
        <w:t xml:space="preserve"> v roce 202</w:t>
      </w:r>
      <w:r w:rsidR="00296DD1">
        <w:t>4</w:t>
      </w:r>
      <w:r w:rsidR="00296DD1" w:rsidRPr="00251BF8">
        <w:t xml:space="preserve"> méně pojištěnců než v roce 201</w:t>
      </w:r>
      <w:r w:rsidR="000C5250">
        <w:t>4, byly</w:t>
      </w:r>
      <w:r w:rsidR="00296DD1" w:rsidRPr="00251BF8">
        <w:t xml:space="preserve"> </w:t>
      </w:r>
      <w:r w:rsidR="009C19B2">
        <w:t xml:space="preserve">zejména </w:t>
      </w:r>
      <w:r w:rsidR="00296DD1" w:rsidRPr="00481559">
        <w:t>Těžba a dobývání</w:t>
      </w:r>
      <w:r w:rsidR="000C5250">
        <w:t xml:space="preserve"> s </w:t>
      </w:r>
      <w:r w:rsidR="00296DD1" w:rsidRPr="00251BF8">
        <w:t>pokles</w:t>
      </w:r>
      <w:r w:rsidR="000C5250">
        <w:t>em</w:t>
      </w:r>
      <w:r w:rsidR="00296DD1" w:rsidRPr="00251BF8">
        <w:t xml:space="preserve"> o </w:t>
      </w:r>
      <w:r w:rsidR="00296DD1" w:rsidRPr="009C19B2">
        <w:t xml:space="preserve">téměř </w:t>
      </w:r>
      <w:r w:rsidR="009C19B2" w:rsidRPr="009C19B2">
        <w:t>14 tisíc (43,5 %)</w:t>
      </w:r>
      <w:r w:rsidR="009C19B2">
        <w:t xml:space="preserve"> </w:t>
      </w:r>
      <w:r w:rsidR="009C19B2">
        <w:lastRenderedPageBreak/>
        <w:t>a</w:t>
      </w:r>
      <w:r w:rsidR="000C5250">
        <w:t> </w:t>
      </w:r>
      <w:r w:rsidR="00296DD1" w:rsidRPr="00251BF8">
        <w:t>Zemědělství, lesnictví a rybářství</w:t>
      </w:r>
      <w:r w:rsidR="00296DD1">
        <w:t xml:space="preserve"> </w:t>
      </w:r>
      <w:r w:rsidR="000C5250">
        <w:t>s poklesem o 6,5 tisíce (5,7 %) osob. Rozdíly v průměrném počtu nemocensky pojištěných dle odvětví mezi lety 2014 a 2024 je znázorněn v grafu 1.2.</w:t>
      </w:r>
    </w:p>
    <w:p w:rsidR="00BD289D" w:rsidRPr="00251BF8" w:rsidRDefault="00BD289D" w:rsidP="00977F44">
      <w:pPr>
        <w:pStyle w:val="Seznam"/>
        <w:contextualSpacing w:val="0"/>
      </w:pPr>
      <w:r w:rsidRPr="00251BF8">
        <w:t xml:space="preserve">Sekce Ubytování, stravování a pohostinství </w:t>
      </w:r>
      <w:r>
        <w:t>zaznamenala mezi lety 2019–</w:t>
      </w:r>
      <w:r w:rsidRPr="00251BF8">
        <w:t xml:space="preserve">2022 pokles počtu nemocensky pojištěných </w:t>
      </w:r>
      <w:r w:rsidR="00223A67">
        <w:t>o 9 % (</w:t>
      </w:r>
      <w:r w:rsidRPr="00251BF8">
        <w:t>ze 153 na 139 tis</w:t>
      </w:r>
      <w:r w:rsidR="00223A67">
        <w:t>íc pojištěnců). S</w:t>
      </w:r>
      <w:r w:rsidRPr="00251BF8">
        <w:t xml:space="preserve">vou roli patrně sehrála </w:t>
      </w:r>
      <w:proofErr w:type="spellStart"/>
      <w:r w:rsidRPr="00251BF8">
        <w:t>proticovidová</w:t>
      </w:r>
      <w:proofErr w:type="spellEnd"/>
      <w:r w:rsidRPr="00251BF8">
        <w:t xml:space="preserve"> opatření v podobě omezení provozu restaurací a uzavření ubytovacích zařízení. V roce 2023 </w:t>
      </w:r>
      <w:r w:rsidR="00223A67">
        <w:t>se počet</w:t>
      </w:r>
      <w:r w:rsidRPr="00251BF8">
        <w:t xml:space="preserve"> nemocensky pojištěných</w:t>
      </w:r>
      <w:r w:rsidR="00223A67">
        <w:t xml:space="preserve"> pohyboval okolo 144 tisíc, v roce 2024 </w:t>
      </w:r>
      <w:r w:rsidR="0055307B">
        <w:t xml:space="preserve">se pak </w:t>
      </w:r>
      <w:r w:rsidR="0055307B" w:rsidRPr="0055307B">
        <w:t>přiblížil</w:t>
      </w:r>
      <w:r w:rsidR="00223A67" w:rsidRPr="0055307B">
        <w:t xml:space="preserve"> </w:t>
      </w:r>
      <w:r w:rsidR="0055307B" w:rsidRPr="0055307B">
        <w:t>146 tisícům pojištěnců.</w:t>
      </w:r>
    </w:p>
    <w:p w:rsidR="00223A67" w:rsidRPr="00223A67" w:rsidRDefault="00223A67" w:rsidP="006E4016">
      <w:pPr>
        <w:shd w:val="clear" w:color="auto" w:fill="F8EFDE"/>
        <w:rPr>
          <w:rFonts w:eastAsia="Calibri" w:cs="Arial"/>
          <w:i/>
          <w:szCs w:val="20"/>
        </w:rPr>
      </w:pPr>
      <w:r w:rsidRPr="00223A67">
        <w:rPr>
          <w:rFonts w:eastAsia="Calibri" w:cs="Arial"/>
          <w:b/>
          <w:i/>
          <w:szCs w:val="20"/>
        </w:rPr>
        <w:t xml:space="preserve">Průměrný počet nemocensky pojištěných mladistvých </w:t>
      </w:r>
      <w:r w:rsidRPr="00223A67">
        <w:rPr>
          <w:rFonts w:eastAsia="Calibri" w:cs="Arial"/>
          <w:i/>
          <w:szCs w:val="20"/>
        </w:rPr>
        <w:t>– ukazatel udává průměrný počet nemocensky pojištěných osob mladších 18 let (viz § 350 odst. 2 zákona č. 262/2006 Sb., zákoník práce, ve znění pozdějších předpisů).</w:t>
      </w:r>
    </w:p>
    <w:p w:rsidR="00223A67" w:rsidRPr="00223A67" w:rsidRDefault="00223A67" w:rsidP="006E4016">
      <w:pPr>
        <w:shd w:val="clear" w:color="auto" w:fill="F8EFDE"/>
        <w:spacing w:after="0"/>
        <w:rPr>
          <w:rFonts w:eastAsia="Calibri" w:cs="Arial"/>
          <w:i/>
          <w:szCs w:val="20"/>
          <w:u w:val="single"/>
        </w:rPr>
      </w:pPr>
      <w:r w:rsidRPr="00223A67">
        <w:rPr>
          <w:rFonts w:eastAsia="Calibri" w:cs="Arial"/>
          <w:i/>
          <w:szCs w:val="20"/>
          <w:u w:val="single"/>
        </w:rPr>
        <w:t>Způsob výpočtu:</w:t>
      </w:r>
    </w:p>
    <w:p w:rsidR="00223A67" w:rsidRPr="00223A67" w:rsidRDefault="00223A67" w:rsidP="006E4016">
      <w:pPr>
        <w:shd w:val="clear" w:color="auto" w:fill="F8EFDE"/>
        <w:rPr>
          <w:rFonts w:eastAsia="Calibri" w:cs="Arial"/>
          <w:i/>
          <w:szCs w:val="20"/>
        </w:rPr>
      </w:pPr>
      <w:r w:rsidRPr="00223A67">
        <w:rPr>
          <w:rFonts w:eastAsia="Calibri" w:cs="Arial"/>
          <w:i/>
          <w:szCs w:val="20"/>
        </w:rPr>
        <w:t>Průměrný počet nemocensky pojištěných mladistvých = počet dnů nemocenského pojištění jednotlivých pojištěných mladistvých ve vykazovaném období / počet kalendářních dnů ve vykazovaném období.</w:t>
      </w:r>
    </w:p>
    <w:p w:rsidR="00223A67" w:rsidRPr="00E63E69" w:rsidRDefault="00223A67" w:rsidP="00223A67">
      <w:r w:rsidRPr="00E63E69">
        <w:t>V</w:t>
      </w:r>
      <w:r w:rsidR="00977F44" w:rsidRPr="00E63E69">
        <w:t xml:space="preserve"> roce </w:t>
      </w:r>
      <w:r w:rsidRPr="00E63E69">
        <w:t xml:space="preserve">2024 bylo evidováno </w:t>
      </w:r>
      <w:r w:rsidR="009628B8" w:rsidRPr="00E63E69">
        <w:t>10,8</w:t>
      </w:r>
      <w:r w:rsidRPr="00E63E69">
        <w:t xml:space="preserve"> tis</w:t>
      </w:r>
      <w:r w:rsidR="00977F44" w:rsidRPr="00E63E69">
        <w:t>íc</w:t>
      </w:r>
      <w:r w:rsidRPr="00E63E69">
        <w:t xml:space="preserve"> nemocensky pojištěných mladistvých, tedy osob mladších 18 let. Na</w:t>
      </w:r>
      <w:r w:rsidR="00977F44" w:rsidRPr="00E63E69">
        <w:t> </w:t>
      </w:r>
      <w:r w:rsidRPr="00E63E69">
        <w:t xml:space="preserve">celkovém počtu pojištěnců se podíleli </w:t>
      </w:r>
      <w:r w:rsidR="00977F44" w:rsidRPr="00E63E69">
        <w:t>0,2</w:t>
      </w:r>
      <w:r w:rsidRPr="00E63E69">
        <w:t xml:space="preserve"> %. </w:t>
      </w:r>
      <w:r w:rsidR="00977F44" w:rsidRPr="00E63E69">
        <w:t xml:space="preserve">Z hlediska odvětví bylo </w:t>
      </w:r>
      <w:r w:rsidRPr="00E63E69">
        <w:t>nejvíce nemocens</w:t>
      </w:r>
      <w:r w:rsidR="00977F44" w:rsidRPr="00E63E69">
        <w:t xml:space="preserve">ky pojištěných </w:t>
      </w:r>
      <w:r w:rsidR="00977F44" w:rsidRPr="00E63E69">
        <w:rPr>
          <w:spacing w:val="4"/>
        </w:rPr>
        <w:t xml:space="preserve">mladistvých </w:t>
      </w:r>
      <w:r w:rsidRPr="00E63E69">
        <w:rPr>
          <w:spacing w:val="4"/>
        </w:rPr>
        <w:t>zaměstnáno v </w:t>
      </w:r>
      <w:r w:rsidR="002C5530" w:rsidRPr="00E63E69">
        <w:rPr>
          <w:spacing w:val="4"/>
        </w:rPr>
        <w:t>sekcích</w:t>
      </w:r>
      <w:r w:rsidRPr="00E63E69">
        <w:rPr>
          <w:spacing w:val="4"/>
        </w:rPr>
        <w:t xml:space="preserve"> </w:t>
      </w:r>
      <w:r w:rsidR="00E63E69" w:rsidRPr="00E63E69">
        <w:rPr>
          <w:spacing w:val="4"/>
        </w:rPr>
        <w:t>Administrativní a podpůrné činnosti</w:t>
      </w:r>
      <w:r w:rsidR="002C5530" w:rsidRPr="00E63E69">
        <w:rPr>
          <w:spacing w:val="4"/>
        </w:rPr>
        <w:t xml:space="preserve"> </w:t>
      </w:r>
      <w:r w:rsidRPr="00E63E69">
        <w:rPr>
          <w:spacing w:val="4"/>
        </w:rPr>
        <w:t>(</w:t>
      </w:r>
      <w:r w:rsidR="00E63E69" w:rsidRPr="00E63E69">
        <w:rPr>
          <w:spacing w:val="4"/>
        </w:rPr>
        <w:t>2 498</w:t>
      </w:r>
      <w:r w:rsidRPr="00E63E69">
        <w:rPr>
          <w:spacing w:val="4"/>
        </w:rPr>
        <w:t xml:space="preserve">), </w:t>
      </w:r>
      <w:r w:rsidR="00E63E69" w:rsidRPr="00E63E69">
        <w:rPr>
          <w:spacing w:val="4"/>
        </w:rPr>
        <w:t>Ubytování, stravování a</w:t>
      </w:r>
      <w:r w:rsidR="00E63E69">
        <w:rPr>
          <w:spacing w:val="4"/>
        </w:rPr>
        <w:t> </w:t>
      </w:r>
      <w:r w:rsidR="00E63E69" w:rsidRPr="00E63E69">
        <w:rPr>
          <w:spacing w:val="2"/>
        </w:rPr>
        <w:t xml:space="preserve">pohostinství (2 483), </w:t>
      </w:r>
      <w:r w:rsidRPr="00E63E69">
        <w:rPr>
          <w:spacing w:val="2"/>
        </w:rPr>
        <w:t xml:space="preserve">Velkoobchod a maloobchod; opravy </w:t>
      </w:r>
      <w:r w:rsidR="002C5530" w:rsidRPr="00E63E69">
        <w:rPr>
          <w:spacing w:val="2"/>
        </w:rPr>
        <w:t>a údržba motorových vozidel (</w:t>
      </w:r>
      <w:r w:rsidR="00E63E69" w:rsidRPr="00E63E69">
        <w:rPr>
          <w:spacing w:val="2"/>
        </w:rPr>
        <w:t>1 765</w:t>
      </w:r>
      <w:r w:rsidRPr="00E63E69">
        <w:rPr>
          <w:spacing w:val="2"/>
        </w:rPr>
        <w:t>) a</w:t>
      </w:r>
      <w:r w:rsidR="00E63E69" w:rsidRPr="00E63E69">
        <w:rPr>
          <w:spacing w:val="2"/>
        </w:rPr>
        <w:t xml:space="preserve"> ve</w:t>
      </w:r>
      <w:r w:rsidR="00E63E69" w:rsidRPr="00E63E69">
        <w:t xml:space="preserve"> Zpracovatelsk</w:t>
      </w:r>
      <w:r w:rsidR="00E63E69">
        <w:t>ém</w:t>
      </w:r>
      <w:r w:rsidR="00E63E69" w:rsidRPr="00E63E69">
        <w:t xml:space="preserve"> průmysl</w:t>
      </w:r>
      <w:r w:rsidR="00E63E69">
        <w:t>u</w:t>
      </w:r>
      <w:r w:rsidR="00E63E69" w:rsidRPr="00E63E69">
        <w:t xml:space="preserve"> </w:t>
      </w:r>
      <w:r w:rsidR="002C5530" w:rsidRPr="00E63E69">
        <w:t>(</w:t>
      </w:r>
      <w:r w:rsidR="00E63E69" w:rsidRPr="00E63E69">
        <w:t>1 395</w:t>
      </w:r>
      <w:r w:rsidRPr="00E63E69">
        <w:t>).</w:t>
      </w:r>
    </w:p>
    <w:p w:rsidR="00BD289D" w:rsidRDefault="00FE0C05" w:rsidP="00FE0C05">
      <w:pPr>
        <w:pStyle w:val="Nadpis3"/>
      </w:pPr>
      <w:bookmarkStart w:id="2" w:name="_Toc198986215"/>
      <w:r>
        <w:t>4.2 Nově hlášené případy dočasné pracovní neschopnosti</w:t>
      </w:r>
      <w:bookmarkEnd w:id="2"/>
    </w:p>
    <w:p w:rsidR="00FE0C05" w:rsidRPr="006334F3" w:rsidRDefault="00FE0C05" w:rsidP="006334F3">
      <w:pPr>
        <w:pStyle w:val="Nadpis4"/>
        <w:rPr>
          <w:sz w:val="24"/>
        </w:rPr>
      </w:pPr>
      <w:bookmarkStart w:id="3" w:name="_Toc198986216"/>
      <w:r w:rsidRPr="006334F3">
        <w:rPr>
          <w:sz w:val="24"/>
        </w:rPr>
        <w:t>4.2.1 Počet případů dočasné pracovní neschopnosti</w:t>
      </w:r>
      <w:bookmarkEnd w:id="3"/>
    </w:p>
    <w:p w:rsidR="00FE0C05" w:rsidRDefault="009468EC" w:rsidP="00FE0C05">
      <w:pPr>
        <w:rPr>
          <w:bCs/>
        </w:rPr>
      </w:pPr>
      <w:r w:rsidRPr="004B2783">
        <w:rPr>
          <w:b/>
          <w:bCs/>
        </w:rPr>
        <w:t>Četnost dočasné pracovní neschopnosti</w:t>
      </w:r>
      <w:r w:rsidRPr="004B2783">
        <w:rPr>
          <w:bCs/>
        </w:rPr>
        <w:t xml:space="preserve"> </w:t>
      </w:r>
      <w:r w:rsidRPr="004B2783">
        <w:rPr>
          <w:b/>
          <w:bCs/>
        </w:rPr>
        <w:t>(DPN)</w:t>
      </w:r>
      <w:r w:rsidRPr="004B2783">
        <w:rPr>
          <w:bCs/>
        </w:rPr>
        <w:t xml:space="preserve"> odráží ukazatel počtu nově hlášených případů pracovní neschopnosti. </w:t>
      </w:r>
      <w:r w:rsidRPr="009468EC">
        <w:rPr>
          <w:bCs/>
        </w:rPr>
        <w:t>Tento absolutní ukazatel je rovněž vhodný pro posouzení trendů vývoj</w:t>
      </w:r>
      <w:r>
        <w:rPr>
          <w:bCs/>
        </w:rPr>
        <w:t>e pracovní neschopnosti v čase. Z hlediska</w:t>
      </w:r>
      <w:r w:rsidRPr="00233A02">
        <w:rPr>
          <w:bCs/>
        </w:rPr>
        <w:t xml:space="preserve"> porovnání jednotlivých odvětví ekonomick</w:t>
      </w:r>
      <w:r>
        <w:rPr>
          <w:bCs/>
        </w:rPr>
        <w:t>é</w:t>
      </w:r>
      <w:r w:rsidRPr="00233A02">
        <w:rPr>
          <w:bCs/>
        </w:rPr>
        <w:t xml:space="preserve"> činností či velikosti podniku má </w:t>
      </w:r>
      <w:r>
        <w:rPr>
          <w:bCs/>
        </w:rPr>
        <w:t xml:space="preserve">však </w:t>
      </w:r>
      <w:r w:rsidRPr="00233A02">
        <w:rPr>
          <w:bCs/>
        </w:rPr>
        <w:t xml:space="preserve">vyšší vypovídací schopnost </w:t>
      </w:r>
      <w:r w:rsidRPr="00233A02">
        <w:rPr>
          <w:b/>
          <w:bCs/>
        </w:rPr>
        <w:t>ukazatel relativní</w:t>
      </w:r>
      <w:r w:rsidRPr="009468EC">
        <w:rPr>
          <w:bCs/>
        </w:rPr>
        <w:t>, a to</w:t>
      </w:r>
      <w:r w:rsidRPr="00233A02">
        <w:rPr>
          <w:bCs/>
        </w:rPr>
        <w:t xml:space="preserve"> </w:t>
      </w:r>
      <w:r>
        <w:rPr>
          <w:bCs/>
        </w:rPr>
        <w:t>v podobě</w:t>
      </w:r>
      <w:r w:rsidRPr="00233A02">
        <w:rPr>
          <w:bCs/>
        </w:rPr>
        <w:t xml:space="preserve"> </w:t>
      </w:r>
      <w:r>
        <w:rPr>
          <w:b/>
          <w:bCs/>
        </w:rPr>
        <w:t>počtu</w:t>
      </w:r>
      <w:r w:rsidRPr="00233A02">
        <w:rPr>
          <w:bCs/>
        </w:rPr>
        <w:t xml:space="preserve"> nově hlášených případů pracovní neschopnosti </w:t>
      </w:r>
      <w:r w:rsidRPr="00233A02">
        <w:rPr>
          <w:b/>
          <w:bCs/>
        </w:rPr>
        <w:t>na 100 pojištěnců</w:t>
      </w:r>
      <w:r w:rsidRPr="00233A02">
        <w:rPr>
          <w:bCs/>
        </w:rPr>
        <w:t xml:space="preserve"> v dané kategorii, např. ve zpracovatelském průmyslu</w:t>
      </w:r>
      <w:r>
        <w:rPr>
          <w:bCs/>
        </w:rPr>
        <w:t xml:space="preserve"> či</w:t>
      </w:r>
      <w:r w:rsidRPr="00233A02">
        <w:rPr>
          <w:bCs/>
        </w:rPr>
        <w:t xml:space="preserve"> v malých podnicích</w:t>
      </w:r>
      <w:r>
        <w:rPr>
          <w:bCs/>
        </w:rPr>
        <w:t>.</w:t>
      </w:r>
    </w:p>
    <w:p w:rsidR="00020337" w:rsidRPr="00020337" w:rsidRDefault="00020337" w:rsidP="00020337">
      <w:pPr>
        <w:shd w:val="clear" w:color="auto" w:fill="F8EFDE"/>
        <w:rPr>
          <w:rFonts w:eastAsia="Calibri" w:cs="Arial"/>
          <w:i/>
          <w:szCs w:val="20"/>
        </w:rPr>
      </w:pPr>
      <w:r w:rsidRPr="00020337">
        <w:rPr>
          <w:rFonts w:eastAsia="Calibri" w:cs="Arial"/>
          <w:b/>
          <w:i/>
          <w:szCs w:val="20"/>
        </w:rPr>
        <w:t xml:space="preserve">Počet nově hlášených případů pracovní neschopnosti </w:t>
      </w:r>
      <w:r w:rsidRPr="00020337">
        <w:rPr>
          <w:rFonts w:eastAsia="Calibri" w:cs="Arial"/>
          <w:i/>
          <w:szCs w:val="20"/>
        </w:rPr>
        <w:t xml:space="preserve">– ukazatel zahrnuje nově hlášené případy pracovní neschopnosti vzniklé </w:t>
      </w:r>
      <w:r>
        <w:rPr>
          <w:rFonts w:eastAsia="Calibri" w:cs="Arial"/>
          <w:i/>
          <w:szCs w:val="20"/>
        </w:rPr>
        <w:t>ve sledovaném období</w:t>
      </w:r>
      <w:r w:rsidRPr="00020337">
        <w:rPr>
          <w:rFonts w:eastAsia="Calibri" w:cs="Arial"/>
          <w:i/>
          <w:szCs w:val="20"/>
        </w:rPr>
        <w:t xml:space="preserve"> na základě hlášení o vzniku pracovní neschopnosti nemocensky pojištěných osob.</w:t>
      </w:r>
    </w:p>
    <w:p w:rsidR="00020337" w:rsidRPr="00F65105" w:rsidRDefault="00020337" w:rsidP="00F65105">
      <w:pPr>
        <w:shd w:val="clear" w:color="auto" w:fill="F8EFDE"/>
        <w:rPr>
          <w:rFonts w:eastAsia="Calibri" w:cs="Arial"/>
          <w:i/>
          <w:szCs w:val="20"/>
        </w:rPr>
      </w:pPr>
      <w:r w:rsidRPr="00020337">
        <w:rPr>
          <w:rFonts w:eastAsia="Calibri" w:cs="Arial"/>
          <w:b/>
          <w:i/>
          <w:spacing w:val="-2"/>
          <w:szCs w:val="20"/>
        </w:rPr>
        <w:t xml:space="preserve">Počet případů pracovní neschopnosti na 100 pojištěnců </w:t>
      </w:r>
      <w:r w:rsidRPr="00020337">
        <w:rPr>
          <w:rFonts w:eastAsia="Calibri" w:cs="Arial"/>
          <w:i/>
          <w:spacing w:val="-2"/>
          <w:szCs w:val="20"/>
        </w:rPr>
        <w:t>– ukazatel vyjadřuje počet nově hlášených</w:t>
      </w:r>
      <w:r w:rsidRPr="00020337">
        <w:rPr>
          <w:rFonts w:eastAsia="Calibri" w:cs="Arial"/>
          <w:i/>
          <w:szCs w:val="20"/>
        </w:rPr>
        <w:t xml:space="preserve"> případů pracovní neschopnosti, které připadají v průměru na 10</w:t>
      </w:r>
      <w:r w:rsidR="00F65105">
        <w:rPr>
          <w:rFonts w:eastAsia="Calibri" w:cs="Arial"/>
          <w:i/>
          <w:szCs w:val="20"/>
        </w:rPr>
        <w:t xml:space="preserve">0 nemocensky pojištěných osob. </w:t>
      </w:r>
    </w:p>
    <w:p w:rsidR="00E40760" w:rsidRPr="00E40760" w:rsidRDefault="00E40760" w:rsidP="007A32BD">
      <w:pPr>
        <w:pStyle w:val="Box1"/>
        <w:spacing w:before="0" w:after="120"/>
        <w:ind w:left="0"/>
        <w:contextualSpacing w:val="0"/>
        <w:jc w:val="both"/>
        <w:rPr>
          <w:b/>
        </w:rPr>
      </w:pPr>
      <w:r w:rsidRPr="00E40760">
        <w:rPr>
          <w:b/>
          <w:bCs/>
        </w:rPr>
        <w:t>Od 17. ledna do 28. února</w:t>
      </w:r>
      <w:r w:rsidRPr="00E40760">
        <w:rPr>
          <w:b/>
        </w:rPr>
        <w:t xml:space="preserve"> 2022</w:t>
      </w:r>
      <w:r w:rsidR="00CD67F3">
        <w:t xml:space="preserve"> při testování na COVID</w:t>
      </w:r>
      <w:r w:rsidRPr="00E40760">
        <w:t xml:space="preserve">-19 byly </w:t>
      </w:r>
      <w:r w:rsidRPr="00E40760">
        <w:rPr>
          <w:b/>
        </w:rPr>
        <w:t>některým pracujícím</w:t>
      </w:r>
      <w:r w:rsidRPr="00E40760">
        <w:t xml:space="preserve"> vydány neschopenky pro karanténu či izolaci </w:t>
      </w:r>
      <w:r w:rsidRPr="00E40760">
        <w:rPr>
          <w:b/>
        </w:rPr>
        <w:t>duplicitně</w:t>
      </w:r>
      <w:r w:rsidRPr="00E40760">
        <w:t xml:space="preserve">. V zájmu operativního jednání při jejich vyřizování vydávali neschopenky jak praktičtí lékaři, tak krajské hygienické stanice. Z dostupných zdrojových databází však není možné duplicitní případy identifikovat a ani vyčíslit jejich míru. </w:t>
      </w:r>
      <w:r w:rsidRPr="00E40760">
        <w:rPr>
          <w:b/>
        </w:rPr>
        <w:t>Údaje za rok 2022 tudíž nejsou srovnatelné s údaji za ostatní roky.</w:t>
      </w:r>
    </w:p>
    <w:p w:rsidR="00E40760" w:rsidRPr="00E40760" w:rsidRDefault="00E40760" w:rsidP="007A32BD">
      <w:pPr>
        <w:pStyle w:val="Box1"/>
        <w:spacing w:before="0" w:after="120"/>
        <w:ind w:left="0"/>
        <w:contextualSpacing w:val="0"/>
        <w:jc w:val="both"/>
      </w:pPr>
      <w:r w:rsidRPr="00E40760">
        <w:t xml:space="preserve">Do jisté míry má duplicitní vydávání neschopenek </w:t>
      </w:r>
      <w:r w:rsidRPr="00E40760">
        <w:rPr>
          <w:b/>
        </w:rPr>
        <w:t>kromě počtu nahlášených případů vliv i na další prezentované a z nich odvozené ukazatele</w:t>
      </w:r>
      <w:r w:rsidRPr="00E40760">
        <w:t xml:space="preserve"> (počet kalendářních dnů v pracovní neschopnosti, průměrné procento dočasné pracovní neschopnosti, průměrný denní stav dočasně práce neschopných). </w:t>
      </w:r>
    </w:p>
    <w:p w:rsidR="00AE2B4E" w:rsidRPr="00996699" w:rsidRDefault="007520FC" w:rsidP="00996699">
      <w:pPr>
        <w:pStyle w:val="Box1"/>
        <w:spacing w:before="0" w:after="120"/>
        <w:ind w:left="0"/>
        <w:contextualSpacing w:val="0"/>
        <w:jc w:val="both"/>
      </w:pPr>
      <w:r w:rsidRPr="007520FC">
        <w:t>Vedle pandemie mělo na nárůst počtu případů pra</w:t>
      </w:r>
      <w:r>
        <w:t>covní neschopnosti v posledních</w:t>
      </w:r>
      <w:r w:rsidRPr="007520FC">
        <w:t xml:space="preserve"> letech </w:t>
      </w:r>
      <w:r>
        <w:t xml:space="preserve">také </w:t>
      </w:r>
      <w:r w:rsidRPr="007520FC">
        <w:t xml:space="preserve">vliv (ačkoliv ve </w:t>
      </w:r>
      <w:r>
        <w:t xml:space="preserve">srovnání s pandemií podružný) </w:t>
      </w:r>
      <w:r w:rsidRPr="007520FC">
        <w:t xml:space="preserve">zrušení karenční doby od 1. července 2019, kdy zaměstnanec </w:t>
      </w:r>
      <w:r>
        <w:t xml:space="preserve">nově </w:t>
      </w:r>
      <w:r w:rsidRPr="007520FC">
        <w:t>dostává náhradu mzdy již od prvního dne</w:t>
      </w:r>
      <w:r>
        <w:t xml:space="preserve"> neschopnosti, </w:t>
      </w:r>
      <w:r w:rsidRPr="007520FC">
        <w:t xml:space="preserve">nikoliv až od </w:t>
      </w:r>
      <w:r>
        <w:t xml:space="preserve">dne </w:t>
      </w:r>
      <w:r w:rsidRPr="007520FC">
        <w:t>čtvrtého, jako tomu bylo od roku 2009 do června 2019.</w:t>
      </w:r>
    </w:p>
    <w:p w:rsidR="00086EF9" w:rsidRDefault="00086EF9">
      <w:pPr>
        <w:spacing w:after="0" w:line="240" w:lineRule="auto"/>
        <w:jc w:val="left"/>
        <w:rPr>
          <w:b/>
          <w:spacing w:val="-4"/>
          <w:szCs w:val="20"/>
        </w:rPr>
      </w:pPr>
      <w:r>
        <w:rPr>
          <w:b/>
          <w:spacing w:val="-4"/>
          <w:szCs w:val="20"/>
        </w:rPr>
        <w:br w:type="page"/>
      </w:r>
    </w:p>
    <w:p w:rsidR="006C37C4" w:rsidRPr="006C37C4" w:rsidRDefault="007A32BD" w:rsidP="006C37C4">
      <w:pPr>
        <w:spacing w:after="0" w:line="240" w:lineRule="auto"/>
        <w:jc w:val="left"/>
        <w:rPr>
          <w:spacing w:val="-4"/>
        </w:rPr>
      </w:pPr>
      <w:r w:rsidRPr="007A32BD">
        <w:rPr>
          <w:b/>
          <w:spacing w:val="-4"/>
          <w:szCs w:val="20"/>
        </w:rPr>
        <w:lastRenderedPageBreak/>
        <w:t>Tab. 2.1: Nově hlášené případy dočasné pracovní neschopnosti podle příčiny a pohlaví, 2014–2024 (v tis</w:t>
      </w:r>
      <w:r w:rsidRPr="00A84058">
        <w:rPr>
          <w:b/>
          <w:spacing w:val="-4"/>
        </w:rPr>
        <w:t>.)</w:t>
      </w:r>
      <w:r w:rsidR="00A272E6">
        <w:fldChar w:fldCharType="begin"/>
      </w:r>
      <w:r w:rsidR="00A272E6">
        <w:instrText xml:space="preserve"> LINK </w:instrText>
      </w:r>
      <w:r w:rsidR="003611B4">
        <w:instrText xml:space="preserve">Excel.Sheet.12 "C:\\Users\\tvrz41268\\Desktop\\PUBLIKACE Pracovní neschopnost 2024\\rok 2024\\data\\tabulky a grafy do textu.xlsx" T2.1!R2C1:R14C13 </w:instrText>
      </w:r>
      <w:r w:rsidR="00A272E6">
        <w:instrText xml:space="preserve">\a \f 4 \h  \* MERGEFORMAT </w:instrText>
      </w:r>
      <w:r w:rsidR="00A272E6">
        <w:fldChar w:fldCharType="separate"/>
      </w:r>
    </w:p>
    <w:tbl>
      <w:tblPr>
        <w:tblW w:w="5000" w:type="pct"/>
        <w:tblCellMar>
          <w:left w:w="70" w:type="dxa"/>
          <w:right w:w="70" w:type="dxa"/>
        </w:tblCellMar>
        <w:tblLook w:val="04A0" w:firstRow="1" w:lastRow="0" w:firstColumn="1" w:lastColumn="0" w:noHBand="0" w:noVBand="1"/>
      </w:tblPr>
      <w:tblGrid>
        <w:gridCol w:w="741"/>
        <w:gridCol w:w="741"/>
        <w:gridCol w:w="741"/>
        <w:gridCol w:w="741"/>
        <w:gridCol w:w="741"/>
        <w:gridCol w:w="741"/>
        <w:gridCol w:w="741"/>
        <w:gridCol w:w="754"/>
        <w:gridCol w:w="741"/>
        <w:gridCol w:w="741"/>
        <w:gridCol w:w="741"/>
        <w:gridCol w:w="742"/>
        <w:gridCol w:w="732"/>
      </w:tblGrid>
      <w:tr w:rsidR="006C37C4" w:rsidRPr="006C37C4" w:rsidTr="006C37C4">
        <w:trPr>
          <w:divId w:val="1093748560"/>
          <w:trHeight w:val="300"/>
        </w:trPr>
        <w:tc>
          <w:tcPr>
            <w:tcW w:w="385" w:type="pct"/>
            <w:vMerge w:val="restart"/>
            <w:tcBorders>
              <w:top w:val="single" w:sz="4" w:space="0" w:color="auto"/>
              <w:left w:val="nil"/>
              <w:bottom w:val="single" w:sz="4" w:space="0" w:color="000000"/>
              <w:right w:val="nil"/>
            </w:tcBorders>
            <w:shd w:val="clear" w:color="auto" w:fill="E6C483"/>
            <w:vAlign w:val="center"/>
            <w:hideMark/>
          </w:tcPr>
          <w:p w:rsidR="006C37C4" w:rsidRPr="006C37C4" w:rsidRDefault="006C37C4" w:rsidP="006C37C4">
            <w:pPr>
              <w:spacing w:after="0" w:line="240" w:lineRule="auto"/>
              <w:jc w:val="center"/>
              <w:rPr>
                <w:rFonts w:cs="Arial"/>
                <w:color w:val="000000"/>
                <w:sz w:val="16"/>
                <w:szCs w:val="16"/>
              </w:rPr>
            </w:pPr>
            <w:r w:rsidRPr="006C37C4">
              <w:rPr>
                <w:rFonts w:cs="Arial"/>
                <w:color w:val="000000"/>
                <w:sz w:val="16"/>
                <w:szCs w:val="16"/>
              </w:rPr>
              <w:t>Rok</w:t>
            </w:r>
          </w:p>
        </w:tc>
        <w:tc>
          <w:tcPr>
            <w:tcW w:w="385" w:type="pct"/>
            <w:vMerge w:val="restart"/>
            <w:tcBorders>
              <w:top w:val="single" w:sz="4" w:space="0" w:color="auto"/>
              <w:left w:val="single" w:sz="4" w:space="0" w:color="auto"/>
              <w:bottom w:val="single" w:sz="4" w:space="0" w:color="000000"/>
              <w:right w:val="nil"/>
            </w:tcBorders>
            <w:shd w:val="clear" w:color="auto" w:fill="E6C483"/>
            <w:vAlign w:val="center"/>
            <w:hideMark/>
          </w:tcPr>
          <w:p w:rsidR="006C37C4" w:rsidRPr="006C37C4" w:rsidRDefault="006C37C4" w:rsidP="006C37C4">
            <w:pPr>
              <w:spacing w:after="0" w:line="240" w:lineRule="auto"/>
              <w:jc w:val="center"/>
              <w:rPr>
                <w:rFonts w:cs="Arial"/>
                <w:b/>
                <w:bCs/>
                <w:color w:val="000000"/>
                <w:sz w:val="16"/>
                <w:szCs w:val="16"/>
              </w:rPr>
            </w:pPr>
            <w:r w:rsidRPr="006C37C4">
              <w:rPr>
                <w:rFonts w:cs="Arial"/>
                <w:b/>
                <w:bCs/>
                <w:color w:val="000000"/>
                <w:sz w:val="16"/>
                <w:szCs w:val="16"/>
              </w:rPr>
              <w:t>Celkem</w:t>
            </w:r>
          </w:p>
        </w:tc>
        <w:tc>
          <w:tcPr>
            <w:tcW w:w="769" w:type="pct"/>
            <w:gridSpan w:val="2"/>
            <w:tcBorders>
              <w:top w:val="single" w:sz="4" w:space="0" w:color="auto"/>
              <w:left w:val="single" w:sz="4" w:space="0" w:color="auto"/>
              <w:bottom w:val="single" w:sz="4" w:space="0" w:color="auto"/>
              <w:right w:val="single" w:sz="4" w:space="0" w:color="auto"/>
            </w:tcBorders>
            <w:shd w:val="clear" w:color="auto" w:fill="E6C483"/>
            <w:vAlign w:val="center"/>
            <w:hideMark/>
          </w:tcPr>
          <w:p w:rsidR="006C37C4" w:rsidRPr="006C37C4" w:rsidRDefault="006C37C4" w:rsidP="006C37C4">
            <w:pPr>
              <w:spacing w:after="0" w:line="240" w:lineRule="auto"/>
              <w:jc w:val="center"/>
              <w:rPr>
                <w:rFonts w:cs="Arial"/>
                <w:color w:val="000000"/>
                <w:sz w:val="16"/>
                <w:szCs w:val="16"/>
              </w:rPr>
            </w:pPr>
            <w:r w:rsidRPr="006C37C4">
              <w:rPr>
                <w:rFonts w:cs="Arial"/>
                <w:color w:val="000000"/>
                <w:sz w:val="16"/>
                <w:szCs w:val="16"/>
              </w:rPr>
              <w:t>podle pohlaví</w:t>
            </w:r>
          </w:p>
        </w:tc>
        <w:tc>
          <w:tcPr>
            <w:tcW w:w="385" w:type="pct"/>
            <w:vMerge w:val="restart"/>
            <w:tcBorders>
              <w:top w:val="single" w:sz="4" w:space="0" w:color="auto"/>
              <w:left w:val="nil"/>
              <w:bottom w:val="single" w:sz="4" w:space="0" w:color="000000"/>
              <w:right w:val="nil"/>
            </w:tcBorders>
            <w:shd w:val="clear" w:color="auto" w:fill="E6C483"/>
            <w:vAlign w:val="center"/>
            <w:hideMark/>
          </w:tcPr>
          <w:p w:rsidR="006C37C4" w:rsidRPr="006C37C4" w:rsidRDefault="006C37C4" w:rsidP="006C37C4">
            <w:pPr>
              <w:spacing w:after="0" w:line="240" w:lineRule="auto"/>
              <w:jc w:val="center"/>
              <w:rPr>
                <w:rFonts w:cs="Arial"/>
                <w:color w:val="000000"/>
                <w:sz w:val="16"/>
                <w:szCs w:val="16"/>
              </w:rPr>
            </w:pPr>
            <w:r w:rsidRPr="006C37C4">
              <w:rPr>
                <w:rFonts w:cs="Arial"/>
                <w:color w:val="000000"/>
                <w:sz w:val="16"/>
                <w:szCs w:val="16"/>
              </w:rPr>
              <w:t>Pro nemoc</w:t>
            </w:r>
          </w:p>
        </w:tc>
        <w:tc>
          <w:tcPr>
            <w:tcW w:w="769" w:type="pct"/>
            <w:gridSpan w:val="2"/>
            <w:tcBorders>
              <w:top w:val="single" w:sz="4" w:space="0" w:color="auto"/>
              <w:left w:val="single" w:sz="4" w:space="0" w:color="auto"/>
              <w:bottom w:val="single" w:sz="4" w:space="0" w:color="auto"/>
              <w:right w:val="single" w:sz="4" w:space="0" w:color="auto"/>
            </w:tcBorders>
            <w:shd w:val="clear" w:color="auto" w:fill="E6C483"/>
            <w:vAlign w:val="center"/>
            <w:hideMark/>
          </w:tcPr>
          <w:p w:rsidR="006C37C4" w:rsidRPr="006C37C4" w:rsidRDefault="006C37C4" w:rsidP="006C37C4">
            <w:pPr>
              <w:spacing w:after="0" w:line="240" w:lineRule="auto"/>
              <w:jc w:val="center"/>
              <w:rPr>
                <w:rFonts w:cs="Arial"/>
                <w:color w:val="000000"/>
                <w:sz w:val="16"/>
                <w:szCs w:val="16"/>
              </w:rPr>
            </w:pPr>
            <w:r w:rsidRPr="006C37C4">
              <w:rPr>
                <w:rFonts w:cs="Arial"/>
                <w:color w:val="000000"/>
                <w:sz w:val="16"/>
                <w:szCs w:val="16"/>
              </w:rPr>
              <w:t>podle pohlaví</w:t>
            </w:r>
          </w:p>
        </w:tc>
        <w:tc>
          <w:tcPr>
            <w:tcW w:w="385" w:type="pct"/>
            <w:vMerge w:val="restart"/>
            <w:tcBorders>
              <w:top w:val="single" w:sz="4" w:space="0" w:color="auto"/>
              <w:left w:val="single" w:sz="4" w:space="0" w:color="auto"/>
              <w:bottom w:val="single" w:sz="4" w:space="0" w:color="000000"/>
              <w:right w:val="nil"/>
            </w:tcBorders>
            <w:shd w:val="clear" w:color="auto" w:fill="E6C483"/>
            <w:vAlign w:val="center"/>
            <w:hideMark/>
          </w:tcPr>
          <w:p w:rsidR="006C37C4" w:rsidRPr="006C37C4" w:rsidRDefault="006C37C4" w:rsidP="006C37C4">
            <w:pPr>
              <w:spacing w:after="0" w:line="240" w:lineRule="auto"/>
              <w:jc w:val="center"/>
              <w:rPr>
                <w:rFonts w:cs="Arial"/>
                <w:color w:val="000000"/>
                <w:sz w:val="16"/>
                <w:szCs w:val="16"/>
              </w:rPr>
            </w:pPr>
            <w:r w:rsidRPr="006C37C4">
              <w:rPr>
                <w:rFonts w:cs="Arial"/>
                <w:color w:val="000000"/>
                <w:sz w:val="16"/>
                <w:szCs w:val="16"/>
              </w:rPr>
              <w:t>Pro pracovní úrazy</w:t>
            </w:r>
          </w:p>
        </w:tc>
        <w:tc>
          <w:tcPr>
            <w:tcW w:w="769" w:type="pct"/>
            <w:gridSpan w:val="2"/>
            <w:tcBorders>
              <w:top w:val="single" w:sz="4" w:space="0" w:color="auto"/>
              <w:left w:val="single" w:sz="4" w:space="0" w:color="auto"/>
              <w:bottom w:val="single" w:sz="4" w:space="0" w:color="auto"/>
              <w:right w:val="single" w:sz="4" w:space="0" w:color="auto"/>
            </w:tcBorders>
            <w:shd w:val="clear" w:color="auto" w:fill="E6C483"/>
            <w:vAlign w:val="center"/>
            <w:hideMark/>
          </w:tcPr>
          <w:p w:rsidR="006C37C4" w:rsidRPr="006C37C4" w:rsidRDefault="006C37C4" w:rsidP="006C37C4">
            <w:pPr>
              <w:spacing w:after="0" w:line="240" w:lineRule="auto"/>
              <w:jc w:val="center"/>
              <w:rPr>
                <w:rFonts w:cs="Arial"/>
                <w:color w:val="000000"/>
                <w:sz w:val="16"/>
                <w:szCs w:val="16"/>
              </w:rPr>
            </w:pPr>
            <w:r w:rsidRPr="006C37C4">
              <w:rPr>
                <w:rFonts w:cs="Arial"/>
                <w:color w:val="000000"/>
                <w:sz w:val="16"/>
                <w:szCs w:val="16"/>
              </w:rPr>
              <w:t>podle pohlaví</w:t>
            </w:r>
          </w:p>
        </w:tc>
        <w:tc>
          <w:tcPr>
            <w:tcW w:w="385" w:type="pct"/>
            <w:vMerge w:val="restart"/>
            <w:tcBorders>
              <w:top w:val="single" w:sz="4" w:space="0" w:color="auto"/>
              <w:left w:val="nil"/>
              <w:bottom w:val="single" w:sz="4" w:space="0" w:color="000000"/>
              <w:right w:val="nil"/>
            </w:tcBorders>
            <w:shd w:val="clear" w:color="auto" w:fill="E6C483"/>
            <w:vAlign w:val="center"/>
            <w:hideMark/>
          </w:tcPr>
          <w:p w:rsidR="006C37C4" w:rsidRPr="006C37C4" w:rsidRDefault="006C37C4" w:rsidP="006C37C4">
            <w:pPr>
              <w:spacing w:after="0" w:line="240" w:lineRule="auto"/>
              <w:jc w:val="center"/>
              <w:rPr>
                <w:rFonts w:cs="Arial"/>
                <w:color w:val="000000"/>
                <w:sz w:val="16"/>
                <w:szCs w:val="16"/>
              </w:rPr>
            </w:pPr>
            <w:r w:rsidRPr="006C37C4">
              <w:rPr>
                <w:rFonts w:cs="Arial"/>
                <w:color w:val="000000"/>
                <w:sz w:val="16"/>
                <w:szCs w:val="16"/>
              </w:rPr>
              <w:t>Pro ostatní úrazy</w:t>
            </w:r>
          </w:p>
        </w:tc>
        <w:tc>
          <w:tcPr>
            <w:tcW w:w="769" w:type="pct"/>
            <w:gridSpan w:val="2"/>
            <w:tcBorders>
              <w:top w:val="single" w:sz="4" w:space="0" w:color="auto"/>
              <w:left w:val="single" w:sz="4" w:space="0" w:color="auto"/>
              <w:bottom w:val="single" w:sz="4" w:space="0" w:color="auto"/>
              <w:right w:val="nil"/>
            </w:tcBorders>
            <w:shd w:val="clear" w:color="auto" w:fill="E6C483"/>
            <w:vAlign w:val="center"/>
            <w:hideMark/>
          </w:tcPr>
          <w:p w:rsidR="006C37C4" w:rsidRPr="006C37C4" w:rsidRDefault="006C37C4" w:rsidP="006C37C4">
            <w:pPr>
              <w:spacing w:after="0" w:line="240" w:lineRule="auto"/>
              <w:jc w:val="center"/>
              <w:rPr>
                <w:rFonts w:cs="Arial"/>
                <w:color w:val="000000"/>
                <w:sz w:val="16"/>
                <w:szCs w:val="16"/>
              </w:rPr>
            </w:pPr>
            <w:r w:rsidRPr="006C37C4">
              <w:rPr>
                <w:rFonts w:cs="Arial"/>
                <w:color w:val="000000"/>
                <w:sz w:val="16"/>
                <w:szCs w:val="16"/>
              </w:rPr>
              <w:t>podle pohlaví</w:t>
            </w:r>
          </w:p>
        </w:tc>
      </w:tr>
      <w:tr w:rsidR="006C37C4" w:rsidRPr="006C37C4" w:rsidTr="006C37C4">
        <w:trPr>
          <w:divId w:val="1093748560"/>
          <w:trHeight w:val="405"/>
        </w:trPr>
        <w:tc>
          <w:tcPr>
            <w:tcW w:w="385" w:type="pct"/>
            <w:vMerge/>
            <w:tcBorders>
              <w:top w:val="single" w:sz="4" w:space="0" w:color="auto"/>
              <w:left w:val="nil"/>
              <w:bottom w:val="single" w:sz="4" w:space="0" w:color="000000"/>
              <w:right w:val="nil"/>
            </w:tcBorders>
            <w:shd w:val="clear" w:color="auto" w:fill="E6C483"/>
            <w:vAlign w:val="center"/>
            <w:hideMark/>
          </w:tcPr>
          <w:p w:rsidR="006C37C4" w:rsidRPr="006C37C4" w:rsidRDefault="006C37C4" w:rsidP="006C37C4">
            <w:pPr>
              <w:spacing w:after="0" w:line="240" w:lineRule="auto"/>
              <w:jc w:val="left"/>
              <w:rPr>
                <w:rFonts w:cs="Arial"/>
                <w:color w:val="000000"/>
                <w:sz w:val="16"/>
                <w:szCs w:val="16"/>
              </w:rPr>
            </w:pPr>
          </w:p>
        </w:tc>
        <w:tc>
          <w:tcPr>
            <w:tcW w:w="385" w:type="pct"/>
            <w:vMerge/>
            <w:tcBorders>
              <w:top w:val="single" w:sz="4" w:space="0" w:color="auto"/>
              <w:left w:val="single" w:sz="4" w:space="0" w:color="auto"/>
              <w:bottom w:val="single" w:sz="4" w:space="0" w:color="000000"/>
              <w:right w:val="nil"/>
            </w:tcBorders>
            <w:shd w:val="clear" w:color="auto" w:fill="E6C483"/>
            <w:vAlign w:val="center"/>
            <w:hideMark/>
          </w:tcPr>
          <w:p w:rsidR="006C37C4" w:rsidRPr="006C37C4" w:rsidRDefault="006C37C4" w:rsidP="006C37C4">
            <w:pPr>
              <w:spacing w:after="0" w:line="240" w:lineRule="auto"/>
              <w:jc w:val="left"/>
              <w:rPr>
                <w:rFonts w:cs="Arial"/>
                <w:b/>
                <w:bCs/>
                <w:color w:val="000000"/>
                <w:sz w:val="16"/>
                <w:szCs w:val="16"/>
              </w:rPr>
            </w:pPr>
          </w:p>
        </w:tc>
        <w:tc>
          <w:tcPr>
            <w:tcW w:w="385" w:type="pct"/>
            <w:tcBorders>
              <w:top w:val="nil"/>
              <w:left w:val="single" w:sz="4" w:space="0" w:color="auto"/>
              <w:bottom w:val="single" w:sz="4" w:space="0" w:color="auto"/>
              <w:right w:val="single" w:sz="4" w:space="0" w:color="auto"/>
            </w:tcBorders>
            <w:shd w:val="clear" w:color="auto" w:fill="E6C483"/>
            <w:vAlign w:val="center"/>
            <w:hideMark/>
          </w:tcPr>
          <w:p w:rsidR="006C37C4" w:rsidRPr="006C37C4" w:rsidRDefault="006C37C4" w:rsidP="006C37C4">
            <w:pPr>
              <w:spacing w:after="0" w:line="240" w:lineRule="auto"/>
              <w:jc w:val="center"/>
              <w:rPr>
                <w:rFonts w:cs="Arial"/>
                <w:color w:val="000000"/>
                <w:sz w:val="16"/>
                <w:szCs w:val="16"/>
              </w:rPr>
            </w:pPr>
            <w:r w:rsidRPr="006C37C4">
              <w:rPr>
                <w:rFonts w:cs="Arial"/>
                <w:color w:val="000000"/>
                <w:sz w:val="16"/>
                <w:szCs w:val="16"/>
              </w:rPr>
              <w:t>muži</w:t>
            </w:r>
          </w:p>
        </w:tc>
        <w:tc>
          <w:tcPr>
            <w:tcW w:w="385" w:type="pct"/>
            <w:tcBorders>
              <w:top w:val="nil"/>
              <w:left w:val="nil"/>
              <w:bottom w:val="single" w:sz="4" w:space="0" w:color="auto"/>
              <w:right w:val="single" w:sz="4" w:space="0" w:color="auto"/>
            </w:tcBorders>
            <w:shd w:val="clear" w:color="auto" w:fill="E6C483"/>
            <w:vAlign w:val="center"/>
            <w:hideMark/>
          </w:tcPr>
          <w:p w:rsidR="006C37C4" w:rsidRPr="006C37C4" w:rsidRDefault="006C37C4" w:rsidP="006C37C4">
            <w:pPr>
              <w:spacing w:after="0" w:line="240" w:lineRule="auto"/>
              <w:jc w:val="center"/>
              <w:rPr>
                <w:rFonts w:cs="Arial"/>
                <w:color w:val="000000"/>
                <w:sz w:val="16"/>
                <w:szCs w:val="16"/>
              </w:rPr>
            </w:pPr>
            <w:r w:rsidRPr="006C37C4">
              <w:rPr>
                <w:rFonts w:cs="Arial"/>
                <w:color w:val="000000"/>
                <w:sz w:val="16"/>
                <w:szCs w:val="16"/>
              </w:rPr>
              <w:t>ženy</w:t>
            </w:r>
          </w:p>
        </w:tc>
        <w:tc>
          <w:tcPr>
            <w:tcW w:w="385" w:type="pct"/>
            <w:vMerge/>
            <w:tcBorders>
              <w:top w:val="single" w:sz="4" w:space="0" w:color="auto"/>
              <w:left w:val="nil"/>
              <w:bottom w:val="single" w:sz="4" w:space="0" w:color="000000"/>
              <w:right w:val="nil"/>
            </w:tcBorders>
            <w:shd w:val="clear" w:color="auto" w:fill="E6C483"/>
            <w:vAlign w:val="center"/>
            <w:hideMark/>
          </w:tcPr>
          <w:p w:rsidR="006C37C4" w:rsidRPr="006C37C4" w:rsidRDefault="006C37C4" w:rsidP="006C37C4">
            <w:pPr>
              <w:spacing w:after="0" w:line="240" w:lineRule="auto"/>
              <w:jc w:val="left"/>
              <w:rPr>
                <w:rFonts w:cs="Arial"/>
                <w:color w:val="000000"/>
                <w:sz w:val="16"/>
                <w:szCs w:val="16"/>
              </w:rPr>
            </w:pPr>
          </w:p>
        </w:tc>
        <w:tc>
          <w:tcPr>
            <w:tcW w:w="385" w:type="pct"/>
            <w:tcBorders>
              <w:top w:val="nil"/>
              <w:left w:val="single" w:sz="4" w:space="0" w:color="auto"/>
              <w:bottom w:val="single" w:sz="4" w:space="0" w:color="auto"/>
              <w:right w:val="single" w:sz="4" w:space="0" w:color="auto"/>
            </w:tcBorders>
            <w:shd w:val="clear" w:color="auto" w:fill="E6C483"/>
            <w:vAlign w:val="center"/>
            <w:hideMark/>
          </w:tcPr>
          <w:p w:rsidR="006C37C4" w:rsidRPr="006C37C4" w:rsidRDefault="006C37C4" w:rsidP="006C37C4">
            <w:pPr>
              <w:spacing w:after="0" w:line="240" w:lineRule="auto"/>
              <w:jc w:val="center"/>
              <w:rPr>
                <w:rFonts w:cs="Arial"/>
                <w:color w:val="000000"/>
                <w:sz w:val="16"/>
                <w:szCs w:val="16"/>
              </w:rPr>
            </w:pPr>
            <w:r w:rsidRPr="006C37C4">
              <w:rPr>
                <w:rFonts w:cs="Arial"/>
                <w:color w:val="000000"/>
                <w:sz w:val="16"/>
                <w:szCs w:val="16"/>
              </w:rPr>
              <w:t>muži</w:t>
            </w:r>
          </w:p>
        </w:tc>
        <w:tc>
          <w:tcPr>
            <w:tcW w:w="385" w:type="pct"/>
            <w:tcBorders>
              <w:top w:val="nil"/>
              <w:left w:val="nil"/>
              <w:bottom w:val="single" w:sz="4" w:space="0" w:color="auto"/>
              <w:right w:val="single" w:sz="4" w:space="0" w:color="auto"/>
            </w:tcBorders>
            <w:shd w:val="clear" w:color="auto" w:fill="E6C483"/>
            <w:vAlign w:val="center"/>
            <w:hideMark/>
          </w:tcPr>
          <w:p w:rsidR="006C37C4" w:rsidRPr="006C37C4" w:rsidRDefault="006C37C4" w:rsidP="006C37C4">
            <w:pPr>
              <w:spacing w:after="0" w:line="240" w:lineRule="auto"/>
              <w:jc w:val="center"/>
              <w:rPr>
                <w:rFonts w:cs="Arial"/>
                <w:color w:val="000000"/>
                <w:sz w:val="16"/>
                <w:szCs w:val="16"/>
              </w:rPr>
            </w:pPr>
            <w:r w:rsidRPr="006C37C4">
              <w:rPr>
                <w:rFonts w:cs="Arial"/>
                <w:color w:val="000000"/>
                <w:sz w:val="16"/>
                <w:szCs w:val="16"/>
              </w:rPr>
              <w:t>ženy</w:t>
            </w:r>
          </w:p>
        </w:tc>
        <w:tc>
          <w:tcPr>
            <w:tcW w:w="385" w:type="pct"/>
            <w:vMerge/>
            <w:tcBorders>
              <w:top w:val="single" w:sz="4" w:space="0" w:color="auto"/>
              <w:left w:val="single" w:sz="4" w:space="0" w:color="auto"/>
              <w:bottom w:val="single" w:sz="4" w:space="0" w:color="000000"/>
              <w:right w:val="nil"/>
            </w:tcBorders>
            <w:shd w:val="clear" w:color="auto" w:fill="E6C483"/>
            <w:vAlign w:val="center"/>
            <w:hideMark/>
          </w:tcPr>
          <w:p w:rsidR="006C37C4" w:rsidRPr="006C37C4" w:rsidRDefault="006C37C4" w:rsidP="006C37C4">
            <w:pPr>
              <w:spacing w:after="0" w:line="240" w:lineRule="auto"/>
              <w:jc w:val="left"/>
              <w:rPr>
                <w:rFonts w:cs="Arial"/>
                <w:color w:val="000000"/>
                <w:sz w:val="16"/>
                <w:szCs w:val="16"/>
              </w:rPr>
            </w:pPr>
          </w:p>
        </w:tc>
        <w:tc>
          <w:tcPr>
            <w:tcW w:w="385" w:type="pct"/>
            <w:tcBorders>
              <w:top w:val="nil"/>
              <w:left w:val="single" w:sz="4" w:space="0" w:color="auto"/>
              <w:bottom w:val="single" w:sz="4" w:space="0" w:color="auto"/>
              <w:right w:val="single" w:sz="4" w:space="0" w:color="auto"/>
            </w:tcBorders>
            <w:shd w:val="clear" w:color="auto" w:fill="E6C483"/>
            <w:vAlign w:val="center"/>
            <w:hideMark/>
          </w:tcPr>
          <w:p w:rsidR="006C37C4" w:rsidRPr="006C37C4" w:rsidRDefault="006C37C4" w:rsidP="006C37C4">
            <w:pPr>
              <w:spacing w:after="0" w:line="240" w:lineRule="auto"/>
              <w:jc w:val="center"/>
              <w:rPr>
                <w:rFonts w:cs="Arial"/>
                <w:color w:val="000000"/>
                <w:sz w:val="16"/>
                <w:szCs w:val="16"/>
              </w:rPr>
            </w:pPr>
            <w:r w:rsidRPr="006C37C4">
              <w:rPr>
                <w:rFonts w:cs="Arial"/>
                <w:color w:val="000000"/>
                <w:sz w:val="16"/>
                <w:szCs w:val="16"/>
              </w:rPr>
              <w:t>muži</w:t>
            </w:r>
          </w:p>
        </w:tc>
        <w:tc>
          <w:tcPr>
            <w:tcW w:w="385" w:type="pct"/>
            <w:tcBorders>
              <w:top w:val="nil"/>
              <w:left w:val="nil"/>
              <w:bottom w:val="single" w:sz="4" w:space="0" w:color="auto"/>
              <w:right w:val="single" w:sz="4" w:space="0" w:color="auto"/>
            </w:tcBorders>
            <w:shd w:val="clear" w:color="auto" w:fill="E6C483"/>
            <w:vAlign w:val="center"/>
            <w:hideMark/>
          </w:tcPr>
          <w:p w:rsidR="006C37C4" w:rsidRPr="006C37C4" w:rsidRDefault="006C37C4" w:rsidP="006C37C4">
            <w:pPr>
              <w:spacing w:after="0" w:line="240" w:lineRule="auto"/>
              <w:jc w:val="center"/>
              <w:rPr>
                <w:rFonts w:cs="Arial"/>
                <w:color w:val="000000"/>
                <w:sz w:val="16"/>
                <w:szCs w:val="16"/>
              </w:rPr>
            </w:pPr>
            <w:r w:rsidRPr="006C37C4">
              <w:rPr>
                <w:rFonts w:cs="Arial"/>
                <w:color w:val="000000"/>
                <w:sz w:val="16"/>
                <w:szCs w:val="16"/>
              </w:rPr>
              <w:t>ženy</w:t>
            </w:r>
          </w:p>
        </w:tc>
        <w:tc>
          <w:tcPr>
            <w:tcW w:w="385" w:type="pct"/>
            <w:vMerge/>
            <w:tcBorders>
              <w:top w:val="single" w:sz="4" w:space="0" w:color="auto"/>
              <w:left w:val="nil"/>
              <w:bottom w:val="single" w:sz="4" w:space="0" w:color="000000"/>
              <w:right w:val="nil"/>
            </w:tcBorders>
            <w:shd w:val="clear" w:color="auto" w:fill="E6C483"/>
            <w:vAlign w:val="center"/>
            <w:hideMark/>
          </w:tcPr>
          <w:p w:rsidR="006C37C4" w:rsidRPr="006C37C4" w:rsidRDefault="006C37C4" w:rsidP="006C37C4">
            <w:pPr>
              <w:spacing w:after="0" w:line="240" w:lineRule="auto"/>
              <w:jc w:val="left"/>
              <w:rPr>
                <w:rFonts w:cs="Arial"/>
                <w:color w:val="000000"/>
                <w:sz w:val="16"/>
                <w:szCs w:val="16"/>
              </w:rPr>
            </w:pPr>
          </w:p>
        </w:tc>
        <w:tc>
          <w:tcPr>
            <w:tcW w:w="385" w:type="pct"/>
            <w:tcBorders>
              <w:top w:val="nil"/>
              <w:left w:val="single" w:sz="4" w:space="0" w:color="auto"/>
              <w:bottom w:val="single" w:sz="4" w:space="0" w:color="auto"/>
              <w:right w:val="single" w:sz="4" w:space="0" w:color="auto"/>
            </w:tcBorders>
            <w:shd w:val="clear" w:color="auto" w:fill="E6C483"/>
            <w:vAlign w:val="center"/>
            <w:hideMark/>
          </w:tcPr>
          <w:p w:rsidR="006C37C4" w:rsidRPr="006C37C4" w:rsidRDefault="006C37C4" w:rsidP="006C37C4">
            <w:pPr>
              <w:spacing w:after="0" w:line="240" w:lineRule="auto"/>
              <w:jc w:val="center"/>
              <w:rPr>
                <w:rFonts w:cs="Arial"/>
                <w:color w:val="000000"/>
                <w:sz w:val="16"/>
                <w:szCs w:val="16"/>
              </w:rPr>
            </w:pPr>
            <w:r w:rsidRPr="006C37C4">
              <w:rPr>
                <w:rFonts w:cs="Arial"/>
                <w:color w:val="000000"/>
                <w:sz w:val="16"/>
                <w:szCs w:val="16"/>
              </w:rPr>
              <w:t>muži</w:t>
            </w:r>
          </w:p>
        </w:tc>
        <w:tc>
          <w:tcPr>
            <w:tcW w:w="385" w:type="pct"/>
            <w:tcBorders>
              <w:top w:val="nil"/>
              <w:left w:val="nil"/>
              <w:bottom w:val="single" w:sz="4" w:space="0" w:color="auto"/>
              <w:right w:val="nil"/>
            </w:tcBorders>
            <w:shd w:val="clear" w:color="auto" w:fill="E6C483"/>
            <w:vAlign w:val="center"/>
            <w:hideMark/>
          </w:tcPr>
          <w:p w:rsidR="006C37C4" w:rsidRPr="006C37C4" w:rsidRDefault="006C37C4" w:rsidP="006C37C4">
            <w:pPr>
              <w:spacing w:after="0" w:line="240" w:lineRule="auto"/>
              <w:jc w:val="center"/>
              <w:rPr>
                <w:rFonts w:cs="Arial"/>
                <w:color w:val="000000"/>
                <w:sz w:val="16"/>
                <w:szCs w:val="16"/>
              </w:rPr>
            </w:pPr>
            <w:r w:rsidRPr="006C37C4">
              <w:rPr>
                <w:rFonts w:cs="Arial"/>
                <w:color w:val="000000"/>
                <w:sz w:val="16"/>
                <w:szCs w:val="16"/>
              </w:rPr>
              <w:t>ženy</w:t>
            </w:r>
          </w:p>
        </w:tc>
      </w:tr>
      <w:tr w:rsidR="006C37C4" w:rsidRPr="006C37C4" w:rsidTr="006C37C4">
        <w:trPr>
          <w:divId w:val="1093748560"/>
          <w:trHeight w:val="300"/>
        </w:trPr>
        <w:tc>
          <w:tcPr>
            <w:tcW w:w="385" w:type="pct"/>
            <w:tcBorders>
              <w:top w:val="nil"/>
              <w:left w:val="nil"/>
              <w:bottom w:val="nil"/>
              <w:right w:val="nil"/>
            </w:tcBorders>
            <w:shd w:val="clear" w:color="auto" w:fill="auto"/>
            <w:vAlign w:val="bottom"/>
            <w:hideMark/>
          </w:tcPr>
          <w:p w:rsidR="006C37C4" w:rsidRPr="006C37C4" w:rsidRDefault="006C37C4" w:rsidP="006C37C4">
            <w:pPr>
              <w:spacing w:after="0" w:line="240" w:lineRule="auto"/>
              <w:jc w:val="center"/>
              <w:rPr>
                <w:rFonts w:cs="Arial"/>
                <w:color w:val="000000"/>
                <w:sz w:val="16"/>
                <w:szCs w:val="16"/>
              </w:rPr>
            </w:pPr>
            <w:r w:rsidRPr="006C37C4">
              <w:rPr>
                <w:rFonts w:cs="Arial"/>
                <w:color w:val="000000"/>
                <w:sz w:val="16"/>
                <w:szCs w:val="16"/>
              </w:rPr>
              <w:t>2014</w:t>
            </w:r>
          </w:p>
        </w:tc>
        <w:tc>
          <w:tcPr>
            <w:tcW w:w="385" w:type="pct"/>
            <w:tcBorders>
              <w:top w:val="nil"/>
              <w:left w:val="single" w:sz="4" w:space="0" w:color="auto"/>
              <w:bottom w:val="nil"/>
              <w:right w:val="nil"/>
            </w:tcBorders>
            <w:shd w:val="clear" w:color="auto" w:fill="auto"/>
            <w:vAlign w:val="bottom"/>
            <w:hideMark/>
          </w:tcPr>
          <w:p w:rsidR="006C37C4" w:rsidRPr="006C37C4" w:rsidRDefault="006C37C4" w:rsidP="006C37C4">
            <w:pPr>
              <w:spacing w:after="0" w:line="240" w:lineRule="auto"/>
              <w:jc w:val="right"/>
              <w:rPr>
                <w:rFonts w:cs="Arial"/>
                <w:color w:val="000000"/>
                <w:sz w:val="16"/>
                <w:szCs w:val="16"/>
              </w:rPr>
            </w:pPr>
            <w:r w:rsidRPr="006C37C4">
              <w:rPr>
                <w:rFonts w:cs="Arial"/>
                <w:color w:val="000000"/>
                <w:sz w:val="16"/>
                <w:szCs w:val="16"/>
              </w:rPr>
              <w:t>1 314,8</w:t>
            </w:r>
          </w:p>
        </w:tc>
        <w:tc>
          <w:tcPr>
            <w:tcW w:w="385" w:type="pct"/>
            <w:tcBorders>
              <w:top w:val="nil"/>
              <w:left w:val="nil"/>
              <w:bottom w:val="nil"/>
              <w:right w:val="nil"/>
            </w:tcBorders>
            <w:shd w:val="clear" w:color="auto" w:fill="auto"/>
            <w:vAlign w:val="bottom"/>
            <w:hideMark/>
          </w:tcPr>
          <w:p w:rsidR="006C37C4" w:rsidRPr="006C37C4" w:rsidRDefault="006C37C4" w:rsidP="006C37C4">
            <w:pPr>
              <w:spacing w:after="0" w:line="240" w:lineRule="auto"/>
              <w:jc w:val="right"/>
              <w:rPr>
                <w:rFonts w:cs="Arial"/>
                <w:color w:val="000000"/>
                <w:sz w:val="16"/>
                <w:szCs w:val="16"/>
              </w:rPr>
            </w:pPr>
            <w:r w:rsidRPr="006C37C4">
              <w:rPr>
                <w:rFonts w:cs="Arial"/>
                <w:color w:val="000000"/>
                <w:sz w:val="16"/>
                <w:szCs w:val="16"/>
              </w:rPr>
              <w:t>631,7</w:t>
            </w:r>
          </w:p>
        </w:tc>
        <w:tc>
          <w:tcPr>
            <w:tcW w:w="385" w:type="pct"/>
            <w:tcBorders>
              <w:top w:val="nil"/>
              <w:left w:val="nil"/>
              <w:bottom w:val="nil"/>
              <w:right w:val="single" w:sz="4" w:space="0" w:color="auto"/>
            </w:tcBorders>
            <w:shd w:val="clear" w:color="auto" w:fill="auto"/>
            <w:vAlign w:val="bottom"/>
            <w:hideMark/>
          </w:tcPr>
          <w:p w:rsidR="006C37C4" w:rsidRPr="006C37C4" w:rsidRDefault="006C37C4" w:rsidP="006C37C4">
            <w:pPr>
              <w:spacing w:after="0" w:line="240" w:lineRule="auto"/>
              <w:jc w:val="right"/>
              <w:rPr>
                <w:rFonts w:cs="Arial"/>
                <w:color w:val="000000"/>
                <w:sz w:val="16"/>
                <w:szCs w:val="16"/>
              </w:rPr>
            </w:pPr>
            <w:r w:rsidRPr="006C37C4">
              <w:rPr>
                <w:rFonts w:cs="Arial"/>
                <w:color w:val="000000"/>
                <w:sz w:val="16"/>
                <w:szCs w:val="16"/>
              </w:rPr>
              <w:t>683,1</w:t>
            </w:r>
          </w:p>
        </w:tc>
        <w:tc>
          <w:tcPr>
            <w:tcW w:w="385" w:type="pct"/>
            <w:tcBorders>
              <w:top w:val="nil"/>
              <w:left w:val="nil"/>
              <w:bottom w:val="nil"/>
              <w:right w:val="nil"/>
            </w:tcBorders>
            <w:shd w:val="clear" w:color="auto" w:fill="auto"/>
            <w:vAlign w:val="bottom"/>
            <w:hideMark/>
          </w:tcPr>
          <w:p w:rsidR="006C37C4" w:rsidRPr="006C37C4" w:rsidRDefault="006C37C4" w:rsidP="006C37C4">
            <w:pPr>
              <w:spacing w:after="0" w:line="240" w:lineRule="auto"/>
              <w:jc w:val="right"/>
              <w:rPr>
                <w:rFonts w:cs="Arial"/>
                <w:color w:val="000000"/>
                <w:sz w:val="16"/>
                <w:szCs w:val="16"/>
              </w:rPr>
            </w:pPr>
            <w:r w:rsidRPr="006C37C4">
              <w:rPr>
                <w:rFonts w:cs="Arial"/>
                <w:color w:val="000000"/>
                <w:sz w:val="16"/>
                <w:szCs w:val="16"/>
              </w:rPr>
              <w:t>1 146,3</w:t>
            </w:r>
          </w:p>
        </w:tc>
        <w:tc>
          <w:tcPr>
            <w:tcW w:w="385" w:type="pct"/>
            <w:tcBorders>
              <w:top w:val="nil"/>
              <w:left w:val="nil"/>
              <w:bottom w:val="nil"/>
              <w:right w:val="nil"/>
            </w:tcBorders>
            <w:shd w:val="clear" w:color="auto" w:fill="auto"/>
            <w:vAlign w:val="bottom"/>
            <w:hideMark/>
          </w:tcPr>
          <w:p w:rsidR="006C37C4" w:rsidRPr="006C37C4" w:rsidRDefault="006C37C4" w:rsidP="006C37C4">
            <w:pPr>
              <w:spacing w:after="0" w:line="240" w:lineRule="auto"/>
              <w:jc w:val="right"/>
              <w:rPr>
                <w:rFonts w:cs="Arial"/>
                <w:color w:val="000000"/>
                <w:sz w:val="16"/>
                <w:szCs w:val="16"/>
              </w:rPr>
            </w:pPr>
            <w:r w:rsidRPr="006C37C4">
              <w:rPr>
                <w:rFonts w:cs="Arial"/>
                <w:color w:val="000000"/>
                <w:sz w:val="16"/>
                <w:szCs w:val="16"/>
              </w:rPr>
              <w:t>518,5</w:t>
            </w:r>
          </w:p>
        </w:tc>
        <w:tc>
          <w:tcPr>
            <w:tcW w:w="385" w:type="pct"/>
            <w:tcBorders>
              <w:top w:val="nil"/>
              <w:left w:val="nil"/>
              <w:bottom w:val="nil"/>
              <w:right w:val="nil"/>
            </w:tcBorders>
            <w:shd w:val="clear" w:color="auto" w:fill="auto"/>
            <w:vAlign w:val="bottom"/>
            <w:hideMark/>
          </w:tcPr>
          <w:p w:rsidR="006C37C4" w:rsidRPr="006C37C4" w:rsidRDefault="006C37C4" w:rsidP="006C37C4">
            <w:pPr>
              <w:spacing w:after="0" w:line="240" w:lineRule="auto"/>
              <w:jc w:val="right"/>
              <w:rPr>
                <w:rFonts w:cs="Arial"/>
                <w:color w:val="000000"/>
                <w:sz w:val="16"/>
                <w:szCs w:val="16"/>
              </w:rPr>
            </w:pPr>
            <w:r w:rsidRPr="006C37C4">
              <w:rPr>
                <w:rFonts w:cs="Arial"/>
                <w:color w:val="000000"/>
                <w:sz w:val="16"/>
                <w:szCs w:val="16"/>
              </w:rPr>
              <w:t>627,8</w:t>
            </w:r>
          </w:p>
        </w:tc>
        <w:tc>
          <w:tcPr>
            <w:tcW w:w="385" w:type="pct"/>
            <w:tcBorders>
              <w:top w:val="nil"/>
              <w:left w:val="single" w:sz="4" w:space="0" w:color="auto"/>
              <w:bottom w:val="nil"/>
              <w:right w:val="nil"/>
            </w:tcBorders>
            <w:shd w:val="clear" w:color="auto" w:fill="auto"/>
            <w:vAlign w:val="bottom"/>
            <w:hideMark/>
          </w:tcPr>
          <w:p w:rsidR="006C37C4" w:rsidRPr="006C37C4" w:rsidRDefault="006C37C4" w:rsidP="006C37C4">
            <w:pPr>
              <w:spacing w:after="0" w:line="240" w:lineRule="auto"/>
              <w:jc w:val="right"/>
              <w:rPr>
                <w:rFonts w:cs="Arial"/>
                <w:color w:val="000000"/>
                <w:sz w:val="16"/>
                <w:szCs w:val="16"/>
              </w:rPr>
            </w:pPr>
            <w:r w:rsidRPr="006C37C4">
              <w:rPr>
                <w:rFonts w:cs="Arial"/>
                <w:color w:val="000000"/>
                <w:sz w:val="16"/>
                <w:szCs w:val="16"/>
              </w:rPr>
              <w:t>45,1</w:t>
            </w:r>
          </w:p>
        </w:tc>
        <w:tc>
          <w:tcPr>
            <w:tcW w:w="385" w:type="pct"/>
            <w:tcBorders>
              <w:top w:val="nil"/>
              <w:left w:val="nil"/>
              <w:bottom w:val="nil"/>
              <w:right w:val="nil"/>
            </w:tcBorders>
            <w:shd w:val="clear" w:color="auto" w:fill="auto"/>
            <w:vAlign w:val="bottom"/>
            <w:hideMark/>
          </w:tcPr>
          <w:p w:rsidR="006C37C4" w:rsidRPr="006C37C4" w:rsidRDefault="006C37C4" w:rsidP="006C37C4">
            <w:pPr>
              <w:spacing w:after="0" w:line="240" w:lineRule="auto"/>
              <w:jc w:val="right"/>
              <w:rPr>
                <w:rFonts w:cs="Arial"/>
                <w:color w:val="000000"/>
                <w:sz w:val="16"/>
                <w:szCs w:val="16"/>
              </w:rPr>
            </w:pPr>
            <w:r w:rsidRPr="006C37C4">
              <w:rPr>
                <w:rFonts w:cs="Arial"/>
                <w:color w:val="000000"/>
                <w:sz w:val="16"/>
                <w:szCs w:val="16"/>
              </w:rPr>
              <w:t>31,7</w:t>
            </w:r>
          </w:p>
        </w:tc>
        <w:tc>
          <w:tcPr>
            <w:tcW w:w="385" w:type="pct"/>
            <w:tcBorders>
              <w:top w:val="nil"/>
              <w:left w:val="nil"/>
              <w:bottom w:val="nil"/>
              <w:right w:val="single" w:sz="4" w:space="0" w:color="auto"/>
            </w:tcBorders>
            <w:shd w:val="clear" w:color="auto" w:fill="auto"/>
            <w:vAlign w:val="bottom"/>
            <w:hideMark/>
          </w:tcPr>
          <w:p w:rsidR="006C37C4" w:rsidRPr="006C37C4" w:rsidRDefault="006C37C4" w:rsidP="006C37C4">
            <w:pPr>
              <w:spacing w:after="0" w:line="240" w:lineRule="auto"/>
              <w:jc w:val="right"/>
              <w:rPr>
                <w:rFonts w:cs="Arial"/>
                <w:color w:val="000000"/>
                <w:sz w:val="16"/>
                <w:szCs w:val="16"/>
              </w:rPr>
            </w:pPr>
            <w:r w:rsidRPr="006C37C4">
              <w:rPr>
                <w:rFonts w:cs="Arial"/>
                <w:color w:val="000000"/>
                <w:sz w:val="16"/>
                <w:szCs w:val="16"/>
              </w:rPr>
              <w:t>13,3</w:t>
            </w:r>
          </w:p>
        </w:tc>
        <w:tc>
          <w:tcPr>
            <w:tcW w:w="385" w:type="pct"/>
            <w:tcBorders>
              <w:top w:val="nil"/>
              <w:left w:val="nil"/>
              <w:bottom w:val="nil"/>
              <w:right w:val="nil"/>
            </w:tcBorders>
            <w:shd w:val="clear" w:color="auto" w:fill="auto"/>
            <w:vAlign w:val="bottom"/>
            <w:hideMark/>
          </w:tcPr>
          <w:p w:rsidR="006C37C4" w:rsidRPr="006C37C4" w:rsidRDefault="006C37C4" w:rsidP="006C37C4">
            <w:pPr>
              <w:spacing w:after="0" w:line="240" w:lineRule="auto"/>
              <w:jc w:val="right"/>
              <w:rPr>
                <w:rFonts w:cs="Arial"/>
                <w:color w:val="000000"/>
                <w:sz w:val="16"/>
                <w:szCs w:val="16"/>
              </w:rPr>
            </w:pPr>
            <w:r w:rsidRPr="006C37C4">
              <w:rPr>
                <w:rFonts w:cs="Arial"/>
                <w:color w:val="000000"/>
                <w:sz w:val="16"/>
                <w:szCs w:val="16"/>
              </w:rPr>
              <w:t>123,4</w:t>
            </w:r>
          </w:p>
        </w:tc>
        <w:tc>
          <w:tcPr>
            <w:tcW w:w="385" w:type="pct"/>
            <w:tcBorders>
              <w:top w:val="nil"/>
              <w:left w:val="nil"/>
              <w:bottom w:val="nil"/>
              <w:right w:val="nil"/>
            </w:tcBorders>
            <w:shd w:val="clear" w:color="auto" w:fill="auto"/>
            <w:vAlign w:val="bottom"/>
            <w:hideMark/>
          </w:tcPr>
          <w:p w:rsidR="006C37C4" w:rsidRPr="006C37C4" w:rsidRDefault="006C37C4" w:rsidP="006C37C4">
            <w:pPr>
              <w:spacing w:after="0" w:line="240" w:lineRule="auto"/>
              <w:jc w:val="right"/>
              <w:rPr>
                <w:rFonts w:cs="Arial"/>
                <w:color w:val="000000"/>
                <w:sz w:val="16"/>
                <w:szCs w:val="16"/>
              </w:rPr>
            </w:pPr>
            <w:r w:rsidRPr="006C37C4">
              <w:rPr>
                <w:rFonts w:cs="Arial"/>
                <w:color w:val="000000"/>
                <w:sz w:val="16"/>
                <w:szCs w:val="16"/>
              </w:rPr>
              <w:t>81,5</w:t>
            </w:r>
          </w:p>
        </w:tc>
        <w:tc>
          <w:tcPr>
            <w:tcW w:w="385" w:type="pct"/>
            <w:tcBorders>
              <w:top w:val="nil"/>
              <w:left w:val="nil"/>
              <w:bottom w:val="nil"/>
              <w:right w:val="nil"/>
            </w:tcBorders>
            <w:shd w:val="clear" w:color="auto" w:fill="auto"/>
            <w:vAlign w:val="bottom"/>
            <w:hideMark/>
          </w:tcPr>
          <w:p w:rsidR="006C37C4" w:rsidRPr="006C37C4" w:rsidRDefault="006C37C4" w:rsidP="006C37C4">
            <w:pPr>
              <w:spacing w:after="0" w:line="240" w:lineRule="auto"/>
              <w:jc w:val="right"/>
              <w:rPr>
                <w:rFonts w:cs="Arial"/>
                <w:color w:val="000000"/>
                <w:sz w:val="16"/>
                <w:szCs w:val="16"/>
              </w:rPr>
            </w:pPr>
            <w:r w:rsidRPr="006C37C4">
              <w:rPr>
                <w:rFonts w:cs="Arial"/>
                <w:color w:val="000000"/>
                <w:sz w:val="16"/>
                <w:szCs w:val="16"/>
              </w:rPr>
              <w:t>42,0</w:t>
            </w:r>
          </w:p>
        </w:tc>
      </w:tr>
      <w:tr w:rsidR="006C37C4" w:rsidRPr="006C37C4" w:rsidTr="006C37C4">
        <w:trPr>
          <w:divId w:val="1093748560"/>
          <w:trHeight w:val="300"/>
        </w:trPr>
        <w:tc>
          <w:tcPr>
            <w:tcW w:w="385" w:type="pct"/>
            <w:tcBorders>
              <w:top w:val="nil"/>
              <w:left w:val="nil"/>
              <w:bottom w:val="nil"/>
              <w:right w:val="nil"/>
            </w:tcBorders>
            <w:shd w:val="clear" w:color="auto" w:fill="auto"/>
            <w:vAlign w:val="bottom"/>
            <w:hideMark/>
          </w:tcPr>
          <w:p w:rsidR="006C37C4" w:rsidRPr="006C37C4" w:rsidRDefault="006C37C4" w:rsidP="006C37C4">
            <w:pPr>
              <w:spacing w:after="0" w:line="240" w:lineRule="auto"/>
              <w:jc w:val="center"/>
              <w:rPr>
                <w:rFonts w:cs="Arial"/>
                <w:color w:val="000000"/>
                <w:sz w:val="16"/>
                <w:szCs w:val="16"/>
              </w:rPr>
            </w:pPr>
            <w:r w:rsidRPr="006C37C4">
              <w:rPr>
                <w:rFonts w:cs="Arial"/>
                <w:color w:val="000000"/>
                <w:sz w:val="16"/>
                <w:szCs w:val="16"/>
              </w:rPr>
              <w:t>2015</w:t>
            </w:r>
          </w:p>
        </w:tc>
        <w:tc>
          <w:tcPr>
            <w:tcW w:w="385" w:type="pct"/>
            <w:tcBorders>
              <w:top w:val="nil"/>
              <w:left w:val="single" w:sz="4" w:space="0" w:color="auto"/>
              <w:bottom w:val="nil"/>
              <w:right w:val="nil"/>
            </w:tcBorders>
            <w:shd w:val="clear" w:color="auto" w:fill="auto"/>
            <w:vAlign w:val="bottom"/>
            <w:hideMark/>
          </w:tcPr>
          <w:p w:rsidR="006C37C4" w:rsidRPr="006C37C4" w:rsidRDefault="006C37C4" w:rsidP="006C37C4">
            <w:pPr>
              <w:spacing w:after="0" w:line="240" w:lineRule="auto"/>
              <w:jc w:val="right"/>
              <w:rPr>
                <w:rFonts w:cs="Arial"/>
                <w:color w:val="000000"/>
                <w:sz w:val="16"/>
                <w:szCs w:val="16"/>
              </w:rPr>
            </w:pPr>
            <w:r w:rsidRPr="006C37C4">
              <w:rPr>
                <w:rFonts w:cs="Arial"/>
                <w:color w:val="000000"/>
                <w:sz w:val="16"/>
                <w:szCs w:val="16"/>
              </w:rPr>
              <w:t>1 563,5</w:t>
            </w:r>
          </w:p>
        </w:tc>
        <w:tc>
          <w:tcPr>
            <w:tcW w:w="385" w:type="pct"/>
            <w:tcBorders>
              <w:top w:val="nil"/>
              <w:left w:val="nil"/>
              <w:bottom w:val="nil"/>
              <w:right w:val="nil"/>
            </w:tcBorders>
            <w:shd w:val="clear" w:color="auto" w:fill="auto"/>
            <w:vAlign w:val="bottom"/>
            <w:hideMark/>
          </w:tcPr>
          <w:p w:rsidR="006C37C4" w:rsidRPr="006C37C4" w:rsidRDefault="006C37C4" w:rsidP="006C37C4">
            <w:pPr>
              <w:spacing w:after="0" w:line="240" w:lineRule="auto"/>
              <w:jc w:val="right"/>
              <w:rPr>
                <w:rFonts w:cs="Arial"/>
                <w:color w:val="000000"/>
                <w:sz w:val="16"/>
                <w:szCs w:val="16"/>
              </w:rPr>
            </w:pPr>
            <w:r w:rsidRPr="006C37C4">
              <w:rPr>
                <w:rFonts w:cs="Arial"/>
                <w:color w:val="000000"/>
                <w:sz w:val="16"/>
                <w:szCs w:val="16"/>
              </w:rPr>
              <w:t>751,8</w:t>
            </w:r>
          </w:p>
        </w:tc>
        <w:tc>
          <w:tcPr>
            <w:tcW w:w="385" w:type="pct"/>
            <w:tcBorders>
              <w:top w:val="nil"/>
              <w:left w:val="nil"/>
              <w:bottom w:val="nil"/>
              <w:right w:val="single" w:sz="4" w:space="0" w:color="auto"/>
            </w:tcBorders>
            <w:shd w:val="clear" w:color="auto" w:fill="auto"/>
            <w:vAlign w:val="bottom"/>
            <w:hideMark/>
          </w:tcPr>
          <w:p w:rsidR="006C37C4" w:rsidRPr="006C37C4" w:rsidRDefault="006C37C4" w:rsidP="006C37C4">
            <w:pPr>
              <w:spacing w:after="0" w:line="240" w:lineRule="auto"/>
              <w:jc w:val="right"/>
              <w:rPr>
                <w:rFonts w:cs="Arial"/>
                <w:color w:val="000000"/>
                <w:sz w:val="16"/>
                <w:szCs w:val="16"/>
              </w:rPr>
            </w:pPr>
            <w:r w:rsidRPr="006C37C4">
              <w:rPr>
                <w:rFonts w:cs="Arial"/>
                <w:color w:val="000000"/>
                <w:sz w:val="16"/>
                <w:szCs w:val="16"/>
              </w:rPr>
              <w:t>811,7</w:t>
            </w:r>
          </w:p>
        </w:tc>
        <w:tc>
          <w:tcPr>
            <w:tcW w:w="385" w:type="pct"/>
            <w:tcBorders>
              <w:top w:val="nil"/>
              <w:left w:val="nil"/>
              <w:bottom w:val="nil"/>
              <w:right w:val="nil"/>
            </w:tcBorders>
            <w:shd w:val="clear" w:color="auto" w:fill="auto"/>
            <w:vAlign w:val="bottom"/>
            <w:hideMark/>
          </w:tcPr>
          <w:p w:rsidR="006C37C4" w:rsidRPr="006C37C4" w:rsidRDefault="006C37C4" w:rsidP="006C37C4">
            <w:pPr>
              <w:spacing w:after="0" w:line="240" w:lineRule="auto"/>
              <w:jc w:val="right"/>
              <w:rPr>
                <w:rFonts w:cs="Arial"/>
                <w:color w:val="000000"/>
                <w:sz w:val="16"/>
                <w:szCs w:val="16"/>
              </w:rPr>
            </w:pPr>
            <w:r w:rsidRPr="006C37C4">
              <w:rPr>
                <w:rFonts w:cs="Arial"/>
                <w:color w:val="000000"/>
                <w:sz w:val="16"/>
                <w:szCs w:val="16"/>
              </w:rPr>
              <w:t>1 383,9</w:t>
            </w:r>
          </w:p>
        </w:tc>
        <w:tc>
          <w:tcPr>
            <w:tcW w:w="385" w:type="pct"/>
            <w:tcBorders>
              <w:top w:val="nil"/>
              <w:left w:val="nil"/>
              <w:bottom w:val="nil"/>
              <w:right w:val="nil"/>
            </w:tcBorders>
            <w:shd w:val="clear" w:color="auto" w:fill="auto"/>
            <w:vAlign w:val="bottom"/>
            <w:hideMark/>
          </w:tcPr>
          <w:p w:rsidR="006C37C4" w:rsidRPr="006C37C4" w:rsidRDefault="006C37C4" w:rsidP="006C37C4">
            <w:pPr>
              <w:spacing w:after="0" w:line="240" w:lineRule="auto"/>
              <w:jc w:val="right"/>
              <w:rPr>
                <w:rFonts w:cs="Arial"/>
                <w:color w:val="000000"/>
                <w:sz w:val="16"/>
                <w:szCs w:val="16"/>
              </w:rPr>
            </w:pPr>
            <w:r w:rsidRPr="006C37C4">
              <w:rPr>
                <w:rFonts w:cs="Arial"/>
                <w:color w:val="000000"/>
                <w:sz w:val="16"/>
                <w:szCs w:val="16"/>
              </w:rPr>
              <w:t>632,6</w:t>
            </w:r>
          </w:p>
        </w:tc>
        <w:tc>
          <w:tcPr>
            <w:tcW w:w="385" w:type="pct"/>
            <w:tcBorders>
              <w:top w:val="nil"/>
              <w:left w:val="nil"/>
              <w:bottom w:val="nil"/>
              <w:right w:val="nil"/>
            </w:tcBorders>
            <w:shd w:val="clear" w:color="auto" w:fill="auto"/>
            <w:vAlign w:val="bottom"/>
            <w:hideMark/>
          </w:tcPr>
          <w:p w:rsidR="006C37C4" w:rsidRPr="006C37C4" w:rsidRDefault="006C37C4" w:rsidP="006C37C4">
            <w:pPr>
              <w:spacing w:after="0" w:line="240" w:lineRule="auto"/>
              <w:jc w:val="right"/>
              <w:rPr>
                <w:rFonts w:cs="Arial"/>
                <w:color w:val="000000"/>
                <w:sz w:val="16"/>
                <w:szCs w:val="16"/>
              </w:rPr>
            </w:pPr>
            <w:r w:rsidRPr="006C37C4">
              <w:rPr>
                <w:rFonts w:cs="Arial"/>
                <w:color w:val="000000"/>
                <w:sz w:val="16"/>
                <w:szCs w:val="16"/>
              </w:rPr>
              <w:t>751,3</w:t>
            </w:r>
          </w:p>
        </w:tc>
        <w:tc>
          <w:tcPr>
            <w:tcW w:w="385" w:type="pct"/>
            <w:tcBorders>
              <w:top w:val="nil"/>
              <w:left w:val="single" w:sz="4" w:space="0" w:color="auto"/>
              <w:bottom w:val="nil"/>
              <w:right w:val="nil"/>
            </w:tcBorders>
            <w:shd w:val="clear" w:color="auto" w:fill="auto"/>
            <w:vAlign w:val="bottom"/>
            <w:hideMark/>
          </w:tcPr>
          <w:p w:rsidR="006C37C4" w:rsidRPr="006C37C4" w:rsidRDefault="006C37C4" w:rsidP="006C37C4">
            <w:pPr>
              <w:spacing w:after="0" w:line="240" w:lineRule="auto"/>
              <w:jc w:val="right"/>
              <w:rPr>
                <w:rFonts w:cs="Arial"/>
                <w:color w:val="000000"/>
                <w:sz w:val="16"/>
                <w:szCs w:val="16"/>
              </w:rPr>
            </w:pPr>
            <w:r w:rsidRPr="006C37C4">
              <w:rPr>
                <w:rFonts w:cs="Arial"/>
                <w:color w:val="000000"/>
                <w:sz w:val="16"/>
                <w:szCs w:val="16"/>
              </w:rPr>
              <w:t>46,3</w:t>
            </w:r>
          </w:p>
        </w:tc>
        <w:tc>
          <w:tcPr>
            <w:tcW w:w="385" w:type="pct"/>
            <w:tcBorders>
              <w:top w:val="nil"/>
              <w:left w:val="nil"/>
              <w:bottom w:val="nil"/>
              <w:right w:val="nil"/>
            </w:tcBorders>
            <w:shd w:val="clear" w:color="auto" w:fill="auto"/>
            <w:vAlign w:val="bottom"/>
            <w:hideMark/>
          </w:tcPr>
          <w:p w:rsidR="006C37C4" w:rsidRPr="006C37C4" w:rsidRDefault="006C37C4" w:rsidP="006C37C4">
            <w:pPr>
              <w:spacing w:after="0" w:line="240" w:lineRule="auto"/>
              <w:jc w:val="right"/>
              <w:rPr>
                <w:rFonts w:cs="Arial"/>
                <w:color w:val="000000"/>
                <w:sz w:val="16"/>
                <w:szCs w:val="16"/>
              </w:rPr>
            </w:pPr>
            <w:r w:rsidRPr="006C37C4">
              <w:rPr>
                <w:rFonts w:cs="Arial"/>
                <w:color w:val="000000"/>
                <w:sz w:val="16"/>
                <w:szCs w:val="16"/>
              </w:rPr>
              <w:t>32,1</w:t>
            </w:r>
          </w:p>
        </w:tc>
        <w:tc>
          <w:tcPr>
            <w:tcW w:w="385" w:type="pct"/>
            <w:tcBorders>
              <w:top w:val="nil"/>
              <w:left w:val="nil"/>
              <w:bottom w:val="nil"/>
              <w:right w:val="single" w:sz="4" w:space="0" w:color="auto"/>
            </w:tcBorders>
            <w:shd w:val="clear" w:color="auto" w:fill="auto"/>
            <w:vAlign w:val="bottom"/>
            <w:hideMark/>
          </w:tcPr>
          <w:p w:rsidR="006C37C4" w:rsidRPr="006C37C4" w:rsidRDefault="006C37C4" w:rsidP="006C37C4">
            <w:pPr>
              <w:spacing w:after="0" w:line="240" w:lineRule="auto"/>
              <w:jc w:val="right"/>
              <w:rPr>
                <w:rFonts w:cs="Arial"/>
                <w:color w:val="000000"/>
                <w:sz w:val="16"/>
                <w:szCs w:val="16"/>
              </w:rPr>
            </w:pPr>
            <w:r w:rsidRPr="006C37C4">
              <w:rPr>
                <w:rFonts w:cs="Arial"/>
                <w:color w:val="000000"/>
                <w:sz w:val="16"/>
                <w:szCs w:val="16"/>
              </w:rPr>
              <w:t>14,2</w:t>
            </w:r>
          </w:p>
        </w:tc>
        <w:tc>
          <w:tcPr>
            <w:tcW w:w="385" w:type="pct"/>
            <w:tcBorders>
              <w:top w:val="nil"/>
              <w:left w:val="nil"/>
              <w:bottom w:val="nil"/>
              <w:right w:val="nil"/>
            </w:tcBorders>
            <w:shd w:val="clear" w:color="auto" w:fill="auto"/>
            <w:vAlign w:val="bottom"/>
            <w:hideMark/>
          </w:tcPr>
          <w:p w:rsidR="006C37C4" w:rsidRPr="006C37C4" w:rsidRDefault="006C37C4" w:rsidP="006C37C4">
            <w:pPr>
              <w:spacing w:after="0" w:line="240" w:lineRule="auto"/>
              <w:jc w:val="right"/>
              <w:rPr>
                <w:rFonts w:cs="Arial"/>
                <w:color w:val="000000"/>
                <w:sz w:val="16"/>
                <w:szCs w:val="16"/>
              </w:rPr>
            </w:pPr>
            <w:r w:rsidRPr="006C37C4">
              <w:rPr>
                <w:rFonts w:cs="Arial"/>
                <w:color w:val="000000"/>
                <w:sz w:val="16"/>
                <w:szCs w:val="16"/>
              </w:rPr>
              <w:t>133,3</w:t>
            </w:r>
          </w:p>
        </w:tc>
        <w:tc>
          <w:tcPr>
            <w:tcW w:w="385" w:type="pct"/>
            <w:tcBorders>
              <w:top w:val="nil"/>
              <w:left w:val="nil"/>
              <w:bottom w:val="nil"/>
              <w:right w:val="nil"/>
            </w:tcBorders>
            <w:shd w:val="clear" w:color="auto" w:fill="auto"/>
            <w:vAlign w:val="bottom"/>
            <w:hideMark/>
          </w:tcPr>
          <w:p w:rsidR="006C37C4" w:rsidRPr="006C37C4" w:rsidRDefault="006C37C4" w:rsidP="006C37C4">
            <w:pPr>
              <w:spacing w:after="0" w:line="240" w:lineRule="auto"/>
              <w:jc w:val="right"/>
              <w:rPr>
                <w:rFonts w:cs="Arial"/>
                <w:color w:val="000000"/>
                <w:sz w:val="16"/>
                <w:szCs w:val="16"/>
              </w:rPr>
            </w:pPr>
            <w:r w:rsidRPr="006C37C4">
              <w:rPr>
                <w:rFonts w:cs="Arial"/>
                <w:color w:val="000000"/>
                <w:sz w:val="16"/>
                <w:szCs w:val="16"/>
              </w:rPr>
              <w:t>87,0</w:t>
            </w:r>
          </w:p>
        </w:tc>
        <w:tc>
          <w:tcPr>
            <w:tcW w:w="385" w:type="pct"/>
            <w:tcBorders>
              <w:top w:val="nil"/>
              <w:left w:val="nil"/>
              <w:bottom w:val="nil"/>
              <w:right w:val="nil"/>
            </w:tcBorders>
            <w:shd w:val="clear" w:color="auto" w:fill="auto"/>
            <w:vAlign w:val="bottom"/>
            <w:hideMark/>
          </w:tcPr>
          <w:p w:rsidR="006C37C4" w:rsidRPr="006C37C4" w:rsidRDefault="006C37C4" w:rsidP="006C37C4">
            <w:pPr>
              <w:spacing w:after="0" w:line="240" w:lineRule="auto"/>
              <w:jc w:val="right"/>
              <w:rPr>
                <w:rFonts w:cs="Arial"/>
                <w:color w:val="000000"/>
                <w:sz w:val="16"/>
                <w:szCs w:val="16"/>
              </w:rPr>
            </w:pPr>
            <w:r w:rsidRPr="006C37C4">
              <w:rPr>
                <w:rFonts w:cs="Arial"/>
                <w:color w:val="000000"/>
                <w:sz w:val="16"/>
                <w:szCs w:val="16"/>
              </w:rPr>
              <w:t>46,2</w:t>
            </w:r>
          </w:p>
        </w:tc>
      </w:tr>
      <w:tr w:rsidR="006C37C4" w:rsidRPr="006C37C4" w:rsidTr="006C37C4">
        <w:trPr>
          <w:divId w:val="1093748560"/>
          <w:trHeight w:val="300"/>
        </w:trPr>
        <w:tc>
          <w:tcPr>
            <w:tcW w:w="385" w:type="pct"/>
            <w:tcBorders>
              <w:top w:val="nil"/>
              <w:left w:val="nil"/>
              <w:bottom w:val="nil"/>
              <w:right w:val="nil"/>
            </w:tcBorders>
            <w:shd w:val="clear" w:color="auto" w:fill="auto"/>
            <w:vAlign w:val="bottom"/>
            <w:hideMark/>
          </w:tcPr>
          <w:p w:rsidR="006C37C4" w:rsidRPr="006C37C4" w:rsidRDefault="006C37C4" w:rsidP="006C37C4">
            <w:pPr>
              <w:spacing w:after="0" w:line="240" w:lineRule="auto"/>
              <w:jc w:val="center"/>
              <w:rPr>
                <w:rFonts w:cs="Arial"/>
                <w:color w:val="000000"/>
                <w:sz w:val="16"/>
                <w:szCs w:val="16"/>
              </w:rPr>
            </w:pPr>
            <w:r w:rsidRPr="006C37C4">
              <w:rPr>
                <w:rFonts w:cs="Arial"/>
                <w:color w:val="000000"/>
                <w:sz w:val="16"/>
                <w:szCs w:val="16"/>
              </w:rPr>
              <w:t>2016</w:t>
            </w:r>
          </w:p>
        </w:tc>
        <w:tc>
          <w:tcPr>
            <w:tcW w:w="385" w:type="pct"/>
            <w:tcBorders>
              <w:top w:val="nil"/>
              <w:left w:val="single" w:sz="4" w:space="0" w:color="auto"/>
              <w:bottom w:val="nil"/>
              <w:right w:val="nil"/>
            </w:tcBorders>
            <w:shd w:val="clear" w:color="auto" w:fill="auto"/>
            <w:vAlign w:val="bottom"/>
            <w:hideMark/>
          </w:tcPr>
          <w:p w:rsidR="006C37C4" w:rsidRPr="006C37C4" w:rsidRDefault="006C37C4" w:rsidP="006C37C4">
            <w:pPr>
              <w:spacing w:after="0" w:line="240" w:lineRule="auto"/>
              <w:jc w:val="right"/>
              <w:rPr>
                <w:rFonts w:cs="Arial"/>
                <w:color w:val="000000"/>
                <w:sz w:val="16"/>
                <w:szCs w:val="16"/>
              </w:rPr>
            </w:pPr>
            <w:r w:rsidRPr="006C37C4">
              <w:rPr>
                <w:rFonts w:cs="Arial"/>
                <w:color w:val="000000"/>
                <w:sz w:val="16"/>
                <w:szCs w:val="16"/>
              </w:rPr>
              <w:t>1 633,3</w:t>
            </w:r>
          </w:p>
        </w:tc>
        <w:tc>
          <w:tcPr>
            <w:tcW w:w="385" w:type="pct"/>
            <w:tcBorders>
              <w:top w:val="nil"/>
              <w:left w:val="nil"/>
              <w:bottom w:val="nil"/>
              <w:right w:val="nil"/>
            </w:tcBorders>
            <w:shd w:val="clear" w:color="auto" w:fill="auto"/>
            <w:vAlign w:val="bottom"/>
            <w:hideMark/>
          </w:tcPr>
          <w:p w:rsidR="006C37C4" w:rsidRPr="006C37C4" w:rsidRDefault="006C37C4" w:rsidP="006C37C4">
            <w:pPr>
              <w:spacing w:after="0" w:line="240" w:lineRule="auto"/>
              <w:jc w:val="right"/>
              <w:rPr>
                <w:rFonts w:cs="Arial"/>
                <w:color w:val="000000"/>
                <w:sz w:val="16"/>
                <w:szCs w:val="16"/>
              </w:rPr>
            </w:pPr>
            <w:r w:rsidRPr="006C37C4">
              <w:rPr>
                <w:rFonts w:cs="Arial"/>
                <w:color w:val="000000"/>
                <w:sz w:val="16"/>
                <w:szCs w:val="16"/>
              </w:rPr>
              <w:t>784,1</w:t>
            </w:r>
          </w:p>
        </w:tc>
        <w:tc>
          <w:tcPr>
            <w:tcW w:w="385" w:type="pct"/>
            <w:tcBorders>
              <w:top w:val="nil"/>
              <w:left w:val="nil"/>
              <w:bottom w:val="nil"/>
              <w:right w:val="single" w:sz="4" w:space="0" w:color="auto"/>
            </w:tcBorders>
            <w:shd w:val="clear" w:color="auto" w:fill="auto"/>
            <w:vAlign w:val="bottom"/>
            <w:hideMark/>
          </w:tcPr>
          <w:p w:rsidR="006C37C4" w:rsidRPr="006C37C4" w:rsidRDefault="006C37C4" w:rsidP="006C37C4">
            <w:pPr>
              <w:spacing w:after="0" w:line="240" w:lineRule="auto"/>
              <w:jc w:val="right"/>
              <w:rPr>
                <w:rFonts w:cs="Arial"/>
                <w:color w:val="000000"/>
                <w:sz w:val="16"/>
                <w:szCs w:val="16"/>
              </w:rPr>
            </w:pPr>
            <w:r w:rsidRPr="006C37C4">
              <w:rPr>
                <w:rFonts w:cs="Arial"/>
                <w:color w:val="000000"/>
                <w:sz w:val="16"/>
                <w:szCs w:val="16"/>
              </w:rPr>
              <w:t>849,3</w:t>
            </w:r>
          </w:p>
        </w:tc>
        <w:tc>
          <w:tcPr>
            <w:tcW w:w="385" w:type="pct"/>
            <w:tcBorders>
              <w:top w:val="nil"/>
              <w:left w:val="nil"/>
              <w:bottom w:val="nil"/>
              <w:right w:val="nil"/>
            </w:tcBorders>
            <w:shd w:val="clear" w:color="auto" w:fill="auto"/>
            <w:vAlign w:val="bottom"/>
            <w:hideMark/>
          </w:tcPr>
          <w:p w:rsidR="006C37C4" w:rsidRPr="006C37C4" w:rsidRDefault="006C37C4" w:rsidP="006C37C4">
            <w:pPr>
              <w:spacing w:after="0" w:line="240" w:lineRule="auto"/>
              <w:jc w:val="right"/>
              <w:rPr>
                <w:rFonts w:cs="Arial"/>
                <w:color w:val="000000"/>
                <w:sz w:val="16"/>
                <w:szCs w:val="16"/>
              </w:rPr>
            </w:pPr>
            <w:r w:rsidRPr="006C37C4">
              <w:rPr>
                <w:rFonts w:cs="Arial"/>
                <w:color w:val="000000"/>
                <w:sz w:val="16"/>
                <w:szCs w:val="16"/>
              </w:rPr>
              <w:t>1 440,9</w:t>
            </w:r>
          </w:p>
        </w:tc>
        <w:tc>
          <w:tcPr>
            <w:tcW w:w="385" w:type="pct"/>
            <w:tcBorders>
              <w:top w:val="nil"/>
              <w:left w:val="nil"/>
              <w:bottom w:val="nil"/>
              <w:right w:val="nil"/>
            </w:tcBorders>
            <w:shd w:val="clear" w:color="auto" w:fill="auto"/>
            <w:vAlign w:val="bottom"/>
            <w:hideMark/>
          </w:tcPr>
          <w:p w:rsidR="006C37C4" w:rsidRPr="006C37C4" w:rsidRDefault="006C37C4" w:rsidP="006C37C4">
            <w:pPr>
              <w:spacing w:after="0" w:line="240" w:lineRule="auto"/>
              <w:jc w:val="right"/>
              <w:rPr>
                <w:rFonts w:cs="Arial"/>
                <w:color w:val="000000"/>
                <w:sz w:val="16"/>
                <w:szCs w:val="16"/>
              </w:rPr>
            </w:pPr>
            <w:r w:rsidRPr="006C37C4">
              <w:rPr>
                <w:rFonts w:cs="Arial"/>
                <w:color w:val="000000"/>
                <w:sz w:val="16"/>
                <w:szCs w:val="16"/>
              </w:rPr>
              <w:t>658,2</w:t>
            </w:r>
          </w:p>
        </w:tc>
        <w:tc>
          <w:tcPr>
            <w:tcW w:w="385" w:type="pct"/>
            <w:tcBorders>
              <w:top w:val="nil"/>
              <w:left w:val="nil"/>
              <w:bottom w:val="nil"/>
              <w:right w:val="nil"/>
            </w:tcBorders>
            <w:shd w:val="clear" w:color="auto" w:fill="auto"/>
            <w:vAlign w:val="bottom"/>
            <w:hideMark/>
          </w:tcPr>
          <w:p w:rsidR="006C37C4" w:rsidRPr="006C37C4" w:rsidRDefault="006C37C4" w:rsidP="006C37C4">
            <w:pPr>
              <w:spacing w:after="0" w:line="240" w:lineRule="auto"/>
              <w:jc w:val="right"/>
              <w:rPr>
                <w:rFonts w:cs="Arial"/>
                <w:color w:val="000000"/>
                <w:sz w:val="16"/>
                <w:szCs w:val="16"/>
              </w:rPr>
            </w:pPr>
            <w:r w:rsidRPr="006C37C4">
              <w:rPr>
                <w:rFonts w:cs="Arial"/>
                <w:color w:val="000000"/>
                <w:sz w:val="16"/>
                <w:szCs w:val="16"/>
              </w:rPr>
              <w:t>782,7</w:t>
            </w:r>
          </w:p>
        </w:tc>
        <w:tc>
          <w:tcPr>
            <w:tcW w:w="385" w:type="pct"/>
            <w:tcBorders>
              <w:top w:val="nil"/>
              <w:left w:val="single" w:sz="4" w:space="0" w:color="auto"/>
              <w:bottom w:val="nil"/>
              <w:right w:val="nil"/>
            </w:tcBorders>
            <w:shd w:val="clear" w:color="auto" w:fill="auto"/>
            <w:vAlign w:val="bottom"/>
            <w:hideMark/>
          </w:tcPr>
          <w:p w:rsidR="006C37C4" w:rsidRPr="006C37C4" w:rsidRDefault="006C37C4" w:rsidP="006C37C4">
            <w:pPr>
              <w:spacing w:after="0" w:line="240" w:lineRule="auto"/>
              <w:jc w:val="right"/>
              <w:rPr>
                <w:rFonts w:cs="Arial"/>
                <w:color w:val="000000"/>
                <w:sz w:val="16"/>
                <w:szCs w:val="16"/>
              </w:rPr>
            </w:pPr>
            <w:r w:rsidRPr="006C37C4">
              <w:rPr>
                <w:rFonts w:cs="Arial"/>
                <w:color w:val="000000"/>
                <w:sz w:val="16"/>
                <w:szCs w:val="16"/>
              </w:rPr>
              <w:t>47,4</w:t>
            </w:r>
          </w:p>
        </w:tc>
        <w:tc>
          <w:tcPr>
            <w:tcW w:w="385" w:type="pct"/>
            <w:tcBorders>
              <w:top w:val="nil"/>
              <w:left w:val="nil"/>
              <w:bottom w:val="nil"/>
              <w:right w:val="nil"/>
            </w:tcBorders>
            <w:shd w:val="clear" w:color="auto" w:fill="auto"/>
            <w:vAlign w:val="bottom"/>
            <w:hideMark/>
          </w:tcPr>
          <w:p w:rsidR="006C37C4" w:rsidRPr="006C37C4" w:rsidRDefault="006C37C4" w:rsidP="006C37C4">
            <w:pPr>
              <w:spacing w:after="0" w:line="240" w:lineRule="auto"/>
              <w:jc w:val="right"/>
              <w:rPr>
                <w:rFonts w:cs="Arial"/>
                <w:color w:val="000000"/>
                <w:sz w:val="16"/>
                <w:szCs w:val="16"/>
              </w:rPr>
            </w:pPr>
            <w:r w:rsidRPr="006C37C4">
              <w:rPr>
                <w:rFonts w:cs="Arial"/>
                <w:color w:val="000000"/>
                <w:sz w:val="16"/>
                <w:szCs w:val="16"/>
              </w:rPr>
              <w:t>32,6</w:t>
            </w:r>
          </w:p>
        </w:tc>
        <w:tc>
          <w:tcPr>
            <w:tcW w:w="385" w:type="pct"/>
            <w:tcBorders>
              <w:top w:val="nil"/>
              <w:left w:val="nil"/>
              <w:bottom w:val="nil"/>
              <w:right w:val="single" w:sz="4" w:space="0" w:color="auto"/>
            </w:tcBorders>
            <w:shd w:val="clear" w:color="auto" w:fill="auto"/>
            <w:vAlign w:val="bottom"/>
            <w:hideMark/>
          </w:tcPr>
          <w:p w:rsidR="006C37C4" w:rsidRPr="006C37C4" w:rsidRDefault="006C37C4" w:rsidP="006C37C4">
            <w:pPr>
              <w:spacing w:after="0" w:line="240" w:lineRule="auto"/>
              <w:jc w:val="right"/>
              <w:rPr>
                <w:rFonts w:cs="Arial"/>
                <w:color w:val="000000"/>
                <w:sz w:val="16"/>
                <w:szCs w:val="16"/>
              </w:rPr>
            </w:pPr>
            <w:r w:rsidRPr="006C37C4">
              <w:rPr>
                <w:rFonts w:cs="Arial"/>
                <w:color w:val="000000"/>
                <w:sz w:val="16"/>
                <w:szCs w:val="16"/>
              </w:rPr>
              <w:t>14,8</w:t>
            </w:r>
          </w:p>
        </w:tc>
        <w:tc>
          <w:tcPr>
            <w:tcW w:w="385" w:type="pct"/>
            <w:tcBorders>
              <w:top w:val="nil"/>
              <w:left w:val="nil"/>
              <w:bottom w:val="nil"/>
              <w:right w:val="nil"/>
            </w:tcBorders>
            <w:shd w:val="clear" w:color="auto" w:fill="auto"/>
            <w:vAlign w:val="bottom"/>
            <w:hideMark/>
          </w:tcPr>
          <w:p w:rsidR="006C37C4" w:rsidRPr="006C37C4" w:rsidRDefault="006C37C4" w:rsidP="006C37C4">
            <w:pPr>
              <w:spacing w:after="0" w:line="240" w:lineRule="auto"/>
              <w:jc w:val="right"/>
              <w:rPr>
                <w:rFonts w:cs="Arial"/>
                <w:color w:val="000000"/>
                <w:sz w:val="16"/>
                <w:szCs w:val="16"/>
              </w:rPr>
            </w:pPr>
            <w:r w:rsidRPr="006C37C4">
              <w:rPr>
                <w:rFonts w:cs="Arial"/>
                <w:color w:val="000000"/>
                <w:sz w:val="16"/>
                <w:szCs w:val="16"/>
              </w:rPr>
              <w:t>145,0</w:t>
            </w:r>
          </w:p>
        </w:tc>
        <w:tc>
          <w:tcPr>
            <w:tcW w:w="385" w:type="pct"/>
            <w:tcBorders>
              <w:top w:val="nil"/>
              <w:left w:val="nil"/>
              <w:bottom w:val="nil"/>
              <w:right w:val="nil"/>
            </w:tcBorders>
            <w:shd w:val="clear" w:color="auto" w:fill="auto"/>
            <w:vAlign w:val="bottom"/>
            <w:hideMark/>
          </w:tcPr>
          <w:p w:rsidR="006C37C4" w:rsidRPr="006C37C4" w:rsidRDefault="006C37C4" w:rsidP="006C37C4">
            <w:pPr>
              <w:spacing w:after="0" w:line="240" w:lineRule="auto"/>
              <w:jc w:val="right"/>
              <w:rPr>
                <w:rFonts w:cs="Arial"/>
                <w:color w:val="000000"/>
                <w:sz w:val="16"/>
                <w:szCs w:val="16"/>
              </w:rPr>
            </w:pPr>
            <w:r w:rsidRPr="006C37C4">
              <w:rPr>
                <w:rFonts w:cs="Arial"/>
                <w:color w:val="000000"/>
                <w:sz w:val="16"/>
                <w:szCs w:val="16"/>
              </w:rPr>
              <w:t>93,2</w:t>
            </w:r>
          </w:p>
        </w:tc>
        <w:tc>
          <w:tcPr>
            <w:tcW w:w="385" w:type="pct"/>
            <w:tcBorders>
              <w:top w:val="nil"/>
              <w:left w:val="nil"/>
              <w:bottom w:val="nil"/>
              <w:right w:val="nil"/>
            </w:tcBorders>
            <w:shd w:val="clear" w:color="auto" w:fill="auto"/>
            <w:vAlign w:val="bottom"/>
            <w:hideMark/>
          </w:tcPr>
          <w:p w:rsidR="006C37C4" w:rsidRPr="006C37C4" w:rsidRDefault="006C37C4" w:rsidP="006C37C4">
            <w:pPr>
              <w:spacing w:after="0" w:line="240" w:lineRule="auto"/>
              <w:jc w:val="right"/>
              <w:rPr>
                <w:rFonts w:cs="Arial"/>
                <w:color w:val="000000"/>
                <w:sz w:val="16"/>
                <w:szCs w:val="16"/>
              </w:rPr>
            </w:pPr>
            <w:r w:rsidRPr="006C37C4">
              <w:rPr>
                <w:rFonts w:cs="Arial"/>
                <w:color w:val="000000"/>
                <w:sz w:val="16"/>
                <w:szCs w:val="16"/>
              </w:rPr>
              <w:t>51,8</w:t>
            </w:r>
          </w:p>
        </w:tc>
      </w:tr>
      <w:tr w:rsidR="006C37C4" w:rsidRPr="006C37C4" w:rsidTr="006C37C4">
        <w:trPr>
          <w:divId w:val="1093748560"/>
          <w:trHeight w:val="300"/>
        </w:trPr>
        <w:tc>
          <w:tcPr>
            <w:tcW w:w="385" w:type="pct"/>
            <w:tcBorders>
              <w:top w:val="nil"/>
              <w:left w:val="nil"/>
              <w:bottom w:val="nil"/>
              <w:right w:val="nil"/>
            </w:tcBorders>
            <w:shd w:val="clear" w:color="auto" w:fill="auto"/>
            <w:vAlign w:val="bottom"/>
            <w:hideMark/>
          </w:tcPr>
          <w:p w:rsidR="006C37C4" w:rsidRPr="006C37C4" w:rsidRDefault="006C37C4" w:rsidP="006C37C4">
            <w:pPr>
              <w:spacing w:after="0" w:line="240" w:lineRule="auto"/>
              <w:jc w:val="center"/>
              <w:rPr>
                <w:rFonts w:cs="Arial"/>
                <w:color w:val="000000"/>
                <w:sz w:val="16"/>
                <w:szCs w:val="16"/>
              </w:rPr>
            </w:pPr>
            <w:r w:rsidRPr="006C37C4">
              <w:rPr>
                <w:rFonts w:cs="Arial"/>
                <w:color w:val="000000"/>
                <w:sz w:val="16"/>
                <w:szCs w:val="16"/>
              </w:rPr>
              <w:t>2017</w:t>
            </w:r>
          </w:p>
        </w:tc>
        <w:tc>
          <w:tcPr>
            <w:tcW w:w="385" w:type="pct"/>
            <w:tcBorders>
              <w:top w:val="nil"/>
              <w:left w:val="single" w:sz="4" w:space="0" w:color="auto"/>
              <w:bottom w:val="nil"/>
              <w:right w:val="nil"/>
            </w:tcBorders>
            <w:shd w:val="clear" w:color="auto" w:fill="auto"/>
            <w:vAlign w:val="bottom"/>
            <w:hideMark/>
          </w:tcPr>
          <w:p w:rsidR="006C37C4" w:rsidRPr="006C37C4" w:rsidRDefault="006C37C4" w:rsidP="006C37C4">
            <w:pPr>
              <w:spacing w:after="0" w:line="240" w:lineRule="auto"/>
              <w:jc w:val="right"/>
              <w:rPr>
                <w:rFonts w:cs="Arial"/>
                <w:color w:val="000000"/>
                <w:sz w:val="16"/>
                <w:szCs w:val="16"/>
              </w:rPr>
            </w:pPr>
            <w:r w:rsidRPr="006C37C4">
              <w:rPr>
                <w:rFonts w:cs="Arial"/>
                <w:color w:val="000000"/>
                <w:sz w:val="16"/>
                <w:szCs w:val="16"/>
              </w:rPr>
              <w:t>1 707,5</w:t>
            </w:r>
          </w:p>
        </w:tc>
        <w:tc>
          <w:tcPr>
            <w:tcW w:w="385" w:type="pct"/>
            <w:tcBorders>
              <w:top w:val="nil"/>
              <w:left w:val="nil"/>
              <w:bottom w:val="nil"/>
              <w:right w:val="nil"/>
            </w:tcBorders>
            <w:shd w:val="clear" w:color="auto" w:fill="auto"/>
            <w:vAlign w:val="bottom"/>
            <w:hideMark/>
          </w:tcPr>
          <w:p w:rsidR="006C37C4" w:rsidRPr="006C37C4" w:rsidRDefault="006C37C4" w:rsidP="006C37C4">
            <w:pPr>
              <w:spacing w:after="0" w:line="240" w:lineRule="auto"/>
              <w:jc w:val="right"/>
              <w:rPr>
                <w:rFonts w:cs="Arial"/>
                <w:color w:val="000000"/>
                <w:sz w:val="16"/>
                <w:szCs w:val="16"/>
              </w:rPr>
            </w:pPr>
            <w:r w:rsidRPr="006C37C4">
              <w:rPr>
                <w:rFonts w:cs="Arial"/>
                <w:color w:val="000000"/>
                <w:sz w:val="16"/>
                <w:szCs w:val="16"/>
              </w:rPr>
              <w:t>814,5</w:t>
            </w:r>
          </w:p>
        </w:tc>
        <w:tc>
          <w:tcPr>
            <w:tcW w:w="385" w:type="pct"/>
            <w:tcBorders>
              <w:top w:val="nil"/>
              <w:left w:val="nil"/>
              <w:bottom w:val="nil"/>
              <w:right w:val="single" w:sz="4" w:space="0" w:color="auto"/>
            </w:tcBorders>
            <w:shd w:val="clear" w:color="auto" w:fill="auto"/>
            <w:vAlign w:val="bottom"/>
            <w:hideMark/>
          </w:tcPr>
          <w:p w:rsidR="006C37C4" w:rsidRPr="006C37C4" w:rsidRDefault="006C37C4" w:rsidP="006C37C4">
            <w:pPr>
              <w:spacing w:after="0" w:line="240" w:lineRule="auto"/>
              <w:jc w:val="right"/>
              <w:rPr>
                <w:rFonts w:cs="Arial"/>
                <w:color w:val="000000"/>
                <w:sz w:val="16"/>
                <w:szCs w:val="16"/>
              </w:rPr>
            </w:pPr>
            <w:r w:rsidRPr="006C37C4">
              <w:rPr>
                <w:rFonts w:cs="Arial"/>
                <w:color w:val="000000"/>
                <w:sz w:val="16"/>
                <w:szCs w:val="16"/>
              </w:rPr>
              <w:t>893,0</w:t>
            </w:r>
          </w:p>
        </w:tc>
        <w:tc>
          <w:tcPr>
            <w:tcW w:w="385" w:type="pct"/>
            <w:tcBorders>
              <w:top w:val="nil"/>
              <w:left w:val="nil"/>
              <w:bottom w:val="nil"/>
              <w:right w:val="nil"/>
            </w:tcBorders>
            <w:shd w:val="clear" w:color="auto" w:fill="auto"/>
            <w:vAlign w:val="bottom"/>
            <w:hideMark/>
          </w:tcPr>
          <w:p w:rsidR="006C37C4" w:rsidRPr="006C37C4" w:rsidRDefault="006C37C4" w:rsidP="006C37C4">
            <w:pPr>
              <w:spacing w:after="0" w:line="240" w:lineRule="auto"/>
              <w:jc w:val="right"/>
              <w:rPr>
                <w:rFonts w:cs="Arial"/>
                <w:color w:val="000000"/>
                <w:sz w:val="16"/>
                <w:szCs w:val="16"/>
              </w:rPr>
            </w:pPr>
            <w:r w:rsidRPr="006C37C4">
              <w:rPr>
                <w:rFonts w:cs="Arial"/>
                <w:color w:val="000000"/>
                <w:sz w:val="16"/>
                <w:szCs w:val="16"/>
              </w:rPr>
              <w:t>1 510,9</w:t>
            </w:r>
          </w:p>
        </w:tc>
        <w:tc>
          <w:tcPr>
            <w:tcW w:w="385" w:type="pct"/>
            <w:tcBorders>
              <w:top w:val="nil"/>
              <w:left w:val="nil"/>
              <w:bottom w:val="nil"/>
              <w:right w:val="nil"/>
            </w:tcBorders>
            <w:shd w:val="clear" w:color="auto" w:fill="auto"/>
            <w:vAlign w:val="bottom"/>
            <w:hideMark/>
          </w:tcPr>
          <w:p w:rsidR="006C37C4" w:rsidRPr="006C37C4" w:rsidRDefault="006C37C4" w:rsidP="006C37C4">
            <w:pPr>
              <w:spacing w:after="0" w:line="240" w:lineRule="auto"/>
              <w:jc w:val="right"/>
              <w:rPr>
                <w:rFonts w:cs="Arial"/>
                <w:color w:val="000000"/>
                <w:sz w:val="16"/>
                <w:szCs w:val="16"/>
              </w:rPr>
            </w:pPr>
            <w:r w:rsidRPr="006C37C4">
              <w:rPr>
                <w:rFonts w:cs="Arial"/>
                <w:color w:val="000000"/>
                <w:sz w:val="16"/>
                <w:szCs w:val="16"/>
              </w:rPr>
              <w:t>687,8</w:t>
            </w:r>
          </w:p>
        </w:tc>
        <w:tc>
          <w:tcPr>
            <w:tcW w:w="385" w:type="pct"/>
            <w:tcBorders>
              <w:top w:val="nil"/>
              <w:left w:val="nil"/>
              <w:bottom w:val="nil"/>
              <w:right w:val="nil"/>
            </w:tcBorders>
            <w:shd w:val="clear" w:color="auto" w:fill="auto"/>
            <w:vAlign w:val="bottom"/>
            <w:hideMark/>
          </w:tcPr>
          <w:p w:rsidR="006C37C4" w:rsidRPr="006C37C4" w:rsidRDefault="006C37C4" w:rsidP="006C37C4">
            <w:pPr>
              <w:spacing w:after="0" w:line="240" w:lineRule="auto"/>
              <w:jc w:val="right"/>
              <w:rPr>
                <w:rFonts w:cs="Arial"/>
                <w:color w:val="000000"/>
                <w:sz w:val="16"/>
                <w:szCs w:val="16"/>
              </w:rPr>
            </w:pPr>
            <w:r w:rsidRPr="006C37C4">
              <w:rPr>
                <w:rFonts w:cs="Arial"/>
                <w:color w:val="000000"/>
                <w:sz w:val="16"/>
                <w:szCs w:val="16"/>
              </w:rPr>
              <w:t>823,1</w:t>
            </w:r>
          </w:p>
        </w:tc>
        <w:tc>
          <w:tcPr>
            <w:tcW w:w="385" w:type="pct"/>
            <w:tcBorders>
              <w:top w:val="nil"/>
              <w:left w:val="single" w:sz="4" w:space="0" w:color="auto"/>
              <w:bottom w:val="nil"/>
              <w:right w:val="nil"/>
            </w:tcBorders>
            <w:shd w:val="clear" w:color="auto" w:fill="auto"/>
            <w:vAlign w:val="bottom"/>
            <w:hideMark/>
          </w:tcPr>
          <w:p w:rsidR="006C37C4" w:rsidRPr="006C37C4" w:rsidRDefault="006C37C4" w:rsidP="006C37C4">
            <w:pPr>
              <w:spacing w:after="0" w:line="240" w:lineRule="auto"/>
              <w:jc w:val="right"/>
              <w:rPr>
                <w:rFonts w:cs="Arial"/>
                <w:color w:val="000000"/>
                <w:sz w:val="16"/>
                <w:szCs w:val="16"/>
              </w:rPr>
            </w:pPr>
            <w:r w:rsidRPr="006C37C4">
              <w:rPr>
                <w:rFonts w:cs="Arial"/>
                <w:color w:val="000000"/>
                <w:sz w:val="16"/>
                <w:szCs w:val="16"/>
              </w:rPr>
              <w:t>47,5</w:t>
            </w:r>
          </w:p>
        </w:tc>
        <w:tc>
          <w:tcPr>
            <w:tcW w:w="385" w:type="pct"/>
            <w:tcBorders>
              <w:top w:val="nil"/>
              <w:left w:val="nil"/>
              <w:bottom w:val="nil"/>
              <w:right w:val="nil"/>
            </w:tcBorders>
            <w:shd w:val="clear" w:color="auto" w:fill="auto"/>
            <w:vAlign w:val="bottom"/>
            <w:hideMark/>
          </w:tcPr>
          <w:p w:rsidR="006C37C4" w:rsidRPr="006C37C4" w:rsidRDefault="006C37C4" w:rsidP="006C37C4">
            <w:pPr>
              <w:spacing w:after="0" w:line="240" w:lineRule="auto"/>
              <w:jc w:val="right"/>
              <w:rPr>
                <w:rFonts w:cs="Arial"/>
                <w:color w:val="000000"/>
                <w:sz w:val="16"/>
                <w:szCs w:val="16"/>
              </w:rPr>
            </w:pPr>
            <w:r w:rsidRPr="006C37C4">
              <w:rPr>
                <w:rFonts w:cs="Arial"/>
                <w:color w:val="000000"/>
                <w:sz w:val="16"/>
                <w:szCs w:val="16"/>
              </w:rPr>
              <w:t>32,6</w:t>
            </w:r>
          </w:p>
        </w:tc>
        <w:tc>
          <w:tcPr>
            <w:tcW w:w="385" w:type="pct"/>
            <w:tcBorders>
              <w:top w:val="nil"/>
              <w:left w:val="nil"/>
              <w:bottom w:val="nil"/>
              <w:right w:val="single" w:sz="4" w:space="0" w:color="auto"/>
            </w:tcBorders>
            <w:shd w:val="clear" w:color="auto" w:fill="auto"/>
            <w:vAlign w:val="bottom"/>
            <w:hideMark/>
          </w:tcPr>
          <w:p w:rsidR="006C37C4" w:rsidRPr="006C37C4" w:rsidRDefault="006C37C4" w:rsidP="006C37C4">
            <w:pPr>
              <w:spacing w:after="0" w:line="240" w:lineRule="auto"/>
              <w:jc w:val="right"/>
              <w:rPr>
                <w:rFonts w:cs="Arial"/>
                <w:color w:val="000000"/>
                <w:sz w:val="16"/>
                <w:szCs w:val="16"/>
              </w:rPr>
            </w:pPr>
            <w:r w:rsidRPr="006C37C4">
              <w:rPr>
                <w:rFonts w:cs="Arial"/>
                <w:color w:val="000000"/>
                <w:sz w:val="16"/>
                <w:szCs w:val="16"/>
              </w:rPr>
              <w:t>14,9</w:t>
            </w:r>
          </w:p>
        </w:tc>
        <w:tc>
          <w:tcPr>
            <w:tcW w:w="385" w:type="pct"/>
            <w:tcBorders>
              <w:top w:val="nil"/>
              <w:left w:val="nil"/>
              <w:bottom w:val="nil"/>
              <w:right w:val="nil"/>
            </w:tcBorders>
            <w:shd w:val="clear" w:color="auto" w:fill="auto"/>
            <w:vAlign w:val="bottom"/>
            <w:hideMark/>
          </w:tcPr>
          <w:p w:rsidR="006C37C4" w:rsidRPr="006C37C4" w:rsidRDefault="006C37C4" w:rsidP="006C37C4">
            <w:pPr>
              <w:spacing w:after="0" w:line="240" w:lineRule="auto"/>
              <w:jc w:val="right"/>
              <w:rPr>
                <w:rFonts w:cs="Arial"/>
                <w:color w:val="000000"/>
                <w:sz w:val="16"/>
                <w:szCs w:val="16"/>
              </w:rPr>
            </w:pPr>
            <w:r w:rsidRPr="006C37C4">
              <w:rPr>
                <w:rFonts w:cs="Arial"/>
                <w:color w:val="000000"/>
                <w:sz w:val="16"/>
                <w:szCs w:val="16"/>
              </w:rPr>
              <w:t>149,1</w:t>
            </w:r>
          </w:p>
        </w:tc>
        <w:tc>
          <w:tcPr>
            <w:tcW w:w="385" w:type="pct"/>
            <w:tcBorders>
              <w:top w:val="nil"/>
              <w:left w:val="nil"/>
              <w:bottom w:val="nil"/>
              <w:right w:val="nil"/>
            </w:tcBorders>
            <w:shd w:val="clear" w:color="auto" w:fill="auto"/>
            <w:vAlign w:val="bottom"/>
            <w:hideMark/>
          </w:tcPr>
          <w:p w:rsidR="006C37C4" w:rsidRPr="006C37C4" w:rsidRDefault="006C37C4" w:rsidP="006C37C4">
            <w:pPr>
              <w:spacing w:after="0" w:line="240" w:lineRule="auto"/>
              <w:jc w:val="right"/>
              <w:rPr>
                <w:rFonts w:cs="Arial"/>
                <w:color w:val="000000"/>
                <w:sz w:val="16"/>
                <w:szCs w:val="16"/>
              </w:rPr>
            </w:pPr>
            <w:r w:rsidRPr="006C37C4">
              <w:rPr>
                <w:rFonts w:cs="Arial"/>
                <w:color w:val="000000"/>
                <w:sz w:val="16"/>
                <w:szCs w:val="16"/>
              </w:rPr>
              <w:t>94,1</w:t>
            </w:r>
          </w:p>
        </w:tc>
        <w:tc>
          <w:tcPr>
            <w:tcW w:w="385" w:type="pct"/>
            <w:tcBorders>
              <w:top w:val="nil"/>
              <w:left w:val="nil"/>
              <w:bottom w:val="nil"/>
              <w:right w:val="nil"/>
            </w:tcBorders>
            <w:shd w:val="clear" w:color="auto" w:fill="auto"/>
            <w:vAlign w:val="bottom"/>
            <w:hideMark/>
          </w:tcPr>
          <w:p w:rsidR="006C37C4" w:rsidRPr="006C37C4" w:rsidRDefault="006C37C4" w:rsidP="006C37C4">
            <w:pPr>
              <w:spacing w:after="0" w:line="240" w:lineRule="auto"/>
              <w:jc w:val="right"/>
              <w:rPr>
                <w:rFonts w:cs="Arial"/>
                <w:color w:val="000000"/>
                <w:sz w:val="16"/>
                <w:szCs w:val="16"/>
              </w:rPr>
            </w:pPr>
            <w:r w:rsidRPr="006C37C4">
              <w:rPr>
                <w:rFonts w:cs="Arial"/>
                <w:color w:val="000000"/>
                <w:sz w:val="16"/>
                <w:szCs w:val="16"/>
              </w:rPr>
              <w:t>55,1</w:t>
            </w:r>
          </w:p>
        </w:tc>
      </w:tr>
      <w:tr w:rsidR="006C37C4" w:rsidRPr="006C37C4" w:rsidTr="006C37C4">
        <w:trPr>
          <w:divId w:val="1093748560"/>
          <w:trHeight w:val="300"/>
        </w:trPr>
        <w:tc>
          <w:tcPr>
            <w:tcW w:w="385" w:type="pct"/>
            <w:tcBorders>
              <w:top w:val="nil"/>
              <w:left w:val="nil"/>
              <w:bottom w:val="nil"/>
              <w:right w:val="nil"/>
            </w:tcBorders>
            <w:shd w:val="clear" w:color="auto" w:fill="auto"/>
            <w:vAlign w:val="bottom"/>
            <w:hideMark/>
          </w:tcPr>
          <w:p w:rsidR="006C37C4" w:rsidRPr="006C37C4" w:rsidRDefault="006C37C4" w:rsidP="006C37C4">
            <w:pPr>
              <w:spacing w:after="0" w:line="240" w:lineRule="auto"/>
              <w:jc w:val="center"/>
              <w:rPr>
                <w:rFonts w:cs="Arial"/>
                <w:color w:val="000000"/>
                <w:sz w:val="16"/>
                <w:szCs w:val="16"/>
              </w:rPr>
            </w:pPr>
            <w:r w:rsidRPr="006C37C4">
              <w:rPr>
                <w:rFonts w:cs="Arial"/>
                <w:color w:val="000000"/>
                <w:sz w:val="16"/>
                <w:szCs w:val="16"/>
              </w:rPr>
              <w:t>2018</w:t>
            </w:r>
          </w:p>
        </w:tc>
        <w:tc>
          <w:tcPr>
            <w:tcW w:w="385" w:type="pct"/>
            <w:tcBorders>
              <w:top w:val="nil"/>
              <w:left w:val="single" w:sz="4" w:space="0" w:color="auto"/>
              <w:bottom w:val="nil"/>
              <w:right w:val="nil"/>
            </w:tcBorders>
            <w:shd w:val="clear" w:color="auto" w:fill="auto"/>
            <w:vAlign w:val="bottom"/>
            <w:hideMark/>
          </w:tcPr>
          <w:p w:rsidR="006C37C4" w:rsidRPr="006C37C4" w:rsidRDefault="006C37C4" w:rsidP="006C37C4">
            <w:pPr>
              <w:spacing w:after="0" w:line="240" w:lineRule="auto"/>
              <w:jc w:val="right"/>
              <w:rPr>
                <w:rFonts w:cs="Arial"/>
                <w:color w:val="000000"/>
                <w:sz w:val="16"/>
                <w:szCs w:val="16"/>
              </w:rPr>
            </w:pPr>
            <w:r w:rsidRPr="006C37C4">
              <w:rPr>
                <w:rFonts w:cs="Arial"/>
                <w:color w:val="000000"/>
                <w:sz w:val="16"/>
                <w:szCs w:val="16"/>
              </w:rPr>
              <w:t>1 849,5</w:t>
            </w:r>
          </w:p>
        </w:tc>
        <w:tc>
          <w:tcPr>
            <w:tcW w:w="385" w:type="pct"/>
            <w:tcBorders>
              <w:top w:val="nil"/>
              <w:left w:val="nil"/>
              <w:bottom w:val="nil"/>
              <w:right w:val="nil"/>
            </w:tcBorders>
            <w:shd w:val="clear" w:color="auto" w:fill="auto"/>
            <w:vAlign w:val="bottom"/>
            <w:hideMark/>
          </w:tcPr>
          <w:p w:rsidR="006C37C4" w:rsidRPr="006C37C4" w:rsidRDefault="006C37C4" w:rsidP="006C37C4">
            <w:pPr>
              <w:spacing w:after="0" w:line="240" w:lineRule="auto"/>
              <w:jc w:val="right"/>
              <w:rPr>
                <w:rFonts w:cs="Arial"/>
                <w:color w:val="000000"/>
                <w:sz w:val="16"/>
                <w:szCs w:val="16"/>
              </w:rPr>
            </w:pPr>
            <w:r w:rsidRPr="006C37C4">
              <w:rPr>
                <w:rFonts w:cs="Arial"/>
                <w:color w:val="000000"/>
                <w:sz w:val="16"/>
                <w:szCs w:val="16"/>
              </w:rPr>
              <w:t>874,3</w:t>
            </w:r>
          </w:p>
        </w:tc>
        <w:tc>
          <w:tcPr>
            <w:tcW w:w="385" w:type="pct"/>
            <w:tcBorders>
              <w:top w:val="nil"/>
              <w:left w:val="nil"/>
              <w:bottom w:val="nil"/>
              <w:right w:val="single" w:sz="4" w:space="0" w:color="auto"/>
            </w:tcBorders>
            <w:shd w:val="clear" w:color="auto" w:fill="auto"/>
            <w:vAlign w:val="bottom"/>
            <w:hideMark/>
          </w:tcPr>
          <w:p w:rsidR="006C37C4" w:rsidRPr="006C37C4" w:rsidRDefault="006C37C4" w:rsidP="006C37C4">
            <w:pPr>
              <w:spacing w:after="0" w:line="240" w:lineRule="auto"/>
              <w:jc w:val="right"/>
              <w:rPr>
                <w:rFonts w:cs="Arial"/>
                <w:color w:val="000000"/>
                <w:sz w:val="16"/>
                <w:szCs w:val="16"/>
              </w:rPr>
            </w:pPr>
            <w:r w:rsidRPr="006C37C4">
              <w:rPr>
                <w:rFonts w:cs="Arial"/>
                <w:color w:val="000000"/>
                <w:sz w:val="16"/>
                <w:szCs w:val="16"/>
              </w:rPr>
              <w:t>975,2</w:t>
            </w:r>
          </w:p>
        </w:tc>
        <w:tc>
          <w:tcPr>
            <w:tcW w:w="385" w:type="pct"/>
            <w:tcBorders>
              <w:top w:val="nil"/>
              <w:left w:val="nil"/>
              <w:bottom w:val="nil"/>
              <w:right w:val="nil"/>
            </w:tcBorders>
            <w:shd w:val="clear" w:color="auto" w:fill="auto"/>
            <w:vAlign w:val="bottom"/>
            <w:hideMark/>
          </w:tcPr>
          <w:p w:rsidR="006C37C4" w:rsidRPr="006C37C4" w:rsidRDefault="006C37C4" w:rsidP="006C37C4">
            <w:pPr>
              <w:spacing w:after="0" w:line="240" w:lineRule="auto"/>
              <w:jc w:val="right"/>
              <w:rPr>
                <w:rFonts w:cs="Arial"/>
                <w:color w:val="000000"/>
                <w:sz w:val="16"/>
                <w:szCs w:val="16"/>
              </w:rPr>
            </w:pPr>
            <w:r w:rsidRPr="006C37C4">
              <w:rPr>
                <w:rFonts w:cs="Arial"/>
                <w:color w:val="000000"/>
                <w:sz w:val="16"/>
                <w:szCs w:val="16"/>
              </w:rPr>
              <w:t>1 650,3</w:t>
            </w:r>
          </w:p>
        </w:tc>
        <w:tc>
          <w:tcPr>
            <w:tcW w:w="385" w:type="pct"/>
            <w:tcBorders>
              <w:top w:val="nil"/>
              <w:left w:val="nil"/>
              <w:bottom w:val="nil"/>
              <w:right w:val="nil"/>
            </w:tcBorders>
            <w:shd w:val="clear" w:color="auto" w:fill="auto"/>
            <w:vAlign w:val="bottom"/>
            <w:hideMark/>
          </w:tcPr>
          <w:p w:rsidR="006C37C4" w:rsidRPr="006C37C4" w:rsidRDefault="006C37C4" w:rsidP="006C37C4">
            <w:pPr>
              <w:spacing w:after="0" w:line="240" w:lineRule="auto"/>
              <w:jc w:val="right"/>
              <w:rPr>
                <w:rFonts w:cs="Arial"/>
                <w:color w:val="000000"/>
                <w:sz w:val="16"/>
                <w:szCs w:val="16"/>
              </w:rPr>
            </w:pPr>
            <w:r w:rsidRPr="006C37C4">
              <w:rPr>
                <w:rFonts w:cs="Arial"/>
                <w:color w:val="000000"/>
                <w:sz w:val="16"/>
                <w:szCs w:val="16"/>
              </w:rPr>
              <w:t>746,8</w:t>
            </w:r>
          </w:p>
        </w:tc>
        <w:tc>
          <w:tcPr>
            <w:tcW w:w="385" w:type="pct"/>
            <w:tcBorders>
              <w:top w:val="nil"/>
              <w:left w:val="nil"/>
              <w:bottom w:val="nil"/>
              <w:right w:val="nil"/>
            </w:tcBorders>
            <w:shd w:val="clear" w:color="auto" w:fill="auto"/>
            <w:vAlign w:val="bottom"/>
            <w:hideMark/>
          </w:tcPr>
          <w:p w:rsidR="006C37C4" w:rsidRPr="006C37C4" w:rsidRDefault="006C37C4" w:rsidP="006C37C4">
            <w:pPr>
              <w:spacing w:after="0" w:line="240" w:lineRule="auto"/>
              <w:jc w:val="right"/>
              <w:rPr>
                <w:rFonts w:cs="Arial"/>
                <w:color w:val="000000"/>
                <w:sz w:val="16"/>
                <w:szCs w:val="16"/>
              </w:rPr>
            </w:pPr>
            <w:r w:rsidRPr="006C37C4">
              <w:rPr>
                <w:rFonts w:cs="Arial"/>
                <w:color w:val="000000"/>
                <w:sz w:val="16"/>
                <w:szCs w:val="16"/>
              </w:rPr>
              <w:t>903,5</w:t>
            </w:r>
          </w:p>
        </w:tc>
        <w:tc>
          <w:tcPr>
            <w:tcW w:w="385" w:type="pct"/>
            <w:tcBorders>
              <w:top w:val="nil"/>
              <w:left w:val="single" w:sz="4" w:space="0" w:color="auto"/>
              <w:bottom w:val="nil"/>
              <w:right w:val="nil"/>
            </w:tcBorders>
            <w:shd w:val="clear" w:color="auto" w:fill="auto"/>
            <w:vAlign w:val="bottom"/>
            <w:hideMark/>
          </w:tcPr>
          <w:p w:rsidR="006C37C4" w:rsidRPr="006C37C4" w:rsidRDefault="006C37C4" w:rsidP="006C37C4">
            <w:pPr>
              <w:spacing w:after="0" w:line="240" w:lineRule="auto"/>
              <w:jc w:val="right"/>
              <w:rPr>
                <w:rFonts w:cs="Arial"/>
                <w:color w:val="000000"/>
                <w:sz w:val="16"/>
                <w:szCs w:val="16"/>
              </w:rPr>
            </w:pPr>
            <w:r w:rsidRPr="006C37C4">
              <w:rPr>
                <w:rFonts w:cs="Arial"/>
                <w:color w:val="000000"/>
                <w:sz w:val="16"/>
                <w:szCs w:val="16"/>
              </w:rPr>
              <w:t>46,2</w:t>
            </w:r>
          </w:p>
        </w:tc>
        <w:tc>
          <w:tcPr>
            <w:tcW w:w="385" w:type="pct"/>
            <w:tcBorders>
              <w:top w:val="nil"/>
              <w:left w:val="nil"/>
              <w:bottom w:val="nil"/>
              <w:right w:val="nil"/>
            </w:tcBorders>
            <w:shd w:val="clear" w:color="auto" w:fill="auto"/>
            <w:vAlign w:val="bottom"/>
            <w:hideMark/>
          </w:tcPr>
          <w:p w:rsidR="006C37C4" w:rsidRPr="006C37C4" w:rsidRDefault="006C37C4" w:rsidP="006C37C4">
            <w:pPr>
              <w:spacing w:after="0" w:line="240" w:lineRule="auto"/>
              <w:jc w:val="right"/>
              <w:rPr>
                <w:rFonts w:cs="Arial"/>
                <w:color w:val="000000"/>
                <w:sz w:val="16"/>
                <w:szCs w:val="16"/>
              </w:rPr>
            </w:pPr>
            <w:r w:rsidRPr="006C37C4">
              <w:rPr>
                <w:rFonts w:cs="Arial"/>
                <w:color w:val="000000"/>
                <w:sz w:val="16"/>
                <w:szCs w:val="16"/>
              </w:rPr>
              <w:t>31,3</w:t>
            </w:r>
          </w:p>
        </w:tc>
        <w:tc>
          <w:tcPr>
            <w:tcW w:w="385" w:type="pct"/>
            <w:tcBorders>
              <w:top w:val="nil"/>
              <w:left w:val="nil"/>
              <w:bottom w:val="nil"/>
              <w:right w:val="single" w:sz="4" w:space="0" w:color="auto"/>
            </w:tcBorders>
            <w:shd w:val="clear" w:color="auto" w:fill="auto"/>
            <w:vAlign w:val="bottom"/>
            <w:hideMark/>
          </w:tcPr>
          <w:p w:rsidR="006C37C4" w:rsidRPr="006C37C4" w:rsidRDefault="006C37C4" w:rsidP="006C37C4">
            <w:pPr>
              <w:spacing w:after="0" w:line="240" w:lineRule="auto"/>
              <w:jc w:val="right"/>
              <w:rPr>
                <w:rFonts w:cs="Arial"/>
                <w:color w:val="000000"/>
                <w:sz w:val="16"/>
                <w:szCs w:val="16"/>
              </w:rPr>
            </w:pPr>
            <w:r w:rsidRPr="006C37C4">
              <w:rPr>
                <w:rFonts w:cs="Arial"/>
                <w:color w:val="000000"/>
                <w:sz w:val="16"/>
                <w:szCs w:val="16"/>
              </w:rPr>
              <w:t>14,9</w:t>
            </w:r>
          </w:p>
        </w:tc>
        <w:tc>
          <w:tcPr>
            <w:tcW w:w="385" w:type="pct"/>
            <w:tcBorders>
              <w:top w:val="nil"/>
              <w:left w:val="nil"/>
              <w:bottom w:val="nil"/>
              <w:right w:val="nil"/>
            </w:tcBorders>
            <w:shd w:val="clear" w:color="auto" w:fill="auto"/>
            <w:vAlign w:val="bottom"/>
            <w:hideMark/>
          </w:tcPr>
          <w:p w:rsidR="006C37C4" w:rsidRPr="006C37C4" w:rsidRDefault="006C37C4" w:rsidP="006C37C4">
            <w:pPr>
              <w:spacing w:after="0" w:line="240" w:lineRule="auto"/>
              <w:jc w:val="right"/>
              <w:rPr>
                <w:rFonts w:cs="Arial"/>
                <w:color w:val="000000"/>
                <w:sz w:val="16"/>
                <w:szCs w:val="16"/>
              </w:rPr>
            </w:pPr>
            <w:r w:rsidRPr="006C37C4">
              <w:rPr>
                <w:rFonts w:cs="Arial"/>
                <w:color w:val="000000"/>
                <w:sz w:val="16"/>
                <w:szCs w:val="16"/>
              </w:rPr>
              <w:t>153,0</w:t>
            </w:r>
          </w:p>
        </w:tc>
        <w:tc>
          <w:tcPr>
            <w:tcW w:w="385" w:type="pct"/>
            <w:tcBorders>
              <w:top w:val="nil"/>
              <w:left w:val="nil"/>
              <w:bottom w:val="nil"/>
              <w:right w:val="nil"/>
            </w:tcBorders>
            <w:shd w:val="clear" w:color="auto" w:fill="auto"/>
            <w:vAlign w:val="bottom"/>
            <w:hideMark/>
          </w:tcPr>
          <w:p w:rsidR="006C37C4" w:rsidRPr="006C37C4" w:rsidRDefault="006C37C4" w:rsidP="006C37C4">
            <w:pPr>
              <w:spacing w:after="0" w:line="240" w:lineRule="auto"/>
              <w:jc w:val="right"/>
              <w:rPr>
                <w:rFonts w:cs="Arial"/>
                <w:color w:val="000000"/>
                <w:sz w:val="16"/>
                <w:szCs w:val="16"/>
              </w:rPr>
            </w:pPr>
            <w:r w:rsidRPr="006C37C4">
              <w:rPr>
                <w:rFonts w:cs="Arial"/>
                <w:color w:val="000000"/>
                <w:sz w:val="16"/>
                <w:szCs w:val="16"/>
              </w:rPr>
              <w:t>96,1</w:t>
            </w:r>
          </w:p>
        </w:tc>
        <w:tc>
          <w:tcPr>
            <w:tcW w:w="385" w:type="pct"/>
            <w:tcBorders>
              <w:top w:val="nil"/>
              <w:left w:val="nil"/>
              <w:bottom w:val="nil"/>
              <w:right w:val="nil"/>
            </w:tcBorders>
            <w:shd w:val="clear" w:color="auto" w:fill="auto"/>
            <w:vAlign w:val="bottom"/>
            <w:hideMark/>
          </w:tcPr>
          <w:p w:rsidR="006C37C4" w:rsidRPr="006C37C4" w:rsidRDefault="006C37C4" w:rsidP="006C37C4">
            <w:pPr>
              <w:spacing w:after="0" w:line="240" w:lineRule="auto"/>
              <w:jc w:val="right"/>
              <w:rPr>
                <w:rFonts w:cs="Arial"/>
                <w:color w:val="000000"/>
                <w:sz w:val="16"/>
                <w:szCs w:val="16"/>
              </w:rPr>
            </w:pPr>
            <w:r w:rsidRPr="006C37C4">
              <w:rPr>
                <w:rFonts w:cs="Arial"/>
                <w:color w:val="000000"/>
                <w:sz w:val="16"/>
                <w:szCs w:val="16"/>
              </w:rPr>
              <w:t>56,8</w:t>
            </w:r>
          </w:p>
        </w:tc>
      </w:tr>
      <w:tr w:rsidR="006C37C4" w:rsidRPr="006C37C4" w:rsidTr="006C37C4">
        <w:trPr>
          <w:divId w:val="1093748560"/>
          <w:trHeight w:val="300"/>
        </w:trPr>
        <w:tc>
          <w:tcPr>
            <w:tcW w:w="385" w:type="pct"/>
            <w:tcBorders>
              <w:top w:val="nil"/>
              <w:left w:val="nil"/>
              <w:bottom w:val="nil"/>
              <w:right w:val="nil"/>
            </w:tcBorders>
            <w:shd w:val="clear" w:color="auto" w:fill="auto"/>
            <w:vAlign w:val="bottom"/>
            <w:hideMark/>
          </w:tcPr>
          <w:p w:rsidR="006C37C4" w:rsidRPr="006C37C4" w:rsidRDefault="006C37C4" w:rsidP="006C37C4">
            <w:pPr>
              <w:spacing w:after="0" w:line="240" w:lineRule="auto"/>
              <w:jc w:val="center"/>
              <w:rPr>
                <w:rFonts w:cs="Arial"/>
                <w:color w:val="000000"/>
                <w:sz w:val="16"/>
                <w:szCs w:val="16"/>
              </w:rPr>
            </w:pPr>
            <w:r w:rsidRPr="006C37C4">
              <w:rPr>
                <w:rFonts w:cs="Arial"/>
                <w:color w:val="000000"/>
                <w:sz w:val="16"/>
                <w:szCs w:val="16"/>
              </w:rPr>
              <w:t>2019</w:t>
            </w:r>
          </w:p>
        </w:tc>
        <w:tc>
          <w:tcPr>
            <w:tcW w:w="385" w:type="pct"/>
            <w:tcBorders>
              <w:top w:val="nil"/>
              <w:left w:val="single" w:sz="4" w:space="0" w:color="auto"/>
              <w:bottom w:val="nil"/>
              <w:right w:val="nil"/>
            </w:tcBorders>
            <w:shd w:val="clear" w:color="auto" w:fill="auto"/>
            <w:vAlign w:val="bottom"/>
            <w:hideMark/>
          </w:tcPr>
          <w:p w:rsidR="006C37C4" w:rsidRPr="006C37C4" w:rsidRDefault="006C37C4" w:rsidP="006C37C4">
            <w:pPr>
              <w:spacing w:after="0" w:line="240" w:lineRule="auto"/>
              <w:jc w:val="right"/>
              <w:rPr>
                <w:rFonts w:cs="Arial"/>
                <w:color w:val="000000"/>
                <w:sz w:val="16"/>
                <w:szCs w:val="16"/>
              </w:rPr>
            </w:pPr>
            <w:r w:rsidRPr="006C37C4">
              <w:rPr>
                <w:rFonts w:cs="Arial"/>
                <w:color w:val="000000"/>
                <w:sz w:val="16"/>
                <w:szCs w:val="16"/>
              </w:rPr>
              <w:t>1 914,8</w:t>
            </w:r>
          </w:p>
        </w:tc>
        <w:tc>
          <w:tcPr>
            <w:tcW w:w="385" w:type="pct"/>
            <w:tcBorders>
              <w:top w:val="nil"/>
              <w:left w:val="nil"/>
              <w:bottom w:val="nil"/>
              <w:right w:val="nil"/>
            </w:tcBorders>
            <w:shd w:val="clear" w:color="auto" w:fill="auto"/>
            <w:vAlign w:val="bottom"/>
            <w:hideMark/>
          </w:tcPr>
          <w:p w:rsidR="006C37C4" w:rsidRPr="006C37C4" w:rsidRDefault="006C37C4" w:rsidP="006C37C4">
            <w:pPr>
              <w:spacing w:after="0" w:line="240" w:lineRule="auto"/>
              <w:jc w:val="right"/>
              <w:rPr>
                <w:rFonts w:cs="Arial"/>
                <w:color w:val="000000"/>
                <w:sz w:val="16"/>
                <w:szCs w:val="16"/>
              </w:rPr>
            </w:pPr>
            <w:r w:rsidRPr="006C37C4">
              <w:rPr>
                <w:rFonts w:cs="Arial"/>
                <w:color w:val="000000"/>
                <w:sz w:val="16"/>
                <w:szCs w:val="16"/>
              </w:rPr>
              <w:t>902,3</w:t>
            </w:r>
          </w:p>
        </w:tc>
        <w:tc>
          <w:tcPr>
            <w:tcW w:w="385" w:type="pct"/>
            <w:tcBorders>
              <w:top w:val="nil"/>
              <w:left w:val="nil"/>
              <w:bottom w:val="nil"/>
              <w:right w:val="single" w:sz="4" w:space="0" w:color="auto"/>
            </w:tcBorders>
            <w:shd w:val="clear" w:color="auto" w:fill="auto"/>
            <w:vAlign w:val="bottom"/>
            <w:hideMark/>
          </w:tcPr>
          <w:p w:rsidR="006C37C4" w:rsidRPr="006C37C4" w:rsidRDefault="006C37C4" w:rsidP="006C37C4">
            <w:pPr>
              <w:spacing w:after="0" w:line="240" w:lineRule="auto"/>
              <w:jc w:val="right"/>
              <w:rPr>
                <w:rFonts w:cs="Arial"/>
                <w:color w:val="000000"/>
                <w:sz w:val="16"/>
                <w:szCs w:val="16"/>
              </w:rPr>
            </w:pPr>
            <w:r w:rsidRPr="006C37C4">
              <w:rPr>
                <w:rFonts w:cs="Arial"/>
                <w:color w:val="000000"/>
                <w:sz w:val="16"/>
                <w:szCs w:val="16"/>
              </w:rPr>
              <w:t>1 012,5</w:t>
            </w:r>
          </w:p>
        </w:tc>
        <w:tc>
          <w:tcPr>
            <w:tcW w:w="385" w:type="pct"/>
            <w:tcBorders>
              <w:top w:val="nil"/>
              <w:left w:val="nil"/>
              <w:bottom w:val="nil"/>
              <w:right w:val="nil"/>
            </w:tcBorders>
            <w:shd w:val="clear" w:color="auto" w:fill="auto"/>
            <w:vAlign w:val="bottom"/>
            <w:hideMark/>
          </w:tcPr>
          <w:p w:rsidR="006C37C4" w:rsidRPr="006C37C4" w:rsidRDefault="006C37C4" w:rsidP="006C37C4">
            <w:pPr>
              <w:spacing w:after="0" w:line="240" w:lineRule="auto"/>
              <w:jc w:val="right"/>
              <w:rPr>
                <w:rFonts w:cs="Arial"/>
                <w:color w:val="000000"/>
                <w:sz w:val="16"/>
                <w:szCs w:val="16"/>
              </w:rPr>
            </w:pPr>
            <w:r w:rsidRPr="006C37C4">
              <w:rPr>
                <w:rFonts w:cs="Arial"/>
                <w:color w:val="000000"/>
                <w:sz w:val="16"/>
                <w:szCs w:val="16"/>
              </w:rPr>
              <w:t>1 711,2</w:t>
            </w:r>
          </w:p>
        </w:tc>
        <w:tc>
          <w:tcPr>
            <w:tcW w:w="385" w:type="pct"/>
            <w:tcBorders>
              <w:top w:val="nil"/>
              <w:left w:val="nil"/>
              <w:bottom w:val="nil"/>
              <w:right w:val="nil"/>
            </w:tcBorders>
            <w:shd w:val="clear" w:color="auto" w:fill="auto"/>
            <w:vAlign w:val="bottom"/>
            <w:hideMark/>
          </w:tcPr>
          <w:p w:rsidR="006C37C4" w:rsidRPr="006C37C4" w:rsidRDefault="006C37C4" w:rsidP="006C37C4">
            <w:pPr>
              <w:spacing w:after="0" w:line="240" w:lineRule="auto"/>
              <w:jc w:val="right"/>
              <w:rPr>
                <w:rFonts w:cs="Arial"/>
                <w:color w:val="000000"/>
                <w:sz w:val="16"/>
                <w:szCs w:val="16"/>
              </w:rPr>
            </w:pPr>
            <w:r w:rsidRPr="006C37C4">
              <w:rPr>
                <w:rFonts w:cs="Arial"/>
                <w:color w:val="000000"/>
                <w:sz w:val="16"/>
                <w:szCs w:val="16"/>
              </w:rPr>
              <w:t>772,9</w:t>
            </w:r>
          </w:p>
        </w:tc>
        <w:tc>
          <w:tcPr>
            <w:tcW w:w="385" w:type="pct"/>
            <w:tcBorders>
              <w:top w:val="nil"/>
              <w:left w:val="nil"/>
              <w:bottom w:val="nil"/>
              <w:right w:val="nil"/>
            </w:tcBorders>
            <w:shd w:val="clear" w:color="auto" w:fill="auto"/>
            <w:vAlign w:val="bottom"/>
            <w:hideMark/>
          </w:tcPr>
          <w:p w:rsidR="006C37C4" w:rsidRPr="006C37C4" w:rsidRDefault="006C37C4" w:rsidP="006C37C4">
            <w:pPr>
              <w:spacing w:after="0" w:line="240" w:lineRule="auto"/>
              <w:jc w:val="right"/>
              <w:rPr>
                <w:rFonts w:cs="Arial"/>
                <w:color w:val="000000"/>
                <w:sz w:val="16"/>
                <w:szCs w:val="16"/>
              </w:rPr>
            </w:pPr>
            <w:r w:rsidRPr="006C37C4">
              <w:rPr>
                <w:rFonts w:cs="Arial"/>
                <w:color w:val="000000"/>
                <w:sz w:val="16"/>
                <w:szCs w:val="16"/>
              </w:rPr>
              <w:t>938,3</w:t>
            </w:r>
          </w:p>
        </w:tc>
        <w:tc>
          <w:tcPr>
            <w:tcW w:w="385" w:type="pct"/>
            <w:tcBorders>
              <w:top w:val="nil"/>
              <w:left w:val="single" w:sz="4" w:space="0" w:color="auto"/>
              <w:bottom w:val="nil"/>
              <w:right w:val="nil"/>
            </w:tcBorders>
            <w:shd w:val="clear" w:color="auto" w:fill="auto"/>
            <w:vAlign w:val="bottom"/>
            <w:hideMark/>
          </w:tcPr>
          <w:p w:rsidR="006C37C4" w:rsidRPr="006C37C4" w:rsidRDefault="006C37C4" w:rsidP="006C37C4">
            <w:pPr>
              <w:spacing w:after="0" w:line="240" w:lineRule="auto"/>
              <w:jc w:val="right"/>
              <w:rPr>
                <w:rFonts w:cs="Arial"/>
                <w:color w:val="000000"/>
                <w:sz w:val="16"/>
                <w:szCs w:val="16"/>
              </w:rPr>
            </w:pPr>
            <w:r w:rsidRPr="006C37C4">
              <w:rPr>
                <w:rFonts w:cs="Arial"/>
                <w:color w:val="000000"/>
                <w:sz w:val="16"/>
                <w:szCs w:val="16"/>
              </w:rPr>
              <w:t>44,6</w:t>
            </w:r>
          </w:p>
        </w:tc>
        <w:tc>
          <w:tcPr>
            <w:tcW w:w="385" w:type="pct"/>
            <w:tcBorders>
              <w:top w:val="nil"/>
              <w:left w:val="nil"/>
              <w:bottom w:val="nil"/>
              <w:right w:val="nil"/>
            </w:tcBorders>
            <w:shd w:val="clear" w:color="auto" w:fill="auto"/>
            <w:vAlign w:val="bottom"/>
            <w:hideMark/>
          </w:tcPr>
          <w:p w:rsidR="006C37C4" w:rsidRPr="006C37C4" w:rsidRDefault="006C37C4" w:rsidP="006C37C4">
            <w:pPr>
              <w:spacing w:after="0" w:line="240" w:lineRule="auto"/>
              <w:jc w:val="right"/>
              <w:rPr>
                <w:rFonts w:cs="Arial"/>
                <w:color w:val="000000"/>
                <w:sz w:val="16"/>
                <w:szCs w:val="16"/>
              </w:rPr>
            </w:pPr>
            <w:r w:rsidRPr="006C37C4">
              <w:rPr>
                <w:rFonts w:cs="Arial"/>
                <w:color w:val="000000"/>
                <w:sz w:val="16"/>
                <w:szCs w:val="16"/>
              </w:rPr>
              <w:t>30,1</w:t>
            </w:r>
          </w:p>
        </w:tc>
        <w:tc>
          <w:tcPr>
            <w:tcW w:w="385" w:type="pct"/>
            <w:tcBorders>
              <w:top w:val="nil"/>
              <w:left w:val="nil"/>
              <w:bottom w:val="nil"/>
              <w:right w:val="single" w:sz="4" w:space="0" w:color="auto"/>
            </w:tcBorders>
            <w:shd w:val="clear" w:color="auto" w:fill="auto"/>
            <w:vAlign w:val="bottom"/>
            <w:hideMark/>
          </w:tcPr>
          <w:p w:rsidR="006C37C4" w:rsidRPr="006C37C4" w:rsidRDefault="006C37C4" w:rsidP="006C37C4">
            <w:pPr>
              <w:spacing w:after="0" w:line="240" w:lineRule="auto"/>
              <w:jc w:val="right"/>
              <w:rPr>
                <w:rFonts w:cs="Arial"/>
                <w:color w:val="000000"/>
                <w:sz w:val="16"/>
                <w:szCs w:val="16"/>
              </w:rPr>
            </w:pPr>
            <w:r w:rsidRPr="006C37C4">
              <w:rPr>
                <w:rFonts w:cs="Arial"/>
                <w:color w:val="000000"/>
                <w:sz w:val="16"/>
                <w:szCs w:val="16"/>
              </w:rPr>
              <w:t>14,5</w:t>
            </w:r>
          </w:p>
        </w:tc>
        <w:tc>
          <w:tcPr>
            <w:tcW w:w="385" w:type="pct"/>
            <w:tcBorders>
              <w:top w:val="nil"/>
              <w:left w:val="nil"/>
              <w:bottom w:val="nil"/>
              <w:right w:val="nil"/>
            </w:tcBorders>
            <w:shd w:val="clear" w:color="auto" w:fill="auto"/>
            <w:vAlign w:val="bottom"/>
            <w:hideMark/>
          </w:tcPr>
          <w:p w:rsidR="006C37C4" w:rsidRPr="006C37C4" w:rsidRDefault="006C37C4" w:rsidP="006C37C4">
            <w:pPr>
              <w:spacing w:after="0" w:line="240" w:lineRule="auto"/>
              <w:jc w:val="right"/>
              <w:rPr>
                <w:rFonts w:cs="Arial"/>
                <w:color w:val="000000"/>
                <w:sz w:val="16"/>
                <w:szCs w:val="16"/>
              </w:rPr>
            </w:pPr>
            <w:r w:rsidRPr="006C37C4">
              <w:rPr>
                <w:rFonts w:cs="Arial"/>
                <w:color w:val="000000"/>
                <w:sz w:val="16"/>
                <w:szCs w:val="16"/>
              </w:rPr>
              <w:t>159,0</w:t>
            </w:r>
          </w:p>
        </w:tc>
        <w:tc>
          <w:tcPr>
            <w:tcW w:w="385" w:type="pct"/>
            <w:tcBorders>
              <w:top w:val="nil"/>
              <w:left w:val="nil"/>
              <w:bottom w:val="nil"/>
              <w:right w:val="nil"/>
            </w:tcBorders>
            <w:shd w:val="clear" w:color="auto" w:fill="auto"/>
            <w:vAlign w:val="bottom"/>
            <w:hideMark/>
          </w:tcPr>
          <w:p w:rsidR="006C37C4" w:rsidRPr="006C37C4" w:rsidRDefault="006C37C4" w:rsidP="006C37C4">
            <w:pPr>
              <w:spacing w:after="0" w:line="240" w:lineRule="auto"/>
              <w:jc w:val="right"/>
              <w:rPr>
                <w:rFonts w:cs="Arial"/>
                <w:color w:val="000000"/>
                <w:sz w:val="16"/>
                <w:szCs w:val="16"/>
              </w:rPr>
            </w:pPr>
            <w:r w:rsidRPr="006C37C4">
              <w:rPr>
                <w:rFonts w:cs="Arial"/>
                <w:color w:val="000000"/>
                <w:sz w:val="16"/>
                <w:szCs w:val="16"/>
              </w:rPr>
              <w:t>99,3</w:t>
            </w:r>
          </w:p>
        </w:tc>
        <w:tc>
          <w:tcPr>
            <w:tcW w:w="385" w:type="pct"/>
            <w:tcBorders>
              <w:top w:val="nil"/>
              <w:left w:val="nil"/>
              <w:bottom w:val="nil"/>
              <w:right w:val="nil"/>
            </w:tcBorders>
            <w:shd w:val="clear" w:color="auto" w:fill="auto"/>
            <w:vAlign w:val="bottom"/>
            <w:hideMark/>
          </w:tcPr>
          <w:p w:rsidR="006C37C4" w:rsidRPr="006C37C4" w:rsidRDefault="006C37C4" w:rsidP="006C37C4">
            <w:pPr>
              <w:spacing w:after="0" w:line="240" w:lineRule="auto"/>
              <w:jc w:val="right"/>
              <w:rPr>
                <w:rFonts w:cs="Arial"/>
                <w:color w:val="000000"/>
                <w:sz w:val="16"/>
                <w:szCs w:val="16"/>
              </w:rPr>
            </w:pPr>
            <w:r w:rsidRPr="006C37C4">
              <w:rPr>
                <w:rFonts w:cs="Arial"/>
                <w:color w:val="000000"/>
                <w:sz w:val="16"/>
                <w:szCs w:val="16"/>
              </w:rPr>
              <w:t>59,7</w:t>
            </w:r>
          </w:p>
        </w:tc>
      </w:tr>
      <w:tr w:rsidR="006C37C4" w:rsidRPr="006C37C4" w:rsidTr="006C37C4">
        <w:trPr>
          <w:divId w:val="1093748560"/>
          <w:trHeight w:val="300"/>
        </w:trPr>
        <w:tc>
          <w:tcPr>
            <w:tcW w:w="385" w:type="pct"/>
            <w:tcBorders>
              <w:top w:val="nil"/>
              <w:left w:val="nil"/>
              <w:bottom w:val="nil"/>
              <w:right w:val="single" w:sz="4" w:space="0" w:color="auto"/>
            </w:tcBorders>
            <w:shd w:val="clear" w:color="auto" w:fill="auto"/>
            <w:vAlign w:val="bottom"/>
            <w:hideMark/>
          </w:tcPr>
          <w:p w:rsidR="006C37C4" w:rsidRPr="006C37C4" w:rsidRDefault="006C37C4" w:rsidP="006C37C4">
            <w:pPr>
              <w:spacing w:after="0" w:line="240" w:lineRule="auto"/>
              <w:jc w:val="center"/>
              <w:rPr>
                <w:rFonts w:cs="Arial"/>
                <w:color w:val="000000"/>
                <w:sz w:val="16"/>
                <w:szCs w:val="16"/>
              </w:rPr>
            </w:pPr>
            <w:r w:rsidRPr="006C37C4">
              <w:rPr>
                <w:rFonts w:cs="Arial"/>
                <w:color w:val="000000"/>
                <w:sz w:val="16"/>
                <w:szCs w:val="16"/>
              </w:rPr>
              <w:t>2020</w:t>
            </w:r>
          </w:p>
        </w:tc>
        <w:tc>
          <w:tcPr>
            <w:tcW w:w="385" w:type="pct"/>
            <w:tcBorders>
              <w:top w:val="nil"/>
              <w:left w:val="nil"/>
              <w:bottom w:val="nil"/>
              <w:right w:val="nil"/>
            </w:tcBorders>
            <w:shd w:val="clear" w:color="auto" w:fill="auto"/>
            <w:vAlign w:val="bottom"/>
            <w:hideMark/>
          </w:tcPr>
          <w:p w:rsidR="006C37C4" w:rsidRPr="006C37C4" w:rsidRDefault="006C37C4" w:rsidP="006C37C4">
            <w:pPr>
              <w:spacing w:after="0" w:line="240" w:lineRule="auto"/>
              <w:jc w:val="right"/>
              <w:rPr>
                <w:rFonts w:cs="Arial"/>
                <w:color w:val="000000"/>
                <w:sz w:val="16"/>
                <w:szCs w:val="16"/>
              </w:rPr>
            </w:pPr>
            <w:r w:rsidRPr="006C37C4">
              <w:rPr>
                <w:rFonts w:cs="Arial"/>
                <w:color w:val="000000"/>
                <w:sz w:val="16"/>
                <w:szCs w:val="16"/>
              </w:rPr>
              <w:t>2 391,0</w:t>
            </w:r>
          </w:p>
        </w:tc>
        <w:tc>
          <w:tcPr>
            <w:tcW w:w="385" w:type="pct"/>
            <w:tcBorders>
              <w:top w:val="nil"/>
              <w:left w:val="nil"/>
              <w:bottom w:val="nil"/>
              <w:right w:val="nil"/>
            </w:tcBorders>
            <w:shd w:val="clear" w:color="auto" w:fill="auto"/>
            <w:vAlign w:val="bottom"/>
            <w:hideMark/>
          </w:tcPr>
          <w:p w:rsidR="006C37C4" w:rsidRPr="006C37C4" w:rsidRDefault="006C37C4" w:rsidP="006C37C4">
            <w:pPr>
              <w:spacing w:after="0" w:line="240" w:lineRule="auto"/>
              <w:jc w:val="right"/>
              <w:rPr>
                <w:rFonts w:cs="Arial"/>
                <w:color w:val="000000"/>
                <w:sz w:val="16"/>
                <w:szCs w:val="16"/>
              </w:rPr>
            </w:pPr>
            <w:r w:rsidRPr="006C37C4">
              <w:rPr>
                <w:rFonts w:cs="Arial"/>
                <w:color w:val="000000"/>
                <w:sz w:val="16"/>
                <w:szCs w:val="16"/>
              </w:rPr>
              <w:t>1 141,8</w:t>
            </w:r>
          </w:p>
        </w:tc>
        <w:tc>
          <w:tcPr>
            <w:tcW w:w="385" w:type="pct"/>
            <w:tcBorders>
              <w:top w:val="nil"/>
              <w:left w:val="nil"/>
              <w:bottom w:val="nil"/>
              <w:right w:val="single" w:sz="4" w:space="0" w:color="auto"/>
            </w:tcBorders>
            <w:shd w:val="clear" w:color="auto" w:fill="auto"/>
            <w:vAlign w:val="bottom"/>
            <w:hideMark/>
          </w:tcPr>
          <w:p w:rsidR="006C37C4" w:rsidRPr="006C37C4" w:rsidRDefault="006C37C4" w:rsidP="006C37C4">
            <w:pPr>
              <w:spacing w:after="0" w:line="240" w:lineRule="auto"/>
              <w:jc w:val="right"/>
              <w:rPr>
                <w:rFonts w:cs="Arial"/>
                <w:color w:val="000000"/>
                <w:sz w:val="16"/>
                <w:szCs w:val="16"/>
              </w:rPr>
            </w:pPr>
            <w:r w:rsidRPr="006C37C4">
              <w:rPr>
                <w:rFonts w:cs="Arial"/>
                <w:color w:val="000000"/>
                <w:sz w:val="16"/>
                <w:szCs w:val="16"/>
              </w:rPr>
              <w:t>1 249,2</w:t>
            </w:r>
          </w:p>
        </w:tc>
        <w:tc>
          <w:tcPr>
            <w:tcW w:w="385" w:type="pct"/>
            <w:tcBorders>
              <w:top w:val="nil"/>
              <w:left w:val="nil"/>
              <w:bottom w:val="nil"/>
              <w:right w:val="nil"/>
            </w:tcBorders>
            <w:shd w:val="clear" w:color="auto" w:fill="auto"/>
            <w:vAlign w:val="bottom"/>
            <w:hideMark/>
          </w:tcPr>
          <w:p w:rsidR="006C37C4" w:rsidRPr="006C37C4" w:rsidRDefault="006C37C4" w:rsidP="006C37C4">
            <w:pPr>
              <w:spacing w:after="0" w:line="240" w:lineRule="auto"/>
              <w:jc w:val="right"/>
              <w:rPr>
                <w:rFonts w:cs="Arial"/>
                <w:color w:val="000000"/>
                <w:sz w:val="16"/>
                <w:szCs w:val="16"/>
              </w:rPr>
            </w:pPr>
            <w:r w:rsidRPr="006C37C4">
              <w:rPr>
                <w:rFonts w:cs="Arial"/>
                <w:color w:val="000000"/>
                <w:sz w:val="16"/>
                <w:szCs w:val="16"/>
              </w:rPr>
              <w:t>2 202,7</w:t>
            </w:r>
          </w:p>
        </w:tc>
        <w:tc>
          <w:tcPr>
            <w:tcW w:w="385" w:type="pct"/>
            <w:tcBorders>
              <w:top w:val="nil"/>
              <w:left w:val="nil"/>
              <w:bottom w:val="nil"/>
              <w:right w:val="nil"/>
            </w:tcBorders>
            <w:shd w:val="clear" w:color="auto" w:fill="auto"/>
            <w:vAlign w:val="bottom"/>
            <w:hideMark/>
          </w:tcPr>
          <w:p w:rsidR="006C37C4" w:rsidRPr="006C37C4" w:rsidRDefault="006C37C4" w:rsidP="006C37C4">
            <w:pPr>
              <w:spacing w:after="0" w:line="240" w:lineRule="auto"/>
              <w:jc w:val="right"/>
              <w:rPr>
                <w:rFonts w:cs="Arial"/>
                <w:color w:val="000000"/>
                <w:sz w:val="16"/>
                <w:szCs w:val="16"/>
              </w:rPr>
            </w:pPr>
            <w:r w:rsidRPr="006C37C4">
              <w:rPr>
                <w:rFonts w:cs="Arial"/>
                <w:color w:val="000000"/>
                <w:sz w:val="16"/>
                <w:szCs w:val="16"/>
              </w:rPr>
              <w:t>1 022,3</w:t>
            </w:r>
          </w:p>
        </w:tc>
        <w:tc>
          <w:tcPr>
            <w:tcW w:w="385" w:type="pct"/>
            <w:tcBorders>
              <w:top w:val="nil"/>
              <w:left w:val="nil"/>
              <w:bottom w:val="nil"/>
              <w:right w:val="nil"/>
            </w:tcBorders>
            <w:shd w:val="clear" w:color="auto" w:fill="auto"/>
            <w:vAlign w:val="bottom"/>
            <w:hideMark/>
          </w:tcPr>
          <w:p w:rsidR="006C37C4" w:rsidRPr="006C37C4" w:rsidRDefault="006C37C4" w:rsidP="006C37C4">
            <w:pPr>
              <w:spacing w:after="0" w:line="240" w:lineRule="auto"/>
              <w:jc w:val="right"/>
              <w:rPr>
                <w:rFonts w:cs="Arial"/>
                <w:color w:val="000000"/>
                <w:sz w:val="16"/>
                <w:szCs w:val="16"/>
              </w:rPr>
            </w:pPr>
            <w:r w:rsidRPr="006C37C4">
              <w:rPr>
                <w:rFonts w:cs="Arial"/>
                <w:color w:val="000000"/>
                <w:sz w:val="16"/>
                <w:szCs w:val="16"/>
              </w:rPr>
              <w:t>1 180,4</w:t>
            </w:r>
          </w:p>
        </w:tc>
        <w:tc>
          <w:tcPr>
            <w:tcW w:w="385" w:type="pct"/>
            <w:tcBorders>
              <w:top w:val="nil"/>
              <w:left w:val="single" w:sz="4" w:space="0" w:color="auto"/>
              <w:bottom w:val="nil"/>
              <w:right w:val="nil"/>
            </w:tcBorders>
            <w:shd w:val="clear" w:color="auto" w:fill="auto"/>
            <w:vAlign w:val="bottom"/>
            <w:hideMark/>
          </w:tcPr>
          <w:p w:rsidR="006C37C4" w:rsidRPr="006C37C4" w:rsidRDefault="006C37C4" w:rsidP="006C37C4">
            <w:pPr>
              <w:spacing w:after="0" w:line="240" w:lineRule="auto"/>
              <w:jc w:val="right"/>
              <w:rPr>
                <w:rFonts w:cs="Arial"/>
                <w:color w:val="000000"/>
                <w:sz w:val="16"/>
                <w:szCs w:val="16"/>
              </w:rPr>
            </w:pPr>
            <w:r w:rsidRPr="006C37C4">
              <w:rPr>
                <w:rFonts w:cs="Arial"/>
                <w:color w:val="000000"/>
                <w:sz w:val="16"/>
                <w:szCs w:val="16"/>
              </w:rPr>
              <w:t>41,4</w:t>
            </w:r>
          </w:p>
        </w:tc>
        <w:tc>
          <w:tcPr>
            <w:tcW w:w="385" w:type="pct"/>
            <w:tcBorders>
              <w:top w:val="nil"/>
              <w:left w:val="nil"/>
              <w:bottom w:val="nil"/>
              <w:right w:val="nil"/>
            </w:tcBorders>
            <w:shd w:val="clear" w:color="auto" w:fill="auto"/>
            <w:vAlign w:val="bottom"/>
            <w:hideMark/>
          </w:tcPr>
          <w:p w:rsidR="006C37C4" w:rsidRPr="006C37C4" w:rsidRDefault="006C37C4" w:rsidP="006C37C4">
            <w:pPr>
              <w:spacing w:after="0" w:line="240" w:lineRule="auto"/>
              <w:jc w:val="right"/>
              <w:rPr>
                <w:rFonts w:cs="Arial"/>
                <w:color w:val="000000"/>
                <w:sz w:val="16"/>
                <w:szCs w:val="16"/>
              </w:rPr>
            </w:pPr>
            <w:r w:rsidRPr="006C37C4">
              <w:rPr>
                <w:rFonts w:cs="Arial"/>
                <w:color w:val="000000"/>
                <w:sz w:val="16"/>
                <w:szCs w:val="16"/>
              </w:rPr>
              <w:t>28,7</w:t>
            </w:r>
          </w:p>
        </w:tc>
        <w:tc>
          <w:tcPr>
            <w:tcW w:w="385" w:type="pct"/>
            <w:tcBorders>
              <w:top w:val="nil"/>
              <w:left w:val="nil"/>
              <w:bottom w:val="nil"/>
              <w:right w:val="single" w:sz="4" w:space="0" w:color="auto"/>
            </w:tcBorders>
            <w:shd w:val="clear" w:color="auto" w:fill="auto"/>
            <w:vAlign w:val="bottom"/>
            <w:hideMark/>
          </w:tcPr>
          <w:p w:rsidR="006C37C4" w:rsidRPr="006C37C4" w:rsidRDefault="006C37C4" w:rsidP="006C37C4">
            <w:pPr>
              <w:spacing w:after="0" w:line="240" w:lineRule="auto"/>
              <w:jc w:val="right"/>
              <w:rPr>
                <w:rFonts w:cs="Arial"/>
                <w:color w:val="000000"/>
                <w:sz w:val="16"/>
                <w:szCs w:val="16"/>
              </w:rPr>
            </w:pPr>
            <w:r w:rsidRPr="006C37C4">
              <w:rPr>
                <w:rFonts w:cs="Arial"/>
                <w:color w:val="000000"/>
                <w:sz w:val="16"/>
                <w:szCs w:val="16"/>
              </w:rPr>
              <w:t>12,7</w:t>
            </w:r>
          </w:p>
        </w:tc>
        <w:tc>
          <w:tcPr>
            <w:tcW w:w="385" w:type="pct"/>
            <w:tcBorders>
              <w:top w:val="nil"/>
              <w:left w:val="nil"/>
              <w:bottom w:val="nil"/>
              <w:right w:val="nil"/>
            </w:tcBorders>
            <w:shd w:val="clear" w:color="auto" w:fill="auto"/>
            <w:vAlign w:val="bottom"/>
            <w:hideMark/>
          </w:tcPr>
          <w:p w:rsidR="006C37C4" w:rsidRPr="006C37C4" w:rsidRDefault="006C37C4" w:rsidP="006C37C4">
            <w:pPr>
              <w:spacing w:after="0" w:line="240" w:lineRule="auto"/>
              <w:jc w:val="right"/>
              <w:rPr>
                <w:rFonts w:cs="Arial"/>
                <w:color w:val="000000"/>
                <w:sz w:val="16"/>
                <w:szCs w:val="16"/>
              </w:rPr>
            </w:pPr>
            <w:r w:rsidRPr="006C37C4">
              <w:rPr>
                <w:rFonts w:cs="Arial"/>
                <w:color w:val="000000"/>
                <w:sz w:val="16"/>
                <w:szCs w:val="16"/>
              </w:rPr>
              <w:t>147,0</w:t>
            </w:r>
          </w:p>
        </w:tc>
        <w:tc>
          <w:tcPr>
            <w:tcW w:w="385" w:type="pct"/>
            <w:tcBorders>
              <w:top w:val="nil"/>
              <w:left w:val="nil"/>
              <w:bottom w:val="nil"/>
              <w:right w:val="nil"/>
            </w:tcBorders>
            <w:shd w:val="clear" w:color="auto" w:fill="auto"/>
            <w:vAlign w:val="bottom"/>
            <w:hideMark/>
          </w:tcPr>
          <w:p w:rsidR="006C37C4" w:rsidRPr="006C37C4" w:rsidRDefault="006C37C4" w:rsidP="006C37C4">
            <w:pPr>
              <w:spacing w:after="0" w:line="240" w:lineRule="auto"/>
              <w:jc w:val="right"/>
              <w:rPr>
                <w:rFonts w:cs="Arial"/>
                <w:color w:val="000000"/>
                <w:sz w:val="16"/>
                <w:szCs w:val="16"/>
              </w:rPr>
            </w:pPr>
            <w:r w:rsidRPr="006C37C4">
              <w:rPr>
                <w:rFonts w:cs="Arial"/>
                <w:color w:val="000000"/>
                <w:sz w:val="16"/>
                <w:szCs w:val="16"/>
              </w:rPr>
              <w:t>90,9</w:t>
            </w:r>
          </w:p>
        </w:tc>
        <w:tc>
          <w:tcPr>
            <w:tcW w:w="385" w:type="pct"/>
            <w:tcBorders>
              <w:top w:val="nil"/>
              <w:left w:val="nil"/>
              <w:bottom w:val="nil"/>
              <w:right w:val="nil"/>
            </w:tcBorders>
            <w:shd w:val="clear" w:color="auto" w:fill="auto"/>
            <w:vAlign w:val="bottom"/>
            <w:hideMark/>
          </w:tcPr>
          <w:p w:rsidR="006C37C4" w:rsidRPr="006C37C4" w:rsidRDefault="006C37C4" w:rsidP="006C37C4">
            <w:pPr>
              <w:spacing w:after="0" w:line="240" w:lineRule="auto"/>
              <w:jc w:val="right"/>
              <w:rPr>
                <w:rFonts w:cs="Arial"/>
                <w:color w:val="000000"/>
                <w:sz w:val="16"/>
                <w:szCs w:val="16"/>
              </w:rPr>
            </w:pPr>
            <w:r w:rsidRPr="006C37C4">
              <w:rPr>
                <w:rFonts w:cs="Arial"/>
                <w:color w:val="000000"/>
                <w:sz w:val="16"/>
                <w:szCs w:val="16"/>
              </w:rPr>
              <w:t>56,1</w:t>
            </w:r>
          </w:p>
        </w:tc>
      </w:tr>
      <w:tr w:rsidR="006C37C4" w:rsidRPr="006C37C4" w:rsidTr="006C37C4">
        <w:trPr>
          <w:divId w:val="1093748560"/>
          <w:trHeight w:val="300"/>
        </w:trPr>
        <w:tc>
          <w:tcPr>
            <w:tcW w:w="385" w:type="pct"/>
            <w:tcBorders>
              <w:top w:val="nil"/>
              <w:left w:val="nil"/>
              <w:bottom w:val="nil"/>
              <w:right w:val="single" w:sz="4" w:space="0" w:color="auto"/>
            </w:tcBorders>
            <w:shd w:val="clear" w:color="auto" w:fill="auto"/>
            <w:vAlign w:val="bottom"/>
            <w:hideMark/>
          </w:tcPr>
          <w:p w:rsidR="006C37C4" w:rsidRPr="006C37C4" w:rsidRDefault="006C37C4" w:rsidP="006C37C4">
            <w:pPr>
              <w:spacing w:after="0" w:line="240" w:lineRule="auto"/>
              <w:jc w:val="center"/>
              <w:rPr>
                <w:rFonts w:cs="Arial"/>
                <w:color w:val="000000"/>
                <w:sz w:val="16"/>
                <w:szCs w:val="16"/>
              </w:rPr>
            </w:pPr>
            <w:r w:rsidRPr="006C37C4">
              <w:rPr>
                <w:rFonts w:cs="Arial"/>
                <w:color w:val="000000"/>
                <w:sz w:val="16"/>
                <w:szCs w:val="16"/>
              </w:rPr>
              <w:t>2021</w:t>
            </w:r>
          </w:p>
        </w:tc>
        <w:tc>
          <w:tcPr>
            <w:tcW w:w="385" w:type="pct"/>
            <w:tcBorders>
              <w:top w:val="nil"/>
              <w:left w:val="nil"/>
              <w:bottom w:val="nil"/>
              <w:right w:val="nil"/>
            </w:tcBorders>
            <w:shd w:val="clear" w:color="auto" w:fill="auto"/>
            <w:noWrap/>
            <w:vAlign w:val="bottom"/>
            <w:hideMark/>
          </w:tcPr>
          <w:p w:rsidR="006C37C4" w:rsidRPr="006C37C4" w:rsidRDefault="006C37C4" w:rsidP="006C37C4">
            <w:pPr>
              <w:spacing w:after="0" w:line="240" w:lineRule="auto"/>
              <w:jc w:val="right"/>
              <w:rPr>
                <w:rFonts w:cs="Arial"/>
                <w:color w:val="000000"/>
                <w:sz w:val="16"/>
                <w:szCs w:val="16"/>
              </w:rPr>
            </w:pPr>
            <w:r w:rsidRPr="006C37C4">
              <w:rPr>
                <w:rFonts w:cs="Arial"/>
                <w:color w:val="000000"/>
                <w:sz w:val="16"/>
                <w:szCs w:val="16"/>
              </w:rPr>
              <w:t>2 754,8</w:t>
            </w:r>
          </w:p>
        </w:tc>
        <w:tc>
          <w:tcPr>
            <w:tcW w:w="385" w:type="pct"/>
            <w:tcBorders>
              <w:top w:val="nil"/>
              <w:left w:val="nil"/>
              <w:bottom w:val="nil"/>
              <w:right w:val="nil"/>
            </w:tcBorders>
            <w:shd w:val="clear" w:color="auto" w:fill="auto"/>
            <w:vAlign w:val="bottom"/>
            <w:hideMark/>
          </w:tcPr>
          <w:p w:rsidR="006C37C4" w:rsidRPr="006C37C4" w:rsidRDefault="006C37C4" w:rsidP="006C37C4">
            <w:pPr>
              <w:spacing w:after="0" w:line="240" w:lineRule="auto"/>
              <w:jc w:val="right"/>
              <w:rPr>
                <w:rFonts w:cs="Arial"/>
                <w:color w:val="000000"/>
                <w:sz w:val="16"/>
                <w:szCs w:val="16"/>
              </w:rPr>
            </w:pPr>
            <w:r w:rsidRPr="006C37C4">
              <w:rPr>
                <w:rFonts w:cs="Arial"/>
                <w:color w:val="000000"/>
                <w:sz w:val="16"/>
                <w:szCs w:val="16"/>
              </w:rPr>
              <w:t>1 342,9</w:t>
            </w:r>
          </w:p>
        </w:tc>
        <w:tc>
          <w:tcPr>
            <w:tcW w:w="385" w:type="pct"/>
            <w:tcBorders>
              <w:top w:val="nil"/>
              <w:left w:val="nil"/>
              <w:bottom w:val="nil"/>
              <w:right w:val="single" w:sz="4" w:space="0" w:color="auto"/>
            </w:tcBorders>
            <w:shd w:val="clear" w:color="auto" w:fill="auto"/>
            <w:noWrap/>
            <w:vAlign w:val="bottom"/>
            <w:hideMark/>
          </w:tcPr>
          <w:p w:rsidR="006C37C4" w:rsidRPr="006C37C4" w:rsidRDefault="006C37C4" w:rsidP="006C37C4">
            <w:pPr>
              <w:spacing w:after="0" w:line="240" w:lineRule="auto"/>
              <w:jc w:val="right"/>
              <w:rPr>
                <w:rFonts w:cs="Arial"/>
                <w:color w:val="000000"/>
                <w:sz w:val="16"/>
                <w:szCs w:val="16"/>
              </w:rPr>
            </w:pPr>
            <w:r w:rsidRPr="006C37C4">
              <w:rPr>
                <w:rFonts w:cs="Arial"/>
                <w:color w:val="000000"/>
                <w:sz w:val="16"/>
                <w:szCs w:val="16"/>
              </w:rPr>
              <w:t>1 411,9</w:t>
            </w:r>
          </w:p>
        </w:tc>
        <w:tc>
          <w:tcPr>
            <w:tcW w:w="385" w:type="pct"/>
            <w:tcBorders>
              <w:top w:val="nil"/>
              <w:left w:val="nil"/>
              <w:bottom w:val="nil"/>
              <w:right w:val="nil"/>
            </w:tcBorders>
            <w:shd w:val="clear" w:color="auto" w:fill="auto"/>
            <w:noWrap/>
            <w:vAlign w:val="bottom"/>
            <w:hideMark/>
          </w:tcPr>
          <w:p w:rsidR="006C37C4" w:rsidRPr="006C37C4" w:rsidRDefault="006C37C4" w:rsidP="006C37C4">
            <w:pPr>
              <w:spacing w:after="0" w:line="240" w:lineRule="auto"/>
              <w:jc w:val="right"/>
              <w:rPr>
                <w:rFonts w:cs="Arial"/>
                <w:color w:val="000000"/>
                <w:sz w:val="16"/>
                <w:szCs w:val="16"/>
              </w:rPr>
            </w:pPr>
            <w:r w:rsidRPr="006C37C4">
              <w:rPr>
                <w:rFonts w:cs="Arial"/>
                <w:color w:val="000000"/>
                <w:sz w:val="16"/>
                <w:szCs w:val="16"/>
              </w:rPr>
              <w:t>2 549,7</w:t>
            </w:r>
          </w:p>
        </w:tc>
        <w:tc>
          <w:tcPr>
            <w:tcW w:w="385" w:type="pct"/>
            <w:tcBorders>
              <w:top w:val="nil"/>
              <w:left w:val="nil"/>
              <w:bottom w:val="nil"/>
              <w:right w:val="nil"/>
            </w:tcBorders>
            <w:shd w:val="clear" w:color="auto" w:fill="auto"/>
            <w:vAlign w:val="bottom"/>
            <w:hideMark/>
          </w:tcPr>
          <w:p w:rsidR="006C37C4" w:rsidRPr="006C37C4" w:rsidRDefault="006C37C4" w:rsidP="006C37C4">
            <w:pPr>
              <w:spacing w:after="0" w:line="240" w:lineRule="auto"/>
              <w:jc w:val="right"/>
              <w:rPr>
                <w:rFonts w:cs="Arial"/>
                <w:color w:val="000000"/>
                <w:sz w:val="16"/>
                <w:szCs w:val="16"/>
              </w:rPr>
            </w:pPr>
            <w:r w:rsidRPr="006C37C4">
              <w:rPr>
                <w:rFonts w:cs="Arial"/>
                <w:color w:val="000000"/>
                <w:sz w:val="16"/>
                <w:szCs w:val="16"/>
              </w:rPr>
              <w:t>1 213,5</w:t>
            </w:r>
          </w:p>
        </w:tc>
        <w:tc>
          <w:tcPr>
            <w:tcW w:w="385" w:type="pct"/>
            <w:tcBorders>
              <w:top w:val="nil"/>
              <w:left w:val="nil"/>
              <w:bottom w:val="nil"/>
              <w:right w:val="single" w:sz="4" w:space="0" w:color="auto"/>
            </w:tcBorders>
            <w:shd w:val="clear" w:color="auto" w:fill="auto"/>
            <w:noWrap/>
            <w:vAlign w:val="bottom"/>
            <w:hideMark/>
          </w:tcPr>
          <w:p w:rsidR="006C37C4" w:rsidRPr="006C37C4" w:rsidRDefault="006C37C4" w:rsidP="006C37C4">
            <w:pPr>
              <w:spacing w:after="0" w:line="240" w:lineRule="auto"/>
              <w:jc w:val="right"/>
              <w:rPr>
                <w:rFonts w:cs="Arial"/>
                <w:color w:val="000000"/>
                <w:sz w:val="16"/>
                <w:szCs w:val="16"/>
              </w:rPr>
            </w:pPr>
            <w:r w:rsidRPr="006C37C4">
              <w:rPr>
                <w:rFonts w:cs="Arial"/>
                <w:color w:val="000000"/>
                <w:sz w:val="16"/>
                <w:szCs w:val="16"/>
              </w:rPr>
              <w:t>1 336,3</w:t>
            </w:r>
          </w:p>
        </w:tc>
        <w:tc>
          <w:tcPr>
            <w:tcW w:w="385" w:type="pct"/>
            <w:tcBorders>
              <w:top w:val="nil"/>
              <w:left w:val="nil"/>
              <w:bottom w:val="nil"/>
              <w:right w:val="nil"/>
            </w:tcBorders>
            <w:shd w:val="clear" w:color="auto" w:fill="auto"/>
            <w:noWrap/>
            <w:vAlign w:val="bottom"/>
            <w:hideMark/>
          </w:tcPr>
          <w:p w:rsidR="006C37C4" w:rsidRPr="006C37C4" w:rsidRDefault="006C37C4" w:rsidP="006C37C4">
            <w:pPr>
              <w:spacing w:after="0" w:line="240" w:lineRule="auto"/>
              <w:jc w:val="right"/>
              <w:rPr>
                <w:rFonts w:cs="Arial"/>
                <w:color w:val="000000"/>
                <w:sz w:val="16"/>
                <w:szCs w:val="16"/>
              </w:rPr>
            </w:pPr>
            <w:r w:rsidRPr="006C37C4">
              <w:rPr>
                <w:rFonts w:cs="Arial"/>
                <w:color w:val="000000"/>
                <w:sz w:val="16"/>
                <w:szCs w:val="16"/>
              </w:rPr>
              <w:t>44,9</w:t>
            </w:r>
          </w:p>
        </w:tc>
        <w:tc>
          <w:tcPr>
            <w:tcW w:w="385" w:type="pct"/>
            <w:tcBorders>
              <w:top w:val="nil"/>
              <w:left w:val="nil"/>
              <w:bottom w:val="nil"/>
              <w:right w:val="nil"/>
            </w:tcBorders>
            <w:shd w:val="clear" w:color="auto" w:fill="auto"/>
            <w:vAlign w:val="bottom"/>
            <w:hideMark/>
          </w:tcPr>
          <w:p w:rsidR="006C37C4" w:rsidRPr="006C37C4" w:rsidRDefault="006C37C4" w:rsidP="006C37C4">
            <w:pPr>
              <w:spacing w:after="0" w:line="240" w:lineRule="auto"/>
              <w:jc w:val="right"/>
              <w:rPr>
                <w:rFonts w:cs="Arial"/>
                <w:color w:val="000000"/>
                <w:sz w:val="16"/>
                <w:szCs w:val="16"/>
              </w:rPr>
            </w:pPr>
            <w:r w:rsidRPr="006C37C4">
              <w:rPr>
                <w:rFonts w:cs="Arial"/>
                <w:color w:val="000000"/>
                <w:sz w:val="16"/>
                <w:szCs w:val="16"/>
              </w:rPr>
              <w:t>31,1</w:t>
            </w:r>
          </w:p>
        </w:tc>
        <w:tc>
          <w:tcPr>
            <w:tcW w:w="385" w:type="pct"/>
            <w:tcBorders>
              <w:top w:val="nil"/>
              <w:left w:val="nil"/>
              <w:bottom w:val="nil"/>
              <w:right w:val="single" w:sz="4" w:space="0" w:color="auto"/>
            </w:tcBorders>
            <w:shd w:val="clear" w:color="auto" w:fill="auto"/>
            <w:noWrap/>
            <w:vAlign w:val="bottom"/>
            <w:hideMark/>
          </w:tcPr>
          <w:p w:rsidR="006C37C4" w:rsidRPr="006C37C4" w:rsidRDefault="006C37C4" w:rsidP="006C37C4">
            <w:pPr>
              <w:spacing w:after="0" w:line="240" w:lineRule="auto"/>
              <w:jc w:val="right"/>
              <w:rPr>
                <w:rFonts w:cs="Arial"/>
                <w:color w:val="000000"/>
                <w:sz w:val="16"/>
                <w:szCs w:val="16"/>
              </w:rPr>
            </w:pPr>
            <w:r w:rsidRPr="006C37C4">
              <w:rPr>
                <w:rFonts w:cs="Arial"/>
                <w:color w:val="000000"/>
                <w:sz w:val="16"/>
                <w:szCs w:val="16"/>
              </w:rPr>
              <w:t>13,8</w:t>
            </w:r>
          </w:p>
        </w:tc>
        <w:tc>
          <w:tcPr>
            <w:tcW w:w="385" w:type="pct"/>
            <w:tcBorders>
              <w:top w:val="nil"/>
              <w:left w:val="nil"/>
              <w:bottom w:val="nil"/>
              <w:right w:val="nil"/>
            </w:tcBorders>
            <w:shd w:val="clear" w:color="auto" w:fill="auto"/>
            <w:noWrap/>
            <w:vAlign w:val="bottom"/>
            <w:hideMark/>
          </w:tcPr>
          <w:p w:rsidR="006C37C4" w:rsidRPr="006C37C4" w:rsidRDefault="006C37C4" w:rsidP="006C37C4">
            <w:pPr>
              <w:spacing w:after="0" w:line="240" w:lineRule="auto"/>
              <w:jc w:val="right"/>
              <w:rPr>
                <w:rFonts w:cs="Arial"/>
                <w:color w:val="000000"/>
                <w:sz w:val="16"/>
                <w:szCs w:val="16"/>
              </w:rPr>
            </w:pPr>
            <w:r w:rsidRPr="006C37C4">
              <w:rPr>
                <w:rFonts w:cs="Arial"/>
                <w:color w:val="000000"/>
                <w:sz w:val="16"/>
                <w:szCs w:val="16"/>
              </w:rPr>
              <w:t>160,1</w:t>
            </w:r>
          </w:p>
        </w:tc>
        <w:tc>
          <w:tcPr>
            <w:tcW w:w="385" w:type="pct"/>
            <w:tcBorders>
              <w:top w:val="nil"/>
              <w:left w:val="nil"/>
              <w:bottom w:val="nil"/>
              <w:right w:val="nil"/>
            </w:tcBorders>
            <w:shd w:val="clear" w:color="auto" w:fill="auto"/>
            <w:vAlign w:val="bottom"/>
            <w:hideMark/>
          </w:tcPr>
          <w:p w:rsidR="006C37C4" w:rsidRPr="006C37C4" w:rsidRDefault="006C37C4" w:rsidP="006C37C4">
            <w:pPr>
              <w:spacing w:after="0" w:line="240" w:lineRule="auto"/>
              <w:jc w:val="right"/>
              <w:rPr>
                <w:rFonts w:cs="Arial"/>
                <w:color w:val="000000"/>
                <w:sz w:val="16"/>
                <w:szCs w:val="16"/>
              </w:rPr>
            </w:pPr>
            <w:r w:rsidRPr="006C37C4">
              <w:rPr>
                <w:rFonts w:cs="Arial"/>
                <w:color w:val="000000"/>
                <w:sz w:val="16"/>
                <w:szCs w:val="16"/>
              </w:rPr>
              <w:t>98,3</w:t>
            </w:r>
          </w:p>
        </w:tc>
        <w:tc>
          <w:tcPr>
            <w:tcW w:w="385" w:type="pct"/>
            <w:tcBorders>
              <w:top w:val="nil"/>
              <w:left w:val="nil"/>
              <w:bottom w:val="nil"/>
              <w:right w:val="nil"/>
            </w:tcBorders>
            <w:shd w:val="clear" w:color="auto" w:fill="auto"/>
            <w:noWrap/>
            <w:vAlign w:val="bottom"/>
            <w:hideMark/>
          </w:tcPr>
          <w:p w:rsidR="006C37C4" w:rsidRPr="006C37C4" w:rsidRDefault="006C37C4" w:rsidP="006C37C4">
            <w:pPr>
              <w:spacing w:after="0" w:line="240" w:lineRule="auto"/>
              <w:jc w:val="right"/>
              <w:rPr>
                <w:rFonts w:cs="Arial"/>
                <w:color w:val="000000"/>
                <w:sz w:val="16"/>
                <w:szCs w:val="16"/>
              </w:rPr>
            </w:pPr>
            <w:r w:rsidRPr="006C37C4">
              <w:rPr>
                <w:rFonts w:cs="Arial"/>
                <w:color w:val="000000"/>
                <w:sz w:val="16"/>
                <w:szCs w:val="16"/>
              </w:rPr>
              <w:t>61,8</w:t>
            </w:r>
          </w:p>
        </w:tc>
      </w:tr>
      <w:tr w:rsidR="006C37C4" w:rsidRPr="006C37C4" w:rsidTr="006C37C4">
        <w:trPr>
          <w:divId w:val="1093748560"/>
          <w:trHeight w:val="300"/>
        </w:trPr>
        <w:tc>
          <w:tcPr>
            <w:tcW w:w="385" w:type="pct"/>
            <w:tcBorders>
              <w:top w:val="nil"/>
              <w:left w:val="nil"/>
              <w:bottom w:val="nil"/>
              <w:right w:val="single" w:sz="4" w:space="0" w:color="auto"/>
            </w:tcBorders>
            <w:shd w:val="clear" w:color="auto" w:fill="auto"/>
            <w:vAlign w:val="bottom"/>
            <w:hideMark/>
          </w:tcPr>
          <w:p w:rsidR="006C37C4" w:rsidRPr="006C37C4" w:rsidRDefault="006C37C4" w:rsidP="001B4720">
            <w:pPr>
              <w:spacing w:after="0" w:line="240" w:lineRule="auto"/>
              <w:jc w:val="center"/>
              <w:rPr>
                <w:rFonts w:cs="Arial"/>
                <w:color w:val="000000"/>
                <w:sz w:val="16"/>
                <w:szCs w:val="16"/>
              </w:rPr>
            </w:pPr>
            <w:r w:rsidRPr="006C37C4">
              <w:rPr>
                <w:rFonts w:cs="Arial"/>
                <w:color w:val="000000"/>
                <w:sz w:val="16"/>
                <w:szCs w:val="16"/>
              </w:rPr>
              <w:t>2022</w:t>
            </w:r>
          </w:p>
        </w:tc>
        <w:tc>
          <w:tcPr>
            <w:tcW w:w="385" w:type="pct"/>
            <w:tcBorders>
              <w:top w:val="nil"/>
              <w:left w:val="nil"/>
              <w:bottom w:val="nil"/>
              <w:right w:val="nil"/>
            </w:tcBorders>
            <w:shd w:val="clear" w:color="auto" w:fill="auto"/>
            <w:noWrap/>
            <w:vAlign w:val="bottom"/>
            <w:hideMark/>
          </w:tcPr>
          <w:p w:rsidR="006C37C4" w:rsidRPr="006C37C4" w:rsidRDefault="006C37C4" w:rsidP="006C37C4">
            <w:pPr>
              <w:spacing w:after="0" w:line="240" w:lineRule="auto"/>
              <w:jc w:val="right"/>
              <w:rPr>
                <w:rFonts w:cs="Arial"/>
                <w:color w:val="000000"/>
                <w:sz w:val="16"/>
                <w:szCs w:val="16"/>
              </w:rPr>
            </w:pPr>
            <w:r w:rsidRPr="006C37C4">
              <w:rPr>
                <w:rFonts w:cs="Arial"/>
                <w:color w:val="000000"/>
                <w:sz w:val="16"/>
                <w:szCs w:val="16"/>
              </w:rPr>
              <w:t>3 457,6</w:t>
            </w:r>
          </w:p>
        </w:tc>
        <w:tc>
          <w:tcPr>
            <w:tcW w:w="385" w:type="pct"/>
            <w:tcBorders>
              <w:top w:val="nil"/>
              <w:left w:val="nil"/>
              <w:bottom w:val="nil"/>
              <w:right w:val="nil"/>
            </w:tcBorders>
            <w:shd w:val="clear" w:color="auto" w:fill="auto"/>
            <w:vAlign w:val="bottom"/>
            <w:hideMark/>
          </w:tcPr>
          <w:p w:rsidR="006C37C4" w:rsidRPr="006C37C4" w:rsidRDefault="006C37C4" w:rsidP="006C37C4">
            <w:pPr>
              <w:spacing w:after="0" w:line="240" w:lineRule="auto"/>
              <w:jc w:val="right"/>
              <w:rPr>
                <w:rFonts w:cs="Arial"/>
                <w:color w:val="000000"/>
                <w:sz w:val="16"/>
                <w:szCs w:val="16"/>
              </w:rPr>
            </w:pPr>
            <w:r w:rsidRPr="006C37C4">
              <w:rPr>
                <w:rFonts w:cs="Arial"/>
                <w:color w:val="000000"/>
                <w:sz w:val="16"/>
                <w:szCs w:val="16"/>
              </w:rPr>
              <w:t>1 588,5</w:t>
            </w:r>
          </w:p>
        </w:tc>
        <w:tc>
          <w:tcPr>
            <w:tcW w:w="385" w:type="pct"/>
            <w:tcBorders>
              <w:top w:val="nil"/>
              <w:left w:val="nil"/>
              <w:bottom w:val="nil"/>
              <w:right w:val="single" w:sz="4" w:space="0" w:color="auto"/>
            </w:tcBorders>
            <w:shd w:val="clear" w:color="auto" w:fill="auto"/>
            <w:noWrap/>
            <w:vAlign w:val="bottom"/>
            <w:hideMark/>
          </w:tcPr>
          <w:p w:rsidR="006C37C4" w:rsidRPr="006C37C4" w:rsidRDefault="006C37C4" w:rsidP="006C37C4">
            <w:pPr>
              <w:spacing w:after="0" w:line="240" w:lineRule="auto"/>
              <w:jc w:val="right"/>
              <w:rPr>
                <w:rFonts w:cs="Arial"/>
                <w:color w:val="000000"/>
                <w:sz w:val="16"/>
                <w:szCs w:val="16"/>
              </w:rPr>
            </w:pPr>
            <w:r w:rsidRPr="006C37C4">
              <w:rPr>
                <w:rFonts w:cs="Arial"/>
                <w:color w:val="000000"/>
                <w:sz w:val="16"/>
                <w:szCs w:val="16"/>
              </w:rPr>
              <w:t>1 869,1</w:t>
            </w:r>
          </w:p>
        </w:tc>
        <w:tc>
          <w:tcPr>
            <w:tcW w:w="385" w:type="pct"/>
            <w:tcBorders>
              <w:top w:val="nil"/>
              <w:left w:val="nil"/>
              <w:bottom w:val="nil"/>
              <w:right w:val="nil"/>
            </w:tcBorders>
            <w:shd w:val="clear" w:color="auto" w:fill="auto"/>
            <w:noWrap/>
            <w:vAlign w:val="bottom"/>
            <w:hideMark/>
          </w:tcPr>
          <w:p w:rsidR="006C37C4" w:rsidRPr="006C37C4" w:rsidRDefault="006C37C4" w:rsidP="006C37C4">
            <w:pPr>
              <w:spacing w:after="0" w:line="240" w:lineRule="auto"/>
              <w:jc w:val="right"/>
              <w:rPr>
                <w:rFonts w:cs="Arial"/>
                <w:color w:val="000000"/>
                <w:sz w:val="16"/>
                <w:szCs w:val="16"/>
              </w:rPr>
            </w:pPr>
            <w:r w:rsidRPr="006C37C4">
              <w:rPr>
                <w:rFonts w:cs="Arial"/>
                <w:color w:val="000000"/>
                <w:sz w:val="16"/>
                <w:szCs w:val="16"/>
              </w:rPr>
              <w:t>3 240,3</w:t>
            </w:r>
          </w:p>
        </w:tc>
        <w:tc>
          <w:tcPr>
            <w:tcW w:w="385" w:type="pct"/>
            <w:tcBorders>
              <w:top w:val="nil"/>
              <w:left w:val="nil"/>
              <w:bottom w:val="nil"/>
              <w:right w:val="nil"/>
            </w:tcBorders>
            <w:shd w:val="clear" w:color="auto" w:fill="auto"/>
            <w:vAlign w:val="bottom"/>
            <w:hideMark/>
          </w:tcPr>
          <w:p w:rsidR="006C37C4" w:rsidRPr="006C37C4" w:rsidRDefault="006C37C4" w:rsidP="006C37C4">
            <w:pPr>
              <w:spacing w:after="0" w:line="240" w:lineRule="auto"/>
              <w:jc w:val="right"/>
              <w:rPr>
                <w:rFonts w:cs="Arial"/>
                <w:color w:val="000000"/>
                <w:sz w:val="16"/>
                <w:szCs w:val="16"/>
              </w:rPr>
            </w:pPr>
            <w:r w:rsidRPr="006C37C4">
              <w:rPr>
                <w:rFonts w:cs="Arial"/>
                <w:color w:val="000000"/>
                <w:sz w:val="16"/>
                <w:szCs w:val="16"/>
              </w:rPr>
              <w:t>1 453,3</w:t>
            </w:r>
          </w:p>
        </w:tc>
        <w:tc>
          <w:tcPr>
            <w:tcW w:w="385" w:type="pct"/>
            <w:tcBorders>
              <w:top w:val="nil"/>
              <w:left w:val="nil"/>
              <w:bottom w:val="nil"/>
              <w:right w:val="single" w:sz="4" w:space="0" w:color="auto"/>
            </w:tcBorders>
            <w:shd w:val="clear" w:color="auto" w:fill="auto"/>
            <w:noWrap/>
            <w:vAlign w:val="bottom"/>
            <w:hideMark/>
          </w:tcPr>
          <w:p w:rsidR="006C37C4" w:rsidRPr="006C37C4" w:rsidRDefault="006C37C4" w:rsidP="006C37C4">
            <w:pPr>
              <w:spacing w:after="0" w:line="240" w:lineRule="auto"/>
              <w:jc w:val="right"/>
              <w:rPr>
                <w:rFonts w:cs="Arial"/>
                <w:color w:val="000000"/>
                <w:sz w:val="16"/>
                <w:szCs w:val="16"/>
              </w:rPr>
            </w:pPr>
            <w:r w:rsidRPr="006C37C4">
              <w:rPr>
                <w:rFonts w:cs="Arial"/>
                <w:color w:val="000000"/>
                <w:sz w:val="16"/>
                <w:szCs w:val="16"/>
              </w:rPr>
              <w:t>1 787,1</w:t>
            </w:r>
          </w:p>
        </w:tc>
        <w:tc>
          <w:tcPr>
            <w:tcW w:w="385" w:type="pct"/>
            <w:tcBorders>
              <w:top w:val="nil"/>
              <w:left w:val="nil"/>
              <w:bottom w:val="nil"/>
              <w:right w:val="nil"/>
            </w:tcBorders>
            <w:shd w:val="clear" w:color="auto" w:fill="auto"/>
            <w:noWrap/>
            <w:vAlign w:val="bottom"/>
            <w:hideMark/>
          </w:tcPr>
          <w:p w:rsidR="006C37C4" w:rsidRPr="006C37C4" w:rsidRDefault="006C37C4" w:rsidP="006C37C4">
            <w:pPr>
              <w:spacing w:after="0" w:line="240" w:lineRule="auto"/>
              <w:jc w:val="right"/>
              <w:rPr>
                <w:rFonts w:cs="Arial"/>
                <w:color w:val="000000"/>
                <w:sz w:val="16"/>
                <w:szCs w:val="16"/>
              </w:rPr>
            </w:pPr>
            <w:r w:rsidRPr="006C37C4">
              <w:rPr>
                <w:rFonts w:cs="Arial"/>
                <w:color w:val="000000"/>
                <w:sz w:val="16"/>
                <w:szCs w:val="16"/>
              </w:rPr>
              <w:t>44,6</w:t>
            </w:r>
          </w:p>
        </w:tc>
        <w:tc>
          <w:tcPr>
            <w:tcW w:w="385" w:type="pct"/>
            <w:tcBorders>
              <w:top w:val="nil"/>
              <w:left w:val="nil"/>
              <w:bottom w:val="nil"/>
              <w:right w:val="nil"/>
            </w:tcBorders>
            <w:shd w:val="clear" w:color="auto" w:fill="auto"/>
            <w:vAlign w:val="bottom"/>
            <w:hideMark/>
          </w:tcPr>
          <w:p w:rsidR="006C37C4" w:rsidRPr="006C37C4" w:rsidRDefault="006C37C4" w:rsidP="006C37C4">
            <w:pPr>
              <w:spacing w:after="0" w:line="240" w:lineRule="auto"/>
              <w:jc w:val="right"/>
              <w:rPr>
                <w:rFonts w:cs="Arial"/>
                <w:color w:val="000000"/>
                <w:sz w:val="16"/>
                <w:szCs w:val="16"/>
              </w:rPr>
            </w:pPr>
            <w:r w:rsidRPr="006C37C4">
              <w:rPr>
                <w:rFonts w:cs="Arial"/>
                <w:color w:val="000000"/>
                <w:sz w:val="16"/>
                <w:szCs w:val="16"/>
              </w:rPr>
              <w:t>29,9</w:t>
            </w:r>
          </w:p>
        </w:tc>
        <w:tc>
          <w:tcPr>
            <w:tcW w:w="385" w:type="pct"/>
            <w:tcBorders>
              <w:top w:val="nil"/>
              <w:left w:val="nil"/>
              <w:bottom w:val="nil"/>
              <w:right w:val="single" w:sz="4" w:space="0" w:color="auto"/>
            </w:tcBorders>
            <w:shd w:val="clear" w:color="auto" w:fill="auto"/>
            <w:noWrap/>
            <w:vAlign w:val="bottom"/>
            <w:hideMark/>
          </w:tcPr>
          <w:p w:rsidR="006C37C4" w:rsidRPr="006C37C4" w:rsidRDefault="006C37C4" w:rsidP="006C37C4">
            <w:pPr>
              <w:spacing w:after="0" w:line="240" w:lineRule="auto"/>
              <w:jc w:val="right"/>
              <w:rPr>
                <w:rFonts w:cs="Arial"/>
                <w:color w:val="000000"/>
                <w:sz w:val="16"/>
                <w:szCs w:val="16"/>
              </w:rPr>
            </w:pPr>
            <w:r w:rsidRPr="006C37C4">
              <w:rPr>
                <w:rFonts w:cs="Arial"/>
                <w:color w:val="000000"/>
                <w:sz w:val="16"/>
                <w:szCs w:val="16"/>
              </w:rPr>
              <w:t>14,7</w:t>
            </w:r>
          </w:p>
        </w:tc>
        <w:tc>
          <w:tcPr>
            <w:tcW w:w="385" w:type="pct"/>
            <w:tcBorders>
              <w:top w:val="nil"/>
              <w:left w:val="nil"/>
              <w:bottom w:val="nil"/>
              <w:right w:val="nil"/>
            </w:tcBorders>
            <w:shd w:val="clear" w:color="auto" w:fill="auto"/>
            <w:noWrap/>
            <w:vAlign w:val="bottom"/>
            <w:hideMark/>
          </w:tcPr>
          <w:p w:rsidR="006C37C4" w:rsidRPr="006C37C4" w:rsidRDefault="006C37C4" w:rsidP="006C37C4">
            <w:pPr>
              <w:spacing w:after="0" w:line="240" w:lineRule="auto"/>
              <w:jc w:val="right"/>
              <w:rPr>
                <w:rFonts w:cs="Arial"/>
                <w:color w:val="000000"/>
                <w:sz w:val="16"/>
                <w:szCs w:val="16"/>
              </w:rPr>
            </w:pPr>
            <w:r w:rsidRPr="006C37C4">
              <w:rPr>
                <w:rFonts w:cs="Arial"/>
                <w:color w:val="000000"/>
                <w:sz w:val="16"/>
                <w:szCs w:val="16"/>
              </w:rPr>
              <w:t>172,7</w:t>
            </w:r>
          </w:p>
        </w:tc>
        <w:tc>
          <w:tcPr>
            <w:tcW w:w="385" w:type="pct"/>
            <w:tcBorders>
              <w:top w:val="nil"/>
              <w:left w:val="nil"/>
              <w:bottom w:val="nil"/>
              <w:right w:val="nil"/>
            </w:tcBorders>
            <w:shd w:val="clear" w:color="auto" w:fill="auto"/>
            <w:vAlign w:val="bottom"/>
            <w:hideMark/>
          </w:tcPr>
          <w:p w:rsidR="006C37C4" w:rsidRPr="006C37C4" w:rsidRDefault="006C37C4" w:rsidP="006C37C4">
            <w:pPr>
              <w:spacing w:after="0" w:line="240" w:lineRule="auto"/>
              <w:jc w:val="right"/>
              <w:rPr>
                <w:rFonts w:cs="Arial"/>
                <w:color w:val="000000"/>
                <w:sz w:val="16"/>
                <w:szCs w:val="16"/>
              </w:rPr>
            </w:pPr>
            <w:r w:rsidRPr="006C37C4">
              <w:rPr>
                <w:rFonts w:cs="Arial"/>
                <w:color w:val="000000"/>
                <w:sz w:val="16"/>
                <w:szCs w:val="16"/>
              </w:rPr>
              <w:t>105,4</w:t>
            </w:r>
          </w:p>
        </w:tc>
        <w:tc>
          <w:tcPr>
            <w:tcW w:w="385" w:type="pct"/>
            <w:tcBorders>
              <w:top w:val="nil"/>
              <w:left w:val="nil"/>
              <w:bottom w:val="nil"/>
              <w:right w:val="nil"/>
            </w:tcBorders>
            <w:shd w:val="clear" w:color="auto" w:fill="auto"/>
            <w:noWrap/>
            <w:vAlign w:val="bottom"/>
            <w:hideMark/>
          </w:tcPr>
          <w:p w:rsidR="006C37C4" w:rsidRPr="006C37C4" w:rsidRDefault="006C37C4" w:rsidP="006C37C4">
            <w:pPr>
              <w:spacing w:after="0" w:line="240" w:lineRule="auto"/>
              <w:jc w:val="right"/>
              <w:rPr>
                <w:rFonts w:cs="Arial"/>
                <w:color w:val="000000"/>
                <w:sz w:val="16"/>
                <w:szCs w:val="16"/>
              </w:rPr>
            </w:pPr>
            <w:r w:rsidRPr="006C37C4">
              <w:rPr>
                <w:rFonts w:cs="Arial"/>
                <w:color w:val="000000"/>
                <w:sz w:val="16"/>
                <w:szCs w:val="16"/>
              </w:rPr>
              <w:t>67,3</w:t>
            </w:r>
          </w:p>
        </w:tc>
      </w:tr>
      <w:tr w:rsidR="006C37C4" w:rsidRPr="006C37C4" w:rsidTr="006C37C4">
        <w:trPr>
          <w:divId w:val="1093748560"/>
          <w:trHeight w:val="300"/>
        </w:trPr>
        <w:tc>
          <w:tcPr>
            <w:tcW w:w="385" w:type="pct"/>
            <w:tcBorders>
              <w:top w:val="nil"/>
              <w:left w:val="nil"/>
              <w:bottom w:val="nil"/>
              <w:right w:val="single" w:sz="4" w:space="0" w:color="auto"/>
            </w:tcBorders>
            <w:shd w:val="clear" w:color="auto" w:fill="auto"/>
            <w:vAlign w:val="bottom"/>
            <w:hideMark/>
          </w:tcPr>
          <w:p w:rsidR="006C37C4" w:rsidRPr="00496EEF" w:rsidRDefault="006C37C4" w:rsidP="006C37C4">
            <w:pPr>
              <w:spacing w:after="0" w:line="240" w:lineRule="auto"/>
              <w:jc w:val="center"/>
              <w:rPr>
                <w:rFonts w:cs="Arial"/>
                <w:color w:val="000000"/>
                <w:sz w:val="16"/>
                <w:szCs w:val="16"/>
              </w:rPr>
            </w:pPr>
            <w:r w:rsidRPr="00496EEF">
              <w:rPr>
                <w:rFonts w:cs="Arial"/>
                <w:color w:val="000000"/>
                <w:sz w:val="16"/>
                <w:szCs w:val="16"/>
              </w:rPr>
              <w:t>2023</w:t>
            </w:r>
          </w:p>
        </w:tc>
        <w:tc>
          <w:tcPr>
            <w:tcW w:w="385" w:type="pct"/>
            <w:tcBorders>
              <w:top w:val="nil"/>
              <w:left w:val="nil"/>
              <w:bottom w:val="nil"/>
              <w:right w:val="nil"/>
            </w:tcBorders>
            <w:shd w:val="clear" w:color="auto" w:fill="auto"/>
            <w:noWrap/>
            <w:vAlign w:val="bottom"/>
            <w:hideMark/>
          </w:tcPr>
          <w:p w:rsidR="006C37C4" w:rsidRPr="00496EEF" w:rsidRDefault="006C37C4" w:rsidP="006C37C4">
            <w:pPr>
              <w:spacing w:after="0" w:line="240" w:lineRule="auto"/>
              <w:jc w:val="right"/>
              <w:rPr>
                <w:rFonts w:cs="Arial"/>
                <w:color w:val="000000"/>
                <w:sz w:val="16"/>
                <w:szCs w:val="16"/>
              </w:rPr>
            </w:pPr>
            <w:r w:rsidRPr="00496EEF">
              <w:rPr>
                <w:rFonts w:cs="Arial"/>
                <w:color w:val="000000"/>
                <w:sz w:val="16"/>
                <w:szCs w:val="16"/>
              </w:rPr>
              <w:t>2 535,2</w:t>
            </w:r>
          </w:p>
        </w:tc>
        <w:tc>
          <w:tcPr>
            <w:tcW w:w="385" w:type="pct"/>
            <w:tcBorders>
              <w:top w:val="nil"/>
              <w:left w:val="nil"/>
              <w:bottom w:val="nil"/>
              <w:right w:val="nil"/>
            </w:tcBorders>
            <w:shd w:val="clear" w:color="auto" w:fill="auto"/>
            <w:vAlign w:val="bottom"/>
            <w:hideMark/>
          </w:tcPr>
          <w:p w:rsidR="006C37C4" w:rsidRPr="00496EEF" w:rsidRDefault="006C37C4" w:rsidP="006C37C4">
            <w:pPr>
              <w:spacing w:after="0" w:line="240" w:lineRule="auto"/>
              <w:jc w:val="right"/>
              <w:rPr>
                <w:rFonts w:cs="Arial"/>
                <w:color w:val="000000"/>
                <w:sz w:val="16"/>
                <w:szCs w:val="16"/>
              </w:rPr>
            </w:pPr>
            <w:r w:rsidRPr="00496EEF">
              <w:rPr>
                <w:rFonts w:cs="Arial"/>
                <w:color w:val="000000"/>
                <w:sz w:val="16"/>
                <w:szCs w:val="16"/>
              </w:rPr>
              <w:t>1 134,2</w:t>
            </w:r>
          </w:p>
        </w:tc>
        <w:tc>
          <w:tcPr>
            <w:tcW w:w="385" w:type="pct"/>
            <w:tcBorders>
              <w:top w:val="nil"/>
              <w:left w:val="nil"/>
              <w:bottom w:val="nil"/>
              <w:right w:val="single" w:sz="4" w:space="0" w:color="auto"/>
            </w:tcBorders>
            <w:shd w:val="clear" w:color="auto" w:fill="auto"/>
            <w:noWrap/>
            <w:vAlign w:val="bottom"/>
            <w:hideMark/>
          </w:tcPr>
          <w:p w:rsidR="006C37C4" w:rsidRPr="00496EEF" w:rsidRDefault="006C37C4" w:rsidP="006C37C4">
            <w:pPr>
              <w:spacing w:after="0" w:line="240" w:lineRule="auto"/>
              <w:jc w:val="right"/>
              <w:rPr>
                <w:rFonts w:cs="Arial"/>
                <w:color w:val="000000"/>
                <w:sz w:val="16"/>
                <w:szCs w:val="16"/>
              </w:rPr>
            </w:pPr>
            <w:r w:rsidRPr="00496EEF">
              <w:rPr>
                <w:rFonts w:cs="Arial"/>
                <w:color w:val="000000"/>
                <w:sz w:val="16"/>
                <w:szCs w:val="16"/>
              </w:rPr>
              <w:t>1 401,0</w:t>
            </w:r>
          </w:p>
        </w:tc>
        <w:tc>
          <w:tcPr>
            <w:tcW w:w="385" w:type="pct"/>
            <w:tcBorders>
              <w:top w:val="nil"/>
              <w:left w:val="nil"/>
              <w:bottom w:val="nil"/>
              <w:right w:val="nil"/>
            </w:tcBorders>
            <w:shd w:val="clear" w:color="auto" w:fill="auto"/>
            <w:noWrap/>
            <w:vAlign w:val="bottom"/>
            <w:hideMark/>
          </w:tcPr>
          <w:p w:rsidR="006C37C4" w:rsidRPr="00496EEF" w:rsidRDefault="006C37C4" w:rsidP="006C37C4">
            <w:pPr>
              <w:spacing w:after="0" w:line="240" w:lineRule="auto"/>
              <w:jc w:val="right"/>
              <w:rPr>
                <w:rFonts w:cs="Arial"/>
                <w:color w:val="000000"/>
                <w:sz w:val="16"/>
                <w:szCs w:val="16"/>
              </w:rPr>
            </w:pPr>
            <w:r w:rsidRPr="00496EEF">
              <w:rPr>
                <w:rFonts w:cs="Arial"/>
                <w:color w:val="000000"/>
                <w:sz w:val="16"/>
                <w:szCs w:val="16"/>
              </w:rPr>
              <w:t>2 323,2</w:t>
            </w:r>
          </w:p>
        </w:tc>
        <w:tc>
          <w:tcPr>
            <w:tcW w:w="385" w:type="pct"/>
            <w:tcBorders>
              <w:top w:val="nil"/>
              <w:left w:val="nil"/>
              <w:bottom w:val="nil"/>
              <w:right w:val="nil"/>
            </w:tcBorders>
            <w:shd w:val="clear" w:color="auto" w:fill="auto"/>
            <w:vAlign w:val="bottom"/>
            <w:hideMark/>
          </w:tcPr>
          <w:p w:rsidR="006C37C4" w:rsidRPr="00496EEF" w:rsidRDefault="006C37C4" w:rsidP="006C37C4">
            <w:pPr>
              <w:spacing w:after="0" w:line="240" w:lineRule="auto"/>
              <w:jc w:val="right"/>
              <w:rPr>
                <w:rFonts w:cs="Arial"/>
                <w:color w:val="000000"/>
                <w:sz w:val="16"/>
                <w:szCs w:val="16"/>
              </w:rPr>
            </w:pPr>
            <w:r w:rsidRPr="00496EEF">
              <w:rPr>
                <w:rFonts w:cs="Arial"/>
                <w:color w:val="000000"/>
                <w:sz w:val="16"/>
                <w:szCs w:val="16"/>
              </w:rPr>
              <w:t>1 004,5</w:t>
            </w:r>
          </w:p>
        </w:tc>
        <w:tc>
          <w:tcPr>
            <w:tcW w:w="385" w:type="pct"/>
            <w:tcBorders>
              <w:top w:val="nil"/>
              <w:left w:val="nil"/>
              <w:bottom w:val="nil"/>
              <w:right w:val="single" w:sz="4" w:space="0" w:color="auto"/>
            </w:tcBorders>
            <w:shd w:val="clear" w:color="auto" w:fill="auto"/>
            <w:noWrap/>
            <w:vAlign w:val="bottom"/>
            <w:hideMark/>
          </w:tcPr>
          <w:p w:rsidR="006C37C4" w:rsidRPr="00496EEF" w:rsidRDefault="006C37C4" w:rsidP="006C37C4">
            <w:pPr>
              <w:spacing w:after="0" w:line="240" w:lineRule="auto"/>
              <w:jc w:val="right"/>
              <w:rPr>
                <w:rFonts w:cs="Arial"/>
                <w:color w:val="000000"/>
                <w:sz w:val="16"/>
                <w:szCs w:val="16"/>
              </w:rPr>
            </w:pPr>
            <w:r w:rsidRPr="00496EEF">
              <w:rPr>
                <w:rFonts w:cs="Arial"/>
                <w:color w:val="000000"/>
                <w:sz w:val="16"/>
                <w:szCs w:val="16"/>
              </w:rPr>
              <w:t>1 318,7</w:t>
            </w:r>
          </w:p>
        </w:tc>
        <w:tc>
          <w:tcPr>
            <w:tcW w:w="385" w:type="pct"/>
            <w:tcBorders>
              <w:top w:val="nil"/>
              <w:left w:val="nil"/>
              <w:bottom w:val="nil"/>
              <w:right w:val="nil"/>
            </w:tcBorders>
            <w:shd w:val="clear" w:color="auto" w:fill="auto"/>
            <w:noWrap/>
            <w:vAlign w:val="bottom"/>
            <w:hideMark/>
          </w:tcPr>
          <w:p w:rsidR="006C37C4" w:rsidRPr="00496EEF" w:rsidRDefault="006C37C4" w:rsidP="006C37C4">
            <w:pPr>
              <w:spacing w:after="0" w:line="240" w:lineRule="auto"/>
              <w:jc w:val="right"/>
              <w:rPr>
                <w:rFonts w:cs="Arial"/>
                <w:color w:val="000000"/>
                <w:sz w:val="16"/>
                <w:szCs w:val="16"/>
              </w:rPr>
            </w:pPr>
            <w:r w:rsidRPr="00496EEF">
              <w:rPr>
                <w:rFonts w:cs="Arial"/>
                <w:color w:val="000000"/>
                <w:sz w:val="16"/>
                <w:szCs w:val="16"/>
              </w:rPr>
              <w:t>43,5</w:t>
            </w:r>
          </w:p>
        </w:tc>
        <w:tc>
          <w:tcPr>
            <w:tcW w:w="385" w:type="pct"/>
            <w:tcBorders>
              <w:top w:val="nil"/>
              <w:left w:val="nil"/>
              <w:bottom w:val="nil"/>
              <w:right w:val="nil"/>
            </w:tcBorders>
            <w:shd w:val="clear" w:color="auto" w:fill="auto"/>
            <w:vAlign w:val="bottom"/>
            <w:hideMark/>
          </w:tcPr>
          <w:p w:rsidR="006C37C4" w:rsidRPr="00496EEF" w:rsidRDefault="006C37C4" w:rsidP="006C37C4">
            <w:pPr>
              <w:spacing w:after="0" w:line="240" w:lineRule="auto"/>
              <w:jc w:val="right"/>
              <w:rPr>
                <w:rFonts w:cs="Arial"/>
                <w:color w:val="000000"/>
                <w:sz w:val="16"/>
                <w:szCs w:val="16"/>
              </w:rPr>
            </w:pPr>
            <w:r w:rsidRPr="00496EEF">
              <w:rPr>
                <w:rFonts w:cs="Arial"/>
                <w:color w:val="000000"/>
                <w:sz w:val="16"/>
                <w:szCs w:val="16"/>
              </w:rPr>
              <w:t>28,5</w:t>
            </w:r>
          </w:p>
        </w:tc>
        <w:tc>
          <w:tcPr>
            <w:tcW w:w="385" w:type="pct"/>
            <w:tcBorders>
              <w:top w:val="nil"/>
              <w:left w:val="nil"/>
              <w:bottom w:val="nil"/>
              <w:right w:val="single" w:sz="4" w:space="0" w:color="auto"/>
            </w:tcBorders>
            <w:shd w:val="clear" w:color="auto" w:fill="auto"/>
            <w:noWrap/>
            <w:vAlign w:val="bottom"/>
            <w:hideMark/>
          </w:tcPr>
          <w:p w:rsidR="006C37C4" w:rsidRPr="00496EEF" w:rsidRDefault="006C37C4" w:rsidP="006C37C4">
            <w:pPr>
              <w:spacing w:after="0" w:line="240" w:lineRule="auto"/>
              <w:jc w:val="right"/>
              <w:rPr>
                <w:rFonts w:cs="Arial"/>
                <w:color w:val="000000"/>
                <w:sz w:val="16"/>
                <w:szCs w:val="16"/>
              </w:rPr>
            </w:pPr>
            <w:r w:rsidRPr="00496EEF">
              <w:rPr>
                <w:rFonts w:cs="Arial"/>
                <w:color w:val="000000"/>
                <w:sz w:val="16"/>
                <w:szCs w:val="16"/>
              </w:rPr>
              <w:t>14,9</w:t>
            </w:r>
          </w:p>
        </w:tc>
        <w:tc>
          <w:tcPr>
            <w:tcW w:w="385" w:type="pct"/>
            <w:tcBorders>
              <w:top w:val="nil"/>
              <w:left w:val="nil"/>
              <w:bottom w:val="nil"/>
              <w:right w:val="nil"/>
            </w:tcBorders>
            <w:shd w:val="clear" w:color="auto" w:fill="auto"/>
            <w:noWrap/>
            <w:vAlign w:val="bottom"/>
            <w:hideMark/>
          </w:tcPr>
          <w:p w:rsidR="006C37C4" w:rsidRPr="00496EEF" w:rsidRDefault="006C37C4" w:rsidP="006C37C4">
            <w:pPr>
              <w:spacing w:after="0" w:line="240" w:lineRule="auto"/>
              <w:jc w:val="right"/>
              <w:rPr>
                <w:rFonts w:cs="Arial"/>
                <w:color w:val="000000"/>
                <w:sz w:val="16"/>
                <w:szCs w:val="16"/>
              </w:rPr>
            </w:pPr>
            <w:r w:rsidRPr="00496EEF">
              <w:rPr>
                <w:rFonts w:cs="Arial"/>
                <w:color w:val="000000"/>
                <w:sz w:val="16"/>
                <w:szCs w:val="16"/>
              </w:rPr>
              <w:t>168,4</w:t>
            </w:r>
          </w:p>
        </w:tc>
        <w:tc>
          <w:tcPr>
            <w:tcW w:w="385" w:type="pct"/>
            <w:tcBorders>
              <w:top w:val="nil"/>
              <w:left w:val="nil"/>
              <w:bottom w:val="nil"/>
              <w:right w:val="nil"/>
            </w:tcBorders>
            <w:shd w:val="clear" w:color="auto" w:fill="auto"/>
            <w:vAlign w:val="bottom"/>
            <w:hideMark/>
          </w:tcPr>
          <w:p w:rsidR="006C37C4" w:rsidRPr="00496EEF" w:rsidRDefault="006C37C4" w:rsidP="006C37C4">
            <w:pPr>
              <w:spacing w:after="0" w:line="240" w:lineRule="auto"/>
              <w:jc w:val="right"/>
              <w:rPr>
                <w:rFonts w:cs="Arial"/>
                <w:color w:val="000000"/>
                <w:sz w:val="16"/>
                <w:szCs w:val="16"/>
              </w:rPr>
            </w:pPr>
            <w:r w:rsidRPr="00496EEF">
              <w:rPr>
                <w:rFonts w:cs="Arial"/>
                <w:color w:val="000000"/>
                <w:sz w:val="16"/>
                <w:szCs w:val="16"/>
              </w:rPr>
              <w:t>101,1</w:t>
            </w:r>
          </w:p>
        </w:tc>
        <w:tc>
          <w:tcPr>
            <w:tcW w:w="385" w:type="pct"/>
            <w:tcBorders>
              <w:top w:val="nil"/>
              <w:left w:val="nil"/>
              <w:bottom w:val="nil"/>
              <w:right w:val="nil"/>
            </w:tcBorders>
            <w:shd w:val="clear" w:color="auto" w:fill="auto"/>
            <w:noWrap/>
            <w:vAlign w:val="bottom"/>
            <w:hideMark/>
          </w:tcPr>
          <w:p w:rsidR="006C37C4" w:rsidRPr="00496EEF" w:rsidRDefault="006C37C4" w:rsidP="006C37C4">
            <w:pPr>
              <w:spacing w:after="0" w:line="240" w:lineRule="auto"/>
              <w:jc w:val="right"/>
              <w:rPr>
                <w:rFonts w:cs="Arial"/>
                <w:color w:val="000000"/>
                <w:sz w:val="16"/>
                <w:szCs w:val="16"/>
              </w:rPr>
            </w:pPr>
            <w:r w:rsidRPr="00496EEF">
              <w:rPr>
                <w:rFonts w:cs="Arial"/>
                <w:color w:val="000000"/>
                <w:sz w:val="16"/>
                <w:szCs w:val="16"/>
              </w:rPr>
              <w:t>67,4</w:t>
            </w:r>
          </w:p>
        </w:tc>
      </w:tr>
      <w:tr w:rsidR="006C37C4" w:rsidRPr="006C37C4" w:rsidTr="00496EEF">
        <w:trPr>
          <w:divId w:val="1093748560"/>
          <w:trHeight w:val="300"/>
        </w:trPr>
        <w:tc>
          <w:tcPr>
            <w:tcW w:w="385" w:type="pct"/>
            <w:tcBorders>
              <w:top w:val="nil"/>
              <w:left w:val="nil"/>
              <w:bottom w:val="nil"/>
              <w:right w:val="single" w:sz="4" w:space="0" w:color="auto"/>
            </w:tcBorders>
            <w:shd w:val="clear" w:color="auto" w:fill="auto"/>
            <w:vAlign w:val="bottom"/>
            <w:hideMark/>
          </w:tcPr>
          <w:p w:rsidR="006C37C4" w:rsidRPr="00496EEF" w:rsidRDefault="006C37C4" w:rsidP="006C37C4">
            <w:pPr>
              <w:spacing w:after="0" w:line="240" w:lineRule="auto"/>
              <w:jc w:val="center"/>
              <w:rPr>
                <w:rFonts w:cs="Arial"/>
                <w:color w:val="000000"/>
                <w:sz w:val="16"/>
                <w:szCs w:val="16"/>
              </w:rPr>
            </w:pPr>
            <w:r w:rsidRPr="00496EEF">
              <w:rPr>
                <w:rFonts w:cs="Arial"/>
                <w:color w:val="000000"/>
                <w:sz w:val="16"/>
                <w:szCs w:val="16"/>
              </w:rPr>
              <w:t>2024</w:t>
            </w:r>
          </w:p>
        </w:tc>
        <w:tc>
          <w:tcPr>
            <w:tcW w:w="385" w:type="pct"/>
            <w:tcBorders>
              <w:top w:val="nil"/>
              <w:left w:val="nil"/>
              <w:bottom w:val="nil"/>
              <w:right w:val="nil"/>
            </w:tcBorders>
            <w:shd w:val="clear" w:color="auto" w:fill="auto"/>
            <w:noWrap/>
            <w:vAlign w:val="bottom"/>
            <w:hideMark/>
          </w:tcPr>
          <w:p w:rsidR="006C37C4" w:rsidRPr="00496EEF" w:rsidRDefault="00496EEF" w:rsidP="006C37C4">
            <w:pPr>
              <w:spacing w:after="0" w:line="240" w:lineRule="auto"/>
              <w:jc w:val="right"/>
              <w:rPr>
                <w:rFonts w:cs="Arial"/>
                <w:color w:val="000000"/>
                <w:sz w:val="16"/>
                <w:szCs w:val="16"/>
              </w:rPr>
            </w:pPr>
            <w:r w:rsidRPr="00496EEF">
              <w:rPr>
                <w:rFonts w:cs="Arial"/>
                <w:color w:val="000000"/>
                <w:sz w:val="16"/>
                <w:szCs w:val="16"/>
              </w:rPr>
              <w:t>2 476,2</w:t>
            </w:r>
          </w:p>
        </w:tc>
        <w:tc>
          <w:tcPr>
            <w:tcW w:w="385" w:type="pct"/>
            <w:tcBorders>
              <w:top w:val="nil"/>
              <w:left w:val="nil"/>
              <w:bottom w:val="nil"/>
              <w:right w:val="nil"/>
            </w:tcBorders>
            <w:shd w:val="clear" w:color="auto" w:fill="auto"/>
            <w:vAlign w:val="bottom"/>
            <w:hideMark/>
          </w:tcPr>
          <w:p w:rsidR="006C37C4" w:rsidRPr="00496EEF" w:rsidRDefault="006C37C4" w:rsidP="006C37C4">
            <w:pPr>
              <w:spacing w:after="0" w:line="240" w:lineRule="auto"/>
              <w:jc w:val="right"/>
              <w:rPr>
                <w:rFonts w:cs="Arial"/>
                <w:color w:val="000000"/>
                <w:sz w:val="16"/>
                <w:szCs w:val="16"/>
              </w:rPr>
            </w:pPr>
            <w:r w:rsidRPr="00496EEF">
              <w:rPr>
                <w:rFonts w:cs="Arial"/>
                <w:color w:val="000000"/>
                <w:sz w:val="16"/>
                <w:szCs w:val="16"/>
              </w:rPr>
              <w:t xml:space="preserve">1 </w:t>
            </w:r>
            <w:r w:rsidR="00496EEF" w:rsidRPr="00496EEF">
              <w:rPr>
                <w:rFonts w:cs="Arial"/>
                <w:color w:val="000000"/>
                <w:sz w:val="16"/>
                <w:szCs w:val="16"/>
              </w:rPr>
              <w:t>113,6</w:t>
            </w:r>
          </w:p>
        </w:tc>
        <w:tc>
          <w:tcPr>
            <w:tcW w:w="385" w:type="pct"/>
            <w:tcBorders>
              <w:top w:val="nil"/>
              <w:left w:val="nil"/>
              <w:bottom w:val="nil"/>
              <w:right w:val="single" w:sz="4" w:space="0" w:color="auto"/>
            </w:tcBorders>
            <w:shd w:val="clear" w:color="auto" w:fill="auto"/>
            <w:noWrap/>
            <w:vAlign w:val="bottom"/>
            <w:hideMark/>
          </w:tcPr>
          <w:p w:rsidR="006C37C4" w:rsidRPr="00496EEF" w:rsidRDefault="00496EEF" w:rsidP="006C37C4">
            <w:pPr>
              <w:spacing w:after="0" w:line="240" w:lineRule="auto"/>
              <w:jc w:val="right"/>
              <w:rPr>
                <w:rFonts w:cs="Arial"/>
                <w:color w:val="000000"/>
                <w:sz w:val="16"/>
                <w:szCs w:val="16"/>
              </w:rPr>
            </w:pPr>
            <w:r w:rsidRPr="00496EEF">
              <w:rPr>
                <w:rFonts w:cs="Arial"/>
                <w:color w:val="000000"/>
                <w:sz w:val="16"/>
                <w:szCs w:val="16"/>
              </w:rPr>
              <w:t>1 362,5</w:t>
            </w:r>
          </w:p>
        </w:tc>
        <w:tc>
          <w:tcPr>
            <w:tcW w:w="385" w:type="pct"/>
            <w:tcBorders>
              <w:top w:val="nil"/>
              <w:left w:val="nil"/>
              <w:bottom w:val="nil"/>
              <w:right w:val="nil"/>
            </w:tcBorders>
            <w:shd w:val="clear" w:color="auto" w:fill="auto"/>
            <w:noWrap/>
            <w:vAlign w:val="bottom"/>
            <w:hideMark/>
          </w:tcPr>
          <w:p w:rsidR="006C37C4" w:rsidRPr="00496EEF" w:rsidRDefault="00496EEF" w:rsidP="006C37C4">
            <w:pPr>
              <w:spacing w:after="0" w:line="240" w:lineRule="auto"/>
              <w:jc w:val="right"/>
              <w:rPr>
                <w:rFonts w:cs="Arial"/>
                <w:color w:val="000000"/>
                <w:sz w:val="16"/>
                <w:szCs w:val="16"/>
              </w:rPr>
            </w:pPr>
            <w:r w:rsidRPr="00496EEF">
              <w:rPr>
                <w:rFonts w:cs="Arial"/>
                <w:color w:val="000000"/>
                <w:sz w:val="16"/>
                <w:szCs w:val="16"/>
              </w:rPr>
              <w:t>2 266,9</w:t>
            </w:r>
          </w:p>
        </w:tc>
        <w:tc>
          <w:tcPr>
            <w:tcW w:w="385" w:type="pct"/>
            <w:tcBorders>
              <w:top w:val="nil"/>
              <w:left w:val="nil"/>
              <w:bottom w:val="nil"/>
              <w:right w:val="nil"/>
            </w:tcBorders>
            <w:shd w:val="clear" w:color="auto" w:fill="auto"/>
            <w:vAlign w:val="bottom"/>
            <w:hideMark/>
          </w:tcPr>
          <w:p w:rsidR="006C37C4" w:rsidRPr="00496EEF" w:rsidRDefault="00496EEF" w:rsidP="006C37C4">
            <w:pPr>
              <w:spacing w:after="0" w:line="240" w:lineRule="auto"/>
              <w:jc w:val="right"/>
              <w:rPr>
                <w:rFonts w:cs="Arial"/>
                <w:color w:val="000000"/>
                <w:sz w:val="16"/>
                <w:szCs w:val="16"/>
              </w:rPr>
            </w:pPr>
            <w:r w:rsidRPr="00496EEF">
              <w:rPr>
                <w:rFonts w:cs="Arial"/>
                <w:color w:val="000000"/>
                <w:sz w:val="16"/>
                <w:szCs w:val="16"/>
              </w:rPr>
              <w:t>987,3</w:t>
            </w:r>
          </w:p>
        </w:tc>
        <w:tc>
          <w:tcPr>
            <w:tcW w:w="385" w:type="pct"/>
            <w:tcBorders>
              <w:top w:val="nil"/>
              <w:left w:val="nil"/>
              <w:bottom w:val="nil"/>
              <w:right w:val="single" w:sz="4" w:space="0" w:color="auto"/>
            </w:tcBorders>
            <w:shd w:val="clear" w:color="auto" w:fill="auto"/>
            <w:noWrap/>
            <w:vAlign w:val="bottom"/>
            <w:hideMark/>
          </w:tcPr>
          <w:p w:rsidR="006C37C4" w:rsidRPr="00496EEF" w:rsidRDefault="00496EEF" w:rsidP="006C37C4">
            <w:pPr>
              <w:spacing w:after="0" w:line="240" w:lineRule="auto"/>
              <w:jc w:val="right"/>
              <w:rPr>
                <w:rFonts w:cs="Arial"/>
                <w:color w:val="000000"/>
                <w:sz w:val="16"/>
                <w:szCs w:val="16"/>
              </w:rPr>
            </w:pPr>
            <w:r w:rsidRPr="00496EEF">
              <w:rPr>
                <w:rFonts w:cs="Arial"/>
                <w:color w:val="000000"/>
                <w:sz w:val="16"/>
                <w:szCs w:val="16"/>
              </w:rPr>
              <w:t>1 279,6</w:t>
            </w:r>
          </w:p>
        </w:tc>
        <w:tc>
          <w:tcPr>
            <w:tcW w:w="385" w:type="pct"/>
            <w:tcBorders>
              <w:top w:val="nil"/>
              <w:left w:val="nil"/>
              <w:bottom w:val="nil"/>
              <w:right w:val="nil"/>
            </w:tcBorders>
            <w:shd w:val="clear" w:color="auto" w:fill="auto"/>
            <w:noWrap/>
            <w:vAlign w:val="bottom"/>
            <w:hideMark/>
          </w:tcPr>
          <w:p w:rsidR="006C37C4" w:rsidRPr="00496EEF" w:rsidRDefault="00496EEF" w:rsidP="00496EEF">
            <w:pPr>
              <w:spacing w:after="0" w:line="240" w:lineRule="auto"/>
              <w:jc w:val="right"/>
              <w:rPr>
                <w:rFonts w:cs="Arial"/>
                <w:color w:val="000000"/>
                <w:sz w:val="16"/>
                <w:szCs w:val="16"/>
              </w:rPr>
            </w:pPr>
            <w:r w:rsidRPr="00496EEF">
              <w:rPr>
                <w:rFonts w:cs="Arial"/>
                <w:color w:val="000000"/>
                <w:sz w:val="16"/>
                <w:szCs w:val="16"/>
              </w:rPr>
              <w:t>43,8</w:t>
            </w:r>
          </w:p>
        </w:tc>
        <w:tc>
          <w:tcPr>
            <w:tcW w:w="385" w:type="pct"/>
            <w:tcBorders>
              <w:top w:val="nil"/>
              <w:left w:val="nil"/>
              <w:bottom w:val="nil"/>
              <w:right w:val="nil"/>
            </w:tcBorders>
            <w:shd w:val="clear" w:color="auto" w:fill="auto"/>
            <w:vAlign w:val="bottom"/>
            <w:hideMark/>
          </w:tcPr>
          <w:p w:rsidR="006C37C4" w:rsidRPr="00496EEF" w:rsidRDefault="00496EEF" w:rsidP="006C37C4">
            <w:pPr>
              <w:spacing w:after="0" w:line="240" w:lineRule="auto"/>
              <w:jc w:val="right"/>
              <w:rPr>
                <w:rFonts w:cs="Arial"/>
                <w:color w:val="000000"/>
                <w:sz w:val="16"/>
                <w:szCs w:val="16"/>
              </w:rPr>
            </w:pPr>
            <w:r w:rsidRPr="00496EEF">
              <w:rPr>
                <w:rFonts w:cs="Arial"/>
                <w:color w:val="000000"/>
                <w:sz w:val="16"/>
                <w:szCs w:val="16"/>
              </w:rPr>
              <w:t>28,7</w:t>
            </w:r>
          </w:p>
        </w:tc>
        <w:tc>
          <w:tcPr>
            <w:tcW w:w="385" w:type="pct"/>
            <w:tcBorders>
              <w:top w:val="nil"/>
              <w:left w:val="nil"/>
              <w:bottom w:val="nil"/>
              <w:right w:val="single" w:sz="4" w:space="0" w:color="auto"/>
            </w:tcBorders>
            <w:shd w:val="clear" w:color="auto" w:fill="auto"/>
            <w:noWrap/>
            <w:vAlign w:val="bottom"/>
            <w:hideMark/>
          </w:tcPr>
          <w:p w:rsidR="006C37C4" w:rsidRPr="00496EEF" w:rsidRDefault="006C37C4" w:rsidP="006C37C4">
            <w:pPr>
              <w:spacing w:after="0" w:line="240" w:lineRule="auto"/>
              <w:jc w:val="right"/>
              <w:rPr>
                <w:rFonts w:cs="Arial"/>
                <w:color w:val="000000"/>
                <w:sz w:val="16"/>
                <w:szCs w:val="16"/>
              </w:rPr>
            </w:pPr>
            <w:r w:rsidRPr="00496EEF">
              <w:rPr>
                <w:rFonts w:cs="Arial"/>
                <w:color w:val="000000"/>
                <w:sz w:val="16"/>
                <w:szCs w:val="16"/>
              </w:rPr>
              <w:t>15,1</w:t>
            </w:r>
          </w:p>
        </w:tc>
        <w:tc>
          <w:tcPr>
            <w:tcW w:w="385" w:type="pct"/>
            <w:tcBorders>
              <w:top w:val="nil"/>
              <w:left w:val="single" w:sz="4" w:space="0" w:color="auto"/>
              <w:bottom w:val="nil"/>
              <w:right w:val="nil"/>
            </w:tcBorders>
            <w:shd w:val="clear" w:color="auto" w:fill="auto"/>
            <w:noWrap/>
            <w:vAlign w:val="bottom"/>
            <w:hideMark/>
          </w:tcPr>
          <w:p w:rsidR="006C37C4" w:rsidRPr="00496EEF" w:rsidRDefault="00496EEF" w:rsidP="006C37C4">
            <w:pPr>
              <w:spacing w:after="0" w:line="240" w:lineRule="auto"/>
              <w:jc w:val="right"/>
              <w:rPr>
                <w:rFonts w:cs="Arial"/>
                <w:color w:val="000000"/>
                <w:sz w:val="16"/>
                <w:szCs w:val="16"/>
              </w:rPr>
            </w:pPr>
            <w:r w:rsidRPr="00496EEF">
              <w:rPr>
                <w:rFonts w:cs="Arial"/>
                <w:color w:val="000000"/>
                <w:sz w:val="16"/>
                <w:szCs w:val="16"/>
              </w:rPr>
              <w:t>165,4</w:t>
            </w:r>
          </w:p>
        </w:tc>
        <w:tc>
          <w:tcPr>
            <w:tcW w:w="385" w:type="pct"/>
            <w:tcBorders>
              <w:top w:val="nil"/>
              <w:left w:val="nil"/>
              <w:bottom w:val="nil"/>
              <w:right w:val="nil"/>
            </w:tcBorders>
            <w:shd w:val="clear" w:color="auto" w:fill="auto"/>
            <w:vAlign w:val="bottom"/>
            <w:hideMark/>
          </w:tcPr>
          <w:p w:rsidR="006C37C4" w:rsidRPr="00496EEF" w:rsidRDefault="00496EEF" w:rsidP="006C37C4">
            <w:pPr>
              <w:spacing w:after="0" w:line="240" w:lineRule="auto"/>
              <w:jc w:val="right"/>
              <w:rPr>
                <w:rFonts w:cs="Arial"/>
                <w:color w:val="000000"/>
                <w:sz w:val="16"/>
                <w:szCs w:val="16"/>
              </w:rPr>
            </w:pPr>
            <w:r w:rsidRPr="00496EEF">
              <w:rPr>
                <w:rFonts w:cs="Arial"/>
                <w:color w:val="000000"/>
                <w:sz w:val="16"/>
                <w:szCs w:val="16"/>
              </w:rPr>
              <w:t>97,6</w:t>
            </w:r>
          </w:p>
        </w:tc>
        <w:tc>
          <w:tcPr>
            <w:tcW w:w="385" w:type="pct"/>
            <w:tcBorders>
              <w:top w:val="nil"/>
              <w:left w:val="nil"/>
              <w:bottom w:val="nil"/>
              <w:right w:val="nil"/>
            </w:tcBorders>
            <w:shd w:val="clear" w:color="auto" w:fill="auto"/>
            <w:noWrap/>
            <w:vAlign w:val="bottom"/>
            <w:hideMark/>
          </w:tcPr>
          <w:p w:rsidR="006C37C4" w:rsidRPr="00496EEF" w:rsidRDefault="00496EEF" w:rsidP="006C37C4">
            <w:pPr>
              <w:spacing w:after="0" w:line="240" w:lineRule="auto"/>
              <w:jc w:val="right"/>
              <w:rPr>
                <w:rFonts w:cs="Arial"/>
                <w:color w:val="000000"/>
                <w:sz w:val="16"/>
                <w:szCs w:val="16"/>
              </w:rPr>
            </w:pPr>
            <w:r w:rsidRPr="00496EEF">
              <w:rPr>
                <w:rFonts w:cs="Arial"/>
                <w:color w:val="000000"/>
                <w:sz w:val="16"/>
                <w:szCs w:val="16"/>
              </w:rPr>
              <w:t>67,8</w:t>
            </w:r>
          </w:p>
        </w:tc>
      </w:tr>
    </w:tbl>
    <w:p w:rsidR="00A272E6" w:rsidRDefault="00A272E6" w:rsidP="00496EEF">
      <w:pPr>
        <w:spacing w:before="120" w:after="0"/>
        <w:rPr>
          <w:rFonts w:cs="Arial"/>
          <w:color w:val="000000"/>
          <w:sz w:val="16"/>
          <w:szCs w:val="16"/>
        </w:rPr>
      </w:pPr>
      <w:r>
        <w:rPr>
          <w:spacing w:val="-4"/>
        </w:rPr>
        <w:fldChar w:fldCharType="end"/>
      </w:r>
      <w:r w:rsidR="004D5900">
        <w:rPr>
          <w:rFonts w:cs="Arial"/>
          <w:color w:val="000000"/>
          <w:sz w:val="16"/>
          <w:szCs w:val="16"/>
        </w:rPr>
        <w:t xml:space="preserve">* </w:t>
      </w:r>
      <w:r w:rsidR="004D5900" w:rsidRPr="004D5900">
        <w:rPr>
          <w:rFonts w:cs="Arial"/>
          <w:color w:val="000000"/>
          <w:sz w:val="16"/>
          <w:szCs w:val="16"/>
        </w:rPr>
        <w:t>Údaje za rok 2022 (celkem a pro nemoc) nejsou srovnatelné s údaji za ostatní roky</w:t>
      </w:r>
      <w:r w:rsidR="004D5900">
        <w:rPr>
          <w:rFonts w:cs="Arial"/>
          <w:color w:val="000000"/>
          <w:sz w:val="16"/>
          <w:szCs w:val="16"/>
        </w:rPr>
        <w:t>.</w:t>
      </w:r>
    </w:p>
    <w:p w:rsidR="004D5900" w:rsidRDefault="004D5900" w:rsidP="004D5900">
      <w:pPr>
        <w:rPr>
          <w:rFonts w:cs="Arial"/>
          <w:color w:val="000000"/>
          <w:sz w:val="16"/>
          <w:szCs w:val="16"/>
        </w:rPr>
      </w:pPr>
      <w:r>
        <w:rPr>
          <w:rFonts w:cs="Arial"/>
          <w:color w:val="000000"/>
          <w:sz w:val="16"/>
          <w:szCs w:val="16"/>
        </w:rPr>
        <w:t>Zdroj: ČSÚ</w:t>
      </w:r>
    </w:p>
    <w:p w:rsidR="00222398" w:rsidRDefault="0048060F" w:rsidP="006801D6">
      <w:r w:rsidRPr="0048060F">
        <w:rPr>
          <w:bCs/>
          <w:spacing w:val="2"/>
        </w:rPr>
        <w:t>Jak je možné vidět z tabulky 2.1, v</w:t>
      </w:r>
      <w:r w:rsidR="0008044B" w:rsidRPr="0048060F">
        <w:rPr>
          <w:bCs/>
          <w:spacing w:val="2"/>
        </w:rPr>
        <w:t xml:space="preserve"> </w:t>
      </w:r>
      <w:r w:rsidR="0008044B" w:rsidRPr="0048060F">
        <w:rPr>
          <w:b/>
          <w:bCs/>
          <w:spacing w:val="2"/>
        </w:rPr>
        <w:t>roce 2024</w:t>
      </w:r>
      <w:r w:rsidR="0008044B" w:rsidRPr="0048060F">
        <w:rPr>
          <w:bCs/>
          <w:spacing w:val="2"/>
        </w:rPr>
        <w:t xml:space="preserve"> bylo v Česku nahlášeno </w:t>
      </w:r>
      <w:r w:rsidR="00496EEF" w:rsidRPr="0048060F">
        <w:rPr>
          <w:bCs/>
          <w:spacing w:val="2"/>
        </w:rPr>
        <w:t>2 476</w:t>
      </w:r>
      <w:r w:rsidR="0008044B" w:rsidRPr="0048060F">
        <w:rPr>
          <w:bCs/>
          <w:spacing w:val="2"/>
        </w:rPr>
        <w:t xml:space="preserve"> tis</w:t>
      </w:r>
      <w:r w:rsidR="00AE49D8" w:rsidRPr="0048060F">
        <w:rPr>
          <w:bCs/>
          <w:spacing w:val="2"/>
        </w:rPr>
        <w:t>íc</w:t>
      </w:r>
      <w:r w:rsidR="0008044B" w:rsidRPr="0048060F">
        <w:rPr>
          <w:bCs/>
          <w:spacing w:val="2"/>
        </w:rPr>
        <w:t xml:space="preserve"> případů </w:t>
      </w:r>
      <w:r w:rsidR="0008044B" w:rsidRPr="0048060F">
        <w:rPr>
          <w:b/>
          <w:bCs/>
          <w:spacing w:val="2"/>
        </w:rPr>
        <w:t>p</w:t>
      </w:r>
      <w:r w:rsidR="00222398" w:rsidRPr="0048060F">
        <w:rPr>
          <w:b/>
          <w:bCs/>
          <w:spacing w:val="2"/>
        </w:rPr>
        <w:t>racovn</w:t>
      </w:r>
      <w:r w:rsidR="00222398" w:rsidRPr="009E1B03">
        <w:rPr>
          <w:b/>
          <w:bCs/>
        </w:rPr>
        <w:t>í neschopnosti</w:t>
      </w:r>
      <w:r w:rsidR="009E1B03" w:rsidRPr="009E1B03">
        <w:rPr>
          <w:b/>
          <w:bCs/>
        </w:rPr>
        <w:t xml:space="preserve"> celkem</w:t>
      </w:r>
      <w:r w:rsidR="00222398">
        <w:rPr>
          <w:bCs/>
        </w:rPr>
        <w:t xml:space="preserve">, </w:t>
      </w:r>
      <w:r w:rsidR="00222398" w:rsidRPr="00496EEF">
        <w:rPr>
          <w:bCs/>
        </w:rPr>
        <w:t xml:space="preserve">o </w:t>
      </w:r>
      <w:r w:rsidR="00496EEF" w:rsidRPr="00496EEF">
        <w:rPr>
          <w:bCs/>
        </w:rPr>
        <w:t>59</w:t>
      </w:r>
      <w:r w:rsidR="0008044B" w:rsidRPr="00496EEF">
        <w:rPr>
          <w:bCs/>
        </w:rPr>
        <w:t xml:space="preserve"> tisíc </w:t>
      </w:r>
      <w:r w:rsidR="00222398" w:rsidRPr="00496EEF">
        <w:rPr>
          <w:bCs/>
        </w:rPr>
        <w:t>(2</w:t>
      </w:r>
      <w:r w:rsidR="00496EEF" w:rsidRPr="00496EEF">
        <w:rPr>
          <w:bCs/>
        </w:rPr>
        <w:t>,3</w:t>
      </w:r>
      <w:r w:rsidR="00222398" w:rsidRPr="00496EEF">
        <w:rPr>
          <w:bCs/>
        </w:rPr>
        <w:t xml:space="preserve"> %)</w:t>
      </w:r>
      <w:r w:rsidR="00222398">
        <w:rPr>
          <w:bCs/>
        </w:rPr>
        <w:t xml:space="preserve"> </w:t>
      </w:r>
      <w:r w:rsidR="0008044B" w:rsidRPr="00020337">
        <w:rPr>
          <w:bCs/>
        </w:rPr>
        <w:t xml:space="preserve">případů </w:t>
      </w:r>
      <w:r w:rsidR="0008044B">
        <w:rPr>
          <w:bCs/>
        </w:rPr>
        <w:t xml:space="preserve">méně než v předcházejícím roce. </w:t>
      </w:r>
      <w:r w:rsidR="0008044B" w:rsidRPr="0008044B">
        <w:t xml:space="preserve">Počet nově hlášených případů </w:t>
      </w:r>
      <w:r w:rsidR="002D559D">
        <w:t xml:space="preserve">za celý </w:t>
      </w:r>
      <w:r w:rsidR="0008044B" w:rsidRPr="0008044B">
        <w:t>rok 202</w:t>
      </w:r>
      <w:r w:rsidR="0008044B">
        <w:t>4</w:t>
      </w:r>
      <w:r w:rsidR="0008044B" w:rsidRPr="0008044B">
        <w:t xml:space="preserve"> se </w:t>
      </w:r>
      <w:r w:rsidR="002D559D">
        <w:t xml:space="preserve">umístil </w:t>
      </w:r>
      <w:r w:rsidR="00176121">
        <w:t>mezi hodnotami</w:t>
      </w:r>
      <w:r w:rsidR="0008044B" w:rsidRPr="0008044B">
        <w:t xml:space="preserve"> z let 2020 a 2021. Ve srovnání </w:t>
      </w:r>
      <w:r w:rsidR="0008044B" w:rsidRPr="009E1B03">
        <w:t>s </w:t>
      </w:r>
      <w:proofErr w:type="spellStart"/>
      <w:r w:rsidR="0008044B" w:rsidRPr="009E1B03">
        <w:t>předpandemickým</w:t>
      </w:r>
      <w:proofErr w:type="spellEnd"/>
      <w:r w:rsidR="0008044B" w:rsidRPr="009E1B03">
        <w:t xml:space="preserve"> rokem 2019</w:t>
      </w:r>
      <w:r w:rsidR="00176121">
        <w:t xml:space="preserve"> </w:t>
      </w:r>
      <w:r w:rsidR="002D559D">
        <w:t xml:space="preserve">došlo v roce 2024 k nárůstu počtu </w:t>
      </w:r>
      <w:r w:rsidR="002D559D" w:rsidRPr="00496EEF">
        <w:t>případů o</w:t>
      </w:r>
      <w:r w:rsidR="0008044B" w:rsidRPr="00496EEF">
        <w:t xml:space="preserve"> </w:t>
      </w:r>
      <w:r w:rsidR="00496EEF" w:rsidRPr="00496EEF">
        <w:t>29 % (561</w:t>
      </w:r>
      <w:r w:rsidR="002D559D" w:rsidRPr="00496EEF">
        <w:t xml:space="preserve"> tisíc)</w:t>
      </w:r>
      <w:r w:rsidR="0008044B" w:rsidRPr="00496EEF">
        <w:t>.</w:t>
      </w:r>
      <w:r w:rsidR="0008044B" w:rsidRPr="0008044B">
        <w:t xml:space="preserve"> </w:t>
      </w:r>
    </w:p>
    <w:p w:rsidR="0008044B" w:rsidRPr="0008044B" w:rsidRDefault="00176121" w:rsidP="006801D6">
      <w:r w:rsidRPr="00222398">
        <w:rPr>
          <w:spacing w:val="-4"/>
        </w:rPr>
        <w:t xml:space="preserve">Ve druhém pololetí roku 2024 </w:t>
      </w:r>
      <w:r w:rsidR="00AE49D8">
        <w:rPr>
          <w:spacing w:val="-4"/>
        </w:rPr>
        <w:t xml:space="preserve">bylo nahlášeno </w:t>
      </w:r>
      <w:r w:rsidR="00AE49D8" w:rsidRPr="0048060F">
        <w:rPr>
          <w:spacing w:val="-4"/>
        </w:rPr>
        <w:t xml:space="preserve">celkem </w:t>
      </w:r>
      <w:r w:rsidR="0048060F" w:rsidRPr="0048060F">
        <w:rPr>
          <w:spacing w:val="-4"/>
        </w:rPr>
        <w:t>1 200</w:t>
      </w:r>
      <w:r w:rsidR="00AE49D8" w:rsidRPr="0048060F">
        <w:rPr>
          <w:spacing w:val="-4"/>
        </w:rPr>
        <w:t xml:space="preserve"> tisíc</w:t>
      </w:r>
      <w:r w:rsidRPr="00222398">
        <w:rPr>
          <w:spacing w:val="-4"/>
        </w:rPr>
        <w:t xml:space="preserve"> případů dočasné pracovní neschopnosti</w:t>
      </w:r>
      <w:r w:rsidRPr="0048060F">
        <w:rPr>
          <w:spacing w:val="-4"/>
        </w:rPr>
        <w:t xml:space="preserve">, </w:t>
      </w:r>
      <w:r w:rsidR="0048060F" w:rsidRPr="0048060F">
        <w:rPr>
          <w:spacing w:val="-4"/>
        </w:rPr>
        <w:t>o 76</w:t>
      </w:r>
      <w:r w:rsidRPr="0048060F">
        <w:t xml:space="preserve"> tisíc</w:t>
      </w:r>
      <w:r>
        <w:t xml:space="preserve"> případů méně než v</w:t>
      </w:r>
      <w:r w:rsidR="00D836A1">
        <w:t> pololetí prvním.</w:t>
      </w:r>
      <w:r w:rsidR="00A210B9">
        <w:t xml:space="preserve"> Jak ilustruje graf 2.1, při porovnávání dat za pololetí daného roku </w:t>
      </w:r>
      <w:r w:rsidR="00D836A1">
        <w:t>přetrvává</w:t>
      </w:r>
      <w:r w:rsidR="00A210B9">
        <w:t xml:space="preserve"> (s výjimkou roku 2020)</w:t>
      </w:r>
      <w:r w:rsidR="00D836A1">
        <w:t xml:space="preserve"> trend výskytu vyššího počtu </w:t>
      </w:r>
      <w:r w:rsidR="00A210B9">
        <w:t xml:space="preserve">nově hlášených </w:t>
      </w:r>
      <w:r w:rsidR="00D836A1">
        <w:t>případů pracovní neschopnosti v prvním pololetí</w:t>
      </w:r>
      <w:r w:rsidR="00A210B9">
        <w:t>.</w:t>
      </w:r>
      <w:r w:rsidR="002E1BC1">
        <w:t xml:space="preserve"> </w:t>
      </w:r>
      <w:r w:rsidR="006801D6">
        <w:t>Obdobná situace platí také u podskupiny pracovních neschopností pro nemoc, viz graf 2.2.</w:t>
      </w:r>
    </w:p>
    <w:p w:rsidR="0008044B" w:rsidRDefault="00176121" w:rsidP="006801D6">
      <w:pPr>
        <w:spacing w:after="0"/>
        <w:rPr>
          <w:b/>
          <w:bCs/>
          <w:szCs w:val="20"/>
        </w:rPr>
      </w:pPr>
      <w:r w:rsidRPr="00176121">
        <w:rPr>
          <w:b/>
          <w:bCs/>
          <w:szCs w:val="20"/>
        </w:rPr>
        <w:t>Graf 2.1: Nově hlášené případy dočasné pracovní neschopnosti, 2015–2024 (v tis.)</w:t>
      </w:r>
    </w:p>
    <w:p w:rsidR="00176121" w:rsidRDefault="00A02D2D" w:rsidP="00176121">
      <w:pPr>
        <w:spacing w:after="0"/>
        <w:rPr>
          <w:bCs/>
          <w:sz w:val="16"/>
          <w:szCs w:val="16"/>
        </w:rPr>
      </w:pPr>
      <w:r>
        <w:rPr>
          <w:noProof/>
        </w:rPr>
        <w:drawing>
          <wp:inline distT="0" distB="0" distL="0" distR="0" wp14:anchorId="14CCAF7B" wp14:editId="179BCB78">
            <wp:extent cx="6120000" cy="3181350"/>
            <wp:effectExtent l="0" t="0" r="0" b="0"/>
            <wp:docPr id="42" name="Graf 4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00176121" w:rsidRPr="00176121">
        <w:rPr>
          <w:bCs/>
          <w:sz w:val="16"/>
          <w:szCs w:val="16"/>
        </w:rPr>
        <w:t xml:space="preserve">* </w:t>
      </w:r>
      <w:r w:rsidR="00B3495F">
        <w:rPr>
          <w:bCs/>
          <w:sz w:val="16"/>
          <w:szCs w:val="16"/>
        </w:rPr>
        <w:t xml:space="preserve">Údaje za </w:t>
      </w:r>
      <w:r w:rsidR="00176121" w:rsidRPr="00176121">
        <w:rPr>
          <w:bCs/>
          <w:sz w:val="16"/>
          <w:szCs w:val="16"/>
        </w:rPr>
        <w:t xml:space="preserve">1. pololetí </w:t>
      </w:r>
      <w:r w:rsidR="00B3495F">
        <w:rPr>
          <w:bCs/>
          <w:sz w:val="16"/>
          <w:szCs w:val="16"/>
        </w:rPr>
        <w:t xml:space="preserve">roku 2022 nejsou </w:t>
      </w:r>
      <w:r w:rsidR="00176121" w:rsidRPr="00176121">
        <w:rPr>
          <w:bCs/>
          <w:sz w:val="16"/>
          <w:szCs w:val="16"/>
        </w:rPr>
        <w:t>srovnatelné s</w:t>
      </w:r>
      <w:r w:rsidR="00B3495F">
        <w:rPr>
          <w:bCs/>
          <w:sz w:val="16"/>
          <w:szCs w:val="16"/>
        </w:rPr>
        <w:t xml:space="preserve"> údaji za 1. pololetí </w:t>
      </w:r>
      <w:r w:rsidR="00176121" w:rsidRPr="00176121">
        <w:rPr>
          <w:bCs/>
          <w:sz w:val="16"/>
          <w:szCs w:val="16"/>
        </w:rPr>
        <w:t>ostatních let.</w:t>
      </w:r>
    </w:p>
    <w:p w:rsidR="00176121" w:rsidRPr="00176121" w:rsidRDefault="00176121" w:rsidP="00176121">
      <w:pPr>
        <w:rPr>
          <w:bCs/>
          <w:sz w:val="16"/>
          <w:szCs w:val="16"/>
        </w:rPr>
      </w:pPr>
      <w:r>
        <w:rPr>
          <w:bCs/>
          <w:sz w:val="16"/>
          <w:szCs w:val="16"/>
        </w:rPr>
        <w:t>Zdroj: ČSÚ</w:t>
      </w:r>
    </w:p>
    <w:p w:rsidR="00A02D2D" w:rsidRDefault="00A02D2D">
      <w:pPr>
        <w:spacing w:after="0" w:line="240" w:lineRule="auto"/>
        <w:jc w:val="left"/>
        <w:rPr>
          <w:bCs/>
        </w:rPr>
      </w:pPr>
      <w:r>
        <w:rPr>
          <w:bCs/>
        </w:rPr>
        <w:br w:type="page"/>
      </w:r>
    </w:p>
    <w:p w:rsidR="004D5900" w:rsidRDefault="00FF3AC0" w:rsidP="004D5900">
      <w:pPr>
        <w:rPr>
          <w:bCs/>
        </w:rPr>
      </w:pPr>
      <w:r>
        <w:rPr>
          <w:bCs/>
        </w:rPr>
        <w:lastRenderedPageBreak/>
        <w:t xml:space="preserve">V </w:t>
      </w:r>
      <w:r w:rsidRPr="00EF0264">
        <w:rPr>
          <w:b/>
          <w:bCs/>
        </w:rPr>
        <w:t>roce 2024</w:t>
      </w:r>
      <w:r w:rsidRPr="00020337">
        <w:rPr>
          <w:bCs/>
        </w:rPr>
        <w:t xml:space="preserve"> bylo v </w:t>
      </w:r>
      <w:r w:rsidRPr="0048060F">
        <w:rPr>
          <w:bCs/>
        </w:rPr>
        <w:t xml:space="preserve">Česku </w:t>
      </w:r>
      <w:r w:rsidR="0048060F" w:rsidRPr="0048060F">
        <w:rPr>
          <w:bCs/>
        </w:rPr>
        <w:t>evidováno 2 267</w:t>
      </w:r>
      <w:r w:rsidRPr="0048060F">
        <w:rPr>
          <w:bCs/>
        </w:rPr>
        <w:t xml:space="preserve"> tis</w:t>
      </w:r>
      <w:r w:rsidR="00AE49D8" w:rsidRPr="0048060F">
        <w:rPr>
          <w:bCs/>
        </w:rPr>
        <w:t>íc</w:t>
      </w:r>
      <w:r w:rsidRPr="0048060F">
        <w:rPr>
          <w:bCs/>
        </w:rPr>
        <w:t xml:space="preserve"> případů </w:t>
      </w:r>
      <w:r w:rsidRPr="0048060F">
        <w:rPr>
          <w:b/>
          <w:bCs/>
        </w:rPr>
        <w:t>pracovní neschopnosti pro nemoc</w:t>
      </w:r>
      <w:r w:rsidR="002C00B5" w:rsidRPr="0048060F">
        <w:rPr>
          <w:bCs/>
        </w:rPr>
        <w:t xml:space="preserve">, o </w:t>
      </w:r>
      <w:r w:rsidR="0048060F" w:rsidRPr="0048060F">
        <w:rPr>
          <w:bCs/>
        </w:rPr>
        <w:t>56</w:t>
      </w:r>
      <w:r w:rsidR="00222398" w:rsidRPr="0048060F">
        <w:rPr>
          <w:bCs/>
        </w:rPr>
        <w:t xml:space="preserve"> tisíc (</w:t>
      </w:r>
      <w:r w:rsidR="002C00B5" w:rsidRPr="0048060F">
        <w:rPr>
          <w:bCs/>
        </w:rPr>
        <w:t>2</w:t>
      </w:r>
      <w:r w:rsidR="00AE49D8" w:rsidRPr="0048060F">
        <w:rPr>
          <w:bCs/>
        </w:rPr>
        <w:t> </w:t>
      </w:r>
      <w:r w:rsidR="002C00B5" w:rsidRPr="0048060F">
        <w:rPr>
          <w:bCs/>
        </w:rPr>
        <w:t>%</w:t>
      </w:r>
      <w:r w:rsidR="00222398" w:rsidRPr="0048060F">
        <w:rPr>
          <w:bCs/>
        </w:rPr>
        <w:t>)</w:t>
      </w:r>
      <w:r w:rsidR="002C00B5" w:rsidRPr="0048060F">
        <w:rPr>
          <w:bCs/>
        </w:rPr>
        <w:t xml:space="preserve"> případů méně než v roce 2023. Do počtu případů pro nem</w:t>
      </w:r>
      <w:r w:rsidR="002C00B5" w:rsidRPr="00251BF8">
        <w:rPr>
          <w:bCs/>
        </w:rPr>
        <w:t>oc jsou kromě nemocí jako takových započ</w:t>
      </w:r>
      <w:r w:rsidR="002C00B5">
        <w:rPr>
          <w:bCs/>
        </w:rPr>
        <w:t>ítávány také</w:t>
      </w:r>
      <w:r w:rsidR="002C00B5" w:rsidRPr="00251BF8">
        <w:rPr>
          <w:bCs/>
        </w:rPr>
        <w:t xml:space="preserve"> karantény a izolace.</w:t>
      </w:r>
      <w:r w:rsidR="002C00B5">
        <w:rPr>
          <w:bCs/>
        </w:rPr>
        <w:t xml:space="preserve"> Na celkovém počtu případů pracovní neschopnosti se tato podskupina podílela </w:t>
      </w:r>
      <w:r w:rsidR="002C00B5" w:rsidRPr="0048060F">
        <w:rPr>
          <w:bCs/>
        </w:rPr>
        <w:t>z necelých 92 %.</w:t>
      </w:r>
      <w:r w:rsidR="0093032B">
        <w:rPr>
          <w:bCs/>
        </w:rPr>
        <w:t xml:space="preserve"> Při srovnání s </w:t>
      </w:r>
      <w:proofErr w:type="spellStart"/>
      <w:r w:rsidR="0093032B">
        <w:rPr>
          <w:bCs/>
        </w:rPr>
        <w:t>předpandemickým</w:t>
      </w:r>
      <w:proofErr w:type="spellEnd"/>
      <w:r w:rsidR="0093032B">
        <w:rPr>
          <w:bCs/>
        </w:rPr>
        <w:t xml:space="preserve"> rokem 2019 došlo k </w:t>
      </w:r>
      <w:r w:rsidR="0093032B" w:rsidRPr="00760027">
        <w:rPr>
          <w:bCs/>
        </w:rPr>
        <w:t xml:space="preserve">nárůstu o </w:t>
      </w:r>
      <w:r w:rsidR="00760027" w:rsidRPr="00760027">
        <w:rPr>
          <w:bCs/>
        </w:rPr>
        <w:t>556 tisíc případů (32</w:t>
      </w:r>
      <w:r w:rsidR="00222398" w:rsidRPr="00760027">
        <w:rPr>
          <w:bCs/>
        </w:rPr>
        <w:t xml:space="preserve"> %).</w:t>
      </w:r>
    </w:p>
    <w:p w:rsidR="004A6623" w:rsidRDefault="00D83D60" w:rsidP="004D5900">
      <w:pPr>
        <w:rPr>
          <w:bCs/>
          <w:color w:val="000000" w:themeColor="text1"/>
        </w:rPr>
      </w:pPr>
      <w:r>
        <w:rPr>
          <w:color w:val="000000" w:themeColor="text1"/>
        </w:rPr>
        <w:t xml:space="preserve">Na grafu 2.2 je zobrazen vývoj pololetního počtu případů pracovní neschopnosti pro nemoc. </w:t>
      </w:r>
      <w:r w:rsidR="00222398">
        <w:rPr>
          <w:color w:val="000000" w:themeColor="text1"/>
        </w:rPr>
        <w:t>Za druhé pololetí roku 2024</w:t>
      </w:r>
      <w:r w:rsidR="00222398" w:rsidRPr="00222398">
        <w:rPr>
          <w:color w:val="000000" w:themeColor="text1"/>
        </w:rPr>
        <w:t xml:space="preserve"> bylo </w:t>
      </w:r>
      <w:r w:rsidR="00222398" w:rsidRPr="00760027">
        <w:rPr>
          <w:color w:val="000000" w:themeColor="text1"/>
        </w:rPr>
        <w:t>nahlášeno 1 </w:t>
      </w:r>
      <w:r w:rsidR="00760027" w:rsidRPr="00760027">
        <w:rPr>
          <w:color w:val="000000" w:themeColor="text1"/>
        </w:rPr>
        <w:t>098</w:t>
      </w:r>
      <w:r w:rsidR="00222398" w:rsidRPr="00760027">
        <w:rPr>
          <w:color w:val="000000" w:themeColor="text1"/>
        </w:rPr>
        <w:t xml:space="preserve"> tis</w:t>
      </w:r>
      <w:r w:rsidR="00AE49D8" w:rsidRPr="00760027">
        <w:rPr>
          <w:color w:val="000000" w:themeColor="text1"/>
        </w:rPr>
        <w:t>íc</w:t>
      </w:r>
      <w:r w:rsidR="00222398" w:rsidRPr="00760027">
        <w:rPr>
          <w:color w:val="000000" w:themeColor="text1"/>
        </w:rPr>
        <w:t xml:space="preserve"> případů</w:t>
      </w:r>
      <w:r w:rsidR="00222398" w:rsidRPr="00222398">
        <w:rPr>
          <w:color w:val="000000" w:themeColor="text1"/>
        </w:rPr>
        <w:t xml:space="preserve"> dočasné pracovní neschopnosti</w:t>
      </w:r>
      <w:r w:rsidR="00222398">
        <w:rPr>
          <w:color w:val="000000" w:themeColor="text1"/>
        </w:rPr>
        <w:t xml:space="preserve"> pro </w:t>
      </w:r>
      <w:r w:rsidR="00222398" w:rsidRPr="00760027">
        <w:rPr>
          <w:color w:val="000000" w:themeColor="text1"/>
        </w:rPr>
        <w:t>nemoc</w:t>
      </w:r>
      <w:r w:rsidR="00760027" w:rsidRPr="00760027">
        <w:rPr>
          <w:color w:val="000000" w:themeColor="text1"/>
        </w:rPr>
        <w:t xml:space="preserve"> (92</w:t>
      </w:r>
      <w:r w:rsidR="00804F15" w:rsidRPr="00760027">
        <w:rPr>
          <w:color w:val="000000" w:themeColor="text1"/>
        </w:rPr>
        <w:t> %</w:t>
      </w:r>
      <w:r w:rsidR="00804F15">
        <w:rPr>
          <w:color w:val="000000" w:themeColor="text1"/>
        </w:rPr>
        <w:t xml:space="preserve"> z pracovní neschopnosti celkem</w:t>
      </w:r>
      <w:r w:rsidR="00804F15" w:rsidRPr="00760027">
        <w:rPr>
          <w:color w:val="000000" w:themeColor="text1"/>
        </w:rPr>
        <w:t xml:space="preserve">), o </w:t>
      </w:r>
      <w:r w:rsidR="00760027" w:rsidRPr="00760027">
        <w:rPr>
          <w:color w:val="000000" w:themeColor="text1"/>
        </w:rPr>
        <w:t>v</w:t>
      </w:r>
      <w:r w:rsidR="00A02D2D">
        <w:rPr>
          <w:color w:val="000000" w:themeColor="text1"/>
        </w:rPr>
        <w:t>íce</w:t>
      </w:r>
      <w:r w:rsidR="00760027" w:rsidRPr="00760027">
        <w:rPr>
          <w:color w:val="000000" w:themeColor="text1"/>
        </w:rPr>
        <w:t xml:space="preserve"> než čtyři</w:t>
      </w:r>
      <w:r w:rsidR="00804F15" w:rsidRPr="00760027">
        <w:rPr>
          <w:color w:val="000000" w:themeColor="text1"/>
        </w:rPr>
        <w:t xml:space="preserve"> tisíc</w:t>
      </w:r>
      <w:r w:rsidR="00760027" w:rsidRPr="00760027">
        <w:rPr>
          <w:color w:val="000000" w:themeColor="text1"/>
        </w:rPr>
        <w:t>e</w:t>
      </w:r>
      <w:r w:rsidR="00A02D2D">
        <w:rPr>
          <w:color w:val="000000" w:themeColor="text1"/>
        </w:rPr>
        <w:t xml:space="preserve"> méně</w:t>
      </w:r>
      <w:r w:rsidR="00804F15">
        <w:rPr>
          <w:color w:val="000000" w:themeColor="text1"/>
        </w:rPr>
        <w:t xml:space="preserve"> </w:t>
      </w:r>
      <w:r w:rsidR="00A02D2D">
        <w:rPr>
          <w:color w:val="000000" w:themeColor="text1"/>
        </w:rPr>
        <w:t>při srovnání se stejným</w:t>
      </w:r>
      <w:r w:rsidR="00804F15">
        <w:rPr>
          <w:color w:val="000000" w:themeColor="text1"/>
        </w:rPr>
        <w:t xml:space="preserve"> období</w:t>
      </w:r>
      <w:r w:rsidR="00A02D2D">
        <w:rPr>
          <w:color w:val="000000" w:themeColor="text1"/>
        </w:rPr>
        <w:t>m</w:t>
      </w:r>
      <w:r w:rsidR="00804F15">
        <w:rPr>
          <w:color w:val="000000" w:themeColor="text1"/>
        </w:rPr>
        <w:t xml:space="preserve"> roku 2023. </w:t>
      </w:r>
      <w:r w:rsidR="00804F15">
        <w:rPr>
          <w:bCs/>
          <w:color w:val="000000" w:themeColor="text1"/>
        </w:rPr>
        <w:t>Při</w:t>
      </w:r>
      <w:r w:rsidR="00804F15" w:rsidRPr="00804F15">
        <w:rPr>
          <w:bCs/>
          <w:color w:val="000000" w:themeColor="text1"/>
        </w:rPr>
        <w:t xml:space="preserve"> srovnání s</w:t>
      </w:r>
      <w:r w:rsidR="00804F15">
        <w:rPr>
          <w:bCs/>
          <w:color w:val="000000" w:themeColor="text1"/>
        </w:rPr>
        <w:t xml:space="preserve"> 2. pololetím 2019 (obdobím před pandemií), </w:t>
      </w:r>
      <w:r w:rsidR="00804F15" w:rsidRPr="00804F15">
        <w:rPr>
          <w:bCs/>
          <w:color w:val="000000" w:themeColor="text1"/>
        </w:rPr>
        <w:t>počet neschopenek pro nemoc v druhé polovině roku 202</w:t>
      </w:r>
      <w:r w:rsidR="00804F15">
        <w:rPr>
          <w:bCs/>
          <w:color w:val="000000" w:themeColor="text1"/>
        </w:rPr>
        <w:t>4</w:t>
      </w:r>
      <w:r w:rsidR="00804F15" w:rsidRPr="00804F15">
        <w:rPr>
          <w:bCs/>
          <w:color w:val="000000" w:themeColor="text1"/>
        </w:rPr>
        <w:t xml:space="preserve"> </w:t>
      </w:r>
      <w:r w:rsidR="00804F15">
        <w:rPr>
          <w:bCs/>
          <w:color w:val="000000" w:themeColor="text1"/>
        </w:rPr>
        <w:t>stoupl</w:t>
      </w:r>
      <w:r w:rsidR="00804F15" w:rsidRPr="00804F15">
        <w:rPr>
          <w:bCs/>
          <w:color w:val="000000" w:themeColor="text1"/>
        </w:rPr>
        <w:t xml:space="preserve"> </w:t>
      </w:r>
      <w:r w:rsidR="00804F15" w:rsidRPr="00A02D2D">
        <w:rPr>
          <w:bCs/>
          <w:color w:val="000000" w:themeColor="text1"/>
        </w:rPr>
        <w:t>o necelou třetinu (</w:t>
      </w:r>
      <w:r w:rsidR="00A02D2D" w:rsidRPr="00A02D2D">
        <w:rPr>
          <w:bCs/>
          <w:color w:val="000000" w:themeColor="text1"/>
        </w:rPr>
        <w:t>31</w:t>
      </w:r>
      <w:r w:rsidR="00804F15" w:rsidRPr="00A02D2D">
        <w:rPr>
          <w:bCs/>
          <w:color w:val="000000" w:themeColor="text1"/>
        </w:rPr>
        <w:t xml:space="preserve"> %), </w:t>
      </w:r>
      <w:r w:rsidR="00F33DA6" w:rsidRPr="00A02D2D">
        <w:rPr>
          <w:bCs/>
          <w:color w:val="000000" w:themeColor="text1"/>
        </w:rPr>
        <w:t>v</w:t>
      </w:r>
      <w:r w:rsidR="00F33DA6">
        <w:rPr>
          <w:bCs/>
          <w:color w:val="000000" w:themeColor="text1"/>
        </w:rPr>
        <w:t xml:space="preserve"> absolutních číslech </w:t>
      </w:r>
      <w:r w:rsidR="00A02D2D" w:rsidRPr="00A02D2D">
        <w:rPr>
          <w:bCs/>
          <w:color w:val="000000" w:themeColor="text1"/>
        </w:rPr>
        <w:t>o 260</w:t>
      </w:r>
      <w:r w:rsidR="00804F15" w:rsidRPr="00A02D2D">
        <w:rPr>
          <w:bCs/>
          <w:color w:val="000000" w:themeColor="text1"/>
        </w:rPr>
        <w:t xml:space="preserve"> tis</w:t>
      </w:r>
      <w:r w:rsidR="00F33DA6" w:rsidRPr="00A02D2D">
        <w:rPr>
          <w:bCs/>
          <w:color w:val="000000" w:themeColor="text1"/>
        </w:rPr>
        <w:t>íc.</w:t>
      </w:r>
      <w:r w:rsidR="00F33DA6">
        <w:rPr>
          <w:bCs/>
          <w:color w:val="000000" w:themeColor="text1"/>
        </w:rPr>
        <w:t xml:space="preserve"> Obdobné hodnoty vykazovalo i porovnání prvních šest</w:t>
      </w:r>
      <w:r w:rsidR="00E52F73">
        <w:rPr>
          <w:bCs/>
          <w:color w:val="000000" w:themeColor="text1"/>
        </w:rPr>
        <w:t>i</w:t>
      </w:r>
      <w:r w:rsidR="00F33DA6">
        <w:rPr>
          <w:bCs/>
          <w:color w:val="000000" w:themeColor="text1"/>
        </w:rPr>
        <w:t xml:space="preserve"> měsíců těchto dvou let (n</w:t>
      </w:r>
      <w:r w:rsidR="00F33DA6" w:rsidRPr="00A02D2D">
        <w:rPr>
          <w:bCs/>
          <w:color w:val="000000" w:themeColor="text1"/>
        </w:rPr>
        <w:t>árůst o 34 %, resp. 296</w:t>
      </w:r>
      <w:r w:rsidR="00804F15" w:rsidRPr="00A02D2D">
        <w:rPr>
          <w:bCs/>
          <w:color w:val="000000" w:themeColor="text1"/>
        </w:rPr>
        <w:t xml:space="preserve"> tis</w:t>
      </w:r>
      <w:r w:rsidR="00F33DA6" w:rsidRPr="00A02D2D">
        <w:rPr>
          <w:bCs/>
          <w:color w:val="000000" w:themeColor="text1"/>
        </w:rPr>
        <w:t>íc</w:t>
      </w:r>
      <w:r w:rsidR="00804F15" w:rsidRPr="00A02D2D">
        <w:rPr>
          <w:bCs/>
          <w:color w:val="000000" w:themeColor="text1"/>
        </w:rPr>
        <w:t xml:space="preserve"> případů).</w:t>
      </w:r>
      <w:r>
        <w:rPr>
          <w:bCs/>
          <w:color w:val="000000" w:themeColor="text1"/>
        </w:rPr>
        <w:t xml:space="preserve"> </w:t>
      </w:r>
    </w:p>
    <w:p w:rsidR="00222398" w:rsidRDefault="004A6623" w:rsidP="004A6623">
      <w:pPr>
        <w:rPr>
          <w:bCs/>
          <w:color w:val="000000" w:themeColor="text1"/>
        </w:rPr>
      </w:pPr>
      <w:r w:rsidRPr="004A6623">
        <w:rPr>
          <w:spacing w:val="2"/>
        </w:rPr>
        <w:t xml:space="preserve">Dopad legislativních změn na statistiku pracovní neschopnosti je zřejmý zejména u případů pracovní neschopnosti </w:t>
      </w:r>
      <w:r w:rsidRPr="004A6623">
        <w:rPr>
          <w:b/>
          <w:spacing w:val="2"/>
        </w:rPr>
        <w:t>pro nemoc</w:t>
      </w:r>
      <w:r w:rsidRPr="004A6623">
        <w:rPr>
          <w:spacing w:val="2"/>
        </w:rPr>
        <w:t>.</w:t>
      </w:r>
      <w:r w:rsidRPr="004A6623">
        <w:t xml:space="preserve"> Na počet případů pracovní neschopnosti pro úrazy takový vliv nemají. </w:t>
      </w:r>
      <w:r w:rsidRPr="004A6623">
        <w:rPr>
          <w:spacing w:val="2"/>
        </w:rPr>
        <w:t>Legislativní úpravy ve vyplácení dávek nemocenského se nejvíce projevují v četnosti případů méně závažných a krátkodobých pracovních neschopností, např. u nemocí dýchacích cest</w:t>
      </w:r>
      <w:r w:rsidRPr="004A6623">
        <w:t xml:space="preserve"> (běžná nachlazení, záněty horních cest dýchacích apod.).</w:t>
      </w:r>
    </w:p>
    <w:p w:rsidR="00D83D60" w:rsidRDefault="00D83D60" w:rsidP="004A6623">
      <w:pPr>
        <w:spacing w:after="0"/>
        <w:rPr>
          <w:b/>
          <w:bCs/>
          <w:szCs w:val="20"/>
        </w:rPr>
      </w:pPr>
      <w:r>
        <w:rPr>
          <w:b/>
          <w:bCs/>
          <w:szCs w:val="20"/>
        </w:rPr>
        <w:t>Graf 2.2</w:t>
      </w:r>
      <w:r w:rsidRPr="00176121">
        <w:rPr>
          <w:b/>
          <w:bCs/>
          <w:szCs w:val="20"/>
        </w:rPr>
        <w:t>: Nově hlášené případy dočasné pracovní neschopnosti</w:t>
      </w:r>
      <w:r>
        <w:rPr>
          <w:b/>
          <w:bCs/>
          <w:szCs w:val="20"/>
        </w:rPr>
        <w:t xml:space="preserve"> pro nemoc</w:t>
      </w:r>
      <w:r w:rsidRPr="00176121">
        <w:rPr>
          <w:b/>
          <w:bCs/>
          <w:szCs w:val="20"/>
        </w:rPr>
        <w:t>, 2015–2024 (v tis.</w:t>
      </w:r>
      <w:r>
        <w:rPr>
          <w:b/>
          <w:bCs/>
          <w:szCs w:val="20"/>
        </w:rPr>
        <w:t>)</w:t>
      </w:r>
    </w:p>
    <w:p w:rsidR="00D83D60" w:rsidRDefault="0088076C" w:rsidP="00D83D60">
      <w:pPr>
        <w:spacing w:after="0"/>
        <w:rPr>
          <w:bCs/>
          <w:sz w:val="16"/>
          <w:szCs w:val="16"/>
        </w:rPr>
      </w:pPr>
      <w:r>
        <w:rPr>
          <w:noProof/>
        </w:rPr>
        <w:drawing>
          <wp:inline distT="0" distB="0" distL="0" distR="0" wp14:anchorId="002152E7" wp14:editId="619B93A8">
            <wp:extent cx="6120000" cy="2933700"/>
            <wp:effectExtent l="0" t="0" r="0" b="0"/>
            <wp:docPr id="43" name="Graf 4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sidR="00D83D60" w:rsidRPr="00176121">
        <w:rPr>
          <w:bCs/>
          <w:sz w:val="16"/>
          <w:szCs w:val="16"/>
        </w:rPr>
        <w:t xml:space="preserve">* </w:t>
      </w:r>
      <w:r w:rsidR="00224942">
        <w:rPr>
          <w:bCs/>
          <w:sz w:val="16"/>
          <w:szCs w:val="16"/>
        </w:rPr>
        <w:t xml:space="preserve">Údaje za </w:t>
      </w:r>
      <w:r w:rsidR="00D83D60" w:rsidRPr="00176121">
        <w:rPr>
          <w:bCs/>
          <w:sz w:val="16"/>
          <w:szCs w:val="16"/>
        </w:rPr>
        <w:t xml:space="preserve">1. pololetí </w:t>
      </w:r>
      <w:r w:rsidR="00224942">
        <w:rPr>
          <w:bCs/>
          <w:sz w:val="16"/>
          <w:szCs w:val="16"/>
        </w:rPr>
        <w:t xml:space="preserve">roku </w:t>
      </w:r>
      <w:r w:rsidR="00306114">
        <w:rPr>
          <w:bCs/>
          <w:sz w:val="16"/>
          <w:szCs w:val="16"/>
        </w:rPr>
        <w:t xml:space="preserve">2022 nejsou </w:t>
      </w:r>
      <w:r w:rsidR="00D83D60" w:rsidRPr="00176121">
        <w:rPr>
          <w:bCs/>
          <w:sz w:val="16"/>
          <w:szCs w:val="16"/>
        </w:rPr>
        <w:t>srovnatelné s</w:t>
      </w:r>
      <w:r w:rsidR="00306114">
        <w:rPr>
          <w:bCs/>
          <w:sz w:val="16"/>
          <w:szCs w:val="16"/>
        </w:rPr>
        <w:t> údaji za 1. pololetí</w:t>
      </w:r>
      <w:r w:rsidR="00D83D60" w:rsidRPr="00176121">
        <w:rPr>
          <w:bCs/>
          <w:sz w:val="16"/>
          <w:szCs w:val="16"/>
        </w:rPr>
        <w:t xml:space="preserve"> ostatních let.</w:t>
      </w:r>
    </w:p>
    <w:p w:rsidR="00F33DA6" w:rsidRDefault="00D83D60" w:rsidP="004A6623">
      <w:pPr>
        <w:rPr>
          <w:bCs/>
          <w:sz w:val="16"/>
          <w:szCs w:val="16"/>
        </w:rPr>
      </w:pPr>
      <w:r>
        <w:rPr>
          <w:bCs/>
          <w:sz w:val="16"/>
          <w:szCs w:val="16"/>
        </w:rPr>
        <w:t>Zdroj: ČSÚ</w:t>
      </w:r>
    </w:p>
    <w:p w:rsidR="004A6623" w:rsidRPr="004A6623" w:rsidRDefault="004A6623" w:rsidP="00D04580">
      <w:r w:rsidRPr="004A6623">
        <w:t xml:space="preserve">Do roku 2018 platil trend, že </w:t>
      </w:r>
      <w:r>
        <w:rPr>
          <w:b/>
        </w:rPr>
        <w:t>během prvních šesti měsíců roku</w:t>
      </w:r>
      <w:r w:rsidRPr="004A6623">
        <w:t xml:space="preserve"> je hlášeno značně více případů pracovní neschopnosti než v pololetí druhém. </w:t>
      </w:r>
      <w:r>
        <w:t>Jedním z možných vysvětlení</w:t>
      </w:r>
      <w:r w:rsidRPr="004A6623">
        <w:t xml:space="preserve"> mohou být jarní chřipkové epidemie. Naopak poklesu </w:t>
      </w:r>
      <w:r>
        <w:t xml:space="preserve">počtu případů </w:t>
      </w:r>
      <w:r w:rsidRPr="004A6623">
        <w:t>v</w:t>
      </w:r>
      <w:r>
        <w:t>e</w:t>
      </w:r>
      <w:r w:rsidRPr="004A6623">
        <w:t xml:space="preserve"> druhém pololetí nahrávají </w:t>
      </w:r>
      <w:r>
        <w:t xml:space="preserve">letní, podzimní či vánoční </w:t>
      </w:r>
      <w:r w:rsidRPr="004A6623">
        <w:t>prá</w:t>
      </w:r>
      <w:r>
        <w:t>zdniny</w:t>
      </w:r>
      <w:r w:rsidRPr="004A6623">
        <w:t xml:space="preserve">. Pokud se nejedná o onemocnění závažnějšího charakteru, </w:t>
      </w:r>
      <w:r>
        <w:t>pojištěnec</w:t>
      </w:r>
      <w:r w:rsidRPr="004A6623">
        <w:t xml:space="preserve"> se </w:t>
      </w:r>
      <w:r>
        <w:t xml:space="preserve">může </w:t>
      </w:r>
      <w:r w:rsidRPr="004A6623">
        <w:t xml:space="preserve">během dovolené zotavit sám bez nutnosti návštěvy lékaře a vystavení pracovní neschopnosti. </w:t>
      </w:r>
      <w:r w:rsidR="00D04580">
        <w:t>J</w:t>
      </w:r>
      <w:r w:rsidRPr="004A6623">
        <w:t xml:space="preserve">edním z faktorů, které zapříčinily meziroční nárůst počtu nových případů pracovní neschopnosti </w:t>
      </w:r>
      <w:r w:rsidRPr="004A6623">
        <w:rPr>
          <w:b/>
        </w:rPr>
        <w:t>způsobených nemocí</w:t>
      </w:r>
      <w:r w:rsidRPr="004A6623">
        <w:t xml:space="preserve"> oproti </w:t>
      </w:r>
      <w:r w:rsidR="00D04580">
        <w:t>druhé polovině roku</w:t>
      </w:r>
      <w:r w:rsidRPr="004A6623">
        <w:t xml:space="preserve"> 2018, je patrně </w:t>
      </w:r>
      <w:r w:rsidRPr="004A6623">
        <w:rPr>
          <w:b/>
        </w:rPr>
        <w:t>zrušení karenční doby od 1. července 2019</w:t>
      </w:r>
      <w:r w:rsidRPr="004A6623">
        <w:t xml:space="preserve">, kdy je </w:t>
      </w:r>
      <w:r w:rsidR="00D04580">
        <w:t xml:space="preserve">nově </w:t>
      </w:r>
      <w:r w:rsidRPr="004A6623">
        <w:t>náhrada mzdy od zaměstnavatele zaměstnanci vyplácena již od prvního dne</w:t>
      </w:r>
      <w:r w:rsidR="00D04580">
        <w:t xml:space="preserve"> neschopnosti, </w:t>
      </w:r>
      <w:r w:rsidRPr="004A6623">
        <w:t>nikoliv až od čtvrtého. Rozdíl mezi prvním a druhým pololetím v roce 2019 již tedy nebyl tak výrazný jako v předchozích letech.</w:t>
      </w:r>
    </w:p>
    <w:p w:rsidR="004A6623" w:rsidRPr="004A6623" w:rsidRDefault="004A6623" w:rsidP="00911311">
      <w:r w:rsidRPr="004A6623">
        <w:t xml:space="preserve">V roce 2020 statistiky pracovní neschopnosti </w:t>
      </w:r>
      <w:r w:rsidR="00D04580">
        <w:t>ovlivnila</w:t>
      </w:r>
      <w:r w:rsidRPr="004A6623">
        <w:rPr>
          <w:b/>
        </w:rPr>
        <w:t xml:space="preserve"> </w:t>
      </w:r>
      <w:proofErr w:type="spellStart"/>
      <w:r w:rsidRPr="004A6623">
        <w:rPr>
          <w:b/>
        </w:rPr>
        <w:t>koronavirová</w:t>
      </w:r>
      <w:proofErr w:type="spellEnd"/>
      <w:r w:rsidRPr="004A6623">
        <w:rPr>
          <w:b/>
        </w:rPr>
        <w:t xml:space="preserve"> pandemie</w:t>
      </w:r>
      <w:r w:rsidRPr="004A6623">
        <w:t>, kdy v</w:t>
      </w:r>
      <w:r w:rsidR="00D04580">
        <w:t>e</w:t>
      </w:r>
      <w:r w:rsidRPr="004A6623">
        <w:t xml:space="preserve"> druhém pololetí Česko zasáhla podzimní vlna onemocnění. Zatímco mezi prvními pololetími </w:t>
      </w:r>
      <w:r w:rsidR="00911311">
        <w:t>let</w:t>
      </w:r>
      <w:r w:rsidRPr="004A6623">
        <w:t xml:space="preserve"> 2019 a 2020 došlo k nárůstu o 104 tis</w:t>
      </w:r>
      <w:r w:rsidR="00AE49D8">
        <w:t>íc</w:t>
      </w:r>
      <w:r w:rsidRPr="004A6623">
        <w:t xml:space="preserve"> (o 12 %) případů pracovní neschopnosti pro nemoc, mez</w:t>
      </w:r>
      <w:r w:rsidR="00D04580">
        <w:t>i druhými pololetími se počet případů z</w:t>
      </w:r>
      <w:r w:rsidRPr="004A6623">
        <w:t>výšil o 387 tis</w:t>
      </w:r>
      <w:r w:rsidR="00AE49D8">
        <w:t>íc</w:t>
      </w:r>
      <w:r w:rsidRPr="004A6623">
        <w:t xml:space="preserve"> (o 46 %). </w:t>
      </w:r>
      <w:r w:rsidR="00911311" w:rsidRPr="00D3621B">
        <w:t>Graf 2.</w:t>
      </w:r>
      <w:r w:rsidR="00911311">
        <w:t>2</w:t>
      </w:r>
      <w:r w:rsidR="00911311" w:rsidRPr="00D3621B">
        <w:t xml:space="preserve"> dále ilustruje vysoké hodnoty v</w:t>
      </w:r>
      <w:r w:rsidR="00911311">
        <w:t>e</w:t>
      </w:r>
      <w:r w:rsidR="00911311" w:rsidRPr="00D3621B">
        <w:t> druhých pololetích let 2020 a 2021, kam spadaj</w:t>
      </w:r>
      <w:r w:rsidR="00CD67F3">
        <w:t>í podzimní vlny onemocnění COVID</w:t>
      </w:r>
      <w:r w:rsidR="00911311" w:rsidRPr="00D3621B">
        <w:t xml:space="preserve">-19. Toto období už ovšem nevykazuje </w:t>
      </w:r>
      <w:r w:rsidR="00911311">
        <w:t xml:space="preserve">tak vysoký meziroční </w:t>
      </w:r>
      <w:r w:rsidR="00911311" w:rsidRPr="00D3621B">
        <w:t xml:space="preserve">růst. </w:t>
      </w:r>
      <w:r w:rsidR="00911311">
        <w:t>Podobných hodnot bylo dosaženo také ve druhé polovině</w:t>
      </w:r>
      <w:r w:rsidR="00911311" w:rsidRPr="00D3621B">
        <w:t xml:space="preserve"> roku 2022. Dramatické zvýšení počtu případů </w:t>
      </w:r>
      <w:r w:rsidR="00911311" w:rsidRPr="00D3621B">
        <w:lastRenderedPageBreak/>
        <w:t xml:space="preserve">pracovní neschopnosti pro nemoc </w:t>
      </w:r>
      <w:r w:rsidR="00911311">
        <w:t>lze pozorovat i v prvním</w:t>
      </w:r>
      <w:r w:rsidR="00911311" w:rsidRPr="00D3621B">
        <w:t xml:space="preserve"> pololetí </w:t>
      </w:r>
      <w:r w:rsidR="00911311">
        <w:t xml:space="preserve">tohoto </w:t>
      </w:r>
      <w:r w:rsidR="00911311" w:rsidRPr="00D3621B">
        <w:t>rok</w:t>
      </w:r>
      <w:r w:rsidR="00911311">
        <w:t>u, ovšem míra navýšení je</w:t>
      </w:r>
      <w:r w:rsidR="00911311" w:rsidRPr="00D3621B">
        <w:t xml:space="preserve"> do určité míry zkre</w:t>
      </w:r>
      <w:r w:rsidR="00911311">
        <w:t>slena. Jak již bylo zmíněno</w:t>
      </w:r>
      <w:r w:rsidR="00911311" w:rsidRPr="00D3621B">
        <w:t xml:space="preserve">, ve statistikách ze začátku roku 2022 se mohou nacházet duplicity vzniklé v zájmu zajištění co nejrychlejšího zabránění šíření onemocnění. Tyto případy však není možné identifikovat </w:t>
      </w:r>
      <w:r w:rsidR="00911311" w:rsidRPr="00D3621B">
        <w:rPr>
          <w:spacing w:val="-2"/>
        </w:rPr>
        <w:t>a z celkových dat vyloučit.</w:t>
      </w:r>
      <w:r w:rsidR="00911311" w:rsidRPr="00911311">
        <w:rPr>
          <w:spacing w:val="-2"/>
        </w:rPr>
        <w:t xml:space="preserve"> </w:t>
      </w:r>
      <w:r w:rsidRPr="004A6623">
        <w:rPr>
          <w:spacing w:val="-2"/>
        </w:rPr>
        <w:t>Přestože</w:t>
      </w:r>
      <w:r w:rsidR="00911311" w:rsidRPr="00911311">
        <w:rPr>
          <w:spacing w:val="-2"/>
        </w:rPr>
        <w:t xml:space="preserve"> v 1. pololetí roku</w:t>
      </w:r>
      <w:r w:rsidRPr="004A6623">
        <w:rPr>
          <w:spacing w:val="-2"/>
        </w:rPr>
        <w:t xml:space="preserve"> 2021 </w:t>
      </w:r>
      <w:r w:rsidR="00911311" w:rsidRPr="00911311">
        <w:rPr>
          <w:spacing w:val="-2"/>
        </w:rPr>
        <w:t>odstartovalo</w:t>
      </w:r>
      <w:r w:rsidRPr="004A6623">
        <w:rPr>
          <w:spacing w:val="-2"/>
        </w:rPr>
        <w:t> </w:t>
      </w:r>
      <w:r w:rsidR="00CD67F3">
        <w:rPr>
          <w:spacing w:val="-2"/>
        </w:rPr>
        <w:t>očkováním proti onemocnění COVID</w:t>
      </w:r>
      <w:r w:rsidRPr="004A6623">
        <w:rPr>
          <w:spacing w:val="-2"/>
        </w:rPr>
        <w:t>-</w:t>
      </w:r>
      <w:r w:rsidRPr="004A6623">
        <w:t>19, počet neschopenek</w:t>
      </w:r>
      <w:r w:rsidR="00D04580">
        <w:t>,</w:t>
      </w:r>
      <w:r w:rsidRPr="004A6623">
        <w:t xml:space="preserve"> zejména z důvodu karantén</w:t>
      </w:r>
      <w:r w:rsidR="00D04580">
        <w:t>, byl i nadále mimořádně vysoký. Za</w:t>
      </w:r>
      <w:r w:rsidR="007634A2">
        <w:t> </w:t>
      </w:r>
      <w:r w:rsidR="00D04580">
        <w:t>1. pololetí</w:t>
      </w:r>
      <w:r w:rsidRPr="004A6623">
        <w:t xml:space="preserve"> </w:t>
      </w:r>
      <w:r w:rsidR="00911311">
        <w:t xml:space="preserve">roku </w:t>
      </w:r>
      <w:r w:rsidRPr="004A6623">
        <w:t>2021 bylo nahlášeno celkem 1 300 tis</w:t>
      </w:r>
      <w:r w:rsidR="00AE49D8">
        <w:t>íc</w:t>
      </w:r>
      <w:r w:rsidRPr="004A6623">
        <w:t xml:space="preserve"> případů dočasné pracovní neschopnosti pro nemoc, tedy o </w:t>
      </w:r>
      <w:r w:rsidR="00D04580">
        <w:t xml:space="preserve">necelou </w:t>
      </w:r>
      <w:r w:rsidRPr="004A6623">
        <w:t>polovinu více než v době před pandemií.</w:t>
      </w:r>
      <w:r w:rsidR="00D04580">
        <w:t xml:space="preserve"> </w:t>
      </w:r>
      <w:r w:rsidRPr="004A6623">
        <w:t>Během 1. pol</w:t>
      </w:r>
      <w:r w:rsidR="00D04580">
        <w:t>oletí</w:t>
      </w:r>
      <w:r w:rsidR="00911311">
        <w:t xml:space="preserve"> roku</w:t>
      </w:r>
      <w:r w:rsidRPr="004A6623">
        <w:t xml:space="preserve"> 2020 se počet nově hlášených případů pracovní neschopnosti pro nemoc blížil milionu. Dva roky nato už se (pravděpodobně vlivem vysoce infekční a na očk</w:t>
      </w:r>
      <w:r w:rsidR="00CD67F3">
        <w:t>ování nereagující varianty COVID</w:t>
      </w:r>
      <w:r w:rsidRPr="004A6623">
        <w:t xml:space="preserve">u-19 omikron, ale rovněž z výše zmíněných metodologických důvodů) </w:t>
      </w:r>
      <w:r w:rsidR="00D04580">
        <w:t xml:space="preserve">přiblížil dvěma milionům. </w:t>
      </w:r>
      <w:r w:rsidRPr="004A6623">
        <w:t>Za</w:t>
      </w:r>
      <w:r w:rsidR="00D04580">
        <w:t> </w:t>
      </w:r>
      <w:r w:rsidRPr="004A6623">
        <w:t>prvních 6 měsíců roku 2022 bylo nahlášeno více případů než za celý rok 2019.</w:t>
      </w:r>
    </w:p>
    <w:p w:rsidR="001E527C" w:rsidRDefault="001E527C" w:rsidP="00086EF9">
      <w:r w:rsidRPr="001E527C">
        <w:t>V roce 202</w:t>
      </w:r>
      <w:r>
        <w:t>4</w:t>
      </w:r>
      <w:r w:rsidRPr="001E527C">
        <w:t xml:space="preserve"> bylo </w:t>
      </w:r>
      <w:r w:rsidR="009E1B03">
        <w:t xml:space="preserve">nahlášeno </w:t>
      </w:r>
      <w:r w:rsidRPr="00FC2DAD">
        <w:t xml:space="preserve">44 tisíc </w:t>
      </w:r>
      <w:r w:rsidR="009E1B03" w:rsidRPr="00FC2DAD">
        <w:t xml:space="preserve">případů </w:t>
      </w:r>
      <w:r w:rsidR="009E1B03" w:rsidRPr="00FC2DAD">
        <w:rPr>
          <w:b/>
        </w:rPr>
        <w:t>pracovní</w:t>
      </w:r>
      <w:r w:rsidR="009E1B03" w:rsidRPr="009E1B03">
        <w:rPr>
          <w:b/>
        </w:rPr>
        <w:t xml:space="preserve"> neschopnosti </w:t>
      </w:r>
      <w:r w:rsidRPr="001E527C">
        <w:rPr>
          <w:b/>
        </w:rPr>
        <w:t>pro pracovní úraz</w:t>
      </w:r>
      <w:r w:rsidRPr="001E527C">
        <w:t>. Po j</w:t>
      </w:r>
      <w:r w:rsidR="009E1B03">
        <w:t>ednoletém poklesu v roce 2020 (na 41 tisíc</w:t>
      </w:r>
      <w:r w:rsidRPr="001E527C">
        <w:t xml:space="preserve"> pracovních úrazů vyžadujících pracovní neschopnost</w:t>
      </w:r>
      <w:r w:rsidR="009E1B03">
        <w:t xml:space="preserve">), se čísla vrátila na hodnoty </w:t>
      </w:r>
      <w:r w:rsidRPr="001E527C">
        <w:t>roku 2019. Meziročně se počet neschopn</w:t>
      </w:r>
      <w:r w:rsidR="009E1B03">
        <w:t xml:space="preserve">ostí z důvodu pracovních úrazů </w:t>
      </w:r>
      <w:r w:rsidR="00FC2DAD">
        <w:t>zvýšil</w:t>
      </w:r>
      <w:r w:rsidR="009E1B03" w:rsidRPr="00FC2DAD">
        <w:t xml:space="preserve"> </w:t>
      </w:r>
      <w:r w:rsidR="00FC2DAD" w:rsidRPr="00FC2DAD">
        <w:t>o 339</w:t>
      </w:r>
      <w:r w:rsidR="009E1B03" w:rsidRPr="00FC2DAD">
        <w:t xml:space="preserve"> případů.</w:t>
      </w:r>
      <w:r w:rsidRPr="001E527C">
        <w:t xml:space="preserve"> </w:t>
      </w:r>
      <w:r w:rsidR="00FC2DAD">
        <w:t>Naopak</w:t>
      </w:r>
      <w:r w:rsidRPr="001E527C">
        <w:t> </w:t>
      </w:r>
      <w:r w:rsidR="009E1B03" w:rsidRPr="009E1B03">
        <w:rPr>
          <w:b/>
        </w:rPr>
        <w:t>ostatníc</w:t>
      </w:r>
      <w:r w:rsidR="009E1B03">
        <w:rPr>
          <w:b/>
        </w:rPr>
        <w:t>h</w:t>
      </w:r>
      <w:r w:rsidR="009E1B03" w:rsidRPr="009E1B03">
        <w:rPr>
          <w:b/>
        </w:rPr>
        <w:t xml:space="preserve"> </w:t>
      </w:r>
      <w:r w:rsidRPr="001E527C">
        <w:rPr>
          <w:b/>
        </w:rPr>
        <w:t>úrazů</w:t>
      </w:r>
      <w:r w:rsidR="009E1B03">
        <w:rPr>
          <w:b/>
        </w:rPr>
        <w:t xml:space="preserve"> </w:t>
      </w:r>
      <w:r w:rsidR="009E1B03" w:rsidRPr="009E1B03">
        <w:t>(mimopracovních)</w:t>
      </w:r>
      <w:r w:rsidR="0044480C">
        <w:t xml:space="preserve"> </w:t>
      </w:r>
      <w:r w:rsidR="009E1B03">
        <w:t xml:space="preserve">vyžadujících vydání </w:t>
      </w:r>
      <w:r w:rsidRPr="001E527C">
        <w:t>ne</w:t>
      </w:r>
      <w:r w:rsidR="009E1B03">
        <w:t>schopenky</w:t>
      </w:r>
      <w:r w:rsidR="0044480C">
        <w:t xml:space="preserve"> m</w:t>
      </w:r>
      <w:r w:rsidR="009E1B03">
        <w:t xml:space="preserve">eziročně o </w:t>
      </w:r>
      <w:r w:rsidR="0044480C">
        <w:t>tři</w:t>
      </w:r>
      <w:r w:rsidR="009E1B03">
        <w:t xml:space="preserve"> tisíce </w:t>
      </w:r>
      <w:r w:rsidR="0044480C">
        <w:t>ubylo (</w:t>
      </w:r>
      <w:r w:rsidR="009E1B03" w:rsidRPr="0044480C">
        <w:t>na 16</w:t>
      </w:r>
      <w:r w:rsidR="0044480C" w:rsidRPr="0044480C">
        <w:t>5</w:t>
      </w:r>
      <w:r w:rsidR="009E1B03" w:rsidRPr="0044480C">
        <w:t xml:space="preserve"> tisíc</w:t>
      </w:r>
      <w:r w:rsidR="0044480C" w:rsidRPr="0044480C">
        <w:t>)</w:t>
      </w:r>
      <w:r w:rsidR="009E1B03" w:rsidRPr="0044480C">
        <w:t>.</w:t>
      </w:r>
    </w:p>
    <w:p w:rsidR="00BC626D" w:rsidRDefault="00BC626D" w:rsidP="000B352B">
      <w:r w:rsidRPr="00BC626D">
        <w:rPr>
          <w:b/>
        </w:rPr>
        <w:t>Ženy</w:t>
      </w:r>
      <w:r w:rsidRPr="00BC626D">
        <w:t xml:space="preserve"> nastupují do pracovní n</w:t>
      </w:r>
      <w:r>
        <w:t>eschopnosti častěji</w:t>
      </w:r>
      <w:r w:rsidR="004B28EE">
        <w:t xml:space="preserve"> než muži</w:t>
      </w:r>
      <w:r>
        <w:t>, v </w:t>
      </w:r>
      <w:r w:rsidRPr="0044480C">
        <w:t>roce 2024 v 55 % přípa</w:t>
      </w:r>
      <w:r w:rsidR="004B28EE" w:rsidRPr="0044480C">
        <w:t>dů</w:t>
      </w:r>
      <w:r w:rsidR="004B28EE">
        <w:t>. Tento</w:t>
      </w:r>
      <w:r w:rsidRPr="00BC626D">
        <w:t xml:space="preserve"> ne</w:t>
      </w:r>
      <w:r w:rsidR="004B28EE">
        <w:t xml:space="preserve">bývale vysoký </w:t>
      </w:r>
      <w:r w:rsidR="004B28EE" w:rsidRPr="004B28EE">
        <w:rPr>
          <w:spacing w:val="-2"/>
        </w:rPr>
        <w:t xml:space="preserve">podíl </w:t>
      </w:r>
      <w:r w:rsidRPr="00BC626D">
        <w:rPr>
          <w:spacing w:val="-2"/>
        </w:rPr>
        <w:t>může</w:t>
      </w:r>
      <w:r w:rsidR="004B28EE" w:rsidRPr="004B28EE">
        <w:rPr>
          <w:spacing w:val="-2"/>
        </w:rPr>
        <w:t xml:space="preserve"> opět</w:t>
      </w:r>
      <w:r w:rsidRPr="00BC626D">
        <w:rPr>
          <w:spacing w:val="-2"/>
        </w:rPr>
        <w:t xml:space="preserve"> </w:t>
      </w:r>
      <w:r w:rsidR="004B28EE" w:rsidRPr="004B28EE">
        <w:rPr>
          <w:spacing w:val="-2"/>
        </w:rPr>
        <w:t>souviset</w:t>
      </w:r>
      <w:r w:rsidRPr="00BC626D">
        <w:rPr>
          <w:spacing w:val="-2"/>
        </w:rPr>
        <w:t xml:space="preserve"> s migrací z Ukrajiny. Celkem bylo </w:t>
      </w:r>
      <w:r w:rsidRPr="0044480C">
        <w:rPr>
          <w:spacing w:val="-2"/>
        </w:rPr>
        <w:t xml:space="preserve">evidováno 1 </w:t>
      </w:r>
      <w:r w:rsidR="0044480C" w:rsidRPr="0044480C">
        <w:rPr>
          <w:spacing w:val="-2"/>
        </w:rPr>
        <w:t>363</w:t>
      </w:r>
      <w:r w:rsidR="00AE49D8" w:rsidRPr="0044480C">
        <w:rPr>
          <w:spacing w:val="-2"/>
        </w:rPr>
        <w:t xml:space="preserve"> tisíc</w:t>
      </w:r>
      <w:r w:rsidRPr="0044480C">
        <w:rPr>
          <w:spacing w:val="-2"/>
        </w:rPr>
        <w:t xml:space="preserve"> případů</w:t>
      </w:r>
      <w:r w:rsidRPr="00BC626D">
        <w:rPr>
          <w:spacing w:val="-2"/>
        </w:rPr>
        <w:t xml:space="preserve"> pracovní</w:t>
      </w:r>
      <w:r w:rsidRPr="00BC626D">
        <w:t xml:space="preserve"> neschopnosti žen</w:t>
      </w:r>
      <w:r w:rsidR="000B352B">
        <w:t>, viz graf 2.3</w:t>
      </w:r>
      <w:r w:rsidRPr="00BC626D">
        <w:t xml:space="preserve">. </w:t>
      </w:r>
      <w:r w:rsidR="004B28EE">
        <w:t xml:space="preserve">Počet neschopenek </w:t>
      </w:r>
      <w:r w:rsidR="004B28EE" w:rsidRPr="0044480C">
        <w:t xml:space="preserve">mužů </w:t>
      </w:r>
      <w:r w:rsidR="0044480C" w:rsidRPr="0044480C">
        <w:t>byl o 249</w:t>
      </w:r>
      <w:r w:rsidR="004B28EE" w:rsidRPr="0044480C">
        <w:t xml:space="preserve"> tisíc nižší</w:t>
      </w:r>
      <w:r w:rsidR="004B28EE">
        <w:t xml:space="preserve">. U </w:t>
      </w:r>
      <w:r w:rsidRPr="00BC626D">
        <w:t xml:space="preserve">dočasné pracovní neschopnosti </w:t>
      </w:r>
      <w:r w:rsidRPr="00BC626D">
        <w:rPr>
          <w:b/>
        </w:rPr>
        <w:t>pro nemoc</w:t>
      </w:r>
      <w:r w:rsidR="004B28EE">
        <w:t xml:space="preserve"> </w:t>
      </w:r>
      <w:r w:rsidRPr="00BC626D">
        <w:t xml:space="preserve">je rozdíl </w:t>
      </w:r>
      <w:r w:rsidR="004B28EE">
        <w:t xml:space="preserve">mezi pohlavími ještě větší. Ženy </w:t>
      </w:r>
      <w:r w:rsidR="00FF672E" w:rsidRPr="0044480C">
        <w:t>(</w:t>
      </w:r>
      <w:r w:rsidR="00FF672E">
        <w:t xml:space="preserve">s </w:t>
      </w:r>
      <w:r w:rsidR="00FF672E" w:rsidRPr="0044480C">
        <w:t>56% podíl</w:t>
      </w:r>
      <w:r w:rsidR="00FF672E">
        <w:t xml:space="preserve">em) </w:t>
      </w:r>
      <w:r w:rsidR="004B28EE">
        <w:t xml:space="preserve">vykázaly </w:t>
      </w:r>
      <w:r w:rsidR="004B28EE" w:rsidRPr="0044480C">
        <w:t xml:space="preserve">o </w:t>
      </w:r>
      <w:r w:rsidR="0044480C" w:rsidRPr="0044480C">
        <w:t>292</w:t>
      </w:r>
      <w:r w:rsidR="004B28EE" w:rsidRPr="0044480C">
        <w:t xml:space="preserve"> tisíc</w:t>
      </w:r>
      <w:r w:rsidRPr="00BC626D">
        <w:t xml:space="preserve"> případů dočasné pracovní neschopnosti</w:t>
      </w:r>
      <w:r w:rsidR="000B352B">
        <w:t xml:space="preserve"> více než muži.</w:t>
      </w:r>
    </w:p>
    <w:p w:rsidR="00531CF3" w:rsidRDefault="00FF672E" w:rsidP="000B352B">
      <w:pPr>
        <w:spacing w:after="0"/>
        <w:jc w:val="left"/>
        <w:rPr>
          <w:b/>
          <w:szCs w:val="20"/>
        </w:rPr>
      </w:pPr>
      <w:r>
        <w:rPr>
          <w:noProof/>
        </w:rPr>
        <w:drawing>
          <wp:anchor distT="0" distB="0" distL="114300" distR="114300" simplePos="0" relativeHeight="251684352" behindDoc="1" locked="0" layoutInCell="1" allowOverlap="1">
            <wp:simplePos x="0" y="0"/>
            <wp:positionH relativeFrom="column">
              <wp:posOffset>2518410</wp:posOffset>
            </wp:positionH>
            <wp:positionV relativeFrom="paragraph">
              <wp:posOffset>219710</wp:posOffset>
            </wp:positionV>
            <wp:extent cx="3599815" cy="2519680"/>
            <wp:effectExtent l="0" t="0" r="635" b="0"/>
            <wp:wrapNone/>
            <wp:docPr id="45" name="Graf 4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r w:rsidR="00531CF3" w:rsidRPr="00531CF3">
        <w:rPr>
          <w:b/>
          <w:szCs w:val="20"/>
        </w:rPr>
        <w:t>Graf 2.3: Nově hlášené případy dočasné pracovní neschopnosti podle příčiny a pohlaví, 2024 (v tis.)</w:t>
      </w:r>
    </w:p>
    <w:p w:rsidR="00FF672E" w:rsidRPr="00531CF3" w:rsidRDefault="00FF672E" w:rsidP="000B352B">
      <w:pPr>
        <w:spacing w:after="0"/>
        <w:jc w:val="left"/>
        <w:rPr>
          <w:b/>
          <w:szCs w:val="20"/>
        </w:rPr>
      </w:pPr>
      <w:r>
        <w:rPr>
          <w:noProof/>
        </w:rPr>
        <w:drawing>
          <wp:anchor distT="0" distB="0" distL="114300" distR="114300" simplePos="0" relativeHeight="251683328" behindDoc="1" locked="0" layoutInCell="1" allowOverlap="1">
            <wp:simplePos x="0" y="0"/>
            <wp:positionH relativeFrom="column">
              <wp:posOffset>3810</wp:posOffset>
            </wp:positionH>
            <wp:positionV relativeFrom="paragraph">
              <wp:posOffset>44450</wp:posOffset>
            </wp:positionV>
            <wp:extent cx="3599815" cy="2519680"/>
            <wp:effectExtent l="0" t="0" r="635" b="0"/>
            <wp:wrapTopAndBottom/>
            <wp:docPr id="44" name="Graf 44"/>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anchor>
        </w:drawing>
      </w:r>
    </w:p>
    <w:p w:rsidR="00D3621B" w:rsidRDefault="00531CF3" w:rsidP="00531CF3">
      <w:pPr>
        <w:rPr>
          <w:bCs/>
          <w:sz w:val="16"/>
          <w:szCs w:val="16"/>
        </w:rPr>
      </w:pPr>
      <w:r>
        <w:rPr>
          <w:bCs/>
          <w:sz w:val="16"/>
          <w:szCs w:val="16"/>
        </w:rPr>
        <w:t>Zdroj: ČSÚ</w:t>
      </w:r>
    </w:p>
    <w:p w:rsidR="00BC626D" w:rsidRPr="00BC626D" w:rsidRDefault="00BC626D" w:rsidP="000B352B">
      <w:pPr>
        <w:rPr>
          <w:bCs/>
        </w:rPr>
      </w:pPr>
      <w:r w:rsidRPr="00BC626D">
        <w:rPr>
          <w:bCs/>
        </w:rPr>
        <w:t xml:space="preserve">Z celkového </w:t>
      </w:r>
      <w:r w:rsidR="000B352B">
        <w:rPr>
          <w:bCs/>
        </w:rPr>
        <w:t>počtu nově hlášených případů pracovní neschopnosti</w:t>
      </w:r>
      <w:r w:rsidRPr="00BC626D">
        <w:rPr>
          <w:bCs/>
        </w:rPr>
        <w:t xml:space="preserve"> pro </w:t>
      </w:r>
      <w:r w:rsidR="000B352B">
        <w:rPr>
          <w:b/>
          <w:bCs/>
        </w:rPr>
        <w:t>pracovní úraz</w:t>
      </w:r>
      <w:r w:rsidRPr="00BC626D">
        <w:rPr>
          <w:bCs/>
        </w:rPr>
        <w:t xml:space="preserve"> připadala v roce 202</w:t>
      </w:r>
      <w:r w:rsidR="000B352B">
        <w:rPr>
          <w:bCs/>
        </w:rPr>
        <w:t>4</w:t>
      </w:r>
      <w:r w:rsidRPr="00BC626D">
        <w:rPr>
          <w:bCs/>
        </w:rPr>
        <w:t xml:space="preserve"> na ženy třetina </w:t>
      </w:r>
      <w:r w:rsidR="0097555E" w:rsidRPr="0097555E">
        <w:rPr>
          <w:bCs/>
        </w:rPr>
        <w:t>(35</w:t>
      </w:r>
      <w:r w:rsidRPr="0097555E">
        <w:rPr>
          <w:bCs/>
        </w:rPr>
        <w:t xml:space="preserve"> %)</w:t>
      </w:r>
      <w:r w:rsidRPr="00BC626D">
        <w:rPr>
          <w:bCs/>
        </w:rPr>
        <w:t xml:space="preserve"> z nic</w:t>
      </w:r>
      <w:r w:rsidR="000B352B">
        <w:rPr>
          <w:bCs/>
        </w:rPr>
        <w:t>h. Tato skutečnost je dána také</w:t>
      </w:r>
      <w:r w:rsidRPr="00BC626D">
        <w:rPr>
          <w:bCs/>
        </w:rPr>
        <w:t xml:space="preserve"> odlišnou odvětvovou strukturou zaměstnanosti žen a mužů. </w:t>
      </w:r>
      <w:r w:rsidR="000B352B">
        <w:rPr>
          <w:bCs/>
        </w:rPr>
        <w:t>V o</w:t>
      </w:r>
      <w:r w:rsidRPr="00BC626D">
        <w:rPr>
          <w:bCs/>
        </w:rPr>
        <w:t>dvětví</w:t>
      </w:r>
      <w:r w:rsidR="000B352B">
        <w:rPr>
          <w:bCs/>
        </w:rPr>
        <w:t xml:space="preserve">ch se zvýšeným rizikem výskytu </w:t>
      </w:r>
      <w:r w:rsidRPr="00BC626D">
        <w:rPr>
          <w:bCs/>
        </w:rPr>
        <w:t>pracovního úrazu</w:t>
      </w:r>
      <w:r w:rsidR="000B352B">
        <w:rPr>
          <w:bCs/>
        </w:rPr>
        <w:t xml:space="preserve"> převládají muži</w:t>
      </w:r>
      <w:r w:rsidRPr="00BC626D">
        <w:rPr>
          <w:bCs/>
        </w:rPr>
        <w:t xml:space="preserve">, např. </w:t>
      </w:r>
      <w:r w:rsidR="000B352B">
        <w:rPr>
          <w:bCs/>
        </w:rPr>
        <w:t xml:space="preserve">odvětví </w:t>
      </w:r>
      <w:r w:rsidRPr="00BC626D">
        <w:rPr>
          <w:bCs/>
        </w:rPr>
        <w:t xml:space="preserve">Těžba a dobývání, Zpracovatelský průmysl, Stavebnictví, Doprava a skladování či Zemědělství, lesnictví, rybářství. Naopak odvětvové sekce, kde v zaměstnání </w:t>
      </w:r>
      <w:r w:rsidR="000B352B" w:rsidRPr="00BC626D">
        <w:rPr>
          <w:bCs/>
        </w:rPr>
        <w:t xml:space="preserve">převažují </w:t>
      </w:r>
      <w:r w:rsidRPr="00BC626D">
        <w:rPr>
          <w:bCs/>
        </w:rPr>
        <w:t xml:space="preserve">ženy a rizika pracovních úrazů bývají méně častá, jsou </w:t>
      </w:r>
      <w:r w:rsidR="000B352B">
        <w:rPr>
          <w:bCs/>
        </w:rPr>
        <w:t xml:space="preserve">např. </w:t>
      </w:r>
      <w:r w:rsidRPr="00BC626D">
        <w:rPr>
          <w:bCs/>
        </w:rPr>
        <w:t>Peněžnictví a pojišťovnictví, Veřejná správa, Vzdělávání nebo Zdravotní a sociální péče.</w:t>
      </w:r>
      <w:r w:rsidRPr="00BC626D">
        <w:rPr>
          <w:noProof/>
        </w:rPr>
        <w:t xml:space="preserve"> </w:t>
      </w:r>
    </w:p>
    <w:p w:rsidR="00531CF3" w:rsidRDefault="00BC626D" w:rsidP="00BC626D">
      <w:pPr>
        <w:rPr>
          <w:rFonts w:cs="Arial"/>
          <w:lang w:val="en-US"/>
        </w:rPr>
      </w:pPr>
      <w:r w:rsidRPr="00BC626D">
        <w:rPr>
          <w:bCs/>
        </w:rPr>
        <w:t xml:space="preserve">Až do roku 2020 byl u pracovních neschopností </w:t>
      </w:r>
      <w:r w:rsidRPr="00BC626D">
        <w:rPr>
          <w:b/>
          <w:bCs/>
        </w:rPr>
        <w:t>z důvodu nemoci</w:t>
      </w:r>
      <w:r w:rsidRPr="00BC626D">
        <w:rPr>
          <w:bCs/>
        </w:rPr>
        <w:t xml:space="preserve"> podíl </w:t>
      </w:r>
      <w:r w:rsidRPr="00BC626D">
        <w:rPr>
          <w:b/>
          <w:bCs/>
        </w:rPr>
        <w:t xml:space="preserve">podle pohlaví </w:t>
      </w:r>
      <w:r w:rsidRPr="00BC626D">
        <w:rPr>
          <w:bCs/>
        </w:rPr>
        <w:t xml:space="preserve">dlouhodobě relativně konstantní. Neschopenky mužů činily maximálně 46 %. V roce 2021 se podíl zvýšil na 48 % a o rok později opět poklesl na 45 %. </w:t>
      </w:r>
      <w:r w:rsidR="00B07F1B">
        <w:rPr>
          <w:bCs/>
        </w:rPr>
        <w:t>V roce 2024</w:t>
      </w:r>
      <w:r w:rsidRPr="00BC626D">
        <w:rPr>
          <w:bCs/>
        </w:rPr>
        <w:t xml:space="preserve"> se muži na pracovních neschopnostech z dův</w:t>
      </w:r>
      <w:r w:rsidR="00B07F1B">
        <w:rPr>
          <w:bCs/>
        </w:rPr>
        <w:t xml:space="preserve">odu nemoci podíleli </w:t>
      </w:r>
      <w:r w:rsidR="00B07F1B" w:rsidRPr="0097555E">
        <w:rPr>
          <w:bCs/>
        </w:rPr>
        <w:t>ze 44</w:t>
      </w:r>
      <w:r w:rsidRPr="0097555E">
        <w:rPr>
          <w:bCs/>
        </w:rPr>
        <w:t xml:space="preserve"> %.</w:t>
      </w:r>
      <w:r w:rsidRPr="00BC626D">
        <w:rPr>
          <w:bCs/>
        </w:rPr>
        <w:t xml:space="preserve"> U pracovních neschopností zapříčiněných úrazem podíl žen v čase roste</w:t>
      </w:r>
      <w:r w:rsidR="00B07F1B">
        <w:rPr>
          <w:bCs/>
        </w:rPr>
        <w:t>, což je zřejmé zejména u ostatních</w:t>
      </w:r>
      <w:r w:rsidRPr="00BC626D">
        <w:rPr>
          <w:bCs/>
        </w:rPr>
        <w:t xml:space="preserve"> úrazů, kdy v roce 201</w:t>
      </w:r>
      <w:r w:rsidR="00B07F1B">
        <w:rPr>
          <w:bCs/>
        </w:rPr>
        <w:t>4</w:t>
      </w:r>
      <w:r w:rsidRPr="00BC626D">
        <w:rPr>
          <w:bCs/>
        </w:rPr>
        <w:t xml:space="preserve"> ženy nahlásily </w:t>
      </w:r>
      <w:r w:rsidR="00B07F1B">
        <w:rPr>
          <w:bCs/>
        </w:rPr>
        <w:t>42</w:t>
      </w:r>
      <w:r w:rsidRPr="00BC626D">
        <w:rPr>
          <w:bCs/>
        </w:rPr>
        <w:t xml:space="preserve"> tis</w:t>
      </w:r>
      <w:r w:rsidR="00B07F1B">
        <w:rPr>
          <w:bCs/>
        </w:rPr>
        <w:t>íc</w:t>
      </w:r>
      <w:r w:rsidRPr="00BC626D">
        <w:rPr>
          <w:bCs/>
        </w:rPr>
        <w:t xml:space="preserve"> případů, kdežto v roce 202</w:t>
      </w:r>
      <w:r w:rsidR="00B07F1B">
        <w:rPr>
          <w:bCs/>
        </w:rPr>
        <w:t>4</w:t>
      </w:r>
      <w:r w:rsidRPr="00BC626D">
        <w:rPr>
          <w:bCs/>
        </w:rPr>
        <w:t xml:space="preserve"> </w:t>
      </w:r>
      <w:r w:rsidR="00B07F1B" w:rsidRPr="0097555E">
        <w:rPr>
          <w:bCs/>
        </w:rPr>
        <w:t>již 68</w:t>
      </w:r>
      <w:r w:rsidRPr="0097555E">
        <w:rPr>
          <w:bCs/>
        </w:rPr>
        <w:t xml:space="preserve"> tis</w:t>
      </w:r>
      <w:r w:rsidR="00B07F1B" w:rsidRPr="0097555E">
        <w:rPr>
          <w:bCs/>
        </w:rPr>
        <w:t>íc</w:t>
      </w:r>
      <w:r w:rsidRPr="0097555E">
        <w:rPr>
          <w:bCs/>
        </w:rPr>
        <w:t xml:space="preserve"> úrazů.</w:t>
      </w:r>
      <w:r w:rsidRPr="00BC626D">
        <w:rPr>
          <w:bCs/>
        </w:rPr>
        <w:t xml:space="preserve"> </w:t>
      </w:r>
      <w:r w:rsidR="00B07F1B">
        <w:rPr>
          <w:bCs/>
        </w:rPr>
        <w:t>N</w:t>
      </w:r>
      <w:r w:rsidRPr="00BC626D">
        <w:rPr>
          <w:bCs/>
        </w:rPr>
        <w:t xml:space="preserve">árůst </w:t>
      </w:r>
      <w:r w:rsidR="00B07F1B">
        <w:rPr>
          <w:bCs/>
        </w:rPr>
        <w:lastRenderedPageBreak/>
        <w:t xml:space="preserve">v absolutních hodnotách </w:t>
      </w:r>
      <w:r w:rsidRPr="00BC626D">
        <w:rPr>
          <w:bCs/>
        </w:rPr>
        <w:t>je však patrný i u mužů, počet nově hlášených případů pracovní neschopnosti z důvodu ostatních úrazů v roce 201</w:t>
      </w:r>
      <w:r w:rsidR="00B07F1B">
        <w:rPr>
          <w:bCs/>
        </w:rPr>
        <w:t>4</w:t>
      </w:r>
      <w:r w:rsidRPr="00BC626D">
        <w:rPr>
          <w:bCs/>
        </w:rPr>
        <w:t xml:space="preserve"> činil </w:t>
      </w:r>
      <w:r w:rsidR="00B07F1B">
        <w:rPr>
          <w:bCs/>
        </w:rPr>
        <w:t>82</w:t>
      </w:r>
      <w:r w:rsidRPr="00BC626D">
        <w:rPr>
          <w:bCs/>
        </w:rPr>
        <w:t xml:space="preserve"> tis</w:t>
      </w:r>
      <w:r w:rsidR="00B07F1B">
        <w:rPr>
          <w:bCs/>
        </w:rPr>
        <w:t xml:space="preserve">íc, v roce </w:t>
      </w:r>
      <w:r w:rsidR="00B07F1B" w:rsidRPr="0097555E">
        <w:rPr>
          <w:bCs/>
        </w:rPr>
        <w:t>2024 poté 98 tisíc.</w:t>
      </w:r>
      <w:r w:rsidR="00B07F1B">
        <w:rPr>
          <w:bCs/>
        </w:rPr>
        <w:t xml:space="preserve"> </w:t>
      </w:r>
      <w:r w:rsidRPr="00BC626D">
        <w:rPr>
          <w:rFonts w:cs="Arial"/>
        </w:rPr>
        <w:t xml:space="preserve">Z hlediska </w:t>
      </w:r>
      <w:r w:rsidRPr="00BC626D">
        <w:rPr>
          <w:rFonts w:cs="Arial"/>
          <w:b/>
          <w:bCs/>
        </w:rPr>
        <w:t>příčin</w:t>
      </w:r>
      <w:r w:rsidRPr="00BC626D">
        <w:rPr>
          <w:rFonts w:cs="Arial"/>
        </w:rPr>
        <w:t xml:space="preserve"> se u </w:t>
      </w:r>
      <w:r w:rsidRPr="00BC626D">
        <w:rPr>
          <w:rFonts w:cs="Arial"/>
          <w:b/>
        </w:rPr>
        <w:t>žen</w:t>
      </w:r>
      <w:r w:rsidRPr="00BC626D">
        <w:rPr>
          <w:rFonts w:cs="Arial"/>
        </w:rPr>
        <w:t xml:space="preserve"> v</w:t>
      </w:r>
      <w:r w:rsidR="00B07F1B">
        <w:rPr>
          <w:rFonts w:cs="Arial"/>
        </w:rPr>
        <w:t xml:space="preserve"> uplynulém </w:t>
      </w:r>
      <w:r w:rsidR="00B07F1B" w:rsidRPr="0097555E">
        <w:rPr>
          <w:rFonts w:cs="Arial"/>
        </w:rPr>
        <w:t xml:space="preserve">roce </w:t>
      </w:r>
      <w:r w:rsidRPr="0097555E">
        <w:rPr>
          <w:rFonts w:cs="Arial"/>
        </w:rPr>
        <w:t>1</w:t>
      </w:r>
      <w:r w:rsidR="0097555E" w:rsidRPr="0097555E">
        <w:rPr>
          <w:rFonts w:cs="Arial"/>
        </w:rPr>
        <w:t> 280</w:t>
      </w:r>
      <w:r w:rsidRPr="0097555E">
        <w:rPr>
          <w:rFonts w:cs="Arial"/>
        </w:rPr>
        <w:t xml:space="preserve"> tis</w:t>
      </w:r>
      <w:r w:rsidR="00AE49D8" w:rsidRPr="0097555E">
        <w:rPr>
          <w:rFonts w:cs="Arial"/>
        </w:rPr>
        <w:t>íc</w:t>
      </w:r>
      <w:r w:rsidRPr="0097555E">
        <w:rPr>
          <w:rFonts w:cs="Arial"/>
        </w:rPr>
        <w:t xml:space="preserve"> (94 %)</w:t>
      </w:r>
      <w:r w:rsidRPr="00BC626D">
        <w:rPr>
          <w:rFonts w:cs="Arial"/>
        </w:rPr>
        <w:t xml:space="preserve"> nově hlášených případů dočasné pracovní neschopnosti týkalo nemoci, </w:t>
      </w:r>
      <w:r w:rsidRPr="0097555E">
        <w:rPr>
          <w:rFonts w:cs="Arial"/>
        </w:rPr>
        <w:t>15 tis</w:t>
      </w:r>
      <w:r w:rsidR="00B07F1B" w:rsidRPr="0097555E">
        <w:rPr>
          <w:rFonts w:cs="Arial"/>
        </w:rPr>
        <w:t>íc</w:t>
      </w:r>
      <w:r w:rsidRPr="0097555E">
        <w:rPr>
          <w:rFonts w:cs="Arial"/>
        </w:rPr>
        <w:t> (1</w:t>
      </w:r>
      <w:r w:rsidR="00B07F1B" w:rsidRPr="0097555E">
        <w:rPr>
          <w:rFonts w:cs="Arial"/>
        </w:rPr>
        <w:t xml:space="preserve"> %)</w:t>
      </w:r>
      <w:r w:rsidR="00B07F1B">
        <w:rPr>
          <w:rFonts w:cs="Arial"/>
        </w:rPr>
        <w:t xml:space="preserve"> pracovních </w:t>
      </w:r>
      <w:r w:rsidR="00B07F1B" w:rsidRPr="0097555E">
        <w:rPr>
          <w:rFonts w:cs="Arial"/>
        </w:rPr>
        <w:t>úrazů a 68 tisíc</w:t>
      </w:r>
      <w:r w:rsidRPr="0097555E">
        <w:rPr>
          <w:rFonts w:cs="Arial"/>
        </w:rPr>
        <w:t> (5 %)</w:t>
      </w:r>
      <w:r w:rsidRPr="00BC626D">
        <w:rPr>
          <w:rFonts w:cs="Arial"/>
        </w:rPr>
        <w:t xml:space="preserve"> ostatních úrazů. </w:t>
      </w:r>
      <w:r w:rsidRPr="00BC626D">
        <w:rPr>
          <w:rFonts w:cs="Arial"/>
          <w:b/>
        </w:rPr>
        <w:t>Muži</w:t>
      </w:r>
      <w:r w:rsidRPr="00BC626D">
        <w:rPr>
          <w:rFonts w:cs="Arial"/>
        </w:rPr>
        <w:t xml:space="preserve"> byli v</w:t>
      </w:r>
      <w:r w:rsidR="00B07F1B">
        <w:rPr>
          <w:rFonts w:cs="Arial"/>
        </w:rPr>
        <w:t> roce 2024</w:t>
      </w:r>
      <w:r w:rsidRPr="00BC626D">
        <w:rPr>
          <w:rFonts w:cs="Arial"/>
        </w:rPr>
        <w:t xml:space="preserve"> v pracovní n</w:t>
      </w:r>
      <w:r w:rsidR="00B07F1B">
        <w:rPr>
          <w:rFonts w:cs="Arial"/>
        </w:rPr>
        <w:t xml:space="preserve">eschopnosti z důvodu </w:t>
      </w:r>
      <w:r w:rsidR="0097555E" w:rsidRPr="0097555E">
        <w:rPr>
          <w:rFonts w:cs="Arial"/>
        </w:rPr>
        <w:t>nemoci v 987</w:t>
      </w:r>
      <w:r w:rsidR="00B07F1B" w:rsidRPr="0097555E">
        <w:rPr>
          <w:rFonts w:cs="Arial"/>
        </w:rPr>
        <w:t xml:space="preserve"> tisících</w:t>
      </w:r>
      <w:r w:rsidR="0097555E" w:rsidRPr="0097555E">
        <w:rPr>
          <w:rFonts w:cs="Arial"/>
        </w:rPr>
        <w:t xml:space="preserve"> případů (8</w:t>
      </w:r>
      <w:r w:rsidR="0097555E">
        <w:rPr>
          <w:rFonts w:cs="Arial"/>
        </w:rPr>
        <w:t>9</w:t>
      </w:r>
      <w:r w:rsidRPr="0097555E">
        <w:rPr>
          <w:rFonts w:cs="Arial"/>
        </w:rPr>
        <w:t xml:space="preserve"> %), kvůli pracovnímu úrazu ve 29</w:t>
      </w:r>
      <w:r w:rsidR="0023074C" w:rsidRPr="0097555E">
        <w:rPr>
          <w:rFonts w:cs="Arial"/>
        </w:rPr>
        <w:t xml:space="preserve"> tisících</w:t>
      </w:r>
      <w:r w:rsidRPr="0097555E">
        <w:rPr>
          <w:rFonts w:cs="Arial"/>
        </w:rPr>
        <w:t xml:space="preserve"> případů</w:t>
      </w:r>
      <w:r w:rsidR="00B07F1B" w:rsidRPr="0097555E">
        <w:rPr>
          <w:rFonts w:cs="Arial"/>
        </w:rPr>
        <w:t xml:space="preserve"> (3</w:t>
      </w:r>
      <w:r w:rsidRPr="0097555E">
        <w:rPr>
          <w:rFonts w:cs="Arial"/>
        </w:rPr>
        <w:t xml:space="preserve"> %) </w:t>
      </w:r>
      <w:r w:rsidR="0023074C" w:rsidRPr="0097555E">
        <w:rPr>
          <w:rFonts w:cs="Arial"/>
        </w:rPr>
        <w:t>a z důvodu ostatních úrazů v</w:t>
      </w:r>
      <w:r w:rsidR="00B07F1B" w:rsidRPr="0097555E">
        <w:rPr>
          <w:rFonts w:cs="Arial"/>
        </w:rPr>
        <w:t> 98</w:t>
      </w:r>
      <w:r w:rsidRPr="0097555E">
        <w:rPr>
          <w:rFonts w:cs="Arial"/>
        </w:rPr>
        <w:t xml:space="preserve"> tis</w:t>
      </w:r>
      <w:r w:rsidR="00B07F1B" w:rsidRPr="0097555E">
        <w:rPr>
          <w:rFonts w:cs="Arial"/>
        </w:rPr>
        <w:t>ících</w:t>
      </w:r>
      <w:r w:rsidRPr="0097555E">
        <w:rPr>
          <w:rFonts w:cs="Arial"/>
        </w:rPr>
        <w:t xml:space="preserve"> případů (9 %)</w:t>
      </w:r>
      <w:r w:rsidRPr="0097555E">
        <w:rPr>
          <w:rFonts w:cs="Arial"/>
          <w:lang w:val="en-US"/>
        </w:rPr>
        <w:t>.</w:t>
      </w:r>
    </w:p>
    <w:p w:rsidR="000C4B06" w:rsidRPr="000C4B06" w:rsidRDefault="000C4B06" w:rsidP="000C4B06">
      <w:pPr>
        <w:spacing w:before="120"/>
      </w:pPr>
      <w:r w:rsidRPr="000C4B06">
        <w:rPr>
          <w:b/>
        </w:rPr>
        <w:t>V relativním přepočtu na 100 pojištěnců</w:t>
      </w:r>
      <w:r w:rsidR="00590D4E">
        <w:rPr>
          <w:b/>
        </w:rPr>
        <w:t xml:space="preserve"> </w:t>
      </w:r>
      <w:r w:rsidR="00590D4E" w:rsidRPr="00590D4E">
        <w:t>(viz</w:t>
      </w:r>
      <w:r w:rsidR="00590D4E">
        <w:t xml:space="preserve"> podrobněji</w:t>
      </w:r>
      <w:r w:rsidR="00590D4E" w:rsidRPr="00590D4E">
        <w:t xml:space="preserve"> graf 2.4)</w:t>
      </w:r>
      <w:r w:rsidRPr="00590D4E">
        <w:t xml:space="preserve"> </w:t>
      </w:r>
      <w:r w:rsidRPr="000C4B06">
        <w:t>v roce</w:t>
      </w:r>
      <w:r w:rsidR="00747E59">
        <w:t xml:space="preserve"> 2024</w:t>
      </w:r>
      <w:r w:rsidR="00590D4E">
        <w:t xml:space="preserve"> oproti roku</w:t>
      </w:r>
      <w:r w:rsidR="00590D4E" w:rsidRPr="000C4B06">
        <w:t xml:space="preserve"> 2019</w:t>
      </w:r>
      <w:r w:rsidR="00590D4E">
        <w:t xml:space="preserve"> (době před </w:t>
      </w:r>
      <w:r w:rsidR="00590D4E" w:rsidRPr="00590D4E">
        <w:t xml:space="preserve">pandemií) </w:t>
      </w:r>
      <w:r w:rsidRPr="000145C8">
        <w:t xml:space="preserve">přibylo </w:t>
      </w:r>
      <w:r w:rsidR="000145C8">
        <w:t xml:space="preserve">necelých </w:t>
      </w:r>
      <w:r w:rsidR="000145C8" w:rsidRPr="000145C8">
        <w:t>1</w:t>
      </w:r>
      <w:r w:rsidR="000145C8">
        <w:t>2</w:t>
      </w:r>
      <w:r w:rsidR="000145C8" w:rsidRPr="000145C8">
        <w:t> případ</w:t>
      </w:r>
      <w:r w:rsidR="000145C8">
        <w:t>ů</w:t>
      </w:r>
      <w:r w:rsidRPr="000145C8">
        <w:t xml:space="preserve"> pracovní</w:t>
      </w:r>
      <w:r w:rsidRPr="00590D4E">
        <w:t xml:space="preserve"> neschopnosti bez ohledu na příčinu</w:t>
      </w:r>
      <w:r w:rsidR="005415F5" w:rsidRPr="00590D4E">
        <w:t xml:space="preserve">, </w:t>
      </w:r>
      <w:r w:rsidRPr="00590D4E">
        <w:t xml:space="preserve">hodnota tak </w:t>
      </w:r>
      <w:r w:rsidRPr="000145C8">
        <w:t xml:space="preserve">činila </w:t>
      </w:r>
      <w:r w:rsidR="000145C8" w:rsidRPr="000145C8">
        <w:t>52</w:t>
      </w:r>
      <w:r w:rsidR="00747E59" w:rsidRPr="000145C8">
        <w:t> případů.</w:t>
      </w:r>
      <w:r w:rsidR="005415F5" w:rsidRPr="00590D4E">
        <w:t xml:space="preserve"> </w:t>
      </w:r>
      <w:r w:rsidR="00747E59" w:rsidRPr="00590D4E">
        <w:rPr>
          <w:b/>
        </w:rPr>
        <w:t>Pro</w:t>
      </w:r>
      <w:r w:rsidR="00590D4E" w:rsidRPr="00590D4E">
        <w:rPr>
          <w:b/>
        </w:rPr>
        <w:t> </w:t>
      </w:r>
      <w:r w:rsidR="00747E59" w:rsidRPr="00590D4E">
        <w:rPr>
          <w:b/>
        </w:rPr>
        <w:t xml:space="preserve">nemoc </w:t>
      </w:r>
      <w:r w:rsidR="00747E59" w:rsidRPr="00590D4E">
        <w:t>připadalo v roce 2024 n</w:t>
      </w:r>
      <w:r w:rsidR="002C41B4" w:rsidRPr="00590D4E">
        <w:t>a 100 </w:t>
      </w:r>
      <w:r w:rsidR="002C41B4" w:rsidRPr="000145C8">
        <w:t xml:space="preserve">pojištěnců </w:t>
      </w:r>
      <w:r w:rsidRPr="000145C8">
        <w:t>4</w:t>
      </w:r>
      <w:r w:rsidR="000145C8" w:rsidRPr="000145C8">
        <w:t>8</w:t>
      </w:r>
      <w:r w:rsidRPr="000145C8">
        <w:t xml:space="preserve"> nově</w:t>
      </w:r>
      <w:r w:rsidRPr="00590D4E">
        <w:t xml:space="preserve"> hlášených případů dočasné</w:t>
      </w:r>
      <w:r w:rsidRPr="000C4B06">
        <w:t xml:space="preserve"> pracovní neschopnosti</w:t>
      </w:r>
      <w:r w:rsidR="002C41B4">
        <w:t xml:space="preserve">, téměř </w:t>
      </w:r>
      <w:r w:rsidRPr="000C4B06">
        <w:t>dvojnásobek oproti roku 201</w:t>
      </w:r>
      <w:r w:rsidR="002C41B4">
        <w:t>4</w:t>
      </w:r>
      <w:r w:rsidRPr="000C4B06">
        <w:t xml:space="preserve">. Zatímco u mužů </w:t>
      </w:r>
      <w:r w:rsidR="005415F5">
        <w:t xml:space="preserve">v posledním roce </w:t>
      </w:r>
      <w:r w:rsidRPr="000C4B06">
        <w:t xml:space="preserve">počet případů pracovní neschopnosti celkem (ať už pro nemoc nebo úraz) </w:t>
      </w:r>
      <w:r w:rsidRPr="000145C8">
        <w:t xml:space="preserve">dosáhl </w:t>
      </w:r>
      <w:r w:rsidR="000145C8" w:rsidRPr="000145C8">
        <w:t>48</w:t>
      </w:r>
      <w:r w:rsidRPr="000145C8">
        <w:t xml:space="preserve">, mezi ženami se jednalo o </w:t>
      </w:r>
      <w:r w:rsidR="000145C8" w:rsidRPr="000145C8">
        <w:t>5</w:t>
      </w:r>
      <w:r w:rsidR="00B73043">
        <w:t>6</w:t>
      </w:r>
      <w:r w:rsidRPr="000145C8">
        <w:t xml:space="preserve"> neschopností.</w:t>
      </w:r>
    </w:p>
    <w:p w:rsidR="000C4B06" w:rsidRDefault="000C4B06" w:rsidP="00F87435">
      <w:r w:rsidRPr="000C4B06">
        <w:t xml:space="preserve">Co se týče </w:t>
      </w:r>
      <w:r w:rsidR="005415F5">
        <w:t>pracovní neschopnosti</w:t>
      </w:r>
      <w:r w:rsidRPr="000C4B06">
        <w:t xml:space="preserve"> z důvodu </w:t>
      </w:r>
      <w:r w:rsidRPr="000C4B06">
        <w:rPr>
          <w:b/>
        </w:rPr>
        <w:t>úrazů</w:t>
      </w:r>
      <w:r w:rsidRPr="000C4B06">
        <w:t xml:space="preserve">, </w:t>
      </w:r>
      <w:r w:rsidR="00F87435">
        <w:t>tak vyjma roku</w:t>
      </w:r>
      <w:r w:rsidRPr="000C4B06">
        <w:t xml:space="preserve"> 2020, kdy počet úrazů na 100 pojištěnců poklesl, panuje víceméně stagnace. Dá se předpokládat, že výkyv </w:t>
      </w:r>
      <w:r w:rsidR="00F87435">
        <w:t>v roce 2020</w:t>
      </w:r>
      <w:r w:rsidRPr="000C4B06">
        <w:t xml:space="preserve"> souvisel s vyhlášením nouzového stavu, celkovým omezením pohybu, uzavřením některých podniků a větší mírou práce z domova. Počet </w:t>
      </w:r>
      <w:r w:rsidR="00F87435">
        <w:t xml:space="preserve">udělených neschopenek pro </w:t>
      </w:r>
      <w:r w:rsidR="00F87435">
        <w:rPr>
          <w:b/>
        </w:rPr>
        <w:t>pracovní úraz</w:t>
      </w:r>
      <w:r w:rsidRPr="000C4B06">
        <w:t xml:space="preserve"> se pohybuje </w:t>
      </w:r>
      <w:r w:rsidRPr="00B73043">
        <w:t>okolo 1 případu na 100 pojištěnců. U</w:t>
      </w:r>
      <w:r w:rsidRPr="00B73043">
        <w:rPr>
          <w:b/>
        </w:rPr>
        <w:t> </w:t>
      </w:r>
      <w:r w:rsidR="00F87435" w:rsidRPr="00B73043">
        <w:rPr>
          <w:b/>
        </w:rPr>
        <w:t xml:space="preserve">ostatních </w:t>
      </w:r>
      <w:r w:rsidRPr="00B73043">
        <w:rPr>
          <w:b/>
        </w:rPr>
        <w:t>úrazů</w:t>
      </w:r>
      <w:r w:rsidRPr="00B73043">
        <w:t xml:space="preserve"> </w:t>
      </w:r>
      <w:r w:rsidR="00F87435" w:rsidRPr="00B73043">
        <w:t>pak aktuální hodnota pro rok 2024 činila 3</w:t>
      </w:r>
      <w:r w:rsidR="00B73043" w:rsidRPr="00B73043">
        <w:t>,5</w:t>
      </w:r>
      <w:r w:rsidR="00F87435" w:rsidRPr="00B73043">
        <w:t xml:space="preserve"> případů na 100 pojištěnců.</w:t>
      </w:r>
    </w:p>
    <w:p w:rsidR="00364E38" w:rsidRDefault="00364E38" w:rsidP="00224942">
      <w:pPr>
        <w:spacing w:after="0"/>
        <w:rPr>
          <w:b/>
          <w:spacing w:val="-4"/>
        </w:rPr>
      </w:pPr>
      <w:r w:rsidRPr="00364E38">
        <w:rPr>
          <w:b/>
          <w:spacing w:val="-4"/>
        </w:rPr>
        <w:t>Graf 2.4: Nově hlášené případy dočasné pracovní neschopnosti na 100 pojištěnců podle příčiny, 2014–2024</w:t>
      </w:r>
    </w:p>
    <w:p w:rsidR="00224942" w:rsidRDefault="000145C8" w:rsidP="00224942">
      <w:pPr>
        <w:spacing w:after="0"/>
        <w:rPr>
          <w:bCs/>
          <w:sz w:val="16"/>
          <w:szCs w:val="16"/>
        </w:rPr>
      </w:pPr>
      <w:r>
        <w:rPr>
          <w:noProof/>
        </w:rPr>
        <w:drawing>
          <wp:inline distT="0" distB="0" distL="0" distR="0" wp14:anchorId="02F3609A" wp14:editId="181490EB">
            <wp:extent cx="6120130" cy="2700000"/>
            <wp:effectExtent l="0" t="0" r="0" b="5715"/>
            <wp:docPr id="46" name="Graf 46"/>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00224942" w:rsidRPr="00176121">
        <w:rPr>
          <w:bCs/>
          <w:sz w:val="16"/>
          <w:szCs w:val="16"/>
        </w:rPr>
        <w:t xml:space="preserve">* </w:t>
      </w:r>
      <w:r w:rsidR="00224942">
        <w:rPr>
          <w:bCs/>
          <w:sz w:val="16"/>
          <w:szCs w:val="16"/>
        </w:rPr>
        <w:t xml:space="preserve">Údaje za rok </w:t>
      </w:r>
      <w:r w:rsidR="00224942" w:rsidRPr="00176121">
        <w:rPr>
          <w:bCs/>
          <w:sz w:val="16"/>
          <w:szCs w:val="16"/>
        </w:rPr>
        <w:t xml:space="preserve">2022 </w:t>
      </w:r>
      <w:r w:rsidR="00224942">
        <w:rPr>
          <w:bCs/>
          <w:sz w:val="16"/>
          <w:szCs w:val="16"/>
        </w:rPr>
        <w:t>(celkem a pro nemoc) nejsou s</w:t>
      </w:r>
      <w:r w:rsidR="00224942" w:rsidRPr="00176121">
        <w:rPr>
          <w:bCs/>
          <w:sz w:val="16"/>
          <w:szCs w:val="16"/>
        </w:rPr>
        <w:t>rovnatelné s</w:t>
      </w:r>
      <w:r w:rsidR="00224942">
        <w:rPr>
          <w:bCs/>
          <w:sz w:val="16"/>
          <w:szCs w:val="16"/>
        </w:rPr>
        <w:t> údaji za ostatní roky</w:t>
      </w:r>
      <w:r w:rsidR="00224942" w:rsidRPr="00176121">
        <w:rPr>
          <w:bCs/>
          <w:sz w:val="16"/>
          <w:szCs w:val="16"/>
        </w:rPr>
        <w:t>.</w:t>
      </w:r>
    </w:p>
    <w:p w:rsidR="00364E38" w:rsidRDefault="00224942" w:rsidP="00224942">
      <w:pPr>
        <w:rPr>
          <w:bCs/>
          <w:sz w:val="16"/>
          <w:szCs w:val="16"/>
        </w:rPr>
      </w:pPr>
      <w:r>
        <w:rPr>
          <w:bCs/>
          <w:sz w:val="16"/>
          <w:szCs w:val="16"/>
        </w:rPr>
        <w:t>Zdroj: ČSÚ</w:t>
      </w:r>
    </w:p>
    <w:p w:rsidR="00650A57" w:rsidRPr="00650A57" w:rsidRDefault="00650A57" w:rsidP="00650A57">
      <w:pPr>
        <w:autoSpaceDE w:val="0"/>
        <w:autoSpaceDN w:val="0"/>
        <w:adjustRightInd w:val="0"/>
        <w:spacing w:before="120"/>
        <w:rPr>
          <w:rFonts w:cs="Arial"/>
        </w:rPr>
      </w:pPr>
      <w:r w:rsidRPr="00A210AE">
        <w:rPr>
          <w:rFonts w:cs="Arial"/>
        </w:rPr>
        <w:t>Nejvíce nových případů dočasné</w:t>
      </w:r>
      <w:r w:rsidRPr="00650A57">
        <w:rPr>
          <w:rFonts w:cs="Arial"/>
        </w:rPr>
        <w:t xml:space="preserve"> pracov</w:t>
      </w:r>
      <w:r w:rsidR="001D5794">
        <w:rPr>
          <w:rFonts w:cs="Arial"/>
        </w:rPr>
        <w:t>ní neschopnosti bylo v roce 2024</w:t>
      </w:r>
      <w:r w:rsidRPr="00650A57">
        <w:rPr>
          <w:rFonts w:cs="Arial"/>
        </w:rPr>
        <w:t xml:space="preserve"> nahlášeno </w:t>
      </w:r>
      <w:r w:rsidR="001D5794">
        <w:rPr>
          <w:rFonts w:cs="Arial"/>
        </w:rPr>
        <w:t>u subjektů</w:t>
      </w:r>
      <w:r w:rsidRPr="00650A57">
        <w:rPr>
          <w:rFonts w:cs="Arial"/>
        </w:rPr>
        <w:t xml:space="preserve">, které dle převažující ekonomické činnosti spadají do </w:t>
      </w:r>
      <w:r w:rsidRPr="00650A57">
        <w:rPr>
          <w:rFonts w:cs="Arial"/>
          <w:b/>
        </w:rPr>
        <w:t>odvětvové sekce</w:t>
      </w:r>
      <w:r w:rsidRPr="00650A57">
        <w:rPr>
          <w:rFonts w:cs="Arial"/>
        </w:rPr>
        <w:t xml:space="preserve"> Zpracovatelský </w:t>
      </w:r>
      <w:r w:rsidRPr="00A210AE">
        <w:rPr>
          <w:rFonts w:cs="Arial"/>
        </w:rPr>
        <w:t>průmysl (</w:t>
      </w:r>
      <w:r w:rsidR="00A210AE" w:rsidRPr="00A210AE">
        <w:rPr>
          <w:rFonts w:cs="Arial"/>
        </w:rPr>
        <w:t>777</w:t>
      </w:r>
      <w:r w:rsidRPr="00A210AE">
        <w:rPr>
          <w:rFonts w:cs="Arial"/>
        </w:rPr>
        <w:t xml:space="preserve"> tis</w:t>
      </w:r>
      <w:r w:rsidR="001D5794" w:rsidRPr="00A210AE">
        <w:rPr>
          <w:rFonts w:cs="Arial"/>
        </w:rPr>
        <w:t>íc</w:t>
      </w:r>
      <w:r w:rsidRPr="00650A57">
        <w:rPr>
          <w:rFonts w:cs="Arial"/>
        </w:rPr>
        <w:t xml:space="preserve"> případů) a Velkoobchod a maloobchod; opravy a údržba motorových </w:t>
      </w:r>
      <w:r w:rsidRPr="00A210AE">
        <w:rPr>
          <w:rFonts w:cs="Arial"/>
        </w:rPr>
        <w:t>vozidel (</w:t>
      </w:r>
      <w:r w:rsidR="00A210AE" w:rsidRPr="00A210AE">
        <w:rPr>
          <w:rFonts w:cs="Arial"/>
        </w:rPr>
        <w:t>310</w:t>
      </w:r>
      <w:r w:rsidRPr="00A210AE">
        <w:rPr>
          <w:rFonts w:cs="Arial"/>
        </w:rPr>
        <w:t xml:space="preserve"> tis</w:t>
      </w:r>
      <w:r w:rsidR="008840A3" w:rsidRPr="00A210AE">
        <w:rPr>
          <w:rFonts w:cs="Arial"/>
        </w:rPr>
        <w:t>íc</w:t>
      </w:r>
      <w:r w:rsidRPr="00A210AE">
        <w:rPr>
          <w:rFonts w:cs="Arial"/>
        </w:rPr>
        <w:t>).</w:t>
      </w:r>
      <w:r w:rsidRPr="00650A57">
        <w:rPr>
          <w:rFonts w:cs="Arial"/>
        </w:rPr>
        <w:t xml:space="preserve"> </w:t>
      </w:r>
      <w:r w:rsidR="008840A3">
        <w:rPr>
          <w:rFonts w:cs="Arial"/>
        </w:rPr>
        <w:t xml:space="preserve">Tento stav není překvapivý, neboť se jedná o odvětví zaměstnávající </w:t>
      </w:r>
      <w:r w:rsidRPr="00650A57">
        <w:rPr>
          <w:rFonts w:cs="Arial"/>
        </w:rPr>
        <w:t xml:space="preserve">nejvíce osob, </w:t>
      </w:r>
      <w:r w:rsidR="008840A3">
        <w:rPr>
          <w:rFonts w:cs="Arial"/>
        </w:rPr>
        <w:t xml:space="preserve">viz kapitola </w:t>
      </w:r>
      <w:r w:rsidRPr="00650A57">
        <w:rPr>
          <w:rFonts w:cs="Arial"/>
        </w:rPr>
        <w:t xml:space="preserve">4.1. Naopak nejméně případů v absolutních číslech </w:t>
      </w:r>
      <w:r w:rsidR="008840A3">
        <w:rPr>
          <w:rFonts w:cs="Arial"/>
        </w:rPr>
        <w:t>zaznamenala </w:t>
      </w:r>
      <w:r w:rsidR="008840A3" w:rsidRPr="00723524">
        <w:rPr>
          <w:rFonts w:cs="Arial"/>
        </w:rPr>
        <w:t>odvětví</w:t>
      </w:r>
      <w:r w:rsidRPr="00723524">
        <w:rPr>
          <w:rFonts w:cs="Arial"/>
        </w:rPr>
        <w:t xml:space="preserve"> Těžba a dobývání (10 tis</w:t>
      </w:r>
      <w:r w:rsidR="008840A3" w:rsidRPr="00723524">
        <w:rPr>
          <w:rFonts w:cs="Arial"/>
        </w:rPr>
        <w:t>íc</w:t>
      </w:r>
      <w:r w:rsidRPr="00723524">
        <w:rPr>
          <w:rFonts w:cs="Arial"/>
        </w:rPr>
        <w:t>) a Výroba a rozvod elektřiny, plynu, tepla a klimatizovaného vzduchu (</w:t>
      </w:r>
      <w:r w:rsidR="008840A3" w:rsidRPr="00723524">
        <w:rPr>
          <w:rFonts w:cs="Arial"/>
        </w:rPr>
        <w:t>15</w:t>
      </w:r>
      <w:r w:rsidRPr="00723524">
        <w:rPr>
          <w:rFonts w:cs="Arial"/>
        </w:rPr>
        <w:t xml:space="preserve"> tis</w:t>
      </w:r>
      <w:r w:rsidR="008840A3" w:rsidRPr="00723524">
        <w:rPr>
          <w:rFonts w:cs="Arial"/>
        </w:rPr>
        <w:t>íc</w:t>
      </w:r>
      <w:r w:rsidRPr="00723524">
        <w:rPr>
          <w:rFonts w:cs="Arial"/>
        </w:rPr>
        <w:t>).</w:t>
      </w:r>
    </w:p>
    <w:p w:rsidR="00650A57" w:rsidRPr="00650A57" w:rsidRDefault="00650A57" w:rsidP="00650A57">
      <w:pPr>
        <w:autoSpaceDE w:val="0"/>
        <w:autoSpaceDN w:val="0"/>
        <w:adjustRightInd w:val="0"/>
        <w:spacing w:before="120"/>
        <w:rPr>
          <w:rFonts w:cs="Arial"/>
        </w:rPr>
      </w:pPr>
      <w:r w:rsidRPr="00650A57">
        <w:rPr>
          <w:rFonts w:cs="Arial"/>
        </w:rPr>
        <w:t xml:space="preserve">V porovnání </w:t>
      </w:r>
      <w:r w:rsidRPr="00650A57">
        <w:rPr>
          <w:rFonts w:cs="Arial"/>
          <w:b/>
        </w:rPr>
        <w:t>s rokem 2019</w:t>
      </w:r>
      <w:r w:rsidRPr="00650A57">
        <w:rPr>
          <w:rFonts w:cs="Arial"/>
        </w:rPr>
        <w:t xml:space="preserve"> </w:t>
      </w:r>
      <w:r w:rsidRPr="001E4771">
        <w:rPr>
          <w:rFonts w:cs="Arial"/>
        </w:rPr>
        <w:t>vzrostl počet případů</w:t>
      </w:r>
      <w:r w:rsidRPr="00650A57">
        <w:rPr>
          <w:rFonts w:cs="Arial"/>
        </w:rPr>
        <w:t xml:space="preserve"> dočasné pracovní </w:t>
      </w:r>
      <w:r w:rsidRPr="001E4771">
        <w:rPr>
          <w:rFonts w:cs="Arial"/>
        </w:rPr>
        <w:t>neschopnosti ve všech sekcích ekonomické činnosti kromě sekc</w:t>
      </w:r>
      <w:r w:rsidR="001E4771" w:rsidRPr="001E4771">
        <w:rPr>
          <w:rFonts w:cs="Arial"/>
        </w:rPr>
        <w:t>í</w:t>
      </w:r>
      <w:r w:rsidR="0030154F" w:rsidRPr="001E4771">
        <w:rPr>
          <w:rFonts w:cs="Arial"/>
        </w:rPr>
        <w:t xml:space="preserve"> </w:t>
      </w:r>
      <w:r w:rsidR="001E4771" w:rsidRPr="001E4771">
        <w:rPr>
          <w:rFonts w:cs="Arial"/>
        </w:rPr>
        <w:t xml:space="preserve">Těžba a dobývání (o 907 případů méně) a </w:t>
      </w:r>
      <w:r w:rsidRPr="001E4771">
        <w:rPr>
          <w:rFonts w:cs="Arial"/>
        </w:rPr>
        <w:t>Ostatní činnosti</w:t>
      </w:r>
      <w:r w:rsidRPr="00650A57">
        <w:rPr>
          <w:rFonts w:cs="Arial"/>
        </w:rPr>
        <w:t xml:space="preserve"> (</w:t>
      </w:r>
      <w:r w:rsidR="001E4771">
        <w:rPr>
          <w:rFonts w:cs="Arial"/>
        </w:rPr>
        <w:t>o 1,4 tisíce případů méně</w:t>
      </w:r>
      <w:r w:rsidRPr="00650A57">
        <w:rPr>
          <w:rFonts w:cs="Arial"/>
        </w:rPr>
        <w:t>)</w:t>
      </w:r>
      <w:r w:rsidR="008840A3">
        <w:rPr>
          <w:rFonts w:cs="Arial"/>
        </w:rPr>
        <w:t>, kam spadají např.</w:t>
      </w:r>
      <w:r w:rsidRPr="00650A57">
        <w:rPr>
          <w:rFonts w:cs="Arial"/>
        </w:rPr>
        <w:t xml:space="preserve"> činnosti podnikatelských, zaměstnavatelských, profesních a odborových organizací nebo</w:t>
      </w:r>
      <w:r w:rsidR="001A07AD">
        <w:rPr>
          <w:rFonts w:cs="Arial"/>
        </w:rPr>
        <w:t xml:space="preserve"> též</w:t>
      </w:r>
      <w:r w:rsidRPr="00650A57">
        <w:rPr>
          <w:rFonts w:cs="Arial"/>
        </w:rPr>
        <w:t xml:space="preserve"> kadeřnické, kosmetické a obdobné činnosti. </w:t>
      </w:r>
      <w:r w:rsidR="001A07AD">
        <w:rPr>
          <w:rFonts w:cs="Arial"/>
        </w:rPr>
        <w:t>K nejvyššímu</w:t>
      </w:r>
      <w:r w:rsidR="001A07AD" w:rsidRPr="001E4771">
        <w:rPr>
          <w:rFonts w:cs="Arial"/>
        </w:rPr>
        <w:t xml:space="preserve">, </w:t>
      </w:r>
      <w:r w:rsidR="001E4771">
        <w:rPr>
          <w:rFonts w:cs="Arial"/>
        </w:rPr>
        <w:t xml:space="preserve">téměř </w:t>
      </w:r>
      <w:r w:rsidR="001A07AD" w:rsidRPr="001E4771">
        <w:rPr>
          <w:rFonts w:cs="Arial"/>
        </w:rPr>
        <w:t>92%</w:t>
      </w:r>
      <w:r w:rsidR="001A07AD">
        <w:rPr>
          <w:rFonts w:cs="Arial"/>
        </w:rPr>
        <w:t xml:space="preserve"> nárůstu počtu případů došlo v sekci Vzdělávání </w:t>
      </w:r>
      <w:r w:rsidR="001A07AD" w:rsidRPr="001E4771">
        <w:rPr>
          <w:rFonts w:cs="Arial"/>
        </w:rPr>
        <w:t>(o 123</w:t>
      </w:r>
      <w:r w:rsidR="001E4771" w:rsidRPr="001E4771">
        <w:rPr>
          <w:rFonts w:cs="Arial"/>
        </w:rPr>
        <w:t>,5</w:t>
      </w:r>
      <w:r w:rsidR="001A07AD" w:rsidRPr="001E4771">
        <w:rPr>
          <w:rFonts w:cs="Arial"/>
        </w:rPr>
        <w:t xml:space="preserve"> tisíc</w:t>
      </w:r>
      <w:r w:rsidR="001E4771" w:rsidRPr="001E4771">
        <w:rPr>
          <w:rFonts w:cs="Arial"/>
        </w:rPr>
        <w:t>e</w:t>
      </w:r>
      <w:r w:rsidR="001A07AD" w:rsidRPr="001E4771">
        <w:rPr>
          <w:rFonts w:cs="Arial"/>
        </w:rPr>
        <w:t>).</w:t>
      </w:r>
      <w:r w:rsidR="001A07AD">
        <w:rPr>
          <w:rFonts w:cs="Arial"/>
        </w:rPr>
        <w:t xml:space="preserve"> </w:t>
      </w:r>
    </w:p>
    <w:p w:rsidR="00650A57" w:rsidRPr="00650A57" w:rsidRDefault="001A07AD" w:rsidP="00274DFD">
      <w:pPr>
        <w:autoSpaceDE w:val="0"/>
        <w:autoSpaceDN w:val="0"/>
        <w:adjustRightInd w:val="0"/>
        <w:spacing w:before="120"/>
        <w:rPr>
          <w:rFonts w:cs="Arial"/>
        </w:rPr>
      </w:pPr>
      <w:r>
        <w:rPr>
          <w:rFonts w:cs="Arial"/>
        </w:rPr>
        <w:t>Taktéž v</w:t>
      </w:r>
      <w:r w:rsidR="00650A57" w:rsidRPr="00650A57">
        <w:rPr>
          <w:rFonts w:cs="Arial"/>
        </w:rPr>
        <w:t xml:space="preserve"> porovnání s rokem 201</w:t>
      </w:r>
      <w:r>
        <w:rPr>
          <w:rFonts w:cs="Arial"/>
        </w:rPr>
        <w:t xml:space="preserve">4 </w:t>
      </w:r>
      <w:r w:rsidR="00650A57" w:rsidRPr="00650A57">
        <w:rPr>
          <w:rFonts w:cs="Arial"/>
        </w:rPr>
        <w:t xml:space="preserve">vzrostl počet případů dočasné pracovní neschopnosti nejvíce v odvětvové sekci Vzdělávání, a to </w:t>
      </w:r>
      <w:r w:rsidR="0053336E">
        <w:rPr>
          <w:rFonts w:cs="Arial"/>
        </w:rPr>
        <w:t>o 175 tisíc případů</w:t>
      </w:r>
      <w:r w:rsidR="00650A57" w:rsidRPr="00A60649">
        <w:rPr>
          <w:rFonts w:cs="Arial"/>
        </w:rPr>
        <w:t xml:space="preserve"> (</w:t>
      </w:r>
      <w:r w:rsidR="00274DFD" w:rsidRPr="00A60649">
        <w:rPr>
          <w:rFonts w:cs="Arial"/>
        </w:rPr>
        <w:t>o</w:t>
      </w:r>
      <w:r w:rsidR="00650A57" w:rsidRPr="00A60649">
        <w:rPr>
          <w:rFonts w:cs="Arial"/>
        </w:rPr>
        <w:t> 2</w:t>
      </w:r>
      <w:r w:rsidR="00274DFD" w:rsidRPr="00A60649">
        <w:rPr>
          <w:rFonts w:cs="Arial"/>
        </w:rPr>
        <w:t>11</w:t>
      </w:r>
      <w:r w:rsidR="00650A57" w:rsidRPr="00A60649">
        <w:rPr>
          <w:rFonts w:cs="Arial"/>
        </w:rPr>
        <w:t> %).</w:t>
      </w:r>
      <w:r w:rsidR="00650A57" w:rsidRPr="00650A57">
        <w:rPr>
          <w:rFonts w:cs="Arial"/>
        </w:rPr>
        <w:t xml:space="preserve"> </w:t>
      </w:r>
      <w:r w:rsidR="0053336E">
        <w:rPr>
          <w:rFonts w:cs="Arial"/>
        </w:rPr>
        <w:t>O 149 tisíc</w:t>
      </w:r>
      <w:r w:rsidR="00274DFD">
        <w:rPr>
          <w:rFonts w:cs="Arial"/>
        </w:rPr>
        <w:t xml:space="preserve"> </w:t>
      </w:r>
      <w:r w:rsidR="0053336E">
        <w:rPr>
          <w:rFonts w:cs="Arial"/>
        </w:rPr>
        <w:t>(</w:t>
      </w:r>
      <w:r w:rsidR="00650A57" w:rsidRPr="00A60649">
        <w:rPr>
          <w:rFonts w:cs="Arial"/>
        </w:rPr>
        <w:t>17</w:t>
      </w:r>
      <w:r w:rsidR="00274DFD" w:rsidRPr="00A60649">
        <w:rPr>
          <w:rFonts w:cs="Arial"/>
        </w:rPr>
        <w:t>5</w:t>
      </w:r>
      <w:r w:rsidR="00650A57" w:rsidRPr="00A60649">
        <w:rPr>
          <w:rFonts w:cs="Arial"/>
        </w:rPr>
        <w:t xml:space="preserve"> %) vzrostl tento ukazatel i </w:t>
      </w:r>
      <w:r w:rsidR="0053336E">
        <w:rPr>
          <w:rFonts w:cs="Arial"/>
        </w:rPr>
        <w:t>u subjektů</w:t>
      </w:r>
      <w:r w:rsidR="00650A57" w:rsidRPr="00A60649">
        <w:rPr>
          <w:rFonts w:cs="Arial"/>
        </w:rPr>
        <w:t xml:space="preserve"> s převažující ekonomickou činností Zdravotní a sociální péče. Dvojnásobně pak</w:t>
      </w:r>
      <w:r w:rsidR="00650A57" w:rsidRPr="00650A57">
        <w:t xml:space="preserve"> </w:t>
      </w:r>
      <w:r w:rsidR="00650A57" w:rsidRPr="00650A57">
        <w:rPr>
          <w:rFonts w:cs="Arial"/>
        </w:rPr>
        <w:t xml:space="preserve">počet případů dočasné </w:t>
      </w:r>
      <w:r w:rsidR="00650A57" w:rsidRPr="00650A57">
        <w:rPr>
          <w:rFonts w:cs="Arial"/>
        </w:rPr>
        <w:lastRenderedPageBreak/>
        <w:t xml:space="preserve">pracovní neschopnosti </w:t>
      </w:r>
      <w:r w:rsidR="00274DFD">
        <w:rPr>
          <w:rFonts w:cs="Arial"/>
        </w:rPr>
        <w:t xml:space="preserve">mezi lety 2014–2024 </w:t>
      </w:r>
      <w:r w:rsidR="00650A57" w:rsidRPr="00650A57">
        <w:rPr>
          <w:rFonts w:cs="Arial"/>
        </w:rPr>
        <w:t xml:space="preserve">vzrostl například v sekcích </w:t>
      </w:r>
      <w:r w:rsidR="00274DFD" w:rsidRPr="00274DFD">
        <w:rPr>
          <w:rFonts w:cs="Arial"/>
        </w:rPr>
        <w:t>Velkoobcho</w:t>
      </w:r>
      <w:r w:rsidR="00274DFD">
        <w:rPr>
          <w:rFonts w:cs="Arial"/>
        </w:rPr>
        <w:t xml:space="preserve">d a maloobchod; opravy a údržba </w:t>
      </w:r>
      <w:r w:rsidR="00274DFD" w:rsidRPr="00274DFD">
        <w:rPr>
          <w:rFonts w:cs="Arial"/>
        </w:rPr>
        <w:t>motorových vozidel</w:t>
      </w:r>
      <w:r w:rsidR="00274DFD">
        <w:rPr>
          <w:rFonts w:cs="Arial"/>
        </w:rPr>
        <w:t xml:space="preserve">, </w:t>
      </w:r>
      <w:r w:rsidR="00650A57" w:rsidRPr="00650A57">
        <w:rPr>
          <w:rFonts w:cs="Arial"/>
        </w:rPr>
        <w:t>Doprava</w:t>
      </w:r>
      <w:r w:rsidR="00274DFD">
        <w:rPr>
          <w:rFonts w:cs="Arial"/>
        </w:rPr>
        <w:t xml:space="preserve"> a skladování či Kulturní, </w:t>
      </w:r>
      <w:r w:rsidR="00DE2DC1">
        <w:rPr>
          <w:rFonts w:cs="Arial"/>
        </w:rPr>
        <w:t>zábavní a rekreační činnosti.</w:t>
      </w:r>
      <w:r w:rsidR="00650A57" w:rsidRPr="00650A57">
        <w:rPr>
          <w:rFonts w:cs="Arial"/>
        </w:rPr>
        <w:t xml:space="preserve">  </w:t>
      </w:r>
    </w:p>
    <w:p w:rsidR="00224942" w:rsidRDefault="00650A57" w:rsidP="00650A57">
      <w:pPr>
        <w:rPr>
          <w:rFonts w:cs="Arial"/>
        </w:rPr>
      </w:pPr>
      <w:r w:rsidRPr="00650A57">
        <w:rPr>
          <w:rFonts w:cs="Arial"/>
        </w:rPr>
        <w:t>Absolutní počty nově hlášených případů jsou ovlivněny odvětvovou strukturou národního hospodářství a zaměstnaností v jednotlivých odvětvích. Z toho</w:t>
      </w:r>
      <w:r w:rsidR="00DE2DC1">
        <w:rPr>
          <w:rFonts w:cs="Arial"/>
        </w:rPr>
        <w:t>to</w:t>
      </w:r>
      <w:r w:rsidRPr="00650A57">
        <w:rPr>
          <w:rFonts w:cs="Arial"/>
        </w:rPr>
        <w:t xml:space="preserve"> důvodu má vyšší vypovídací schopnost již zmíněný relativní ukazatel – počet nově hlášených případů na</w:t>
      </w:r>
      <w:r w:rsidR="007411D8">
        <w:rPr>
          <w:rFonts w:cs="Arial"/>
        </w:rPr>
        <w:t xml:space="preserve"> 100 pojištěnců v daném odvětví.</w:t>
      </w:r>
      <w:r w:rsidR="00D16EC5" w:rsidRPr="00D16EC5">
        <w:rPr>
          <w:rFonts w:cs="Arial"/>
          <w:color w:val="000000"/>
          <w:szCs w:val="16"/>
        </w:rPr>
        <w:t xml:space="preserve"> </w:t>
      </w:r>
      <w:r w:rsidR="00D16EC5" w:rsidRPr="007411D8">
        <w:rPr>
          <w:rFonts w:cs="Arial"/>
          <w:color w:val="000000"/>
          <w:szCs w:val="16"/>
        </w:rPr>
        <w:t>Vývoj počtu případů pracovní neschopnosti na 100 pojištěnců v jednotlivých odvětví</w:t>
      </w:r>
      <w:r w:rsidR="00D16EC5">
        <w:rPr>
          <w:rFonts w:cs="Arial"/>
          <w:color w:val="000000"/>
          <w:szCs w:val="16"/>
        </w:rPr>
        <w:t>ch mezi lety 2019 a 2024 je zobrazen na grafu 2.5, srovnání za delší časové období let 2014–2024 poté poskytuje tabulka</w:t>
      </w:r>
      <w:r w:rsidR="00D16EC5" w:rsidRPr="007411D8">
        <w:rPr>
          <w:rFonts w:cs="Arial"/>
          <w:color w:val="000000"/>
          <w:szCs w:val="16"/>
        </w:rPr>
        <w:t xml:space="preserve"> 2.2.</w:t>
      </w:r>
    </w:p>
    <w:p w:rsidR="00F07605" w:rsidRDefault="00F07605" w:rsidP="00F07605">
      <w:pPr>
        <w:spacing w:after="0" w:line="240" w:lineRule="auto"/>
        <w:rPr>
          <w:rFonts w:cs="Arial"/>
          <w:b/>
          <w:bCs/>
          <w:color w:val="000000"/>
          <w:szCs w:val="20"/>
        </w:rPr>
      </w:pPr>
      <w:r w:rsidRPr="00F07605">
        <w:rPr>
          <w:rFonts w:cs="Arial"/>
          <w:b/>
          <w:bCs/>
          <w:color w:val="000000"/>
          <w:szCs w:val="20"/>
        </w:rPr>
        <w:t xml:space="preserve">Graf 2.5: Nově hlášené případy dočasné pracovní neschopnosti </w:t>
      </w:r>
      <w:r>
        <w:rPr>
          <w:rFonts w:cs="Arial"/>
          <w:b/>
          <w:bCs/>
          <w:color w:val="000000"/>
          <w:szCs w:val="20"/>
        </w:rPr>
        <w:t xml:space="preserve">na 100 pojištěnců podle odvětví </w:t>
      </w:r>
      <w:r w:rsidRPr="00F07605">
        <w:rPr>
          <w:rFonts w:cs="Arial"/>
          <w:b/>
          <w:bCs/>
          <w:color w:val="000000"/>
          <w:szCs w:val="20"/>
        </w:rPr>
        <w:t>(sekce</w:t>
      </w:r>
      <w:r w:rsidR="007411D8">
        <w:rPr>
          <w:rFonts w:cs="Arial"/>
          <w:b/>
          <w:bCs/>
          <w:color w:val="000000"/>
          <w:szCs w:val="20"/>
        </w:rPr>
        <w:t xml:space="preserve"> CZ</w:t>
      </w:r>
      <w:r w:rsidR="007411D8" w:rsidRPr="007411D8">
        <w:rPr>
          <w:rFonts w:cs="Arial"/>
          <w:b/>
          <w:bCs/>
          <w:color w:val="000000"/>
          <w:szCs w:val="20"/>
        </w:rPr>
        <w:t>-</w:t>
      </w:r>
      <w:r w:rsidRPr="00F07605">
        <w:rPr>
          <w:rFonts w:cs="Arial"/>
          <w:b/>
          <w:bCs/>
          <w:color w:val="000000"/>
          <w:szCs w:val="20"/>
        </w:rPr>
        <w:t>NACE), 2019 a 2024</w:t>
      </w:r>
    </w:p>
    <w:p w:rsidR="00EA6978" w:rsidRDefault="0053336E" w:rsidP="0053336E">
      <w:pPr>
        <w:spacing w:line="240" w:lineRule="auto"/>
        <w:rPr>
          <w:sz w:val="16"/>
          <w:szCs w:val="16"/>
        </w:rPr>
      </w:pPr>
      <w:r>
        <w:rPr>
          <w:noProof/>
        </w:rPr>
        <w:drawing>
          <wp:inline distT="0" distB="0" distL="0" distR="0" wp14:anchorId="2F4D021B" wp14:editId="6B1B38CC">
            <wp:extent cx="6120000" cy="5040000"/>
            <wp:effectExtent l="0" t="0" r="0" b="8255"/>
            <wp:docPr id="47" name="Graf 47"/>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r w:rsidR="00EA6978">
        <w:rPr>
          <w:sz w:val="16"/>
          <w:szCs w:val="16"/>
        </w:rPr>
        <w:t>Z</w:t>
      </w:r>
      <w:r w:rsidR="00EA6978" w:rsidRPr="00EA6978">
        <w:rPr>
          <w:sz w:val="16"/>
          <w:szCs w:val="16"/>
        </w:rPr>
        <w:t>droj: ČSÚ</w:t>
      </w:r>
    </w:p>
    <w:p w:rsidR="00D16EC5" w:rsidRPr="00D16EC5" w:rsidRDefault="007411D8" w:rsidP="001D1F5B">
      <w:pPr>
        <w:rPr>
          <w:rFonts w:cs="Arial"/>
        </w:rPr>
      </w:pPr>
      <w:r w:rsidRPr="007411D8">
        <w:rPr>
          <w:rFonts w:cs="Arial"/>
        </w:rPr>
        <w:t xml:space="preserve">Nejvíce případů dočasné pracovní neschopnosti </w:t>
      </w:r>
      <w:r w:rsidRPr="007411D8">
        <w:rPr>
          <w:rFonts w:cs="Arial"/>
          <w:b/>
        </w:rPr>
        <w:t>na 100 pojištěnců</w:t>
      </w:r>
      <w:r>
        <w:rPr>
          <w:rFonts w:cs="Arial"/>
        </w:rPr>
        <w:t xml:space="preserve"> bylo v roce 2024</w:t>
      </w:r>
      <w:r w:rsidRPr="007411D8">
        <w:rPr>
          <w:rFonts w:cs="Arial"/>
        </w:rPr>
        <w:t xml:space="preserve"> zaznamenáno v od</w:t>
      </w:r>
      <w:r>
        <w:rPr>
          <w:rFonts w:cs="Arial"/>
        </w:rPr>
        <w:t xml:space="preserve">větví </w:t>
      </w:r>
      <w:r w:rsidRPr="00014D11">
        <w:rPr>
          <w:rFonts w:cs="Arial"/>
        </w:rPr>
        <w:t xml:space="preserve">Zpracovatelský </w:t>
      </w:r>
      <w:r w:rsidR="00014D11" w:rsidRPr="00014D11">
        <w:rPr>
          <w:rFonts w:cs="Arial"/>
        </w:rPr>
        <w:t>průmysl (6</w:t>
      </w:r>
      <w:r w:rsidR="00014D11">
        <w:rPr>
          <w:rFonts w:cs="Arial"/>
        </w:rPr>
        <w:t xml:space="preserve">7), následované odvětvími </w:t>
      </w:r>
      <w:r w:rsidRPr="007411D8">
        <w:rPr>
          <w:rFonts w:cs="Arial"/>
        </w:rPr>
        <w:t>Zásobování vodou; činnosti sou</w:t>
      </w:r>
      <w:r>
        <w:rPr>
          <w:rFonts w:cs="Arial"/>
        </w:rPr>
        <w:t>visející s odpady a</w:t>
      </w:r>
      <w:r w:rsidR="00014D11">
        <w:rPr>
          <w:rFonts w:cs="Arial"/>
        </w:rPr>
        <w:t> </w:t>
      </w:r>
      <w:r>
        <w:rPr>
          <w:rFonts w:cs="Arial"/>
        </w:rPr>
        <w:t xml:space="preserve">sanacemi </w:t>
      </w:r>
      <w:r w:rsidR="00014D11">
        <w:rPr>
          <w:rFonts w:cs="Arial"/>
        </w:rPr>
        <w:t xml:space="preserve">a Administrativními a podpůrnými činnostmi </w:t>
      </w:r>
      <w:r w:rsidRPr="00014D11">
        <w:rPr>
          <w:rFonts w:cs="Arial"/>
        </w:rPr>
        <w:t>(</w:t>
      </w:r>
      <w:r w:rsidR="00014D11" w:rsidRPr="00014D11">
        <w:rPr>
          <w:rFonts w:cs="Arial"/>
        </w:rPr>
        <w:t>57</w:t>
      </w:r>
      <w:r w:rsidR="001D1F5B" w:rsidRPr="00014D11">
        <w:rPr>
          <w:rFonts w:cs="Arial"/>
        </w:rPr>
        <w:t>).</w:t>
      </w:r>
      <w:r w:rsidR="001D1F5B">
        <w:rPr>
          <w:rFonts w:cs="Arial"/>
        </w:rPr>
        <w:t xml:space="preserve"> </w:t>
      </w:r>
      <w:r w:rsidRPr="007411D8">
        <w:rPr>
          <w:rFonts w:cs="Arial"/>
        </w:rPr>
        <w:t>Nejnižší počet případů dočasné pracovní neschopnosti v přepočtu na 100</w:t>
      </w:r>
      <w:r>
        <w:rPr>
          <w:rFonts w:cs="Arial"/>
        </w:rPr>
        <w:t xml:space="preserve"> nemocensky pojištěných </w:t>
      </w:r>
      <w:r w:rsidRPr="007411D8">
        <w:rPr>
          <w:rFonts w:cs="Arial"/>
        </w:rPr>
        <w:t>evidov</w:t>
      </w:r>
      <w:r>
        <w:rPr>
          <w:rFonts w:cs="Arial"/>
        </w:rPr>
        <w:t>ala</w:t>
      </w:r>
      <w:r w:rsidRPr="007411D8">
        <w:rPr>
          <w:rFonts w:cs="Arial"/>
        </w:rPr>
        <w:t> odvětví Či</w:t>
      </w:r>
      <w:r>
        <w:rPr>
          <w:rFonts w:cs="Arial"/>
        </w:rPr>
        <w:t xml:space="preserve">nnosti v oblasti </w:t>
      </w:r>
      <w:r w:rsidRPr="00014D11">
        <w:rPr>
          <w:rFonts w:cs="Arial"/>
        </w:rPr>
        <w:t>nemovitostí (</w:t>
      </w:r>
      <w:r w:rsidR="00014D11" w:rsidRPr="00014D11">
        <w:rPr>
          <w:rFonts w:cs="Arial"/>
        </w:rPr>
        <w:t>26</w:t>
      </w:r>
      <w:r w:rsidRPr="00014D11">
        <w:rPr>
          <w:rFonts w:cs="Arial"/>
        </w:rPr>
        <w:t xml:space="preserve">) </w:t>
      </w:r>
      <w:r w:rsidRPr="00705E11">
        <w:rPr>
          <w:rFonts w:cs="Arial"/>
        </w:rPr>
        <w:t>a Profesní, vědecké a technické činnosti (2</w:t>
      </w:r>
      <w:r w:rsidR="00014D11" w:rsidRPr="00705E11">
        <w:rPr>
          <w:rFonts w:cs="Arial"/>
        </w:rPr>
        <w:t>9</w:t>
      </w:r>
      <w:r w:rsidRPr="00705E11">
        <w:rPr>
          <w:rFonts w:cs="Arial"/>
        </w:rPr>
        <w:t xml:space="preserve">). Celorepublikový průměr bez ohledu na odvětví činil již zmíněných </w:t>
      </w:r>
      <w:r w:rsidR="00705E11" w:rsidRPr="00705E11">
        <w:rPr>
          <w:rFonts w:cs="Arial"/>
        </w:rPr>
        <w:t>52</w:t>
      </w:r>
      <w:r w:rsidRPr="00705E11">
        <w:rPr>
          <w:rFonts w:cs="Arial"/>
        </w:rPr>
        <w:t> případů na</w:t>
      </w:r>
      <w:r w:rsidRPr="007411D8">
        <w:rPr>
          <w:rFonts w:cs="Arial"/>
        </w:rPr>
        <w:t xml:space="preserve"> 100 pojištěnců.</w:t>
      </w:r>
    </w:p>
    <w:p w:rsidR="007411D8" w:rsidRPr="007411D8" w:rsidRDefault="007411D8" w:rsidP="007411D8">
      <w:pPr>
        <w:spacing w:before="120"/>
        <w:rPr>
          <w:rFonts w:cs="Arial"/>
          <w:color w:val="000000"/>
          <w:szCs w:val="16"/>
        </w:rPr>
      </w:pPr>
      <w:r w:rsidRPr="007411D8">
        <w:rPr>
          <w:rFonts w:cs="Arial"/>
          <w:color w:val="000000"/>
          <w:szCs w:val="16"/>
        </w:rPr>
        <w:t>V roce 202</w:t>
      </w:r>
      <w:r w:rsidR="001D1F5B">
        <w:rPr>
          <w:rFonts w:cs="Arial"/>
          <w:color w:val="000000"/>
          <w:szCs w:val="16"/>
        </w:rPr>
        <w:t>4</w:t>
      </w:r>
      <w:r w:rsidRPr="007411D8">
        <w:rPr>
          <w:rFonts w:cs="Arial"/>
          <w:color w:val="000000"/>
          <w:szCs w:val="16"/>
        </w:rPr>
        <w:t xml:space="preserve"> bylo </w:t>
      </w:r>
      <w:r w:rsidRPr="00B01268">
        <w:rPr>
          <w:rFonts w:cs="Arial"/>
          <w:color w:val="000000"/>
          <w:szCs w:val="16"/>
        </w:rPr>
        <w:t xml:space="preserve">nahlášeno o </w:t>
      </w:r>
      <w:r w:rsidR="00B01268" w:rsidRPr="00B01268">
        <w:rPr>
          <w:rFonts w:cs="Arial"/>
          <w:color w:val="000000"/>
          <w:szCs w:val="16"/>
        </w:rPr>
        <w:t>necelých 23</w:t>
      </w:r>
      <w:r w:rsidRPr="00B01268">
        <w:rPr>
          <w:rFonts w:cs="Arial"/>
          <w:color w:val="000000"/>
          <w:szCs w:val="16"/>
        </w:rPr>
        <w:t xml:space="preserve"> případů na 100 pojištěnců více než</w:t>
      </w:r>
      <w:r w:rsidRPr="007411D8">
        <w:rPr>
          <w:rFonts w:cs="Arial"/>
          <w:color w:val="000000"/>
          <w:szCs w:val="16"/>
        </w:rPr>
        <w:t xml:space="preserve"> </w:t>
      </w:r>
      <w:r w:rsidR="00BC2A21">
        <w:rPr>
          <w:rFonts w:cs="Arial"/>
          <w:color w:val="000000"/>
          <w:szCs w:val="16"/>
        </w:rPr>
        <w:t>v roce 2014</w:t>
      </w:r>
      <w:r w:rsidRPr="007411D8">
        <w:rPr>
          <w:rFonts w:cs="Arial"/>
          <w:color w:val="000000"/>
          <w:szCs w:val="16"/>
        </w:rPr>
        <w:t xml:space="preserve">. Nejdynamičtější nárůst za </w:t>
      </w:r>
      <w:r w:rsidR="00BC2A21">
        <w:rPr>
          <w:rFonts w:cs="Arial"/>
          <w:color w:val="000000"/>
          <w:szCs w:val="16"/>
        </w:rPr>
        <w:t>dané období</w:t>
      </w:r>
      <w:r w:rsidRPr="007411D8">
        <w:rPr>
          <w:rFonts w:cs="Arial"/>
          <w:color w:val="000000"/>
          <w:szCs w:val="16"/>
        </w:rPr>
        <w:t xml:space="preserve"> je patrný </w:t>
      </w:r>
      <w:r w:rsidR="00BC2A21">
        <w:rPr>
          <w:rFonts w:cs="Arial"/>
          <w:color w:val="000000"/>
          <w:szCs w:val="16"/>
        </w:rPr>
        <w:t xml:space="preserve">u </w:t>
      </w:r>
      <w:r w:rsidR="00BC2A21" w:rsidRPr="00B01268">
        <w:rPr>
          <w:rFonts w:cs="Arial"/>
          <w:color w:val="000000"/>
          <w:szCs w:val="16"/>
        </w:rPr>
        <w:t>sekce </w:t>
      </w:r>
      <w:r w:rsidR="00B01268" w:rsidRPr="00B01268">
        <w:rPr>
          <w:rFonts w:cs="Arial"/>
          <w:color w:val="000000"/>
          <w:szCs w:val="16"/>
        </w:rPr>
        <w:t>Vzdělávání (o 32 případů, tj. 132</w:t>
      </w:r>
      <w:r w:rsidRPr="00B01268">
        <w:rPr>
          <w:rFonts w:cs="Arial"/>
          <w:color w:val="000000"/>
          <w:szCs w:val="16"/>
        </w:rPr>
        <w:t xml:space="preserve"> %), resp. </w:t>
      </w:r>
      <w:r w:rsidR="00BC2A21" w:rsidRPr="00B01268">
        <w:rPr>
          <w:rFonts w:cs="Arial"/>
          <w:color w:val="000000"/>
          <w:szCs w:val="16"/>
        </w:rPr>
        <w:t>u Zpracovatelského</w:t>
      </w:r>
      <w:r w:rsidRPr="00B01268">
        <w:rPr>
          <w:rFonts w:cs="Arial"/>
          <w:color w:val="000000"/>
          <w:szCs w:val="16"/>
        </w:rPr>
        <w:t xml:space="preserve"> průmyslu, kde</w:t>
      </w:r>
      <w:r w:rsidR="00BC2A21" w:rsidRPr="00B01268">
        <w:rPr>
          <w:rFonts w:cs="Arial"/>
          <w:color w:val="000000"/>
          <w:szCs w:val="16"/>
        </w:rPr>
        <w:t xml:space="preserve"> hodnota ukazatele vzrostla o </w:t>
      </w:r>
      <w:r w:rsidR="00B01268" w:rsidRPr="00B01268">
        <w:rPr>
          <w:rFonts w:cs="Arial"/>
          <w:color w:val="000000"/>
          <w:szCs w:val="16"/>
        </w:rPr>
        <w:t>30</w:t>
      </w:r>
      <w:r w:rsidR="00BC2A21" w:rsidRPr="00B01268">
        <w:rPr>
          <w:rFonts w:cs="Arial"/>
          <w:color w:val="000000"/>
          <w:szCs w:val="16"/>
        </w:rPr>
        <w:t xml:space="preserve"> přípa</w:t>
      </w:r>
      <w:r w:rsidR="00647EA1">
        <w:rPr>
          <w:rFonts w:cs="Arial"/>
          <w:color w:val="000000"/>
          <w:szCs w:val="16"/>
        </w:rPr>
        <w:t xml:space="preserve">dů na 100 pojištěných, </w:t>
      </w:r>
      <w:r w:rsidR="00B01268" w:rsidRPr="00B01268">
        <w:rPr>
          <w:rFonts w:cs="Arial"/>
          <w:color w:val="000000"/>
          <w:szCs w:val="16"/>
        </w:rPr>
        <w:t>tj. o 80</w:t>
      </w:r>
      <w:r w:rsidR="00647EA1">
        <w:rPr>
          <w:rFonts w:cs="Arial"/>
          <w:color w:val="000000"/>
          <w:szCs w:val="16"/>
        </w:rPr>
        <w:t xml:space="preserve"> %</w:t>
      </w:r>
      <w:r w:rsidRPr="00B01268">
        <w:rPr>
          <w:rFonts w:cs="Arial"/>
          <w:color w:val="000000"/>
          <w:szCs w:val="16"/>
        </w:rPr>
        <w:t xml:space="preserve">. </w:t>
      </w:r>
      <w:r w:rsidR="00BC2A21" w:rsidRPr="00B01268">
        <w:rPr>
          <w:rFonts w:cs="Arial"/>
          <w:color w:val="000000"/>
          <w:szCs w:val="16"/>
        </w:rPr>
        <w:t>I</w:t>
      </w:r>
      <w:r w:rsidR="00BC2A21">
        <w:rPr>
          <w:rFonts w:cs="Arial"/>
          <w:color w:val="000000"/>
          <w:szCs w:val="16"/>
        </w:rPr>
        <w:t xml:space="preserve"> ostatní odvětvové sekce vykázaly</w:t>
      </w:r>
      <w:r w:rsidRPr="007411D8">
        <w:rPr>
          <w:rFonts w:cs="Arial"/>
          <w:color w:val="000000"/>
          <w:szCs w:val="16"/>
        </w:rPr>
        <w:t> zvýšení počtu případů na 100 pojištěných osob.</w:t>
      </w:r>
    </w:p>
    <w:p w:rsidR="007411D8" w:rsidRPr="007411D8" w:rsidRDefault="003322E6" w:rsidP="007411D8">
      <w:pPr>
        <w:spacing w:before="120"/>
      </w:pPr>
      <w:r w:rsidRPr="00B01268">
        <w:lastRenderedPageBreak/>
        <w:t xml:space="preserve">Nejvyšší </w:t>
      </w:r>
      <w:r w:rsidR="00B01268" w:rsidRPr="00B01268">
        <w:t>počet (61</w:t>
      </w:r>
      <w:r w:rsidR="007411D8" w:rsidRPr="00B01268">
        <w:t>)</w:t>
      </w:r>
      <w:r w:rsidR="007411D8" w:rsidRPr="007411D8">
        <w:t xml:space="preserve"> případů pracovní neschopnosti </w:t>
      </w:r>
      <w:r w:rsidR="007411D8" w:rsidRPr="007411D8">
        <w:rPr>
          <w:b/>
        </w:rPr>
        <w:t>pro nemoc</w:t>
      </w:r>
      <w:r w:rsidR="007411D8" w:rsidRPr="007411D8">
        <w:t xml:space="preserve"> v přepočtu </w:t>
      </w:r>
      <w:r w:rsidR="007411D8" w:rsidRPr="007411D8">
        <w:rPr>
          <w:b/>
        </w:rPr>
        <w:t>na 100 pojištěnců</w:t>
      </w:r>
      <w:r w:rsidR="007411D8" w:rsidRPr="007411D8">
        <w:t xml:space="preserve"> zaznamenal </w:t>
      </w:r>
      <w:r>
        <w:t xml:space="preserve">v roce 2024 </w:t>
      </w:r>
      <w:r w:rsidR="007411D8" w:rsidRPr="007411D8">
        <w:t>Zpr</w:t>
      </w:r>
      <w:r>
        <w:t xml:space="preserve">acovatelský průmysl, na druhém místě se </w:t>
      </w:r>
      <w:r w:rsidRPr="00DD43D2">
        <w:t xml:space="preserve">s </w:t>
      </w:r>
      <w:r w:rsidR="00DD43D2" w:rsidRPr="00DD43D2">
        <w:t>54</w:t>
      </w:r>
      <w:r w:rsidR="007411D8" w:rsidRPr="00DD43D2">
        <w:t xml:space="preserve"> případy</w:t>
      </w:r>
      <w:r>
        <w:t xml:space="preserve"> </w:t>
      </w:r>
      <w:r w:rsidR="007411D8" w:rsidRPr="007411D8">
        <w:t>umístila sekce Vzdělávání</w:t>
      </w:r>
      <w:r>
        <w:t>, u níž</w:t>
      </w:r>
      <w:r w:rsidR="007411D8" w:rsidRPr="007411D8">
        <w:t xml:space="preserve"> počet neschopností oproti období před pandemií</w:t>
      </w:r>
      <w:r w:rsidR="00864C88">
        <w:t xml:space="preserve"> (2019)</w:t>
      </w:r>
      <w:r w:rsidR="007411D8" w:rsidRPr="007411D8">
        <w:t xml:space="preserve"> </w:t>
      </w:r>
      <w:r w:rsidRPr="00DD43D2">
        <w:t>vzrostl</w:t>
      </w:r>
      <w:r w:rsidR="007411D8" w:rsidRPr="00DD43D2">
        <w:t xml:space="preserve"> o </w:t>
      </w:r>
      <w:r w:rsidR="00DD43D2" w:rsidRPr="00DD43D2">
        <w:t>20</w:t>
      </w:r>
      <w:r w:rsidR="007411D8" w:rsidRPr="007411D8">
        <w:t xml:space="preserve"> případů. </w:t>
      </w:r>
      <w:r>
        <w:t>Zvýšený</w:t>
      </w:r>
      <w:r w:rsidR="007411D8" w:rsidRPr="007411D8">
        <w:t xml:space="preserve"> nárůst by mohl souviset s nelehkými výzvami, kterými si praco</w:t>
      </w:r>
      <w:r>
        <w:t xml:space="preserve">vníci ve školství za uplynulé </w:t>
      </w:r>
      <w:r w:rsidR="007411D8" w:rsidRPr="007411D8">
        <w:t>roky prošli. Od distanční výuky, přes opětovnou adaptaci na prezenční výuku, až po integraci ukrajinských dětí. Nárůst</w:t>
      </w:r>
      <w:r w:rsidR="00DD43D2">
        <w:t xml:space="preserve"> </w:t>
      </w:r>
      <w:r w:rsidR="00DD43D2" w:rsidRPr="00DD43D2">
        <w:t>o</w:t>
      </w:r>
      <w:r w:rsidRPr="00DD43D2">
        <w:t xml:space="preserve"> </w:t>
      </w:r>
      <w:r w:rsidR="00864C88" w:rsidRPr="00DD43D2">
        <w:t>1</w:t>
      </w:r>
      <w:r w:rsidR="00DD43D2" w:rsidRPr="00DD43D2">
        <w:t xml:space="preserve">6 a </w:t>
      </w:r>
      <w:r w:rsidR="007411D8" w:rsidRPr="00DD43D2">
        <w:t>15 případů</w:t>
      </w:r>
      <w:r w:rsidR="007411D8" w:rsidRPr="007411D8">
        <w:t xml:space="preserve"> pracovní neschopnosti pro nemoc na 100 pojiš</w:t>
      </w:r>
      <w:r w:rsidR="00864C88">
        <w:t>těnců zaznamenal</w:t>
      </w:r>
      <w:r w:rsidR="00DD43D2">
        <w:t>y</w:t>
      </w:r>
      <w:r w:rsidR="00864C88">
        <w:t xml:space="preserve"> </w:t>
      </w:r>
      <w:r w:rsidR="007411D8" w:rsidRPr="007411D8">
        <w:t xml:space="preserve">sekce </w:t>
      </w:r>
      <w:r w:rsidR="00864C88">
        <w:t xml:space="preserve">Zdravotní a sociální péče </w:t>
      </w:r>
      <w:r w:rsidR="00DD43D2">
        <w:t>a</w:t>
      </w:r>
      <w:r w:rsidR="007411D8" w:rsidRPr="007411D8">
        <w:t xml:space="preserve"> Veřejná správa a obrana; povinné sociální zabezpečení. </w:t>
      </w:r>
      <w:r w:rsidR="007411D8" w:rsidRPr="007411D8">
        <w:rPr>
          <w:rFonts w:cs="Arial"/>
        </w:rPr>
        <w:t>Naopak v</w:t>
      </w:r>
      <w:r w:rsidR="007411D8" w:rsidRPr="007411D8">
        <w:t> sek</w:t>
      </w:r>
      <w:r w:rsidR="00864C88">
        <w:t>cích Peněžnictví a pojišťovnictví</w:t>
      </w:r>
      <w:r w:rsidR="004B4ADA">
        <w:t xml:space="preserve">, Ostatní činnosti či Informační a komunikační </w:t>
      </w:r>
      <w:r w:rsidR="00864C88">
        <w:t xml:space="preserve">činnosti </w:t>
      </w:r>
      <w:r w:rsidR="007411D8" w:rsidRPr="007411D8">
        <w:t>doš</w:t>
      </w:r>
      <w:r w:rsidR="00864C88">
        <w:t xml:space="preserve">lo k nejmenším nárůstům, jmenovitě </w:t>
      </w:r>
      <w:r w:rsidR="00864C88" w:rsidRPr="004B4ADA">
        <w:t xml:space="preserve">okolo </w:t>
      </w:r>
      <w:r w:rsidR="004B4ADA" w:rsidRPr="004B4ADA">
        <w:t>dvou až tří</w:t>
      </w:r>
      <w:r w:rsidR="00864C88" w:rsidRPr="004B4ADA">
        <w:t xml:space="preserve"> </w:t>
      </w:r>
      <w:r w:rsidR="007411D8" w:rsidRPr="004B4ADA">
        <w:t>p</w:t>
      </w:r>
      <w:r w:rsidR="004B4ADA" w:rsidRPr="004B4ADA">
        <w:t>řípadů</w:t>
      </w:r>
      <w:r w:rsidR="007411D8" w:rsidRPr="004B4ADA">
        <w:t xml:space="preserve"> na</w:t>
      </w:r>
      <w:r w:rsidR="007411D8" w:rsidRPr="007411D8">
        <w:t xml:space="preserve"> 100 pojištěnců.</w:t>
      </w:r>
    </w:p>
    <w:p w:rsidR="00EA6978" w:rsidRDefault="00D16EC5" w:rsidP="00D16EC5">
      <w:pPr>
        <w:spacing w:after="0"/>
        <w:rPr>
          <w:b/>
        </w:rPr>
      </w:pPr>
      <w:r w:rsidRPr="00D16EC5">
        <w:rPr>
          <w:b/>
        </w:rPr>
        <w:t>Tab. 2.2: Nově hlášené případy dočasné pracovní neschopnosti na 100 pojištěnců podle odvětví (sekce CZ-NACE), 2014–2024</w:t>
      </w:r>
    </w:p>
    <w:tbl>
      <w:tblPr>
        <w:tblW w:w="9638" w:type="dxa"/>
        <w:tblCellMar>
          <w:left w:w="70" w:type="dxa"/>
          <w:right w:w="70" w:type="dxa"/>
        </w:tblCellMar>
        <w:tblLook w:val="04A0" w:firstRow="1" w:lastRow="0" w:firstColumn="1" w:lastColumn="0" w:noHBand="0" w:noVBand="1"/>
      </w:tblPr>
      <w:tblGrid>
        <w:gridCol w:w="3476"/>
        <w:gridCol w:w="567"/>
        <w:gridCol w:w="567"/>
        <w:gridCol w:w="567"/>
        <w:gridCol w:w="567"/>
        <w:gridCol w:w="567"/>
        <w:gridCol w:w="567"/>
        <w:gridCol w:w="567"/>
        <w:gridCol w:w="567"/>
        <w:gridCol w:w="567"/>
        <w:gridCol w:w="559"/>
        <w:gridCol w:w="500"/>
      </w:tblGrid>
      <w:tr w:rsidR="003822A5" w:rsidRPr="003822A5" w:rsidTr="003822A5">
        <w:trPr>
          <w:trHeight w:val="300"/>
        </w:trPr>
        <w:tc>
          <w:tcPr>
            <w:tcW w:w="3476" w:type="dxa"/>
            <w:tcBorders>
              <w:top w:val="single" w:sz="4" w:space="0" w:color="auto"/>
              <w:left w:val="nil"/>
              <w:bottom w:val="single" w:sz="4" w:space="0" w:color="auto"/>
              <w:right w:val="single" w:sz="4" w:space="0" w:color="auto"/>
            </w:tcBorders>
            <w:shd w:val="clear" w:color="auto" w:fill="E6C483"/>
            <w:noWrap/>
            <w:vAlign w:val="center"/>
            <w:hideMark/>
          </w:tcPr>
          <w:p w:rsidR="003822A5" w:rsidRPr="003822A5" w:rsidRDefault="003822A5" w:rsidP="003822A5">
            <w:pPr>
              <w:spacing w:after="0" w:line="240" w:lineRule="auto"/>
              <w:jc w:val="center"/>
              <w:rPr>
                <w:rFonts w:cs="Arial"/>
                <w:color w:val="000000"/>
                <w:sz w:val="16"/>
                <w:szCs w:val="16"/>
              </w:rPr>
            </w:pPr>
            <w:r w:rsidRPr="003822A5">
              <w:rPr>
                <w:rFonts w:cs="Arial"/>
                <w:color w:val="000000"/>
                <w:sz w:val="16"/>
                <w:szCs w:val="16"/>
              </w:rPr>
              <w:t>Sekce CZ-NACE</w:t>
            </w:r>
          </w:p>
        </w:tc>
        <w:tc>
          <w:tcPr>
            <w:tcW w:w="567" w:type="dxa"/>
            <w:tcBorders>
              <w:top w:val="single" w:sz="4" w:space="0" w:color="auto"/>
              <w:left w:val="nil"/>
              <w:bottom w:val="single" w:sz="4" w:space="0" w:color="auto"/>
              <w:right w:val="nil"/>
            </w:tcBorders>
            <w:shd w:val="clear" w:color="auto" w:fill="E6C483"/>
            <w:noWrap/>
            <w:vAlign w:val="center"/>
            <w:hideMark/>
          </w:tcPr>
          <w:p w:rsidR="003822A5" w:rsidRPr="003822A5" w:rsidRDefault="003822A5" w:rsidP="003822A5">
            <w:pPr>
              <w:spacing w:after="0" w:line="240" w:lineRule="auto"/>
              <w:jc w:val="center"/>
              <w:rPr>
                <w:rFonts w:cs="Arial"/>
                <w:color w:val="000000"/>
                <w:sz w:val="16"/>
                <w:szCs w:val="16"/>
              </w:rPr>
            </w:pPr>
            <w:r>
              <w:rPr>
                <w:rFonts w:cs="Arial"/>
                <w:color w:val="000000"/>
                <w:sz w:val="16"/>
                <w:szCs w:val="16"/>
              </w:rPr>
              <w:t>2014</w:t>
            </w:r>
          </w:p>
        </w:tc>
        <w:tc>
          <w:tcPr>
            <w:tcW w:w="567" w:type="dxa"/>
            <w:tcBorders>
              <w:top w:val="single" w:sz="4" w:space="0" w:color="auto"/>
              <w:left w:val="nil"/>
              <w:bottom w:val="single" w:sz="4" w:space="0" w:color="auto"/>
              <w:right w:val="nil"/>
            </w:tcBorders>
            <w:shd w:val="clear" w:color="auto" w:fill="E6C483"/>
            <w:noWrap/>
            <w:vAlign w:val="center"/>
            <w:hideMark/>
          </w:tcPr>
          <w:p w:rsidR="003822A5" w:rsidRPr="003822A5" w:rsidRDefault="003822A5" w:rsidP="003822A5">
            <w:pPr>
              <w:spacing w:after="0" w:line="240" w:lineRule="auto"/>
              <w:jc w:val="center"/>
              <w:rPr>
                <w:rFonts w:cs="Arial"/>
                <w:color w:val="000000"/>
                <w:sz w:val="16"/>
                <w:szCs w:val="16"/>
              </w:rPr>
            </w:pPr>
            <w:r>
              <w:rPr>
                <w:rFonts w:cs="Arial"/>
                <w:color w:val="000000"/>
                <w:sz w:val="16"/>
                <w:szCs w:val="16"/>
              </w:rPr>
              <w:t>2015</w:t>
            </w:r>
          </w:p>
        </w:tc>
        <w:tc>
          <w:tcPr>
            <w:tcW w:w="567" w:type="dxa"/>
            <w:tcBorders>
              <w:top w:val="single" w:sz="4" w:space="0" w:color="auto"/>
              <w:left w:val="nil"/>
              <w:bottom w:val="single" w:sz="4" w:space="0" w:color="auto"/>
              <w:right w:val="nil"/>
            </w:tcBorders>
            <w:shd w:val="clear" w:color="auto" w:fill="E6C483"/>
            <w:noWrap/>
            <w:vAlign w:val="center"/>
            <w:hideMark/>
          </w:tcPr>
          <w:p w:rsidR="003822A5" w:rsidRPr="003822A5" w:rsidRDefault="003822A5" w:rsidP="003822A5">
            <w:pPr>
              <w:spacing w:after="0" w:line="240" w:lineRule="auto"/>
              <w:jc w:val="center"/>
              <w:rPr>
                <w:rFonts w:cs="Arial"/>
                <w:color w:val="000000"/>
                <w:sz w:val="16"/>
                <w:szCs w:val="16"/>
              </w:rPr>
            </w:pPr>
            <w:r>
              <w:rPr>
                <w:rFonts w:cs="Arial"/>
                <w:color w:val="000000"/>
                <w:sz w:val="16"/>
                <w:szCs w:val="16"/>
              </w:rPr>
              <w:t>2016</w:t>
            </w:r>
          </w:p>
        </w:tc>
        <w:tc>
          <w:tcPr>
            <w:tcW w:w="567" w:type="dxa"/>
            <w:tcBorders>
              <w:top w:val="single" w:sz="4" w:space="0" w:color="auto"/>
              <w:left w:val="nil"/>
              <w:bottom w:val="single" w:sz="4" w:space="0" w:color="auto"/>
              <w:right w:val="nil"/>
            </w:tcBorders>
            <w:shd w:val="clear" w:color="auto" w:fill="E6C483"/>
            <w:noWrap/>
            <w:vAlign w:val="center"/>
            <w:hideMark/>
          </w:tcPr>
          <w:p w:rsidR="003822A5" w:rsidRPr="003822A5" w:rsidRDefault="003822A5" w:rsidP="003822A5">
            <w:pPr>
              <w:spacing w:after="0" w:line="240" w:lineRule="auto"/>
              <w:jc w:val="center"/>
              <w:rPr>
                <w:rFonts w:cs="Arial"/>
                <w:color w:val="000000"/>
                <w:sz w:val="16"/>
                <w:szCs w:val="16"/>
              </w:rPr>
            </w:pPr>
            <w:r>
              <w:rPr>
                <w:rFonts w:cs="Arial"/>
                <w:color w:val="000000"/>
                <w:sz w:val="16"/>
                <w:szCs w:val="16"/>
              </w:rPr>
              <w:t>2017</w:t>
            </w:r>
          </w:p>
        </w:tc>
        <w:tc>
          <w:tcPr>
            <w:tcW w:w="567" w:type="dxa"/>
            <w:tcBorders>
              <w:top w:val="single" w:sz="4" w:space="0" w:color="auto"/>
              <w:left w:val="nil"/>
              <w:bottom w:val="single" w:sz="4" w:space="0" w:color="auto"/>
              <w:right w:val="nil"/>
            </w:tcBorders>
            <w:shd w:val="clear" w:color="auto" w:fill="E6C483"/>
            <w:noWrap/>
            <w:vAlign w:val="center"/>
            <w:hideMark/>
          </w:tcPr>
          <w:p w:rsidR="003822A5" w:rsidRPr="003822A5" w:rsidRDefault="003822A5" w:rsidP="003822A5">
            <w:pPr>
              <w:spacing w:after="0" w:line="240" w:lineRule="auto"/>
              <w:jc w:val="center"/>
              <w:rPr>
                <w:rFonts w:cs="Arial"/>
                <w:color w:val="000000"/>
                <w:sz w:val="16"/>
                <w:szCs w:val="16"/>
              </w:rPr>
            </w:pPr>
            <w:r>
              <w:rPr>
                <w:rFonts w:cs="Arial"/>
                <w:color w:val="000000"/>
                <w:sz w:val="16"/>
                <w:szCs w:val="16"/>
              </w:rPr>
              <w:t>2018</w:t>
            </w:r>
          </w:p>
        </w:tc>
        <w:tc>
          <w:tcPr>
            <w:tcW w:w="567" w:type="dxa"/>
            <w:tcBorders>
              <w:top w:val="single" w:sz="4" w:space="0" w:color="auto"/>
              <w:left w:val="nil"/>
              <w:bottom w:val="single" w:sz="4" w:space="0" w:color="auto"/>
              <w:right w:val="nil"/>
            </w:tcBorders>
            <w:shd w:val="clear" w:color="auto" w:fill="E6C483"/>
            <w:noWrap/>
            <w:vAlign w:val="center"/>
            <w:hideMark/>
          </w:tcPr>
          <w:p w:rsidR="003822A5" w:rsidRPr="003822A5" w:rsidRDefault="003822A5" w:rsidP="003822A5">
            <w:pPr>
              <w:spacing w:after="0" w:line="240" w:lineRule="auto"/>
              <w:jc w:val="center"/>
              <w:rPr>
                <w:rFonts w:cs="Arial"/>
                <w:color w:val="000000"/>
                <w:sz w:val="16"/>
                <w:szCs w:val="16"/>
              </w:rPr>
            </w:pPr>
            <w:r>
              <w:rPr>
                <w:rFonts w:cs="Arial"/>
                <w:color w:val="000000"/>
                <w:sz w:val="16"/>
                <w:szCs w:val="16"/>
              </w:rPr>
              <w:t>2019</w:t>
            </w:r>
          </w:p>
        </w:tc>
        <w:tc>
          <w:tcPr>
            <w:tcW w:w="567" w:type="dxa"/>
            <w:tcBorders>
              <w:top w:val="single" w:sz="4" w:space="0" w:color="auto"/>
              <w:left w:val="nil"/>
              <w:bottom w:val="single" w:sz="4" w:space="0" w:color="auto"/>
              <w:right w:val="nil"/>
            </w:tcBorders>
            <w:shd w:val="clear" w:color="auto" w:fill="E6C483"/>
            <w:noWrap/>
            <w:vAlign w:val="center"/>
            <w:hideMark/>
          </w:tcPr>
          <w:p w:rsidR="003822A5" w:rsidRPr="003822A5" w:rsidRDefault="003822A5" w:rsidP="003822A5">
            <w:pPr>
              <w:spacing w:after="0" w:line="240" w:lineRule="auto"/>
              <w:jc w:val="center"/>
              <w:rPr>
                <w:rFonts w:cs="Arial"/>
                <w:color w:val="000000"/>
                <w:sz w:val="16"/>
                <w:szCs w:val="16"/>
              </w:rPr>
            </w:pPr>
            <w:r>
              <w:rPr>
                <w:rFonts w:cs="Arial"/>
                <w:color w:val="000000"/>
                <w:sz w:val="16"/>
                <w:szCs w:val="16"/>
              </w:rPr>
              <w:t>2020</w:t>
            </w:r>
          </w:p>
        </w:tc>
        <w:tc>
          <w:tcPr>
            <w:tcW w:w="567" w:type="dxa"/>
            <w:tcBorders>
              <w:top w:val="single" w:sz="4" w:space="0" w:color="auto"/>
              <w:left w:val="nil"/>
              <w:bottom w:val="single" w:sz="4" w:space="0" w:color="auto"/>
              <w:right w:val="nil"/>
            </w:tcBorders>
            <w:shd w:val="clear" w:color="auto" w:fill="E6C483"/>
            <w:noWrap/>
            <w:vAlign w:val="center"/>
            <w:hideMark/>
          </w:tcPr>
          <w:p w:rsidR="003822A5" w:rsidRPr="003822A5" w:rsidRDefault="003822A5" w:rsidP="003822A5">
            <w:pPr>
              <w:spacing w:after="0" w:line="240" w:lineRule="auto"/>
              <w:jc w:val="center"/>
              <w:rPr>
                <w:rFonts w:cs="Arial"/>
                <w:color w:val="000000"/>
                <w:sz w:val="16"/>
                <w:szCs w:val="16"/>
              </w:rPr>
            </w:pPr>
            <w:r>
              <w:rPr>
                <w:rFonts w:cs="Arial"/>
                <w:color w:val="000000"/>
                <w:sz w:val="16"/>
                <w:szCs w:val="16"/>
              </w:rPr>
              <w:t>2021</w:t>
            </w:r>
          </w:p>
        </w:tc>
        <w:tc>
          <w:tcPr>
            <w:tcW w:w="567" w:type="dxa"/>
            <w:tcBorders>
              <w:top w:val="single" w:sz="4" w:space="0" w:color="auto"/>
              <w:left w:val="nil"/>
              <w:bottom w:val="single" w:sz="4" w:space="0" w:color="auto"/>
              <w:right w:val="nil"/>
            </w:tcBorders>
            <w:shd w:val="clear" w:color="auto" w:fill="E6C483"/>
            <w:noWrap/>
            <w:vAlign w:val="center"/>
            <w:hideMark/>
          </w:tcPr>
          <w:p w:rsidR="003822A5" w:rsidRPr="003822A5" w:rsidRDefault="003822A5" w:rsidP="003822A5">
            <w:pPr>
              <w:spacing w:after="0" w:line="240" w:lineRule="auto"/>
              <w:jc w:val="center"/>
              <w:rPr>
                <w:rFonts w:cs="Arial"/>
                <w:color w:val="000000"/>
                <w:sz w:val="16"/>
                <w:szCs w:val="16"/>
              </w:rPr>
            </w:pPr>
            <w:r>
              <w:rPr>
                <w:rFonts w:cs="Arial"/>
                <w:color w:val="000000"/>
                <w:sz w:val="16"/>
                <w:szCs w:val="16"/>
              </w:rPr>
              <w:t>2022*</w:t>
            </w:r>
          </w:p>
        </w:tc>
        <w:tc>
          <w:tcPr>
            <w:tcW w:w="559" w:type="dxa"/>
            <w:tcBorders>
              <w:top w:val="single" w:sz="4" w:space="0" w:color="auto"/>
              <w:bottom w:val="single" w:sz="4" w:space="0" w:color="auto"/>
            </w:tcBorders>
            <w:shd w:val="clear" w:color="auto" w:fill="E6C483"/>
            <w:vAlign w:val="center"/>
          </w:tcPr>
          <w:p w:rsidR="003822A5" w:rsidRPr="003822A5" w:rsidRDefault="003822A5" w:rsidP="003822A5">
            <w:pPr>
              <w:spacing w:after="0" w:line="240" w:lineRule="auto"/>
              <w:jc w:val="center"/>
              <w:rPr>
                <w:rFonts w:cs="Arial"/>
                <w:color w:val="000000"/>
                <w:sz w:val="16"/>
                <w:szCs w:val="16"/>
              </w:rPr>
            </w:pPr>
            <w:r>
              <w:rPr>
                <w:rFonts w:cs="Arial"/>
                <w:color w:val="000000"/>
                <w:sz w:val="16"/>
                <w:szCs w:val="16"/>
              </w:rPr>
              <w:t>2023</w:t>
            </w:r>
          </w:p>
        </w:tc>
        <w:tc>
          <w:tcPr>
            <w:tcW w:w="500" w:type="dxa"/>
            <w:tcBorders>
              <w:top w:val="single" w:sz="4" w:space="0" w:color="auto"/>
              <w:bottom w:val="single" w:sz="4" w:space="0" w:color="auto"/>
            </w:tcBorders>
            <w:shd w:val="clear" w:color="auto" w:fill="E6C483"/>
            <w:vAlign w:val="center"/>
          </w:tcPr>
          <w:p w:rsidR="003822A5" w:rsidRPr="00647EA1" w:rsidRDefault="003822A5" w:rsidP="003822A5">
            <w:pPr>
              <w:spacing w:after="0" w:line="240" w:lineRule="auto"/>
              <w:jc w:val="center"/>
              <w:rPr>
                <w:rFonts w:cs="Arial"/>
                <w:color w:val="000000"/>
                <w:sz w:val="16"/>
                <w:szCs w:val="16"/>
              </w:rPr>
            </w:pPr>
            <w:r w:rsidRPr="00647EA1">
              <w:rPr>
                <w:rFonts w:cs="Arial"/>
                <w:color w:val="000000"/>
                <w:sz w:val="16"/>
                <w:szCs w:val="16"/>
              </w:rPr>
              <w:t>202</w:t>
            </w:r>
            <w:r w:rsidR="00756C90" w:rsidRPr="00647EA1">
              <w:rPr>
                <w:rFonts w:cs="Arial"/>
                <w:color w:val="000000"/>
                <w:sz w:val="16"/>
                <w:szCs w:val="16"/>
              </w:rPr>
              <w:t>4</w:t>
            </w:r>
          </w:p>
        </w:tc>
      </w:tr>
      <w:tr w:rsidR="00030311" w:rsidRPr="003822A5" w:rsidTr="00030311">
        <w:trPr>
          <w:trHeight w:val="300"/>
        </w:trPr>
        <w:tc>
          <w:tcPr>
            <w:tcW w:w="3476" w:type="dxa"/>
            <w:tcBorders>
              <w:top w:val="nil"/>
              <w:left w:val="nil"/>
              <w:bottom w:val="nil"/>
              <w:right w:val="single" w:sz="4" w:space="0" w:color="auto"/>
            </w:tcBorders>
            <w:shd w:val="clear" w:color="auto" w:fill="auto"/>
            <w:vAlign w:val="center"/>
            <w:hideMark/>
          </w:tcPr>
          <w:p w:rsidR="00030311" w:rsidRPr="003822A5" w:rsidRDefault="00030311" w:rsidP="00030311">
            <w:pPr>
              <w:spacing w:after="0" w:line="240" w:lineRule="auto"/>
              <w:jc w:val="left"/>
              <w:rPr>
                <w:rFonts w:cs="Arial"/>
                <w:b/>
                <w:bCs/>
                <w:color w:val="000000"/>
                <w:sz w:val="16"/>
                <w:szCs w:val="16"/>
              </w:rPr>
            </w:pPr>
            <w:r w:rsidRPr="003822A5">
              <w:rPr>
                <w:rFonts w:cs="Arial"/>
                <w:b/>
                <w:bCs/>
                <w:color w:val="000000"/>
                <w:sz w:val="16"/>
                <w:szCs w:val="16"/>
              </w:rPr>
              <w:t xml:space="preserve">Celkem </w:t>
            </w:r>
          </w:p>
        </w:tc>
        <w:tc>
          <w:tcPr>
            <w:tcW w:w="567" w:type="dxa"/>
            <w:tcBorders>
              <w:top w:val="nil"/>
              <w:left w:val="nil"/>
              <w:bottom w:val="nil"/>
              <w:right w:val="nil"/>
            </w:tcBorders>
            <w:shd w:val="clear" w:color="auto" w:fill="auto"/>
            <w:noWrap/>
            <w:vAlign w:val="center"/>
            <w:hideMark/>
          </w:tcPr>
          <w:p w:rsidR="00030311" w:rsidRPr="003822A5" w:rsidRDefault="00030311" w:rsidP="00030311">
            <w:pPr>
              <w:spacing w:after="0" w:line="240" w:lineRule="auto"/>
              <w:jc w:val="center"/>
              <w:rPr>
                <w:rFonts w:cs="Arial"/>
                <w:b/>
                <w:bCs/>
                <w:color w:val="000000"/>
                <w:sz w:val="16"/>
                <w:szCs w:val="16"/>
              </w:rPr>
            </w:pPr>
            <w:r w:rsidRPr="003822A5">
              <w:rPr>
                <w:rFonts w:cs="Arial"/>
                <w:b/>
                <w:bCs/>
                <w:color w:val="000000"/>
                <w:sz w:val="16"/>
                <w:szCs w:val="16"/>
              </w:rPr>
              <w:t>29,5</w:t>
            </w:r>
          </w:p>
        </w:tc>
        <w:tc>
          <w:tcPr>
            <w:tcW w:w="567" w:type="dxa"/>
            <w:tcBorders>
              <w:top w:val="nil"/>
              <w:left w:val="nil"/>
              <w:bottom w:val="nil"/>
              <w:right w:val="nil"/>
            </w:tcBorders>
            <w:shd w:val="clear" w:color="auto" w:fill="auto"/>
            <w:noWrap/>
            <w:vAlign w:val="center"/>
          </w:tcPr>
          <w:p w:rsidR="00030311" w:rsidRPr="003822A5" w:rsidRDefault="00030311" w:rsidP="00030311">
            <w:pPr>
              <w:spacing w:after="0" w:line="240" w:lineRule="auto"/>
              <w:jc w:val="center"/>
              <w:rPr>
                <w:rFonts w:cs="Arial"/>
                <w:b/>
                <w:bCs/>
                <w:color w:val="000000"/>
                <w:sz w:val="16"/>
                <w:szCs w:val="16"/>
              </w:rPr>
            </w:pPr>
            <w:r w:rsidRPr="003822A5">
              <w:rPr>
                <w:rFonts w:cs="Arial"/>
                <w:b/>
                <w:bCs/>
                <w:color w:val="000000"/>
                <w:sz w:val="16"/>
                <w:szCs w:val="16"/>
              </w:rPr>
              <w:t>34,7</w:t>
            </w:r>
          </w:p>
        </w:tc>
        <w:tc>
          <w:tcPr>
            <w:tcW w:w="567" w:type="dxa"/>
            <w:tcBorders>
              <w:top w:val="nil"/>
              <w:left w:val="nil"/>
              <w:bottom w:val="nil"/>
              <w:right w:val="nil"/>
            </w:tcBorders>
            <w:shd w:val="clear" w:color="auto" w:fill="auto"/>
            <w:noWrap/>
            <w:vAlign w:val="center"/>
          </w:tcPr>
          <w:p w:rsidR="00030311" w:rsidRPr="003822A5" w:rsidRDefault="00030311" w:rsidP="00030311">
            <w:pPr>
              <w:spacing w:after="0" w:line="240" w:lineRule="auto"/>
              <w:jc w:val="center"/>
              <w:rPr>
                <w:rFonts w:cs="Arial"/>
                <w:b/>
                <w:bCs/>
                <w:color w:val="000000"/>
                <w:sz w:val="16"/>
                <w:szCs w:val="16"/>
              </w:rPr>
            </w:pPr>
            <w:r w:rsidRPr="003822A5">
              <w:rPr>
                <w:rFonts w:cs="Arial"/>
                <w:b/>
                <w:bCs/>
                <w:color w:val="000000"/>
                <w:sz w:val="16"/>
                <w:szCs w:val="16"/>
              </w:rPr>
              <w:t>35,7</w:t>
            </w:r>
          </w:p>
        </w:tc>
        <w:tc>
          <w:tcPr>
            <w:tcW w:w="567" w:type="dxa"/>
            <w:tcBorders>
              <w:top w:val="nil"/>
              <w:left w:val="nil"/>
              <w:bottom w:val="nil"/>
              <w:right w:val="nil"/>
            </w:tcBorders>
            <w:shd w:val="clear" w:color="auto" w:fill="auto"/>
            <w:noWrap/>
            <w:vAlign w:val="center"/>
          </w:tcPr>
          <w:p w:rsidR="00030311" w:rsidRPr="003822A5" w:rsidRDefault="00030311" w:rsidP="00030311">
            <w:pPr>
              <w:spacing w:after="0" w:line="240" w:lineRule="auto"/>
              <w:jc w:val="center"/>
              <w:rPr>
                <w:rFonts w:cs="Arial"/>
                <w:b/>
                <w:bCs/>
                <w:color w:val="000000"/>
                <w:sz w:val="16"/>
                <w:szCs w:val="16"/>
              </w:rPr>
            </w:pPr>
            <w:r w:rsidRPr="003822A5">
              <w:rPr>
                <w:rFonts w:cs="Arial"/>
                <w:b/>
                <w:bCs/>
                <w:color w:val="000000"/>
                <w:sz w:val="16"/>
                <w:szCs w:val="16"/>
              </w:rPr>
              <w:t>36,6</w:t>
            </w:r>
          </w:p>
        </w:tc>
        <w:tc>
          <w:tcPr>
            <w:tcW w:w="567" w:type="dxa"/>
            <w:tcBorders>
              <w:top w:val="nil"/>
              <w:left w:val="nil"/>
              <w:bottom w:val="nil"/>
              <w:right w:val="nil"/>
            </w:tcBorders>
            <w:shd w:val="clear" w:color="auto" w:fill="auto"/>
            <w:noWrap/>
            <w:vAlign w:val="center"/>
          </w:tcPr>
          <w:p w:rsidR="00030311" w:rsidRPr="003822A5" w:rsidRDefault="00030311" w:rsidP="00030311">
            <w:pPr>
              <w:spacing w:after="0" w:line="240" w:lineRule="auto"/>
              <w:jc w:val="center"/>
              <w:rPr>
                <w:rFonts w:cs="Arial"/>
                <w:b/>
                <w:bCs/>
                <w:color w:val="000000"/>
                <w:sz w:val="16"/>
                <w:szCs w:val="16"/>
              </w:rPr>
            </w:pPr>
            <w:r w:rsidRPr="003822A5">
              <w:rPr>
                <w:rFonts w:cs="Arial"/>
                <w:b/>
                <w:bCs/>
                <w:color w:val="000000"/>
                <w:sz w:val="16"/>
                <w:szCs w:val="16"/>
              </w:rPr>
              <w:t>39,1</w:t>
            </w:r>
          </w:p>
        </w:tc>
        <w:tc>
          <w:tcPr>
            <w:tcW w:w="567" w:type="dxa"/>
            <w:tcBorders>
              <w:top w:val="nil"/>
              <w:left w:val="nil"/>
              <w:bottom w:val="nil"/>
              <w:right w:val="nil"/>
            </w:tcBorders>
            <w:shd w:val="clear" w:color="auto" w:fill="auto"/>
            <w:noWrap/>
            <w:vAlign w:val="center"/>
          </w:tcPr>
          <w:p w:rsidR="00030311" w:rsidRPr="003822A5" w:rsidRDefault="00030311" w:rsidP="00030311">
            <w:pPr>
              <w:spacing w:after="0" w:line="240" w:lineRule="auto"/>
              <w:jc w:val="center"/>
              <w:rPr>
                <w:rFonts w:cs="Arial"/>
                <w:b/>
                <w:bCs/>
                <w:color w:val="000000"/>
                <w:sz w:val="16"/>
                <w:szCs w:val="16"/>
              </w:rPr>
            </w:pPr>
            <w:r w:rsidRPr="003822A5">
              <w:rPr>
                <w:rFonts w:cs="Arial"/>
                <w:b/>
                <w:bCs/>
                <w:color w:val="000000"/>
                <w:sz w:val="16"/>
                <w:szCs w:val="16"/>
              </w:rPr>
              <w:t>40,5</w:t>
            </w:r>
          </w:p>
        </w:tc>
        <w:tc>
          <w:tcPr>
            <w:tcW w:w="567" w:type="dxa"/>
            <w:tcBorders>
              <w:top w:val="nil"/>
              <w:left w:val="nil"/>
              <w:bottom w:val="nil"/>
              <w:right w:val="nil"/>
            </w:tcBorders>
            <w:shd w:val="clear" w:color="auto" w:fill="auto"/>
            <w:noWrap/>
            <w:vAlign w:val="center"/>
          </w:tcPr>
          <w:p w:rsidR="00030311" w:rsidRPr="003822A5" w:rsidRDefault="00030311" w:rsidP="00030311">
            <w:pPr>
              <w:spacing w:after="0" w:line="240" w:lineRule="auto"/>
              <w:jc w:val="center"/>
              <w:rPr>
                <w:rFonts w:cs="Arial"/>
                <w:b/>
                <w:bCs/>
                <w:color w:val="000000"/>
                <w:sz w:val="16"/>
                <w:szCs w:val="16"/>
              </w:rPr>
            </w:pPr>
            <w:r w:rsidRPr="003822A5">
              <w:rPr>
                <w:rFonts w:cs="Arial"/>
                <w:b/>
                <w:bCs/>
                <w:color w:val="000000"/>
                <w:sz w:val="16"/>
                <w:szCs w:val="16"/>
              </w:rPr>
              <w:t>51,0</w:t>
            </w:r>
          </w:p>
        </w:tc>
        <w:tc>
          <w:tcPr>
            <w:tcW w:w="567" w:type="dxa"/>
            <w:tcBorders>
              <w:top w:val="nil"/>
              <w:left w:val="nil"/>
              <w:bottom w:val="nil"/>
              <w:right w:val="nil"/>
            </w:tcBorders>
            <w:shd w:val="clear" w:color="auto" w:fill="auto"/>
            <w:noWrap/>
            <w:vAlign w:val="center"/>
          </w:tcPr>
          <w:p w:rsidR="00030311" w:rsidRPr="003822A5" w:rsidRDefault="00030311" w:rsidP="00030311">
            <w:pPr>
              <w:spacing w:after="0" w:line="240" w:lineRule="auto"/>
              <w:jc w:val="center"/>
              <w:rPr>
                <w:rFonts w:cs="Arial"/>
                <w:b/>
                <w:bCs/>
                <w:color w:val="000000"/>
                <w:sz w:val="16"/>
                <w:szCs w:val="16"/>
              </w:rPr>
            </w:pPr>
            <w:r w:rsidRPr="003822A5">
              <w:rPr>
                <w:rFonts w:cs="Arial"/>
                <w:b/>
                <w:bCs/>
                <w:color w:val="000000"/>
                <w:sz w:val="16"/>
                <w:szCs w:val="16"/>
              </w:rPr>
              <w:t>58,5</w:t>
            </w:r>
          </w:p>
        </w:tc>
        <w:tc>
          <w:tcPr>
            <w:tcW w:w="567" w:type="dxa"/>
            <w:tcBorders>
              <w:top w:val="nil"/>
              <w:left w:val="nil"/>
              <w:bottom w:val="nil"/>
              <w:right w:val="nil"/>
            </w:tcBorders>
            <w:shd w:val="clear" w:color="auto" w:fill="auto"/>
            <w:noWrap/>
            <w:vAlign w:val="center"/>
          </w:tcPr>
          <w:p w:rsidR="00030311" w:rsidRPr="003822A5" w:rsidRDefault="00030311" w:rsidP="00030311">
            <w:pPr>
              <w:spacing w:after="0" w:line="240" w:lineRule="auto"/>
              <w:jc w:val="center"/>
              <w:rPr>
                <w:rFonts w:cs="Arial"/>
                <w:b/>
                <w:color w:val="000000"/>
                <w:sz w:val="16"/>
                <w:szCs w:val="16"/>
              </w:rPr>
            </w:pPr>
            <w:r w:rsidRPr="003822A5">
              <w:rPr>
                <w:rFonts w:cs="Arial"/>
                <w:b/>
                <w:color w:val="000000"/>
                <w:sz w:val="16"/>
                <w:szCs w:val="16"/>
              </w:rPr>
              <w:t>72,8</w:t>
            </w:r>
          </w:p>
        </w:tc>
        <w:tc>
          <w:tcPr>
            <w:tcW w:w="559" w:type="dxa"/>
            <w:tcBorders>
              <w:top w:val="single" w:sz="4" w:space="0" w:color="auto"/>
            </w:tcBorders>
            <w:vAlign w:val="center"/>
          </w:tcPr>
          <w:p w:rsidR="00030311" w:rsidRPr="003822A5" w:rsidRDefault="00030311" w:rsidP="00030311">
            <w:pPr>
              <w:spacing w:after="0" w:line="240" w:lineRule="auto"/>
              <w:jc w:val="right"/>
              <w:rPr>
                <w:rFonts w:cs="Arial"/>
                <w:b/>
                <w:color w:val="000000"/>
                <w:sz w:val="16"/>
                <w:szCs w:val="16"/>
              </w:rPr>
            </w:pPr>
            <w:r w:rsidRPr="003822A5">
              <w:rPr>
                <w:rFonts w:cs="Arial"/>
                <w:b/>
                <w:bCs/>
                <w:color w:val="000000"/>
                <w:sz w:val="16"/>
                <w:szCs w:val="16"/>
              </w:rPr>
              <w:t>53,2</w:t>
            </w:r>
          </w:p>
        </w:tc>
        <w:tc>
          <w:tcPr>
            <w:tcW w:w="500" w:type="dxa"/>
            <w:tcBorders>
              <w:top w:val="single" w:sz="4" w:space="0" w:color="auto"/>
            </w:tcBorders>
            <w:vAlign w:val="center"/>
          </w:tcPr>
          <w:p w:rsidR="00030311" w:rsidRPr="00647EA1" w:rsidRDefault="00647EA1" w:rsidP="00030311">
            <w:pPr>
              <w:spacing w:after="0" w:line="240" w:lineRule="auto"/>
              <w:jc w:val="right"/>
              <w:rPr>
                <w:rFonts w:cs="Arial"/>
                <w:b/>
                <w:color w:val="000000"/>
                <w:sz w:val="16"/>
                <w:szCs w:val="16"/>
              </w:rPr>
            </w:pPr>
            <w:r w:rsidRPr="00647EA1">
              <w:rPr>
                <w:rFonts w:cs="Arial"/>
                <w:b/>
                <w:color w:val="000000"/>
                <w:sz w:val="16"/>
                <w:szCs w:val="16"/>
              </w:rPr>
              <w:t>52,0</w:t>
            </w:r>
          </w:p>
        </w:tc>
      </w:tr>
      <w:tr w:rsidR="00030311" w:rsidRPr="003822A5" w:rsidTr="00030311">
        <w:trPr>
          <w:trHeight w:val="300"/>
        </w:trPr>
        <w:tc>
          <w:tcPr>
            <w:tcW w:w="3476" w:type="dxa"/>
            <w:tcBorders>
              <w:top w:val="nil"/>
              <w:left w:val="nil"/>
              <w:bottom w:val="nil"/>
              <w:right w:val="single" w:sz="4" w:space="0" w:color="auto"/>
            </w:tcBorders>
            <w:shd w:val="clear" w:color="auto" w:fill="auto"/>
            <w:vAlign w:val="center"/>
            <w:hideMark/>
          </w:tcPr>
          <w:p w:rsidR="00030311" w:rsidRPr="003822A5" w:rsidRDefault="00030311" w:rsidP="00030311">
            <w:pPr>
              <w:spacing w:after="0" w:line="240" w:lineRule="auto"/>
              <w:ind w:firstLineChars="100" w:firstLine="160"/>
              <w:jc w:val="left"/>
              <w:rPr>
                <w:rFonts w:cs="Arial"/>
                <w:color w:val="000000"/>
                <w:sz w:val="16"/>
                <w:szCs w:val="16"/>
              </w:rPr>
            </w:pPr>
            <w:r w:rsidRPr="003822A5">
              <w:rPr>
                <w:rFonts w:cs="Arial"/>
                <w:color w:val="000000"/>
                <w:sz w:val="16"/>
                <w:szCs w:val="16"/>
              </w:rPr>
              <w:t>A – Zemědělství, lesnictví a rybářství</w:t>
            </w:r>
          </w:p>
        </w:tc>
        <w:tc>
          <w:tcPr>
            <w:tcW w:w="567" w:type="dxa"/>
            <w:tcBorders>
              <w:top w:val="nil"/>
              <w:left w:val="nil"/>
              <w:bottom w:val="nil"/>
              <w:right w:val="nil"/>
            </w:tcBorders>
            <w:shd w:val="clear" w:color="auto" w:fill="auto"/>
            <w:noWrap/>
            <w:vAlign w:val="center"/>
            <w:hideMark/>
          </w:tcPr>
          <w:p w:rsidR="00030311" w:rsidRPr="003822A5" w:rsidRDefault="00030311" w:rsidP="00030311">
            <w:pPr>
              <w:spacing w:after="0" w:line="240" w:lineRule="auto"/>
              <w:jc w:val="center"/>
              <w:rPr>
                <w:rFonts w:cs="Arial"/>
                <w:color w:val="000000"/>
                <w:sz w:val="16"/>
                <w:szCs w:val="16"/>
              </w:rPr>
            </w:pPr>
            <w:r w:rsidRPr="003822A5">
              <w:rPr>
                <w:rFonts w:cs="Arial"/>
                <w:color w:val="000000"/>
                <w:sz w:val="16"/>
                <w:szCs w:val="16"/>
              </w:rPr>
              <w:t>26,5</w:t>
            </w:r>
          </w:p>
        </w:tc>
        <w:tc>
          <w:tcPr>
            <w:tcW w:w="567" w:type="dxa"/>
            <w:tcBorders>
              <w:top w:val="nil"/>
              <w:left w:val="nil"/>
              <w:bottom w:val="nil"/>
              <w:right w:val="nil"/>
            </w:tcBorders>
            <w:shd w:val="clear" w:color="auto" w:fill="auto"/>
            <w:noWrap/>
            <w:vAlign w:val="center"/>
          </w:tcPr>
          <w:p w:rsidR="00030311" w:rsidRPr="003822A5" w:rsidRDefault="00030311" w:rsidP="00030311">
            <w:pPr>
              <w:spacing w:after="0" w:line="240" w:lineRule="auto"/>
              <w:jc w:val="center"/>
              <w:rPr>
                <w:rFonts w:cs="Arial"/>
                <w:color w:val="000000"/>
                <w:sz w:val="16"/>
                <w:szCs w:val="16"/>
              </w:rPr>
            </w:pPr>
            <w:r w:rsidRPr="003822A5">
              <w:rPr>
                <w:rFonts w:cs="Arial"/>
                <w:color w:val="000000"/>
                <w:sz w:val="16"/>
                <w:szCs w:val="16"/>
              </w:rPr>
              <w:t>30,6</w:t>
            </w:r>
          </w:p>
        </w:tc>
        <w:tc>
          <w:tcPr>
            <w:tcW w:w="567" w:type="dxa"/>
            <w:tcBorders>
              <w:top w:val="nil"/>
              <w:left w:val="nil"/>
              <w:bottom w:val="nil"/>
              <w:right w:val="nil"/>
            </w:tcBorders>
            <w:shd w:val="clear" w:color="auto" w:fill="auto"/>
            <w:noWrap/>
            <w:vAlign w:val="center"/>
          </w:tcPr>
          <w:p w:rsidR="00030311" w:rsidRPr="003822A5" w:rsidRDefault="00030311" w:rsidP="00030311">
            <w:pPr>
              <w:spacing w:after="0" w:line="240" w:lineRule="auto"/>
              <w:jc w:val="center"/>
              <w:rPr>
                <w:rFonts w:cs="Arial"/>
                <w:color w:val="000000"/>
                <w:sz w:val="16"/>
                <w:szCs w:val="16"/>
              </w:rPr>
            </w:pPr>
            <w:r w:rsidRPr="003822A5">
              <w:rPr>
                <w:rFonts w:cs="Arial"/>
                <w:color w:val="000000"/>
                <w:sz w:val="16"/>
                <w:szCs w:val="16"/>
              </w:rPr>
              <w:t>30,9</w:t>
            </w:r>
          </w:p>
        </w:tc>
        <w:tc>
          <w:tcPr>
            <w:tcW w:w="567" w:type="dxa"/>
            <w:tcBorders>
              <w:top w:val="nil"/>
              <w:left w:val="nil"/>
              <w:bottom w:val="nil"/>
              <w:right w:val="nil"/>
            </w:tcBorders>
            <w:shd w:val="clear" w:color="auto" w:fill="auto"/>
            <w:noWrap/>
            <w:vAlign w:val="center"/>
          </w:tcPr>
          <w:p w:rsidR="00030311" w:rsidRPr="003822A5" w:rsidRDefault="00030311" w:rsidP="00030311">
            <w:pPr>
              <w:spacing w:after="0" w:line="240" w:lineRule="auto"/>
              <w:jc w:val="center"/>
              <w:rPr>
                <w:rFonts w:cs="Arial"/>
                <w:color w:val="000000"/>
                <w:sz w:val="16"/>
                <w:szCs w:val="16"/>
              </w:rPr>
            </w:pPr>
            <w:r w:rsidRPr="003822A5">
              <w:rPr>
                <w:rFonts w:cs="Arial"/>
                <w:color w:val="000000"/>
                <w:sz w:val="16"/>
                <w:szCs w:val="16"/>
              </w:rPr>
              <w:t>32,4</w:t>
            </w:r>
          </w:p>
        </w:tc>
        <w:tc>
          <w:tcPr>
            <w:tcW w:w="567" w:type="dxa"/>
            <w:tcBorders>
              <w:top w:val="nil"/>
              <w:left w:val="nil"/>
              <w:bottom w:val="nil"/>
              <w:right w:val="nil"/>
            </w:tcBorders>
            <w:shd w:val="clear" w:color="auto" w:fill="auto"/>
            <w:noWrap/>
            <w:vAlign w:val="center"/>
          </w:tcPr>
          <w:p w:rsidR="00030311" w:rsidRPr="003822A5" w:rsidRDefault="00030311" w:rsidP="00030311">
            <w:pPr>
              <w:spacing w:after="0" w:line="240" w:lineRule="auto"/>
              <w:jc w:val="center"/>
              <w:rPr>
                <w:rFonts w:cs="Arial"/>
                <w:color w:val="000000"/>
                <w:sz w:val="16"/>
                <w:szCs w:val="16"/>
              </w:rPr>
            </w:pPr>
            <w:r w:rsidRPr="003822A5">
              <w:rPr>
                <w:rFonts w:cs="Arial"/>
                <w:color w:val="000000"/>
                <w:sz w:val="16"/>
                <w:szCs w:val="16"/>
              </w:rPr>
              <w:t>34,4</w:t>
            </w:r>
          </w:p>
        </w:tc>
        <w:tc>
          <w:tcPr>
            <w:tcW w:w="567" w:type="dxa"/>
            <w:tcBorders>
              <w:top w:val="nil"/>
              <w:left w:val="nil"/>
              <w:bottom w:val="nil"/>
              <w:right w:val="nil"/>
            </w:tcBorders>
            <w:shd w:val="clear" w:color="auto" w:fill="auto"/>
            <w:noWrap/>
            <w:vAlign w:val="center"/>
          </w:tcPr>
          <w:p w:rsidR="00030311" w:rsidRPr="003822A5" w:rsidRDefault="00030311" w:rsidP="00030311">
            <w:pPr>
              <w:spacing w:after="0" w:line="240" w:lineRule="auto"/>
              <w:jc w:val="center"/>
              <w:rPr>
                <w:rFonts w:cs="Arial"/>
                <w:color w:val="000000"/>
                <w:sz w:val="16"/>
                <w:szCs w:val="16"/>
              </w:rPr>
            </w:pPr>
            <w:r w:rsidRPr="003822A5">
              <w:rPr>
                <w:rFonts w:cs="Arial"/>
                <w:color w:val="000000"/>
                <w:sz w:val="16"/>
                <w:szCs w:val="16"/>
              </w:rPr>
              <w:t>34,6</w:t>
            </w:r>
          </w:p>
        </w:tc>
        <w:tc>
          <w:tcPr>
            <w:tcW w:w="567" w:type="dxa"/>
            <w:tcBorders>
              <w:top w:val="nil"/>
              <w:left w:val="nil"/>
              <w:bottom w:val="nil"/>
              <w:right w:val="nil"/>
            </w:tcBorders>
            <w:shd w:val="clear" w:color="auto" w:fill="auto"/>
            <w:noWrap/>
            <w:vAlign w:val="center"/>
          </w:tcPr>
          <w:p w:rsidR="00030311" w:rsidRPr="003822A5" w:rsidRDefault="00030311" w:rsidP="00030311">
            <w:pPr>
              <w:spacing w:after="0" w:line="240" w:lineRule="auto"/>
              <w:jc w:val="center"/>
              <w:rPr>
                <w:rFonts w:cs="Arial"/>
                <w:color w:val="000000"/>
                <w:sz w:val="16"/>
                <w:szCs w:val="16"/>
              </w:rPr>
            </w:pPr>
            <w:r w:rsidRPr="003822A5">
              <w:rPr>
                <w:rFonts w:cs="Arial"/>
                <w:color w:val="000000"/>
                <w:sz w:val="16"/>
                <w:szCs w:val="16"/>
              </w:rPr>
              <w:t>43,0</w:t>
            </w:r>
          </w:p>
        </w:tc>
        <w:tc>
          <w:tcPr>
            <w:tcW w:w="567" w:type="dxa"/>
            <w:tcBorders>
              <w:top w:val="nil"/>
              <w:left w:val="nil"/>
              <w:bottom w:val="nil"/>
              <w:right w:val="nil"/>
            </w:tcBorders>
            <w:shd w:val="clear" w:color="auto" w:fill="auto"/>
            <w:noWrap/>
            <w:vAlign w:val="center"/>
          </w:tcPr>
          <w:p w:rsidR="00030311" w:rsidRPr="003822A5" w:rsidRDefault="00030311" w:rsidP="00030311">
            <w:pPr>
              <w:spacing w:after="0" w:line="240" w:lineRule="auto"/>
              <w:jc w:val="center"/>
              <w:rPr>
                <w:rFonts w:cs="Arial"/>
                <w:color w:val="000000"/>
                <w:sz w:val="16"/>
                <w:szCs w:val="16"/>
              </w:rPr>
            </w:pPr>
            <w:r w:rsidRPr="003822A5">
              <w:rPr>
                <w:rFonts w:cs="Arial"/>
                <w:color w:val="000000"/>
                <w:sz w:val="16"/>
                <w:szCs w:val="16"/>
              </w:rPr>
              <w:t>52,8</w:t>
            </w:r>
          </w:p>
        </w:tc>
        <w:tc>
          <w:tcPr>
            <w:tcW w:w="567" w:type="dxa"/>
            <w:tcBorders>
              <w:top w:val="nil"/>
              <w:left w:val="nil"/>
              <w:bottom w:val="nil"/>
              <w:right w:val="nil"/>
            </w:tcBorders>
            <w:shd w:val="clear" w:color="auto" w:fill="auto"/>
            <w:noWrap/>
            <w:vAlign w:val="center"/>
          </w:tcPr>
          <w:p w:rsidR="00030311" w:rsidRPr="003822A5" w:rsidRDefault="00030311" w:rsidP="00030311">
            <w:pPr>
              <w:spacing w:after="0" w:line="240" w:lineRule="auto"/>
              <w:jc w:val="center"/>
              <w:rPr>
                <w:rFonts w:cs="Arial"/>
                <w:color w:val="000000"/>
                <w:sz w:val="16"/>
                <w:szCs w:val="16"/>
              </w:rPr>
            </w:pPr>
            <w:r w:rsidRPr="003822A5">
              <w:rPr>
                <w:rFonts w:cs="Arial"/>
                <w:color w:val="000000"/>
                <w:sz w:val="16"/>
                <w:szCs w:val="16"/>
              </w:rPr>
              <w:t>58,1</w:t>
            </w:r>
          </w:p>
        </w:tc>
        <w:tc>
          <w:tcPr>
            <w:tcW w:w="559" w:type="dxa"/>
            <w:vAlign w:val="center"/>
          </w:tcPr>
          <w:p w:rsidR="00030311" w:rsidRPr="003822A5" w:rsidRDefault="00030311" w:rsidP="00030311">
            <w:pPr>
              <w:spacing w:after="0" w:line="240" w:lineRule="auto"/>
              <w:jc w:val="right"/>
              <w:rPr>
                <w:rFonts w:cs="Arial"/>
                <w:color w:val="000000"/>
                <w:sz w:val="16"/>
                <w:szCs w:val="16"/>
              </w:rPr>
            </w:pPr>
            <w:r w:rsidRPr="003822A5">
              <w:rPr>
                <w:rFonts w:cs="Arial"/>
                <w:color w:val="000000"/>
                <w:sz w:val="16"/>
                <w:szCs w:val="16"/>
              </w:rPr>
              <w:t>41,7</w:t>
            </w:r>
          </w:p>
        </w:tc>
        <w:tc>
          <w:tcPr>
            <w:tcW w:w="500" w:type="dxa"/>
            <w:vAlign w:val="center"/>
          </w:tcPr>
          <w:p w:rsidR="00030311" w:rsidRPr="00647EA1" w:rsidRDefault="00647EA1" w:rsidP="00030311">
            <w:pPr>
              <w:spacing w:after="0" w:line="240" w:lineRule="auto"/>
              <w:jc w:val="right"/>
              <w:rPr>
                <w:rFonts w:cs="Arial"/>
                <w:color w:val="000000"/>
                <w:sz w:val="16"/>
                <w:szCs w:val="16"/>
              </w:rPr>
            </w:pPr>
            <w:r w:rsidRPr="00647EA1">
              <w:rPr>
                <w:rFonts w:cs="Arial"/>
                <w:color w:val="000000"/>
                <w:sz w:val="16"/>
                <w:szCs w:val="16"/>
              </w:rPr>
              <w:t>41,8</w:t>
            </w:r>
          </w:p>
        </w:tc>
      </w:tr>
      <w:tr w:rsidR="00030311" w:rsidRPr="003822A5" w:rsidTr="00030311">
        <w:trPr>
          <w:trHeight w:val="300"/>
        </w:trPr>
        <w:tc>
          <w:tcPr>
            <w:tcW w:w="3476" w:type="dxa"/>
            <w:tcBorders>
              <w:top w:val="nil"/>
              <w:left w:val="nil"/>
              <w:bottom w:val="nil"/>
              <w:right w:val="single" w:sz="4" w:space="0" w:color="auto"/>
            </w:tcBorders>
            <w:shd w:val="clear" w:color="auto" w:fill="auto"/>
            <w:vAlign w:val="center"/>
            <w:hideMark/>
          </w:tcPr>
          <w:p w:rsidR="00030311" w:rsidRPr="003822A5" w:rsidRDefault="00030311" w:rsidP="00030311">
            <w:pPr>
              <w:spacing w:after="0" w:line="240" w:lineRule="auto"/>
              <w:ind w:firstLineChars="100" w:firstLine="160"/>
              <w:jc w:val="left"/>
              <w:rPr>
                <w:rFonts w:cs="Arial"/>
                <w:color w:val="000000"/>
                <w:sz w:val="16"/>
                <w:szCs w:val="16"/>
              </w:rPr>
            </w:pPr>
            <w:r w:rsidRPr="003822A5">
              <w:rPr>
                <w:rFonts w:cs="Arial"/>
                <w:color w:val="000000"/>
                <w:sz w:val="16"/>
                <w:szCs w:val="16"/>
              </w:rPr>
              <w:t>B – Těžba a dobývání</w:t>
            </w:r>
          </w:p>
        </w:tc>
        <w:tc>
          <w:tcPr>
            <w:tcW w:w="567" w:type="dxa"/>
            <w:tcBorders>
              <w:top w:val="nil"/>
              <w:left w:val="nil"/>
              <w:bottom w:val="nil"/>
              <w:right w:val="nil"/>
            </w:tcBorders>
            <w:shd w:val="clear" w:color="auto" w:fill="auto"/>
            <w:noWrap/>
            <w:vAlign w:val="center"/>
            <w:hideMark/>
          </w:tcPr>
          <w:p w:rsidR="00030311" w:rsidRPr="003822A5" w:rsidRDefault="00030311" w:rsidP="00030311">
            <w:pPr>
              <w:spacing w:after="0" w:line="240" w:lineRule="auto"/>
              <w:jc w:val="center"/>
              <w:rPr>
                <w:rFonts w:cs="Arial"/>
                <w:color w:val="000000"/>
                <w:sz w:val="16"/>
                <w:szCs w:val="16"/>
              </w:rPr>
            </w:pPr>
            <w:r w:rsidRPr="003822A5">
              <w:rPr>
                <w:rFonts w:cs="Arial"/>
                <w:color w:val="000000"/>
                <w:sz w:val="16"/>
                <w:szCs w:val="16"/>
              </w:rPr>
              <w:t>36,0</w:t>
            </w:r>
          </w:p>
        </w:tc>
        <w:tc>
          <w:tcPr>
            <w:tcW w:w="567" w:type="dxa"/>
            <w:tcBorders>
              <w:top w:val="nil"/>
              <w:left w:val="nil"/>
              <w:bottom w:val="nil"/>
              <w:right w:val="nil"/>
            </w:tcBorders>
            <w:shd w:val="clear" w:color="auto" w:fill="auto"/>
            <w:noWrap/>
            <w:vAlign w:val="center"/>
          </w:tcPr>
          <w:p w:rsidR="00030311" w:rsidRPr="003822A5" w:rsidRDefault="00030311" w:rsidP="00030311">
            <w:pPr>
              <w:spacing w:after="0" w:line="240" w:lineRule="auto"/>
              <w:jc w:val="center"/>
              <w:rPr>
                <w:rFonts w:cs="Arial"/>
                <w:color w:val="000000"/>
                <w:sz w:val="16"/>
                <w:szCs w:val="16"/>
              </w:rPr>
            </w:pPr>
            <w:r w:rsidRPr="003822A5">
              <w:rPr>
                <w:rFonts w:cs="Arial"/>
                <w:color w:val="000000"/>
                <w:sz w:val="16"/>
                <w:szCs w:val="16"/>
              </w:rPr>
              <w:t>39,7</w:t>
            </w:r>
          </w:p>
        </w:tc>
        <w:tc>
          <w:tcPr>
            <w:tcW w:w="567" w:type="dxa"/>
            <w:tcBorders>
              <w:top w:val="nil"/>
              <w:left w:val="nil"/>
              <w:bottom w:val="nil"/>
              <w:right w:val="nil"/>
            </w:tcBorders>
            <w:shd w:val="clear" w:color="auto" w:fill="auto"/>
            <w:noWrap/>
            <w:vAlign w:val="center"/>
          </w:tcPr>
          <w:p w:rsidR="00030311" w:rsidRPr="003822A5" w:rsidRDefault="00030311" w:rsidP="00030311">
            <w:pPr>
              <w:spacing w:after="0" w:line="240" w:lineRule="auto"/>
              <w:jc w:val="center"/>
              <w:rPr>
                <w:rFonts w:cs="Arial"/>
                <w:color w:val="000000"/>
                <w:sz w:val="16"/>
                <w:szCs w:val="16"/>
              </w:rPr>
            </w:pPr>
            <w:r w:rsidRPr="003822A5">
              <w:rPr>
                <w:rFonts w:cs="Arial"/>
                <w:color w:val="000000"/>
                <w:sz w:val="16"/>
                <w:szCs w:val="16"/>
              </w:rPr>
              <w:t>39,7</w:t>
            </w:r>
          </w:p>
        </w:tc>
        <w:tc>
          <w:tcPr>
            <w:tcW w:w="567" w:type="dxa"/>
            <w:tcBorders>
              <w:top w:val="nil"/>
              <w:left w:val="nil"/>
              <w:bottom w:val="nil"/>
              <w:right w:val="nil"/>
            </w:tcBorders>
            <w:shd w:val="clear" w:color="auto" w:fill="auto"/>
            <w:noWrap/>
            <w:vAlign w:val="center"/>
          </w:tcPr>
          <w:p w:rsidR="00030311" w:rsidRPr="003822A5" w:rsidRDefault="00030311" w:rsidP="00030311">
            <w:pPr>
              <w:spacing w:after="0" w:line="240" w:lineRule="auto"/>
              <w:jc w:val="center"/>
              <w:rPr>
                <w:rFonts w:cs="Arial"/>
                <w:color w:val="000000"/>
                <w:sz w:val="16"/>
                <w:szCs w:val="16"/>
              </w:rPr>
            </w:pPr>
            <w:r w:rsidRPr="003822A5">
              <w:rPr>
                <w:rFonts w:cs="Arial"/>
                <w:color w:val="000000"/>
                <w:sz w:val="16"/>
                <w:szCs w:val="16"/>
              </w:rPr>
              <w:t>39,5</w:t>
            </w:r>
          </w:p>
        </w:tc>
        <w:tc>
          <w:tcPr>
            <w:tcW w:w="567" w:type="dxa"/>
            <w:tcBorders>
              <w:top w:val="nil"/>
              <w:left w:val="nil"/>
              <w:bottom w:val="nil"/>
              <w:right w:val="nil"/>
            </w:tcBorders>
            <w:shd w:val="clear" w:color="auto" w:fill="auto"/>
            <w:noWrap/>
            <w:vAlign w:val="center"/>
          </w:tcPr>
          <w:p w:rsidR="00030311" w:rsidRPr="003822A5" w:rsidRDefault="00030311" w:rsidP="00030311">
            <w:pPr>
              <w:spacing w:after="0" w:line="240" w:lineRule="auto"/>
              <w:jc w:val="center"/>
              <w:rPr>
                <w:rFonts w:cs="Arial"/>
                <w:color w:val="000000"/>
                <w:sz w:val="16"/>
                <w:szCs w:val="16"/>
              </w:rPr>
            </w:pPr>
            <w:r w:rsidRPr="003822A5">
              <w:rPr>
                <w:rFonts w:cs="Arial"/>
                <w:color w:val="000000"/>
                <w:sz w:val="16"/>
                <w:szCs w:val="16"/>
              </w:rPr>
              <w:t>42,7</w:t>
            </w:r>
          </w:p>
        </w:tc>
        <w:tc>
          <w:tcPr>
            <w:tcW w:w="567" w:type="dxa"/>
            <w:tcBorders>
              <w:top w:val="nil"/>
              <w:left w:val="nil"/>
              <w:bottom w:val="nil"/>
              <w:right w:val="nil"/>
            </w:tcBorders>
            <w:shd w:val="clear" w:color="auto" w:fill="auto"/>
            <w:noWrap/>
            <w:vAlign w:val="center"/>
          </w:tcPr>
          <w:p w:rsidR="00030311" w:rsidRPr="003822A5" w:rsidRDefault="00030311" w:rsidP="00030311">
            <w:pPr>
              <w:spacing w:after="0" w:line="240" w:lineRule="auto"/>
              <w:jc w:val="center"/>
              <w:rPr>
                <w:rFonts w:cs="Arial"/>
                <w:color w:val="000000"/>
                <w:sz w:val="16"/>
                <w:szCs w:val="16"/>
              </w:rPr>
            </w:pPr>
            <w:r w:rsidRPr="003822A5">
              <w:rPr>
                <w:rFonts w:cs="Arial"/>
                <w:color w:val="000000"/>
                <w:sz w:val="16"/>
                <w:szCs w:val="16"/>
              </w:rPr>
              <w:t>44,5</w:t>
            </w:r>
          </w:p>
        </w:tc>
        <w:tc>
          <w:tcPr>
            <w:tcW w:w="567" w:type="dxa"/>
            <w:tcBorders>
              <w:top w:val="nil"/>
              <w:left w:val="nil"/>
              <w:bottom w:val="nil"/>
              <w:right w:val="nil"/>
            </w:tcBorders>
            <w:shd w:val="clear" w:color="auto" w:fill="auto"/>
            <w:noWrap/>
            <w:vAlign w:val="center"/>
          </w:tcPr>
          <w:p w:rsidR="00030311" w:rsidRPr="003822A5" w:rsidRDefault="00030311" w:rsidP="00030311">
            <w:pPr>
              <w:spacing w:after="0" w:line="240" w:lineRule="auto"/>
              <w:jc w:val="center"/>
              <w:rPr>
                <w:rFonts w:cs="Arial"/>
                <w:color w:val="000000"/>
                <w:sz w:val="16"/>
                <w:szCs w:val="16"/>
              </w:rPr>
            </w:pPr>
            <w:r w:rsidRPr="003822A5">
              <w:rPr>
                <w:rFonts w:cs="Arial"/>
                <w:color w:val="000000"/>
                <w:sz w:val="16"/>
                <w:szCs w:val="16"/>
              </w:rPr>
              <w:t>71,1</w:t>
            </w:r>
          </w:p>
        </w:tc>
        <w:tc>
          <w:tcPr>
            <w:tcW w:w="567" w:type="dxa"/>
            <w:tcBorders>
              <w:top w:val="nil"/>
              <w:left w:val="nil"/>
              <w:bottom w:val="nil"/>
              <w:right w:val="nil"/>
            </w:tcBorders>
            <w:shd w:val="clear" w:color="auto" w:fill="auto"/>
            <w:noWrap/>
            <w:vAlign w:val="center"/>
          </w:tcPr>
          <w:p w:rsidR="00030311" w:rsidRPr="003822A5" w:rsidRDefault="00030311" w:rsidP="00030311">
            <w:pPr>
              <w:spacing w:after="0" w:line="240" w:lineRule="auto"/>
              <w:jc w:val="center"/>
              <w:rPr>
                <w:rFonts w:cs="Arial"/>
                <w:color w:val="000000"/>
                <w:sz w:val="16"/>
                <w:szCs w:val="16"/>
              </w:rPr>
            </w:pPr>
            <w:r w:rsidRPr="003822A5">
              <w:rPr>
                <w:rFonts w:cs="Arial"/>
                <w:color w:val="000000"/>
                <w:sz w:val="16"/>
                <w:szCs w:val="16"/>
              </w:rPr>
              <w:t>70,1</w:t>
            </w:r>
          </w:p>
        </w:tc>
        <w:tc>
          <w:tcPr>
            <w:tcW w:w="567" w:type="dxa"/>
            <w:tcBorders>
              <w:top w:val="nil"/>
              <w:left w:val="nil"/>
              <w:bottom w:val="nil"/>
              <w:right w:val="nil"/>
            </w:tcBorders>
            <w:shd w:val="clear" w:color="auto" w:fill="auto"/>
            <w:noWrap/>
            <w:vAlign w:val="center"/>
          </w:tcPr>
          <w:p w:rsidR="00030311" w:rsidRPr="003822A5" w:rsidRDefault="00030311" w:rsidP="00030311">
            <w:pPr>
              <w:spacing w:after="0" w:line="240" w:lineRule="auto"/>
              <w:jc w:val="center"/>
              <w:rPr>
                <w:rFonts w:cs="Arial"/>
                <w:color w:val="000000"/>
                <w:sz w:val="16"/>
                <w:szCs w:val="16"/>
              </w:rPr>
            </w:pPr>
            <w:r w:rsidRPr="003822A5">
              <w:rPr>
                <w:rFonts w:cs="Arial"/>
                <w:color w:val="000000"/>
                <w:sz w:val="16"/>
                <w:szCs w:val="16"/>
              </w:rPr>
              <w:t>75,3</w:t>
            </w:r>
          </w:p>
        </w:tc>
        <w:tc>
          <w:tcPr>
            <w:tcW w:w="559" w:type="dxa"/>
            <w:vAlign w:val="center"/>
          </w:tcPr>
          <w:p w:rsidR="00030311" w:rsidRPr="003822A5" w:rsidRDefault="00030311" w:rsidP="00030311">
            <w:pPr>
              <w:spacing w:after="0" w:line="240" w:lineRule="auto"/>
              <w:jc w:val="right"/>
              <w:rPr>
                <w:rFonts w:cs="Arial"/>
                <w:color w:val="000000"/>
                <w:sz w:val="16"/>
                <w:szCs w:val="16"/>
              </w:rPr>
            </w:pPr>
            <w:r w:rsidRPr="003822A5">
              <w:rPr>
                <w:rFonts w:cs="Arial"/>
                <w:color w:val="000000"/>
                <w:sz w:val="16"/>
                <w:szCs w:val="16"/>
              </w:rPr>
              <w:t>51,9</w:t>
            </w:r>
          </w:p>
        </w:tc>
        <w:tc>
          <w:tcPr>
            <w:tcW w:w="500" w:type="dxa"/>
            <w:vAlign w:val="center"/>
          </w:tcPr>
          <w:p w:rsidR="00030311" w:rsidRPr="00647EA1" w:rsidRDefault="00647EA1" w:rsidP="00030311">
            <w:pPr>
              <w:spacing w:after="0" w:line="240" w:lineRule="auto"/>
              <w:jc w:val="right"/>
              <w:rPr>
                <w:rFonts w:cs="Arial"/>
                <w:color w:val="000000"/>
                <w:sz w:val="16"/>
                <w:szCs w:val="16"/>
              </w:rPr>
            </w:pPr>
            <w:r w:rsidRPr="00647EA1">
              <w:rPr>
                <w:rFonts w:cs="Arial"/>
                <w:color w:val="000000"/>
                <w:sz w:val="16"/>
                <w:szCs w:val="16"/>
              </w:rPr>
              <w:t>53,1</w:t>
            </w:r>
          </w:p>
        </w:tc>
      </w:tr>
      <w:tr w:rsidR="00030311" w:rsidRPr="003822A5" w:rsidTr="00030311">
        <w:trPr>
          <w:trHeight w:val="300"/>
        </w:trPr>
        <w:tc>
          <w:tcPr>
            <w:tcW w:w="3476" w:type="dxa"/>
            <w:tcBorders>
              <w:top w:val="nil"/>
              <w:left w:val="nil"/>
              <w:bottom w:val="nil"/>
              <w:right w:val="single" w:sz="4" w:space="0" w:color="auto"/>
            </w:tcBorders>
            <w:shd w:val="clear" w:color="auto" w:fill="auto"/>
            <w:vAlign w:val="center"/>
            <w:hideMark/>
          </w:tcPr>
          <w:p w:rsidR="00030311" w:rsidRPr="003822A5" w:rsidRDefault="00030311" w:rsidP="00030311">
            <w:pPr>
              <w:spacing w:after="0" w:line="240" w:lineRule="auto"/>
              <w:ind w:firstLineChars="100" w:firstLine="160"/>
              <w:jc w:val="left"/>
              <w:rPr>
                <w:rFonts w:cs="Arial"/>
                <w:color w:val="000000"/>
                <w:sz w:val="16"/>
                <w:szCs w:val="16"/>
              </w:rPr>
            </w:pPr>
            <w:r w:rsidRPr="003822A5">
              <w:rPr>
                <w:rFonts w:cs="Arial"/>
                <w:color w:val="000000"/>
                <w:sz w:val="16"/>
                <w:szCs w:val="16"/>
              </w:rPr>
              <w:t>C – Zpracovatelský průmysl</w:t>
            </w:r>
          </w:p>
        </w:tc>
        <w:tc>
          <w:tcPr>
            <w:tcW w:w="567" w:type="dxa"/>
            <w:tcBorders>
              <w:top w:val="nil"/>
              <w:left w:val="nil"/>
              <w:bottom w:val="nil"/>
              <w:right w:val="nil"/>
            </w:tcBorders>
            <w:shd w:val="clear" w:color="auto" w:fill="auto"/>
            <w:noWrap/>
            <w:vAlign w:val="center"/>
            <w:hideMark/>
          </w:tcPr>
          <w:p w:rsidR="00030311" w:rsidRPr="003822A5" w:rsidRDefault="00030311" w:rsidP="00030311">
            <w:pPr>
              <w:spacing w:after="0" w:line="240" w:lineRule="auto"/>
              <w:jc w:val="center"/>
              <w:rPr>
                <w:rFonts w:cs="Arial"/>
                <w:color w:val="000000"/>
                <w:sz w:val="16"/>
                <w:szCs w:val="16"/>
              </w:rPr>
            </w:pPr>
            <w:r w:rsidRPr="003822A5">
              <w:rPr>
                <w:rFonts w:cs="Arial"/>
                <w:color w:val="000000"/>
                <w:sz w:val="16"/>
                <w:szCs w:val="16"/>
              </w:rPr>
              <w:t>37,7</w:t>
            </w:r>
          </w:p>
        </w:tc>
        <w:tc>
          <w:tcPr>
            <w:tcW w:w="567" w:type="dxa"/>
            <w:tcBorders>
              <w:top w:val="nil"/>
              <w:left w:val="nil"/>
              <w:bottom w:val="nil"/>
              <w:right w:val="nil"/>
            </w:tcBorders>
            <w:shd w:val="clear" w:color="auto" w:fill="auto"/>
            <w:noWrap/>
            <w:vAlign w:val="center"/>
          </w:tcPr>
          <w:p w:rsidR="00030311" w:rsidRPr="003822A5" w:rsidRDefault="00030311" w:rsidP="00030311">
            <w:pPr>
              <w:spacing w:after="0" w:line="240" w:lineRule="auto"/>
              <w:jc w:val="center"/>
              <w:rPr>
                <w:rFonts w:cs="Arial"/>
                <w:color w:val="000000"/>
                <w:sz w:val="16"/>
                <w:szCs w:val="16"/>
              </w:rPr>
            </w:pPr>
            <w:r w:rsidRPr="003822A5">
              <w:rPr>
                <w:rFonts w:cs="Arial"/>
                <w:color w:val="000000"/>
                <w:sz w:val="16"/>
                <w:szCs w:val="16"/>
              </w:rPr>
              <w:t>45,1</w:t>
            </w:r>
          </w:p>
        </w:tc>
        <w:tc>
          <w:tcPr>
            <w:tcW w:w="567" w:type="dxa"/>
            <w:tcBorders>
              <w:top w:val="nil"/>
              <w:left w:val="nil"/>
              <w:bottom w:val="nil"/>
              <w:right w:val="nil"/>
            </w:tcBorders>
            <w:shd w:val="clear" w:color="auto" w:fill="auto"/>
            <w:noWrap/>
            <w:vAlign w:val="center"/>
          </w:tcPr>
          <w:p w:rsidR="00030311" w:rsidRPr="003822A5" w:rsidRDefault="00030311" w:rsidP="00030311">
            <w:pPr>
              <w:spacing w:after="0" w:line="240" w:lineRule="auto"/>
              <w:jc w:val="center"/>
              <w:rPr>
                <w:rFonts w:cs="Arial"/>
                <w:color w:val="000000"/>
                <w:sz w:val="16"/>
                <w:szCs w:val="16"/>
              </w:rPr>
            </w:pPr>
            <w:r w:rsidRPr="003822A5">
              <w:rPr>
                <w:rFonts w:cs="Arial"/>
                <w:color w:val="000000"/>
                <w:sz w:val="16"/>
                <w:szCs w:val="16"/>
              </w:rPr>
              <w:t>47,2</w:t>
            </w:r>
          </w:p>
        </w:tc>
        <w:tc>
          <w:tcPr>
            <w:tcW w:w="567" w:type="dxa"/>
            <w:tcBorders>
              <w:top w:val="nil"/>
              <w:left w:val="nil"/>
              <w:bottom w:val="nil"/>
              <w:right w:val="nil"/>
            </w:tcBorders>
            <w:shd w:val="clear" w:color="auto" w:fill="auto"/>
            <w:noWrap/>
            <w:vAlign w:val="center"/>
          </w:tcPr>
          <w:p w:rsidR="00030311" w:rsidRPr="003822A5" w:rsidRDefault="00030311" w:rsidP="00030311">
            <w:pPr>
              <w:spacing w:after="0" w:line="240" w:lineRule="auto"/>
              <w:jc w:val="center"/>
              <w:rPr>
                <w:rFonts w:cs="Arial"/>
                <w:color w:val="000000"/>
                <w:sz w:val="16"/>
                <w:szCs w:val="16"/>
              </w:rPr>
            </w:pPr>
            <w:r w:rsidRPr="003822A5">
              <w:rPr>
                <w:rFonts w:cs="Arial"/>
                <w:color w:val="000000"/>
                <w:sz w:val="16"/>
                <w:szCs w:val="16"/>
              </w:rPr>
              <w:t>48,2</w:t>
            </w:r>
          </w:p>
        </w:tc>
        <w:tc>
          <w:tcPr>
            <w:tcW w:w="567" w:type="dxa"/>
            <w:tcBorders>
              <w:top w:val="nil"/>
              <w:left w:val="nil"/>
              <w:bottom w:val="nil"/>
              <w:right w:val="nil"/>
            </w:tcBorders>
            <w:shd w:val="clear" w:color="auto" w:fill="auto"/>
            <w:noWrap/>
            <w:vAlign w:val="center"/>
          </w:tcPr>
          <w:p w:rsidR="00030311" w:rsidRPr="003822A5" w:rsidRDefault="00030311" w:rsidP="00030311">
            <w:pPr>
              <w:spacing w:after="0" w:line="240" w:lineRule="auto"/>
              <w:jc w:val="center"/>
              <w:rPr>
                <w:rFonts w:cs="Arial"/>
                <w:color w:val="000000"/>
                <w:sz w:val="16"/>
                <w:szCs w:val="16"/>
              </w:rPr>
            </w:pPr>
            <w:r w:rsidRPr="003822A5">
              <w:rPr>
                <w:rFonts w:cs="Arial"/>
                <w:color w:val="000000"/>
                <w:sz w:val="16"/>
                <w:szCs w:val="16"/>
              </w:rPr>
              <w:t>51,8</w:t>
            </w:r>
          </w:p>
        </w:tc>
        <w:tc>
          <w:tcPr>
            <w:tcW w:w="567" w:type="dxa"/>
            <w:tcBorders>
              <w:top w:val="nil"/>
              <w:left w:val="nil"/>
              <w:bottom w:val="nil"/>
              <w:right w:val="nil"/>
            </w:tcBorders>
            <w:shd w:val="clear" w:color="auto" w:fill="auto"/>
            <w:noWrap/>
            <w:vAlign w:val="center"/>
          </w:tcPr>
          <w:p w:rsidR="00030311" w:rsidRPr="003822A5" w:rsidRDefault="00030311" w:rsidP="00030311">
            <w:pPr>
              <w:spacing w:after="0" w:line="240" w:lineRule="auto"/>
              <w:jc w:val="center"/>
              <w:rPr>
                <w:rFonts w:cs="Arial"/>
                <w:color w:val="000000"/>
                <w:sz w:val="16"/>
                <w:szCs w:val="16"/>
              </w:rPr>
            </w:pPr>
            <w:r w:rsidRPr="003822A5">
              <w:rPr>
                <w:rFonts w:cs="Arial"/>
                <w:color w:val="000000"/>
                <w:sz w:val="16"/>
                <w:szCs w:val="16"/>
              </w:rPr>
              <w:t>53,9</w:t>
            </w:r>
          </w:p>
        </w:tc>
        <w:tc>
          <w:tcPr>
            <w:tcW w:w="567" w:type="dxa"/>
            <w:tcBorders>
              <w:top w:val="nil"/>
              <w:left w:val="nil"/>
              <w:bottom w:val="nil"/>
              <w:right w:val="nil"/>
            </w:tcBorders>
            <w:shd w:val="clear" w:color="auto" w:fill="auto"/>
            <w:noWrap/>
            <w:vAlign w:val="center"/>
          </w:tcPr>
          <w:p w:rsidR="00030311" w:rsidRPr="003822A5" w:rsidRDefault="00030311" w:rsidP="00030311">
            <w:pPr>
              <w:spacing w:after="0" w:line="240" w:lineRule="auto"/>
              <w:jc w:val="center"/>
              <w:rPr>
                <w:rFonts w:cs="Arial"/>
                <w:color w:val="000000"/>
                <w:sz w:val="16"/>
                <w:szCs w:val="16"/>
              </w:rPr>
            </w:pPr>
            <w:r w:rsidRPr="003822A5">
              <w:rPr>
                <w:rFonts w:cs="Arial"/>
                <w:color w:val="000000"/>
                <w:sz w:val="16"/>
                <w:szCs w:val="16"/>
              </w:rPr>
              <w:t>67,1</w:t>
            </w:r>
          </w:p>
        </w:tc>
        <w:tc>
          <w:tcPr>
            <w:tcW w:w="567" w:type="dxa"/>
            <w:tcBorders>
              <w:top w:val="nil"/>
              <w:left w:val="nil"/>
              <w:bottom w:val="nil"/>
              <w:right w:val="nil"/>
            </w:tcBorders>
            <w:shd w:val="clear" w:color="auto" w:fill="auto"/>
            <w:noWrap/>
            <w:vAlign w:val="center"/>
          </w:tcPr>
          <w:p w:rsidR="00030311" w:rsidRPr="003822A5" w:rsidRDefault="00030311" w:rsidP="00030311">
            <w:pPr>
              <w:spacing w:after="0" w:line="240" w:lineRule="auto"/>
              <w:jc w:val="center"/>
              <w:rPr>
                <w:rFonts w:cs="Arial"/>
                <w:color w:val="000000"/>
                <w:sz w:val="16"/>
                <w:szCs w:val="16"/>
              </w:rPr>
            </w:pPr>
            <w:r w:rsidRPr="003822A5">
              <w:rPr>
                <w:rFonts w:cs="Arial"/>
                <w:color w:val="000000"/>
                <w:sz w:val="16"/>
                <w:szCs w:val="16"/>
              </w:rPr>
              <w:t>80,4</w:t>
            </w:r>
          </w:p>
        </w:tc>
        <w:tc>
          <w:tcPr>
            <w:tcW w:w="567" w:type="dxa"/>
            <w:tcBorders>
              <w:top w:val="nil"/>
              <w:left w:val="nil"/>
              <w:bottom w:val="nil"/>
              <w:right w:val="nil"/>
            </w:tcBorders>
            <w:shd w:val="clear" w:color="auto" w:fill="auto"/>
            <w:noWrap/>
            <w:vAlign w:val="center"/>
          </w:tcPr>
          <w:p w:rsidR="00030311" w:rsidRPr="003822A5" w:rsidRDefault="00030311" w:rsidP="00030311">
            <w:pPr>
              <w:spacing w:after="0" w:line="240" w:lineRule="auto"/>
              <w:jc w:val="center"/>
              <w:rPr>
                <w:rFonts w:cs="Arial"/>
                <w:color w:val="000000"/>
                <w:sz w:val="16"/>
                <w:szCs w:val="16"/>
              </w:rPr>
            </w:pPr>
            <w:r w:rsidRPr="003822A5">
              <w:rPr>
                <w:rFonts w:cs="Arial"/>
                <w:color w:val="000000"/>
                <w:sz w:val="16"/>
                <w:szCs w:val="16"/>
              </w:rPr>
              <w:t>94,6</w:t>
            </w:r>
          </w:p>
        </w:tc>
        <w:tc>
          <w:tcPr>
            <w:tcW w:w="559" w:type="dxa"/>
            <w:vAlign w:val="center"/>
          </w:tcPr>
          <w:p w:rsidR="00030311" w:rsidRPr="003822A5" w:rsidRDefault="00030311" w:rsidP="00030311">
            <w:pPr>
              <w:spacing w:after="0" w:line="240" w:lineRule="auto"/>
              <w:jc w:val="right"/>
              <w:rPr>
                <w:rFonts w:cs="Arial"/>
                <w:color w:val="000000"/>
                <w:sz w:val="16"/>
                <w:szCs w:val="16"/>
              </w:rPr>
            </w:pPr>
            <w:r w:rsidRPr="003822A5">
              <w:rPr>
                <w:rFonts w:cs="Arial"/>
                <w:color w:val="000000"/>
                <w:sz w:val="16"/>
                <w:szCs w:val="16"/>
              </w:rPr>
              <w:t>69,1</w:t>
            </w:r>
          </w:p>
        </w:tc>
        <w:tc>
          <w:tcPr>
            <w:tcW w:w="500" w:type="dxa"/>
            <w:vAlign w:val="center"/>
          </w:tcPr>
          <w:p w:rsidR="00030311" w:rsidRPr="00647EA1" w:rsidRDefault="00647EA1" w:rsidP="00030311">
            <w:pPr>
              <w:spacing w:after="0" w:line="240" w:lineRule="auto"/>
              <w:jc w:val="right"/>
              <w:rPr>
                <w:rFonts w:cs="Arial"/>
                <w:color w:val="000000"/>
                <w:sz w:val="16"/>
                <w:szCs w:val="16"/>
              </w:rPr>
            </w:pPr>
            <w:r w:rsidRPr="00647EA1">
              <w:rPr>
                <w:rFonts w:cs="Arial"/>
                <w:color w:val="000000"/>
                <w:sz w:val="16"/>
                <w:szCs w:val="16"/>
              </w:rPr>
              <w:t>67,7</w:t>
            </w:r>
          </w:p>
        </w:tc>
      </w:tr>
      <w:tr w:rsidR="00030311" w:rsidRPr="003822A5" w:rsidTr="00BC2A21">
        <w:trPr>
          <w:trHeight w:val="340"/>
        </w:trPr>
        <w:tc>
          <w:tcPr>
            <w:tcW w:w="3476" w:type="dxa"/>
            <w:tcBorders>
              <w:top w:val="nil"/>
              <w:left w:val="nil"/>
              <w:bottom w:val="nil"/>
              <w:right w:val="single" w:sz="4" w:space="0" w:color="auto"/>
            </w:tcBorders>
            <w:shd w:val="clear" w:color="auto" w:fill="auto"/>
            <w:vAlign w:val="center"/>
            <w:hideMark/>
          </w:tcPr>
          <w:p w:rsidR="00030311" w:rsidRPr="003822A5" w:rsidRDefault="00030311" w:rsidP="00030311">
            <w:pPr>
              <w:spacing w:after="0" w:line="240" w:lineRule="auto"/>
              <w:ind w:firstLineChars="100" w:firstLine="160"/>
              <w:jc w:val="left"/>
              <w:rPr>
                <w:rFonts w:cs="Arial"/>
                <w:color w:val="000000"/>
                <w:sz w:val="16"/>
                <w:szCs w:val="16"/>
              </w:rPr>
            </w:pPr>
            <w:r w:rsidRPr="003822A5">
              <w:rPr>
                <w:rFonts w:cs="Arial"/>
                <w:color w:val="000000"/>
                <w:sz w:val="16"/>
                <w:szCs w:val="16"/>
              </w:rPr>
              <w:t xml:space="preserve">D – Výroba a rozvod elektřiny, plynu, </w:t>
            </w:r>
            <w:r w:rsidRPr="003822A5">
              <w:rPr>
                <w:rFonts w:cs="Arial"/>
                <w:color w:val="000000"/>
                <w:sz w:val="16"/>
                <w:szCs w:val="16"/>
              </w:rPr>
              <w:br/>
              <w:t xml:space="preserve">          tepla a klimatizovaného vzduchu</w:t>
            </w:r>
          </w:p>
        </w:tc>
        <w:tc>
          <w:tcPr>
            <w:tcW w:w="567" w:type="dxa"/>
            <w:tcBorders>
              <w:top w:val="nil"/>
              <w:left w:val="nil"/>
              <w:bottom w:val="nil"/>
              <w:right w:val="nil"/>
            </w:tcBorders>
            <w:shd w:val="clear" w:color="auto" w:fill="auto"/>
            <w:noWrap/>
            <w:vAlign w:val="center"/>
            <w:hideMark/>
          </w:tcPr>
          <w:p w:rsidR="00030311" w:rsidRPr="003822A5" w:rsidRDefault="00030311" w:rsidP="00030311">
            <w:pPr>
              <w:spacing w:after="0" w:line="240" w:lineRule="auto"/>
              <w:jc w:val="center"/>
              <w:rPr>
                <w:rFonts w:cs="Arial"/>
                <w:color w:val="000000"/>
                <w:sz w:val="16"/>
                <w:szCs w:val="16"/>
              </w:rPr>
            </w:pPr>
            <w:r w:rsidRPr="003822A5">
              <w:rPr>
                <w:rFonts w:cs="Arial"/>
                <w:color w:val="000000"/>
                <w:sz w:val="16"/>
                <w:szCs w:val="16"/>
              </w:rPr>
              <w:t>19,7</w:t>
            </w:r>
          </w:p>
        </w:tc>
        <w:tc>
          <w:tcPr>
            <w:tcW w:w="567" w:type="dxa"/>
            <w:tcBorders>
              <w:top w:val="nil"/>
              <w:left w:val="nil"/>
              <w:bottom w:val="nil"/>
              <w:right w:val="nil"/>
            </w:tcBorders>
            <w:shd w:val="clear" w:color="auto" w:fill="auto"/>
            <w:noWrap/>
            <w:vAlign w:val="center"/>
          </w:tcPr>
          <w:p w:rsidR="00030311" w:rsidRPr="003822A5" w:rsidRDefault="00030311" w:rsidP="00030311">
            <w:pPr>
              <w:spacing w:after="0" w:line="240" w:lineRule="auto"/>
              <w:jc w:val="center"/>
              <w:rPr>
                <w:rFonts w:cs="Arial"/>
                <w:color w:val="000000"/>
                <w:sz w:val="16"/>
                <w:szCs w:val="16"/>
              </w:rPr>
            </w:pPr>
            <w:r w:rsidRPr="003822A5">
              <w:rPr>
                <w:rFonts w:cs="Arial"/>
                <w:color w:val="000000"/>
                <w:sz w:val="16"/>
                <w:szCs w:val="16"/>
              </w:rPr>
              <w:t>23,0</w:t>
            </w:r>
          </w:p>
        </w:tc>
        <w:tc>
          <w:tcPr>
            <w:tcW w:w="567" w:type="dxa"/>
            <w:tcBorders>
              <w:top w:val="nil"/>
              <w:left w:val="nil"/>
              <w:bottom w:val="nil"/>
              <w:right w:val="nil"/>
            </w:tcBorders>
            <w:shd w:val="clear" w:color="auto" w:fill="auto"/>
            <w:noWrap/>
            <w:vAlign w:val="center"/>
          </w:tcPr>
          <w:p w:rsidR="00030311" w:rsidRPr="003822A5" w:rsidRDefault="00030311" w:rsidP="00030311">
            <w:pPr>
              <w:spacing w:after="0" w:line="240" w:lineRule="auto"/>
              <w:jc w:val="center"/>
              <w:rPr>
                <w:rFonts w:cs="Arial"/>
                <w:color w:val="000000"/>
                <w:sz w:val="16"/>
                <w:szCs w:val="16"/>
              </w:rPr>
            </w:pPr>
            <w:r w:rsidRPr="003822A5">
              <w:rPr>
                <w:rFonts w:cs="Arial"/>
                <w:color w:val="000000"/>
                <w:sz w:val="16"/>
                <w:szCs w:val="16"/>
              </w:rPr>
              <w:t>23,5</w:t>
            </w:r>
          </w:p>
        </w:tc>
        <w:tc>
          <w:tcPr>
            <w:tcW w:w="567" w:type="dxa"/>
            <w:tcBorders>
              <w:top w:val="nil"/>
              <w:left w:val="nil"/>
              <w:bottom w:val="nil"/>
              <w:right w:val="nil"/>
            </w:tcBorders>
            <w:shd w:val="clear" w:color="auto" w:fill="auto"/>
            <w:noWrap/>
            <w:vAlign w:val="center"/>
          </w:tcPr>
          <w:p w:rsidR="00030311" w:rsidRPr="003822A5" w:rsidRDefault="00030311" w:rsidP="00030311">
            <w:pPr>
              <w:spacing w:after="0" w:line="240" w:lineRule="auto"/>
              <w:jc w:val="center"/>
              <w:rPr>
                <w:rFonts w:cs="Arial"/>
                <w:color w:val="000000"/>
                <w:sz w:val="16"/>
                <w:szCs w:val="16"/>
              </w:rPr>
            </w:pPr>
            <w:r w:rsidRPr="003822A5">
              <w:rPr>
                <w:rFonts w:cs="Arial"/>
                <w:color w:val="000000"/>
                <w:sz w:val="16"/>
                <w:szCs w:val="16"/>
              </w:rPr>
              <w:t>25,3</w:t>
            </w:r>
          </w:p>
        </w:tc>
        <w:tc>
          <w:tcPr>
            <w:tcW w:w="567" w:type="dxa"/>
            <w:tcBorders>
              <w:top w:val="nil"/>
              <w:left w:val="nil"/>
              <w:bottom w:val="nil"/>
              <w:right w:val="nil"/>
            </w:tcBorders>
            <w:shd w:val="clear" w:color="auto" w:fill="auto"/>
            <w:noWrap/>
            <w:vAlign w:val="center"/>
          </w:tcPr>
          <w:p w:rsidR="00030311" w:rsidRPr="003822A5" w:rsidRDefault="00030311" w:rsidP="00030311">
            <w:pPr>
              <w:spacing w:after="0" w:line="240" w:lineRule="auto"/>
              <w:jc w:val="center"/>
              <w:rPr>
                <w:rFonts w:cs="Arial"/>
                <w:color w:val="000000"/>
                <w:sz w:val="16"/>
                <w:szCs w:val="16"/>
              </w:rPr>
            </w:pPr>
            <w:r w:rsidRPr="003822A5">
              <w:rPr>
                <w:rFonts w:cs="Arial"/>
                <w:color w:val="000000"/>
                <w:sz w:val="16"/>
                <w:szCs w:val="16"/>
              </w:rPr>
              <w:t>29,0</w:t>
            </w:r>
          </w:p>
        </w:tc>
        <w:tc>
          <w:tcPr>
            <w:tcW w:w="567" w:type="dxa"/>
            <w:tcBorders>
              <w:top w:val="nil"/>
              <w:left w:val="nil"/>
              <w:bottom w:val="nil"/>
              <w:right w:val="nil"/>
            </w:tcBorders>
            <w:shd w:val="clear" w:color="auto" w:fill="auto"/>
            <w:noWrap/>
            <w:vAlign w:val="center"/>
          </w:tcPr>
          <w:p w:rsidR="00030311" w:rsidRPr="003822A5" w:rsidRDefault="00030311" w:rsidP="00030311">
            <w:pPr>
              <w:spacing w:after="0" w:line="240" w:lineRule="auto"/>
              <w:jc w:val="center"/>
              <w:rPr>
                <w:rFonts w:cs="Arial"/>
                <w:color w:val="000000"/>
                <w:sz w:val="16"/>
                <w:szCs w:val="16"/>
              </w:rPr>
            </w:pPr>
            <w:r w:rsidRPr="003822A5">
              <w:rPr>
                <w:rFonts w:cs="Arial"/>
                <w:color w:val="000000"/>
                <w:sz w:val="16"/>
                <w:szCs w:val="16"/>
              </w:rPr>
              <w:t>30,0</w:t>
            </w:r>
          </w:p>
        </w:tc>
        <w:tc>
          <w:tcPr>
            <w:tcW w:w="567" w:type="dxa"/>
            <w:tcBorders>
              <w:top w:val="nil"/>
              <w:left w:val="nil"/>
              <w:bottom w:val="nil"/>
              <w:right w:val="nil"/>
            </w:tcBorders>
            <w:shd w:val="clear" w:color="auto" w:fill="auto"/>
            <w:noWrap/>
            <w:vAlign w:val="center"/>
          </w:tcPr>
          <w:p w:rsidR="00030311" w:rsidRPr="003822A5" w:rsidRDefault="00030311" w:rsidP="00030311">
            <w:pPr>
              <w:spacing w:after="0" w:line="240" w:lineRule="auto"/>
              <w:jc w:val="center"/>
              <w:rPr>
                <w:rFonts w:cs="Arial"/>
                <w:color w:val="000000"/>
                <w:sz w:val="16"/>
                <w:szCs w:val="16"/>
              </w:rPr>
            </w:pPr>
            <w:r w:rsidRPr="003822A5">
              <w:rPr>
                <w:rFonts w:cs="Arial"/>
                <w:color w:val="000000"/>
                <w:sz w:val="16"/>
                <w:szCs w:val="16"/>
              </w:rPr>
              <w:t>36,1</w:t>
            </w:r>
          </w:p>
        </w:tc>
        <w:tc>
          <w:tcPr>
            <w:tcW w:w="567" w:type="dxa"/>
            <w:tcBorders>
              <w:top w:val="nil"/>
              <w:left w:val="nil"/>
              <w:bottom w:val="nil"/>
              <w:right w:val="nil"/>
            </w:tcBorders>
            <w:shd w:val="clear" w:color="auto" w:fill="auto"/>
            <w:noWrap/>
            <w:vAlign w:val="center"/>
          </w:tcPr>
          <w:p w:rsidR="00030311" w:rsidRPr="003822A5" w:rsidRDefault="00030311" w:rsidP="00030311">
            <w:pPr>
              <w:spacing w:after="0" w:line="240" w:lineRule="auto"/>
              <w:jc w:val="center"/>
              <w:rPr>
                <w:rFonts w:cs="Arial"/>
                <w:color w:val="000000"/>
                <w:sz w:val="16"/>
                <w:szCs w:val="16"/>
              </w:rPr>
            </w:pPr>
            <w:r w:rsidRPr="003822A5">
              <w:rPr>
                <w:rFonts w:cs="Arial"/>
                <w:color w:val="000000"/>
                <w:sz w:val="16"/>
                <w:szCs w:val="16"/>
              </w:rPr>
              <w:t>41,9</w:t>
            </w:r>
          </w:p>
        </w:tc>
        <w:tc>
          <w:tcPr>
            <w:tcW w:w="567" w:type="dxa"/>
            <w:tcBorders>
              <w:top w:val="nil"/>
              <w:left w:val="nil"/>
              <w:bottom w:val="nil"/>
              <w:right w:val="nil"/>
            </w:tcBorders>
            <w:shd w:val="clear" w:color="auto" w:fill="auto"/>
            <w:noWrap/>
            <w:vAlign w:val="center"/>
          </w:tcPr>
          <w:p w:rsidR="00030311" w:rsidRPr="003822A5" w:rsidRDefault="00030311" w:rsidP="00030311">
            <w:pPr>
              <w:spacing w:after="0" w:line="240" w:lineRule="auto"/>
              <w:jc w:val="center"/>
              <w:rPr>
                <w:rFonts w:cs="Arial"/>
                <w:color w:val="000000"/>
                <w:sz w:val="16"/>
                <w:szCs w:val="16"/>
              </w:rPr>
            </w:pPr>
            <w:r w:rsidRPr="003822A5">
              <w:rPr>
                <w:rFonts w:cs="Arial"/>
                <w:color w:val="000000"/>
                <w:sz w:val="16"/>
                <w:szCs w:val="16"/>
              </w:rPr>
              <w:t>51,5</w:t>
            </w:r>
          </w:p>
        </w:tc>
        <w:tc>
          <w:tcPr>
            <w:tcW w:w="559" w:type="dxa"/>
            <w:vAlign w:val="center"/>
          </w:tcPr>
          <w:p w:rsidR="00030311" w:rsidRPr="003822A5" w:rsidRDefault="00030311" w:rsidP="00030311">
            <w:pPr>
              <w:spacing w:after="0" w:line="240" w:lineRule="auto"/>
              <w:jc w:val="right"/>
              <w:rPr>
                <w:rFonts w:cs="Arial"/>
                <w:color w:val="000000"/>
                <w:sz w:val="16"/>
                <w:szCs w:val="16"/>
              </w:rPr>
            </w:pPr>
            <w:r w:rsidRPr="003822A5">
              <w:rPr>
                <w:rFonts w:cs="Arial"/>
                <w:color w:val="000000"/>
                <w:sz w:val="16"/>
                <w:szCs w:val="16"/>
              </w:rPr>
              <w:t>37,0</w:t>
            </w:r>
          </w:p>
        </w:tc>
        <w:tc>
          <w:tcPr>
            <w:tcW w:w="500" w:type="dxa"/>
            <w:vAlign w:val="center"/>
          </w:tcPr>
          <w:p w:rsidR="00030311" w:rsidRPr="00647EA1" w:rsidRDefault="00647EA1" w:rsidP="00030311">
            <w:pPr>
              <w:spacing w:after="0" w:line="240" w:lineRule="auto"/>
              <w:jc w:val="right"/>
              <w:rPr>
                <w:rFonts w:cs="Arial"/>
                <w:color w:val="000000"/>
                <w:sz w:val="16"/>
                <w:szCs w:val="16"/>
              </w:rPr>
            </w:pPr>
            <w:r w:rsidRPr="00647EA1">
              <w:rPr>
                <w:rFonts w:cs="Arial"/>
                <w:color w:val="000000"/>
                <w:sz w:val="16"/>
                <w:szCs w:val="16"/>
              </w:rPr>
              <w:t>38,0</w:t>
            </w:r>
          </w:p>
        </w:tc>
      </w:tr>
      <w:tr w:rsidR="00030311" w:rsidRPr="003822A5" w:rsidTr="00030311">
        <w:trPr>
          <w:trHeight w:val="480"/>
        </w:trPr>
        <w:tc>
          <w:tcPr>
            <w:tcW w:w="3476" w:type="dxa"/>
            <w:tcBorders>
              <w:top w:val="nil"/>
              <w:left w:val="nil"/>
              <w:bottom w:val="nil"/>
              <w:right w:val="single" w:sz="4" w:space="0" w:color="auto"/>
            </w:tcBorders>
            <w:shd w:val="clear" w:color="auto" w:fill="auto"/>
            <w:vAlign w:val="center"/>
            <w:hideMark/>
          </w:tcPr>
          <w:p w:rsidR="00030311" w:rsidRPr="003822A5" w:rsidRDefault="00030311" w:rsidP="00030311">
            <w:pPr>
              <w:spacing w:after="0" w:line="240" w:lineRule="auto"/>
              <w:ind w:firstLineChars="100" w:firstLine="160"/>
              <w:jc w:val="left"/>
              <w:rPr>
                <w:rFonts w:cs="Arial"/>
                <w:color w:val="000000"/>
                <w:sz w:val="16"/>
                <w:szCs w:val="16"/>
              </w:rPr>
            </w:pPr>
            <w:r w:rsidRPr="003822A5">
              <w:rPr>
                <w:rFonts w:cs="Arial"/>
                <w:color w:val="000000"/>
                <w:sz w:val="16"/>
                <w:szCs w:val="16"/>
              </w:rPr>
              <w:t xml:space="preserve">E – Zásobování vodou; činnosti </w:t>
            </w:r>
            <w:r w:rsidRPr="003822A5">
              <w:rPr>
                <w:rFonts w:cs="Arial"/>
                <w:color w:val="000000"/>
                <w:sz w:val="16"/>
                <w:szCs w:val="16"/>
              </w:rPr>
              <w:br/>
              <w:t xml:space="preserve">          související s odpady a sanacemi</w:t>
            </w:r>
          </w:p>
        </w:tc>
        <w:tc>
          <w:tcPr>
            <w:tcW w:w="567" w:type="dxa"/>
            <w:tcBorders>
              <w:top w:val="nil"/>
              <w:left w:val="nil"/>
              <w:bottom w:val="nil"/>
              <w:right w:val="nil"/>
            </w:tcBorders>
            <w:shd w:val="clear" w:color="auto" w:fill="auto"/>
            <w:noWrap/>
            <w:vAlign w:val="center"/>
            <w:hideMark/>
          </w:tcPr>
          <w:p w:rsidR="00030311" w:rsidRPr="003822A5" w:rsidRDefault="00030311" w:rsidP="00030311">
            <w:pPr>
              <w:spacing w:after="0" w:line="240" w:lineRule="auto"/>
              <w:jc w:val="center"/>
              <w:rPr>
                <w:rFonts w:cs="Arial"/>
                <w:color w:val="000000"/>
                <w:sz w:val="16"/>
                <w:szCs w:val="16"/>
              </w:rPr>
            </w:pPr>
            <w:r w:rsidRPr="003822A5">
              <w:rPr>
                <w:rFonts w:cs="Arial"/>
                <w:color w:val="000000"/>
                <w:sz w:val="16"/>
                <w:szCs w:val="16"/>
              </w:rPr>
              <w:t>29,7</w:t>
            </w:r>
          </w:p>
        </w:tc>
        <w:tc>
          <w:tcPr>
            <w:tcW w:w="567" w:type="dxa"/>
            <w:tcBorders>
              <w:top w:val="nil"/>
              <w:left w:val="nil"/>
              <w:bottom w:val="nil"/>
              <w:right w:val="nil"/>
            </w:tcBorders>
            <w:shd w:val="clear" w:color="auto" w:fill="auto"/>
            <w:noWrap/>
            <w:vAlign w:val="center"/>
          </w:tcPr>
          <w:p w:rsidR="00030311" w:rsidRPr="003822A5" w:rsidRDefault="00030311" w:rsidP="00030311">
            <w:pPr>
              <w:spacing w:after="0" w:line="240" w:lineRule="auto"/>
              <w:jc w:val="center"/>
              <w:rPr>
                <w:rFonts w:cs="Arial"/>
                <w:color w:val="000000"/>
                <w:sz w:val="16"/>
                <w:szCs w:val="16"/>
              </w:rPr>
            </w:pPr>
            <w:r w:rsidRPr="003822A5">
              <w:rPr>
                <w:rFonts w:cs="Arial"/>
                <w:color w:val="000000"/>
                <w:sz w:val="16"/>
                <w:szCs w:val="16"/>
              </w:rPr>
              <w:t>34,5</w:t>
            </w:r>
          </w:p>
        </w:tc>
        <w:tc>
          <w:tcPr>
            <w:tcW w:w="567" w:type="dxa"/>
            <w:tcBorders>
              <w:top w:val="nil"/>
              <w:left w:val="nil"/>
              <w:bottom w:val="nil"/>
              <w:right w:val="nil"/>
            </w:tcBorders>
            <w:shd w:val="clear" w:color="auto" w:fill="auto"/>
            <w:noWrap/>
            <w:vAlign w:val="center"/>
          </w:tcPr>
          <w:p w:rsidR="00030311" w:rsidRPr="003822A5" w:rsidRDefault="00030311" w:rsidP="00030311">
            <w:pPr>
              <w:spacing w:after="0" w:line="240" w:lineRule="auto"/>
              <w:jc w:val="center"/>
              <w:rPr>
                <w:rFonts w:cs="Arial"/>
                <w:color w:val="000000"/>
                <w:sz w:val="16"/>
                <w:szCs w:val="16"/>
              </w:rPr>
            </w:pPr>
            <w:r w:rsidRPr="003822A5">
              <w:rPr>
                <w:rFonts w:cs="Arial"/>
                <w:color w:val="000000"/>
                <w:sz w:val="16"/>
                <w:szCs w:val="16"/>
              </w:rPr>
              <w:t>36,1</w:t>
            </w:r>
          </w:p>
        </w:tc>
        <w:tc>
          <w:tcPr>
            <w:tcW w:w="567" w:type="dxa"/>
            <w:tcBorders>
              <w:top w:val="nil"/>
              <w:left w:val="nil"/>
              <w:bottom w:val="nil"/>
              <w:right w:val="nil"/>
            </w:tcBorders>
            <w:shd w:val="clear" w:color="auto" w:fill="auto"/>
            <w:noWrap/>
            <w:vAlign w:val="center"/>
          </w:tcPr>
          <w:p w:rsidR="00030311" w:rsidRPr="003822A5" w:rsidRDefault="00030311" w:rsidP="00030311">
            <w:pPr>
              <w:spacing w:after="0" w:line="240" w:lineRule="auto"/>
              <w:jc w:val="center"/>
              <w:rPr>
                <w:rFonts w:cs="Arial"/>
                <w:color w:val="000000"/>
                <w:sz w:val="16"/>
                <w:szCs w:val="16"/>
              </w:rPr>
            </w:pPr>
            <w:r w:rsidRPr="003822A5">
              <w:rPr>
                <w:rFonts w:cs="Arial"/>
                <w:color w:val="000000"/>
                <w:sz w:val="16"/>
                <w:szCs w:val="16"/>
              </w:rPr>
              <w:t>37,7</w:t>
            </w:r>
          </w:p>
        </w:tc>
        <w:tc>
          <w:tcPr>
            <w:tcW w:w="567" w:type="dxa"/>
            <w:tcBorders>
              <w:top w:val="nil"/>
              <w:left w:val="nil"/>
              <w:bottom w:val="nil"/>
              <w:right w:val="nil"/>
            </w:tcBorders>
            <w:shd w:val="clear" w:color="auto" w:fill="auto"/>
            <w:noWrap/>
            <w:vAlign w:val="center"/>
          </w:tcPr>
          <w:p w:rsidR="00030311" w:rsidRPr="003822A5" w:rsidRDefault="00030311" w:rsidP="00030311">
            <w:pPr>
              <w:spacing w:after="0" w:line="240" w:lineRule="auto"/>
              <w:jc w:val="center"/>
              <w:rPr>
                <w:rFonts w:cs="Arial"/>
                <w:color w:val="000000"/>
                <w:sz w:val="16"/>
                <w:szCs w:val="16"/>
              </w:rPr>
            </w:pPr>
            <w:r w:rsidRPr="003822A5">
              <w:rPr>
                <w:rFonts w:cs="Arial"/>
                <w:color w:val="000000"/>
                <w:sz w:val="16"/>
                <w:szCs w:val="16"/>
              </w:rPr>
              <w:t>40,9</w:t>
            </w:r>
          </w:p>
        </w:tc>
        <w:tc>
          <w:tcPr>
            <w:tcW w:w="567" w:type="dxa"/>
            <w:tcBorders>
              <w:top w:val="nil"/>
              <w:left w:val="nil"/>
              <w:bottom w:val="nil"/>
              <w:right w:val="nil"/>
            </w:tcBorders>
            <w:shd w:val="clear" w:color="auto" w:fill="auto"/>
            <w:noWrap/>
            <w:vAlign w:val="center"/>
          </w:tcPr>
          <w:p w:rsidR="00030311" w:rsidRPr="003822A5" w:rsidRDefault="00030311" w:rsidP="00030311">
            <w:pPr>
              <w:spacing w:after="0" w:line="240" w:lineRule="auto"/>
              <w:jc w:val="center"/>
              <w:rPr>
                <w:rFonts w:cs="Arial"/>
                <w:color w:val="000000"/>
                <w:sz w:val="16"/>
                <w:szCs w:val="16"/>
              </w:rPr>
            </w:pPr>
            <w:r w:rsidRPr="003822A5">
              <w:rPr>
                <w:rFonts w:cs="Arial"/>
                <w:color w:val="000000"/>
                <w:sz w:val="16"/>
                <w:szCs w:val="16"/>
              </w:rPr>
              <w:t>42,6</w:t>
            </w:r>
          </w:p>
        </w:tc>
        <w:tc>
          <w:tcPr>
            <w:tcW w:w="567" w:type="dxa"/>
            <w:tcBorders>
              <w:top w:val="nil"/>
              <w:left w:val="nil"/>
              <w:bottom w:val="nil"/>
              <w:right w:val="nil"/>
            </w:tcBorders>
            <w:shd w:val="clear" w:color="auto" w:fill="auto"/>
            <w:noWrap/>
            <w:vAlign w:val="center"/>
          </w:tcPr>
          <w:p w:rsidR="00030311" w:rsidRPr="003822A5" w:rsidRDefault="00030311" w:rsidP="00030311">
            <w:pPr>
              <w:spacing w:after="0" w:line="240" w:lineRule="auto"/>
              <w:jc w:val="center"/>
              <w:rPr>
                <w:rFonts w:cs="Arial"/>
                <w:color w:val="000000"/>
                <w:sz w:val="16"/>
                <w:szCs w:val="16"/>
              </w:rPr>
            </w:pPr>
            <w:r w:rsidRPr="003822A5">
              <w:rPr>
                <w:rFonts w:cs="Arial"/>
                <w:color w:val="000000"/>
                <w:sz w:val="16"/>
                <w:szCs w:val="16"/>
              </w:rPr>
              <w:t>51,8</w:t>
            </w:r>
          </w:p>
        </w:tc>
        <w:tc>
          <w:tcPr>
            <w:tcW w:w="567" w:type="dxa"/>
            <w:tcBorders>
              <w:top w:val="nil"/>
              <w:left w:val="nil"/>
              <w:bottom w:val="nil"/>
              <w:right w:val="nil"/>
            </w:tcBorders>
            <w:shd w:val="clear" w:color="auto" w:fill="auto"/>
            <w:noWrap/>
            <w:vAlign w:val="center"/>
          </w:tcPr>
          <w:p w:rsidR="00030311" w:rsidRPr="003822A5" w:rsidRDefault="00030311" w:rsidP="00030311">
            <w:pPr>
              <w:spacing w:after="0" w:line="240" w:lineRule="auto"/>
              <w:jc w:val="center"/>
              <w:rPr>
                <w:rFonts w:cs="Arial"/>
                <w:color w:val="000000"/>
                <w:sz w:val="16"/>
                <w:szCs w:val="16"/>
              </w:rPr>
            </w:pPr>
            <w:r w:rsidRPr="003822A5">
              <w:rPr>
                <w:rFonts w:cs="Arial"/>
                <w:color w:val="000000"/>
                <w:sz w:val="16"/>
                <w:szCs w:val="16"/>
              </w:rPr>
              <w:t>65,6</w:t>
            </w:r>
          </w:p>
        </w:tc>
        <w:tc>
          <w:tcPr>
            <w:tcW w:w="567" w:type="dxa"/>
            <w:tcBorders>
              <w:top w:val="nil"/>
              <w:left w:val="nil"/>
              <w:bottom w:val="nil"/>
              <w:right w:val="nil"/>
            </w:tcBorders>
            <w:shd w:val="clear" w:color="auto" w:fill="auto"/>
            <w:noWrap/>
            <w:vAlign w:val="center"/>
          </w:tcPr>
          <w:p w:rsidR="00030311" w:rsidRPr="003822A5" w:rsidRDefault="00030311" w:rsidP="00030311">
            <w:pPr>
              <w:spacing w:after="0" w:line="240" w:lineRule="auto"/>
              <w:jc w:val="center"/>
              <w:rPr>
                <w:rFonts w:cs="Arial"/>
                <w:color w:val="000000"/>
                <w:sz w:val="16"/>
                <w:szCs w:val="16"/>
              </w:rPr>
            </w:pPr>
            <w:r w:rsidRPr="003822A5">
              <w:rPr>
                <w:rFonts w:cs="Arial"/>
                <w:color w:val="000000"/>
                <w:sz w:val="16"/>
                <w:szCs w:val="16"/>
              </w:rPr>
              <w:t>75,4</w:t>
            </w:r>
          </w:p>
        </w:tc>
        <w:tc>
          <w:tcPr>
            <w:tcW w:w="559" w:type="dxa"/>
            <w:vAlign w:val="center"/>
          </w:tcPr>
          <w:p w:rsidR="00030311" w:rsidRPr="003822A5" w:rsidRDefault="00030311" w:rsidP="00030311">
            <w:pPr>
              <w:spacing w:after="0" w:line="240" w:lineRule="auto"/>
              <w:jc w:val="right"/>
              <w:rPr>
                <w:rFonts w:cs="Arial"/>
                <w:color w:val="000000"/>
                <w:sz w:val="16"/>
                <w:szCs w:val="16"/>
              </w:rPr>
            </w:pPr>
            <w:r w:rsidRPr="003822A5">
              <w:rPr>
                <w:rFonts w:cs="Arial"/>
                <w:color w:val="000000"/>
                <w:sz w:val="16"/>
                <w:szCs w:val="16"/>
              </w:rPr>
              <w:t>56,7</w:t>
            </w:r>
          </w:p>
        </w:tc>
        <w:tc>
          <w:tcPr>
            <w:tcW w:w="500" w:type="dxa"/>
            <w:vAlign w:val="center"/>
          </w:tcPr>
          <w:p w:rsidR="00030311" w:rsidRPr="00647EA1" w:rsidRDefault="00647EA1" w:rsidP="00030311">
            <w:pPr>
              <w:spacing w:after="0" w:line="240" w:lineRule="auto"/>
              <w:jc w:val="right"/>
              <w:rPr>
                <w:rFonts w:cs="Arial"/>
                <w:color w:val="000000"/>
                <w:sz w:val="16"/>
                <w:szCs w:val="16"/>
              </w:rPr>
            </w:pPr>
            <w:r w:rsidRPr="00647EA1">
              <w:rPr>
                <w:rFonts w:cs="Arial"/>
                <w:color w:val="000000"/>
                <w:sz w:val="16"/>
                <w:szCs w:val="16"/>
              </w:rPr>
              <w:t>57,0</w:t>
            </w:r>
          </w:p>
        </w:tc>
      </w:tr>
      <w:tr w:rsidR="00030311" w:rsidRPr="003822A5" w:rsidTr="00030311">
        <w:trPr>
          <w:trHeight w:val="300"/>
        </w:trPr>
        <w:tc>
          <w:tcPr>
            <w:tcW w:w="3476" w:type="dxa"/>
            <w:tcBorders>
              <w:top w:val="nil"/>
              <w:left w:val="nil"/>
              <w:bottom w:val="nil"/>
              <w:right w:val="single" w:sz="4" w:space="0" w:color="auto"/>
            </w:tcBorders>
            <w:shd w:val="clear" w:color="auto" w:fill="auto"/>
            <w:vAlign w:val="center"/>
            <w:hideMark/>
          </w:tcPr>
          <w:p w:rsidR="00030311" w:rsidRPr="003822A5" w:rsidRDefault="00030311" w:rsidP="00030311">
            <w:pPr>
              <w:spacing w:after="0" w:line="240" w:lineRule="auto"/>
              <w:ind w:firstLineChars="100" w:firstLine="160"/>
              <w:jc w:val="left"/>
              <w:rPr>
                <w:rFonts w:cs="Arial"/>
                <w:color w:val="000000"/>
                <w:sz w:val="16"/>
                <w:szCs w:val="16"/>
              </w:rPr>
            </w:pPr>
            <w:r w:rsidRPr="003822A5">
              <w:rPr>
                <w:rFonts w:cs="Arial"/>
                <w:color w:val="000000"/>
                <w:sz w:val="16"/>
                <w:szCs w:val="16"/>
              </w:rPr>
              <w:t>F – Stavebnictví</w:t>
            </w:r>
          </w:p>
        </w:tc>
        <w:tc>
          <w:tcPr>
            <w:tcW w:w="567" w:type="dxa"/>
            <w:tcBorders>
              <w:top w:val="nil"/>
              <w:left w:val="nil"/>
              <w:bottom w:val="nil"/>
              <w:right w:val="nil"/>
            </w:tcBorders>
            <w:shd w:val="clear" w:color="auto" w:fill="auto"/>
            <w:noWrap/>
            <w:vAlign w:val="center"/>
            <w:hideMark/>
          </w:tcPr>
          <w:p w:rsidR="00030311" w:rsidRPr="003822A5" w:rsidRDefault="00030311" w:rsidP="00030311">
            <w:pPr>
              <w:spacing w:after="0" w:line="240" w:lineRule="auto"/>
              <w:jc w:val="center"/>
              <w:rPr>
                <w:rFonts w:cs="Arial"/>
                <w:color w:val="000000"/>
                <w:sz w:val="16"/>
                <w:szCs w:val="16"/>
              </w:rPr>
            </w:pPr>
            <w:r w:rsidRPr="003822A5">
              <w:rPr>
                <w:rFonts w:cs="Arial"/>
                <w:color w:val="000000"/>
                <w:sz w:val="16"/>
                <w:szCs w:val="16"/>
              </w:rPr>
              <w:t>27,0</w:t>
            </w:r>
          </w:p>
        </w:tc>
        <w:tc>
          <w:tcPr>
            <w:tcW w:w="567" w:type="dxa"/>
            <w:tcBorders>
              <w:top w:val="nil"/>
              <w:left w:val="nil"/>
              <w:bottom w:val="nil"/>
              <w:right w:val="nil"/>
            </w:tcBorders>
            <w:shd w:val="clear" w:color="auto" w:fill="auto"/>
            <w:noWrap/>
            <w:vAlign w:val="center"/>
          </w:tcPr>
          <w:p w:rsidR="00030311" w:rsidRPr="003822A5" w:rsidRDefault="00030311" w:rsidP="00030311">
            <w:pPr>
              <w:spacing w:after="0" w:line="240" w:lineRule="auto"/>
              <w:jc w:val="center"/>
              <w:rPr>
                <w:rFonts w:cs="Arial"/>
                <w:color w:val="000000"/>
                <w:sz w:val="16"/>
                <w:szCs w:val="16"/>
              </w:rPr>
            </w:pPr>
            <w:r w:rsidRPr="003822A5">
              <w:rPr>
                <w:rFonts w:cs="Arial"/>
                <w:color w:val="000000"/>
                <w:sz w:val="16"/>
                <w:szCs w:val="16"/>
              </w:rPr>
              <w:t>30,9</w:t>
            </w:r>
          </w:p>
        </w:tc>
        <w:tc>
          <w:tcPr>
            <w:tcW w:w="567" w:type="dxa"/>
            <w:tcBorders>
              <w:top w:val="nil"/>
              <w:left w:val="nil"/>
              <w:bottom w:val="nil"/>
              <w:right w:val="nil"/>
            </w:tcBorders>
            <w:shd w:val="clear" w:color="auto" w:fill="auto"/>
            <w:noWrap/>
            <w:vAlign w:val="center"/>
          </w:tcPr>
          <w:p w:rsidR="00030311" w:rsidRPr="003822A5" w:rsidRDefault="00030311" w:rsidP="00030311">
            <w:pPr>
              <w:spacing w:after="0" w:line="240" w:lineRule="auto"/>
              <w:jc w:val="center"/>
              <w:rPr>
                <w:rFonts w:cs="Arial"/>
                <w:color w:val="000000"/>
                <w:sz w:val="16"/>
                <w:szCs w:val="16"/>
              </w:rPr>
            </w:pPr>
            <w:r w:rsidRPr="003822A5">
              <w:rPr>
                <w:rFonts w:cs="Arial"/>
                <w:color w:val="000000"/>
                <w:sz w:val="16"/>
                <w:szCs w:val="16"/>
              </w:rPr>
              <w:t>31,2</w:t>
            </w:r>
          </w:p>
        </w:tc>
        <w:tc>
          <w:tcPr>
            <w:tcW w:w="567" w:type="dxa"/>
            <w:tcBorders>
              <w:top w:val="nil"/>
              <w:left w:val="nil"/>
              <w:bottom w:val="nil"/>
              <w:right w:val="nil"/>
            </w:tcBorders>
            <w:shd w:val="clear" w:color="auto" w:fill="auto"/>
            <w:noWrap/>
            <w:vAlign w:val="center"/>
          </w:tcPr>
          <w:p w:rsidR="00030311" w:rsidRPr="003822A5" w:rsidRDefault="00030311" w:rsidP="00030311">
            <w:pPr>
              <w:spacing w:after="0" w:line="240" w:lineRule="auto"/>
              <w:jc w:val="center"/>
              <w:rPr>
                <w:rFonts w:cs="Arial"/>
                <w:color w:val="000000"/>
                <w:sz w:val="16"/>
                <w:szCs w:val="16"/>
              </w:rPr>
            </w:pPr>
            <w:r w:rsidRPr="003822A5">
              <w:rPr>
                <w:rFonts w:cs="Arial"/>
                <w:color w:val="000000"/>
                <w:sz w:val="16"/>
                <w:szCs w:val="16"/>
              </w:rPr>
              <w:t>31,6</w:t>
            </w:r>
          </w:p>
        </w:tc>
        <w:tc>
          <w:tcPr>
            <w:tcW w:w="567" w:type="dxa"/>
            <w:tcBorders>
              <w:top w:val="nil"/>
              <w:left w:val="nil"/>
              <w:bottom w:val="nil"/>
              <w:right w:val="nil"/>
            </w:tcBorders>
            <w:shd w:val="clear" w:color="auto" w:fill="auto"/>
            <w:noWrap/>
            <w:vAlign w:val="center"/>
          </w:tcPr>
          <w:p w:rsidR="00030311" w:rsidRPr="003822A5" w:rsidRDefault="00030311" w:rsidP="00030311">
            <w:pPr>
              <w:spacing w:after="0" w:line="240" w:lineRule="auto"/>
              <w:jc w:val="center"/>
              <w:rPr>
                <w:rFonts w:cs="Arial"/>
                <w:color w:val="000000"/>
                <w:sz w:val="16"/>
                <w:szCs w:val="16"/>
              </w:rPr>
            </w:pPr>
            <w:r w:rsidRPr="003822A5">
              <w:rPr>
                <w:rFonts w:cs="Arial"/>
                <w:color w:val="000000"/>
                <w:sz w:val="16"/>
                <w:szCs w:val="16"/>
              </w:rPr>
              <w:t>32,7</w:t>
            </w:r>
          </w:p>
        </w:tc>
        <w:tc>
          <w:tcPr>
            <w:tcW w:w="567" w:type="dxa"/>
            <w:tcBorders>
              <w:top w:val="nil"/>
              <w:left w:val="nil"/>
              <w:bottom w:val="nil"/>
              <w:right w:val="nil"/>
            </w:tcBorders>
            <w:shd w:val="clear" w:color="auto" w:fill="auto"/>
            <w:noWrap/>
            <w:vAlign w:val="center"/>
          </w:tcPr>
          <w:p w:rsidR="00030311" w:rsidRPr="003822A5" w:rsidRDefault="00030311" w:rsidP="00030311">
            <w:pPr>
              <w:spacing w:after="0" w:line="240" w:lineRule="auto"/>
              <w:jc w:val="center"/>
              <w:rPr>
                <w:rFonts w:cs="Arial"/>
                <w:color w:val="000000"/>
                <w:sz w:val="16"/>
                <w:szCs w:val="16"/>
              </w:rPr>
            </w:pPr>
            <w:r w:rsidRPr="003822A5">
              <w:rPr>
                <w:rFonts w:cs="Arial"/>
                <w:color w:val="000000"/>
                <w:sz w:val="16"/>
                <w:szCs w:val="16"/>
              </w:rPr>
              <w:t>33,9</w:t>
            </w:r>
          </w:p>
        </w:tc>
        <w:tc>
          <w:tcPr>
            <w:tcW w:w="567" w:type="dxa"/>
            <w:tcBorders>
              <w:top w:val="nil"/>
              <w:left w:val="nil"/>
              <w:bottom w:val="nil"/>
              <w:right w:val="nil"/>
            </w:tcBorders>
            <w:shd w:val="clear" w:color="auto" w:fill="auto"/>
            <w:noWrap/>
            <w:vAlign w:val="center"/>
          </w:tcPr>
          <w:p w:rsidR="00030311" w:rsidRPr="003822A5" w:rsidRDefault="00030311" w:rsidP="00030311">
            <w:pPr>
              <w:spacing w:after="0" w:line="240" w:lineRule="auto"/>
              <w:jc w:val="center"/>
              <w:rPr>
                <w:rFonts w:cs="Arial"/>
                <w:color w:val="000000"/>
                <w:sz w:val="16"/>
                <w:szCs w:val="16"/>
              </w:rPr>
            </w:pPr>
            <w:r w:rsidRPr="003822A5">
              <w:rPr>
                <w:rFonts w:cs="Arial"/>
                <w:color w:val="000000"/>
                <w:sz w:val="16"/>
                <w:szCs w:val="16"/>
              </w:rPr>
              <w:t>44,2</w:t>
            </w:r>
          </w:p>
        </w:tc>
        <w:tc>
          <w:tcPr>
            <w:tcW w:w="567" w:type="dxa"/>
            <w:tcBorders>
              <w:top w:val="nil"/>
              <w:left w:val="nil"/>
              <w:bottom w:val="nil"/>
              <w:right w:val="nil"/>
            </w:tcBorders>
            <w:shd w:val="clear" w:color="auto" w:fill="auto"/>
            <w:noWrap/>
            <w:vAlign w:val="center"/>
          </w:tcPr>
          <w:p w:rsidR="00030311" w:rsidRPr="003822A5" w:rsidRDefault="00030311" w:rsidP="00030311">
            <w:pPr>
              <w:spacing w:after="0" w:line="240" w:lineRule="auto"/>
              <w:jc w:val="center"/>
              <w:rPr>
                <w:rFonts w:cs="Arial"/>
                <w:color w:val="000000"/>
                <w:sz w:val="16"/>
                <w:szCs w:val="16"/>
              </w:rPr>
            </w:pPr>
            <w:r w:rsidRPr="003822A5">
              <w:rPr>
                <w:rFonts w:cs="Arial"/>
                <w:color w:val="000000"/>
                <w:sz w:val="16"/>
                <w:szCs w:val="16"/>
              </w:rPr>
              <w:t>52,4</w:t>
            </w:r>
          </w:p>
        </w:tc>
        <w:tc>
          <w:tcPr>
            <w:tcW w:w="567" w:type="dxa"/>
            <w:tcBorders>
              <w:top w:val="nil"/>
              <w:left w:val="nil"/>
              <w:bottom w:val="nil"/>
              <w:right w:val="nil"/>
            </w:tcBorders>
            <w:shd w:val="clear" w:color="auto" w:fill="auto"/>
            <w:noWrap/>
            <w:vAlign w:val="center"/>
          </w:tcPr>
          <w:p w:rsidR="00030311" w:rsidRPr="003822A5" w:rsidRDefault="00030311" w:rsidP="00030311">
            <w:pPr>
              <w:spacing w:after="0" w:line="240" w:lineRule="auto"/>
              <w:jc w:val="center"/>
              <w:rPr>
                <w:rFonts w:cs="Arial"/>
                <w:color w:val="000000"/>
                <w:sz w:val="16"/>
                <w:szCs w:val="16"/>
              </w:rPr>
            </w:pPr>
            <w:r w:rsidRPr="003822A5">
              <w:rPr>
                <w:rFonts w:cs="Arial"/>
                <w:color w:val="000000"/>
                <w:sz w:val="16"/>
                <w:szCs w:val="16"/>
              </w:rPr>
              <w:t>56,0</w:t>
            </w:r>
          </w:p>
        </w:tc>
        <w:tc>
          <w:tcPr>
            <w:tcW w:w="559" w:type="dxa"/>
            <w:vAlign w:val="center"/>
          </w:tcPr>
          <w:p w:rsidR="00030311" w:rsidRPr="003822A5" w:rsidRDefault="00030311" w:rsidP="00030311">
            <w:pPr>
              <w:spacing w:after="0" w:line="240" w:lineRule="auto"/>
              <w:jc w:val="right"/>
              <w:rPr>
                <w:rFonts w:cs="Arial"/>
                <w:color w:val="000000"/>
                <w:sz w:val="16"/>
                <w:szCs w:val="16"/>
              </w:rPr>
            </w:pPr>
            <w:r w:rsidRPr="003822A5">
              <w:rPr>
                <w:rFonts w:cs="Arial"/>
                <w:color w:val="000000"/>
                <w:sz w:val="16"/>
                <w:szCs w:val="16"/>
              </w:rPr>
              <w:t>41,0</w:t>
            </w:r>
          </w:p>
        </w:tc>
        <w:tc>
          <w:tcPr>
            <w:tcW w:w="500" w:type="dxa"/>
            <w:vAlign w:val="center"/>
          </w:tcPr>
          <w:p w:rsidR="00030311" w:rsidRPr="00647EA1" w:rsidRDefault="00647EA1" w:rsidP="00030311">
            <w:pPr>
              <w:spacing w:after="0" w:line="240" w:lineRule="auto"/>
              <w:jc w:val="right"/>
              <w:rPr>
                <w:rFonts w:cs="Arial"/>
                <w:color w:val="000000"/>
                <w:sz w:val="16"/>
                <w:szCs w:val="16"/>
              </w:rPr>
            </w:pPr>
            <w:r w:rsidRPr="00647EA1">
              <w:rPr>
                <w:rFonts w:cs="Arial"/>
                <w:color w:val="000000"/>
                <w:sz w:val="16"/>
                <w:szCs w:val="16"/>
              </w:rPr>
              <w:t>41,2</w:t>
            </w:r>
          </w:p>
        </w:tc>
      </w:tr>
      <w:tr w:rsidR="00030311" w:rsidRPr="003822A5" w:rsidTr="00030311">
        <w:trPr>
          <w:trHeight w:val="480"/>
        </w:trPr>
        <w:tc>
          <w:tcPr>
            <w:tcW w:w="3476" w:type="dxa"/>
            <w:tcBorders>
              <w:top w:val="nil"/>
              <w:left w:val="nil"/>
              <w:bottom w:val="nil"/>
              <w:right w:val="single" w:sz="4" w:space="0" w:color="auto"/>
            </w:tcBorders>
            <w:shd w:val="clear" w:color="auto" w:fill="auto"/>
            <w:vAlign w:val="center"/>
            <w:hideMark/>
          </w:tcPr>
          <w:p w:rsidR="00030311" w:rsidRPr="003822A5" w:rsidRDefault="00030311" w:rsidP="00030311">
            <w:pPr>
              <w:spacing w:after="0" w:line="240" w:lineRule="auto"/>
              <w:ind w:firstLineChars="100" w:firstLine="160"/>
              <w:jc w:val="left"/>
              <w:rPr>
                <w:rFonts w:cs="Arial"/>
                <w:color w:val="000000"/>
                <w:sz w:val="16"/>
                <w:szCs w:val="16"/>
              </w:rPr>
            </w:pPr>
            <w:r w:rsidRPr="003822A5">
              <w:rPr>
                <w:rFonts w:cs="Arial"/>
                <w:color w:val="000000"/>
                <w:sz w:val="16"/>
                <w:szCs w:val="16"/>
              </w:rPr>
              <w:t xml:space="preserve">G – Velkoobchod a maloobchod; </w:t>
            </w:r>
            <w:r w:rsidRPr="003822A5">
              <w:rPr>
                <w:rFonts w:cs="Arial"/>
                <w:color w:val="000000"/>
                <w:sz w:val="16"/>
                <w:szCs w:val="16"/>
              </w:rPr>
              <w:br/>
              <w:t xml:space="preserve">          opravy a údržba motorových vozidel</w:t>
            </w:r>
          </w:p>
        </w:tc>
        <w:tc>
          <w:tcPr>
            <w:tcW w:w="567" w:type="dxa"/>
            <w:tcBorders>
              <w:top w:val="nil"/>
              <w:left w:val="nil"/>
              <w:bottom w:val="nil"/>
              <w:right w:val="nil"/>
            </w:tcBorders>
            <w:shd w:val="clear" w:color="auto" w:fill="auto"/>
            <w:noWrap/>
            <w:vAlign w:val="center"/>
            <w:hideMark/>
          </w:tcPr>
          <w:p w:rsidR="00030311" w:rsidRPr="003822A5" w:rsidRDefault="00030311" w:rsidP="00030311">
            <w:pPr>
              <w:spacing w:after="0" w:line="240" w:lineRule="auto"/>
              <w:jc w:val="center"/>
              <w:rPr>
                <w:rFonts w:cs="Arial"/>
                <w:color w:val="000000"/>
                <w:sz w:val="16"/>
                <w:szCs w:val="16"/>
              </w:rPr>
            </w:pPr>
            <w:r w:rsidRPr="003822A5">
              <w:rPr>
                <w:rFonts w:cs="Arial"/>
                <w:color w:val="000000"/>
                <w:sz w:val="16"/>
                <w:szCs w:val="16"/>
              </w:rPr>
              <w:t>26,3</w:t>
            </w:r>
          </w:p>
        </w:tc>
        <w:tc>
          <w:tcPr>
            <w:tcW w:w="567" w:type="dxa"/>
            <w:tcBorders>
              <w:top w:val="nil"/>
              <w:left w:val="nil"/>
              <w:bottom w:val="nil"/>
              <w:right w:val="nil"/>
            </w:tcBorders>
            <w:shd w:val="clear" w:color="auto" w:fill="auto"/>
            <w:noWrap/>
            <w:vAlign w:val="center"/>
          </w:tcPr>
          <w:p w:rsidR="00030311" w:rsidRPr="003822A5" w:rsidRDefault="00030311" w:rsidP="00030311">
            <w:pPr>
              <w:spacing w:after="0" w:line="240" w:lineRule="auto"/>
              <w:jc w:val="center"/>
              <w:rPr>
                <w:rFonts w:cs="Arial"/>
                <w:color w:val="000000"/>
                <w:sz w:val="16"/>
                <w:szCs w:val="16"/>
              </w:rPr>
            </w:pPr>
            <w:r w:rsidRPr="003822A5">
              <w:rPr>
                <w:rFonts w:cs="Arial"/>
                <w:color w:val="000000"/>
                <w:sz w:val="16"/>
                <w:szCs w:val="16"/>
              </w:rPr>
              <w:t>30,3</w:t>
            </w:r>
          </w:p>
        </w:tc>
        <w:tc>
          <w:tcPr>
            <w:tcW w:w="567" w:type="dxa"/>
            <w:tcBorders>
              <w:top w:val="nil"/>
              <w:left w:val="nil"/>
              <w:bottom w:val="nil"/>
              <w:right w:val="nil"/>
            </w:tcBorders>
            <w:shd w:val="clear" w:color="auto" w:fill="auto"/>
            <w:noWrap/>
            <w:vAlign w:val="center"/>
          </w:tcPr>
          <w:p w:rsidR="00030311" w:rsidRPr="003822A5" w:rsidRDefault="00030311" w:rsidP="00030311">
            <w:pPr>
              <w:spacing w:after="0" w:line="240" w:lineRule="auto"/>
              <w:jc w:val="center"/>
              <w:rPr>
                <w:rFonts w:cs="Arial"/>
                <w:color w:val="000000"/>
                <w:sz w:val="16"/>
                <w:szCs w:val="16"/>
              </w:rPr>
            </w:pPr>
            <w:r w:rsidRPr="003822A5">
              <w:rPr>
                <w:rFonts w:cs="Arial"/>
                <w:color w:val="000000"/>
                <w:sz w:val="16"/>
                <w:szCs w:val="16"/>
              </w:rPr>
              <w:t>33,8</w:t>
            </w:r>
          </w:p>
        </w:tc>
        <w:tc>
          <w:tcPr>
            <w:tcW w:w="567" w:type="dxa"/>
            <w:tcBorders>
              <w:top w:val="nil"/>
              <w:left w:val="nil"/>
              <w:bottom w:val="nil"/>
              <w:right w:val="nil"/>
            </w:tcBorders>
            <w:shd w:val="clear" w:color="auto" w:fill="auto"/>
            <w:noWrap/>
            <w:vAlign w:val="center"/>
          </w:tcPr>
          <w:p w:rsidR="00030311" w:rsidRPr="003822A5" w:rsidRDefault="00030311" w:rsidP="00030311">
            <w:pPr>
              <w:spacing w:after="0" w:line="240" w:lineRule="auto"/>
              <w:jc w:val="center"/>
              <w:rPr>
                <w:rFonts w:cs="Arial"/>
                <w:color w:val="000000"/>
                <w:sz w:val="16"/>
                <w:szCs w:val="16"/>
              </w:rPr>
            </w:pPr>
            <w:r w:rsidRPr="003822A5">
              <w:rPr>
                <w:rFonts w:cs="Arial"/>
                <w:color w:val="000000"/>
                <w:sz w:val="16"/>
                <w:szCs w:val="16"/>
              </w:rPr>
              <w:t>34,5</w:t>
            </w:r>
          </w:p>
        </w:tc>
        <w:tc>
          <w:tcPr>
            <w:tcW w:w="567" w:type="dxa"/>
            <w:tcBorders>
              <w:top w:val="nil"/>
              <w:left w:val="nil"/>
              <w:bottom w:val="nil"/>
              <w:right w:val="nil"/>
            </w:tcBorders>
            <w:shd w:val="clear" w:color="auto" w:fill="auto"/>
            <w:noWrap/>
            <w:vAlign w:val="center"/>
          </w:tcPr>
          <w:p w:rsidR="00030311" w:rsidRPr="003822A5" w:rsidRDefault="00030311" w:rsidP="00030311">
            <w:pPr>
              <w:spacing w:after="0" w:line="240" w:lineRule="auto"/>
              <w:jc w:val="center"/>
              <w:rPr>
                <w:rFonts w:cs="Arial"/>
                <w:color w:val="000000"/>
                <w:sz w:val="16"/>
                <w:szCs w:val="16"/>
              </w:rPr>
            </w:pPr>
            <w:r w:rsidRPr="003822A5">
              <w:rPr>
                <w:rFonts w:cs="Arial"/>
                <w:color w:val="000000"/>
                <w:sz w:val="16"/>
                <w:szCs w:val="16"/>
              </w:rPr>
              <w:t>37,6</w:t>
            </w:r>
          </w:p>
        </w:tc>
        <w:tc>
          <w:tcPr>
            <w:tcW w:w="567" w:type="dxa"/>
            <w:tcBorders>
              <w:top w:val="nil"/>
              <w:left w:val="nil"/>
              <w:bottom w:val="nil"/>
              <w:right w:val="nil"/>
            </w:tcBorders>
            <w:shd w:val="clear" w:color="auto" w:fill="auto"/>
            <w:noWrap/>
            <w:vAlign w:val="center"/>
          </w:tcPr>
          <w:p w:rsidR="00030311" w:rsidRPr="003822A5" w:rsidRDefault="00030311" w:rsidP="00030311">
            <w:pPr>
              <w:spacing w:after="0" w:line="240" w:lineRule="auto"/>
              <w:jc w:val="center"/>
              <w:rPr>
                <w:rFonts w:cs="Arial"/>
                <w:color w:val="000000"/>
                <w:sz w:val="16"/>
                <w:szCs w:val="16"/>
              </w:rPr>
            </w:pPr>
            <w:r w:rsidRPr="003822A5">
              <w:rPr>
                <w:rFonts w:cs="Arial"/>
                <w:color w:val="000000"/>
                <w:sz w:val="16"/>
                <w:szCs w:val="16"/>
              </w:rPr>
              <w:t>40,3</w:t>
            </w:r>
          </w:p>
        </w:tc>
        <w:tc>
          <w:tcPr>
            <w:tcW w:w="567" w:type="dxa"/>
            <w:tcBorders>
              <w:top w:val="nil"/>
              <w:left w:val="nil"/>
              <w:bottom w:val="nil"/>
              <w:right w:val="nil"/>
            </w:tcBorders>
            <w:shd w:val="clear" w:color="auto" w:fill="auto"/>
            <w:noWrap/>
            <w:vAlign w:val="center"/>
          </w:tcPr>
          <w:p w:rsidR="00030311" w:rsidRPr="003822A5" w:rsidRDefault="00030311" w:rsidP="00030311">
            <w:pPr>
              <w:spacing w:after="0" w:line="240" w:lineRule="auto"/>
              <w:jc w:val="center"/>
              <w:rPr>
                <w:rFonts w:cs="Arial"/>
                <w:color w:val="000000"/>
                <w:sz w:val="16"/>
                <w:szCs w:val="16"/>
              </w:rPr>
            </w:pPr>
            <w:r w:rsidRPr="003822A5">
              <w:rPr>
                <w:rFonts w:cs="Arial"/>
                <w:color w:val="000000"/>
                <w:sz w:val="16"/>
                <w:szCs w:val="16"/>
              </w:rPr>
              <w:t>49,9</w:t>
            </w:r>
          </w:p>
        </w:tc>
        <w:tc>
          <w:tcPr>
            <w:tcW w:w="567" w:type="dxa"/>
            <w:tcBorders>
              <w:top w:val="nil"/>
              <w:left w:val="nil"/>
              <w:bottom w:val="nil"/>
              <w:right w:val="nil"/>
            </w:tcBorders>
            <w:shd w:val="clear" w:color="auto" w:fill="auto"/>
            <w:noWrap/>
            <w:vAlign w:val="center"/>
          </w:tcPr>
          <w:p w:rsidR="00030311" w:rsidRPr="003822A5" w:rsidRDefault="00030311" w:rsidP="00030311">
            <w:pPr>
              <w:spacing w:after="0" w:line="240" w:lineRule="auto"/>
              <w:jc w:val="center"/>
              <w:rPr>
                <w:rFonts w:cs="Arial"/>
                <w:color w:val="000000"/>
                <w:sz w:val="16"/>
                <w:szCs w:val="16"/>
              </w:rPr>
            </w:pPr>
            <w:r w:rsidRPr="003822A5">
              <w:rPr>
                <w:rFonts w:cs="Arial"/>
                <w:color w:val="000000"/>
                <w:sz w:val="16"/>
                <w:szCs w:val="16"/>
              </w:rPr>
              <w:t>56,9</w:t>
            </w:r>
          </w:p>
        </w:tc>
        <w:tc>
          <w:tcPr>
            <w:tcW w:w="567" w:type="dxa"/>
            <w:tcBorders>
              <w:top w:val="nil"/>
              <w:left w:val="nil"/>
              <w:bottom w:val="nil"/>
              <w:right w:val="nil"/>
            </w:tcBorders>
            <w:shd w:val="clear" w:color="auto" w:fill="auto"/>
            <w:noWrap/>
            <w:vAlign w:val="center"/>
          </w:tcPr>
          <w:p w:rsidR="00030311" w:rsidRPr="003822A5" w:rsidRDefault="00030311" w:rsidP="00030311">
            <w:pPr>
              <w:spacing w:after="0" w:line="240" w:lineRule="auto"/>
              <w:jc w:val="center"/>
              <w:rPr>
                <w:rFonts w:cs="Arial"/>
                <w:color w:val="000000"/>
                <w:sz w:val="16"/>
                <w:szCs w:val="16"/>
              </w:rPr>
            </w:pPr>
            <w:r w:rsidRPr="003822A5">
              <w:rPr>
                <w:rFonts w:cs="Arial"/>
                <w:color w:val="000000"/>
                <w:sz w:val="16"/>
                <w:szCs w:val="16"/>
              </w:rPr>
              <w:t>71,7</w:t>
            </w:r>
          </w:p>
        </w:tc>
        <w:tc>
          <w:tcPr>
            <w:tcW w:w="559" w:type="dxa"/>
            <w:vAlign w:val="center"/>
          </w:tcPr>
          <w:p w:rsidR="00030311" w:rsidRPr="003822A5" w:rsidRDefault="00030311" w:rsidP="00030311">
            <w:pPr>
              <w:spacing w:after="0" w:line="240" w:lineRule="auto"/>
              <w:jc w:val="right"/>
              <w:rPr>
                <w:rFonts w:cs="Arial"/>
                <w:color w:val="000000"/>
                <w:sz w:val="16"/>
                <w:szCs w:val="16"/>
              </w:rPr>
            </w:pPr>
            <w:r w:rsidRPr="003822A5">
              <w:rPr>
                <w:rFonts w:cs="Arial"/>
                <w:color w:val="000000"/>
                <w:sz w:val="16"/>
                <w:szCs w:val="16"/>
              </w:rPr>
              <w:t>51,2</w:t>
            </w:r>
          </w:p>
        </w:tc>
        <w:tc>
          <w:tcPr>
            <w:tcW w:w="500" w:type="dxa"/>
            <w:vAlign w:val="center"/>
          </w:tcPr>
          <w:p w:rsidR="00030311" w:rsidRPr="00647EA1" w:rsidRDefault="00647EA1" w:rsidP="00030311">
            <w:pPr>
              <w:spacing w:after="0" w:line="240" w:lineRule="auto"/>
              <w:jc w:val="right"/>
              <w:rPr>
                <w:rFonts w:cs="Arial"/>
                <w:color w:val="000000"/>
                <w:sz w:val="16"/>
                <w:szCs w:val="16"/>
              </w:rPr>
            </w:pPr>
            <w:r w:rsidRPr="00647EA1">
              <w:rPr>
                <w:rFonts w:cs="Arial"/>
                <w:color w:val="000000"/>
                <w:sz w:val="16"/>
                <w:szCs w:val="16"/>
              </w:rPr>
              <w:t>50,8</w:t>
            </w:r>
          </w:p>
        </w:tc>
      </w:tr>
      <w:tr w:rsidR="00030311" w:rsidRPr="003822A5" w:rsidTr="00030311">
        <w:trPr>
          <w:trHeight w:val="300"/>
        </w:trPr>
        <w:tc>
          <w:tcPr>
            <w:tcW w:w="3476" w:type="dxa"/>
            <w:tcBorders>
              <w:top w:val="nil"/>
              <w:left w:val="nil"/>
              <w:bottom w:val="nil"/>
              <w:right w:val="single" w:sz="4" w:space="0" w:color="auto"/>
            </w:tcBorders>
            <w:shd w:val="clear" w:color="auto" w:fill="auto"/>
            <w:vAlign w:val="center"/>
            <w:hideMark/>
          </w:tcPr>
          <w:p w:rsidR="00030311" w:rsidRPr="003822A5" w:rsidRDefault="00030311" w:rsidP="00030311">
            <w:pPr>
              <w:spacing w:after="0" w:line="240" w:lineRule="auto"/>
              <w:ind w:firstLineChars="100" w:firstLine="160"/>
              <w:jc w:val="left"/>
              <w:rPr>
                <w:rFonts w:cs="Arial"/>
                <w:color w:val="000000"/>
                <w:sz w:val="16"/>
                <w:szCs w:val="16"/>
              </w:rPr>
            </w:pPr>
            <w:r w:rsidRPr="003822A5">
              <w:rPr>
                <w:rFonts w:cs="Arial"/>
                <w:color w:val="000000"/>
                <w:sz w:val="16"/>
                <w:szCs w:val="16"/>
              </w:rPr>
              <w:t>H – Doprava a skladování</w:t>
            </w:r>
          </w:p>
        </w:tc>
        <w:tc>
          <w:tcPr>
            <w:tcW w:w="567" w:type="dxa"/>
            <w:tcBorders>
              <w:top w:val="nil"/>
              <w:left w:val="nil"/>
              <w:bottom w:val="nil"/>
              <w:right w:val="nil"/>
            </w:tcBorders>
            <w:shd w:val="clear" w:color="auto" w:fill="auto"/>
            <w:noWrap/>
            <w:vAlign w:val="center"/>
            <w:hideMark/>
          </w:tcPr>
          <w:p w:rsidR="00030311" w:rsidRPr="003822A5" w:rsidRDefault="00030311" w:rsidP="00030311">
            <w:pPr>
              <w:spacing w:after="0" w:line="240" w:lineRule="auto"/>
              <w:jc w:val="center"/>
              <w:rPr>
                <w:rFonts w:cs="Arial"/>
                <w:color w:val="000000"/>
                <w:sz w:val="16"/>
                <w:szCs w:val="16"/>
              </w:rPr>
            </w:pPr>
            <w:r w:rsidRPr="003822A5">
              <w:rPr>
                <w:rFonts w:cs="Arial"/>
                <w:color w:val="000000"/>
                <w:sz w:val="16"/>
                <w:szCs w:val="16"/>
              </w:rPr>
              <w:t>27,3</w:t>
            </w:r>
          </w:p>
        </w:tc>
        <w:tc>
          <w:tcPr>
            <w:tcW w:w="567" w:type="dxa"/>
            <w:tcBorders>
              <w:top w:val="nil"/>
              <w:left w:val="nil"/>
              <w:bottom w:val="nil"/>
              <w:right w:val="nil"/>
            </w:tcBorders>
            <w:shd w:val="clear" w:color="auto" w:fill="auto"/>
            <w:noWrap/>
            <w:vAlign w:val="center"/>
          </w:tcPr>
          <w:p w:rsidR="00030311" w:rsidRPr="003822A5" w:rsidRDefault="00030311" w:rsidP="00030311">
            <w:pPr>
              <w:spacing w:after="0" w:line="240" w:lineRule="auto"/>
              <w:jc w:val="center"/>
              <w:rPr>
                <w:rFonts w:cs="Arial"/>
                <w:color w:val="000000"/>
                <w:sz w:val="16"/>
                <w:szCs w:val="16"/>
              </w:rPr>
            </w:pPr>
            <w:r w:rsidRPr="003822A5">
              <w:rPr>
                <w:rFonts w:cs="Arial"/>
                <w:color w:val="000000"/>
                <w:sz w:val="16"/>
                <w:szCs w:val="16"/>
              </w:rPr>
              <w:t>32,5</w:t>
            </w:r>
          </w:p>
        </w:tc>
        <w:tc>
          <w:tcPr>
            <w:tcW w:w="567" w:type="dxa"/>
            <w:tcBorders>
              <w:top w:val="nil"/>
              <w:left w:val="nil"/>
              <w:bottom w:val="nil"/>
              <w:right w:val="nil"/>
            </w:tcBorders>
            <w:shd w:val="clear" w:color="auto" w:fill="auto"/>
            <w:noWrap/>
            <w:vAlign w:val="center"/>
          </w:tcPr>
          <w:p w:rsidR="00030311" w:rsidRPr="003822A5" w:rsidRDefault="00030311" w:rsidP="00030311">
            <w:pPr>
              <w:spacing w:after="0" w:line="240" w:lineRule="auto"/>
              <w:jc w:val="center"/>
              <w:rPr>
                <w:rFonts w:cs="Arial"/>
                <w:color w:val="000000"/>
                <w:sz w:val="16"/>
                <w:szCs w:val="16"/>
              </w:rPr>
            </w:pPr>
            <w:r w:rsidRPr="003822A5">
              <w:rPr>
                <w:rFonts w:cs="Arial"/>
                <w:color w:val="000000"/>
                <w:sz w:val="16"/>
                <w:szCs w:val="16"/>
              </w:rPr>
              <w:t>33,6</w:t>
            </w:r>
          </w:p>
        </w:tc>
        <w:tc>
          <w:tcPr>
            <w:tcW w:w="567" w:type="dxa"/>
            <w:tcBorders>
              <w:top w:val="nil"/>
              <w:left w:val="nil"/>
              <w:bottom w:val="nil"/>
              <w:right w:val="nil"/>
            </w:tcBorders>
            <w:shd w:val="clear" w:color="auto" w:fill="auto"/>
            <w:noWrap/>
            <w:vAlign w:val="center"/>
          </w:tcPr>
          <w:p w:rsidR="00030311" w:rsidRPr="003822A5" w:rsidRDefault="00030311" w:rsidP="00030311">
            <w:pPr>
              <w:spacing w:after="0" w:line="240" w:lineRule="auto"/>
              <w:jc w:val="center"/>
              <w:rPr>
                <w:rFonts w:cs="Arial"/>
                <w:color w:val="000000"/>
                <w:sz w:val="16"/>
                <w:szCs w:val="16"/>
              </w:rPr>
            </w:pPr>
            <w:r w:rsidRPr="003822A5">
              <w:rPr>
                <w:rFonts w:cs="Arial"/>
                <w:color w:val="000000"/>
                <w:sz w:val="16"/>
                <w:szCs w:val="16"/>
              </w:rPr>
              <w:t>36,4</w:t>
            </w:r>
          </w:p>
        </w:tc>
        <w:tc>
          <w:tcPr>
            <w:tcW w:w="567" w:type="dxa"/>
            <w:tcBorders>
              <w:top w:val="nil"/>
              <w:left w:val="nil"/>
              <w:bottom w:val="nil"/>
              <w:right w:val="nil"/>
            </w:tcBorders>
            <w:shd w:val="clear" w:color="auto" w:fill="auto"/>
            <w:noWrap/>
            <w:vAlign w:val="center"/>
          </w:tcPr>
          <w:p w:rsidR="00030311" w:rsidRPr="003822A5" w:rsidRDefault="00030311" w:rsidP="00030311">
            <w:pPr>
              <w:spacing w:after="0" w:line="240" w:lineRule="auto"/>
              <w:jc w:val="center"/>
              <w:rPr>
                <w:rFonts w:cs="Arial"/>
                <w:color w:val="000000"/>
                <w:sz w:val="16"/>
                <w:szCs w:val="16"/>
              </w:rPr>
            </w:pPr>
            <w:r w:rsidRPr="003822A5">
              <w:rPr>
                <w:rFonts w:cs="Arial"/>
                <w:color w:val="000000"/>
                <w:sz w:val="16"/>
                <w:szCs w:val="16"/>
              </w:rPr>
              <w:t>39,2</w:t>
            </w:r>
          </w:p>
        </w:tc>
        <w:tc>
          <w:tcPr>
            <w:tcW w:w="567" w:type="dxa"/>
            <w:tcBorders>
              <w:top w:val="nil"/>
              <w:left w:val="nil"/>
              <w:bottom w:val="nil"/>
              <w:right w:val="nil"/>
            </w:tcBorders>
            <w:shd w:val="clear" w:color="auto" w:fill="auto"/>
            <w:noWrap/>
            <w:vAlign w:val="center"/>
          </w:tcPr>
          <w:p w:rsidR="00030311" w:rsidRPr="003822A5" w:rsidRDefault="00030311" w:rsidP="00030311">
            <w:pPr>
              <w:spacing w:after="0" w:line="240" w:lineRule="auto"/>
              <w:jc w:val="center"/>
              <w:rPr>
                <w:rFonts w:cs="Arial"/>
                <w:color w:val="000000"/>
                <w:sz w:val="16"/>
                <w:szCs w:val="16"/>
              </w:rPr>
            </w:pPr>
            <w:r w:rsidRPr="003822A5">
              <w:rPr>
                <w:rFonts w:cs="Arial"/>
                <w:color w:val="000000"/>
                <w:sz w:val="16"/>
                <w:szCs w:val="16"/>
              </w:rPr>
              <w:t>39,9</w:t>
            </w:r>
          </w:p>
        </w:tc>
        <w:tc>
          <w:tcPr>
            <w:tcW w:w="567" w:type="dxa"/>
            <w:tcBorders>
              <w:top w:val="nil"/>
              <w:left w:val="nil"/>
              <w:bottom w:val="nil"/>
              <w:right w:val="nil"/>
            </w:tcBorders>
            <w:shd w:val="clear" w:color="auto" w:fill="auto"/>
            <w:noWrap/>
            <w:vAlign w:val="center"/>
          </w:tcPr>
          <w:p w:rsidR="00030311" w:rsidRPr="003822A5" w:rsidRDefault="00030311" w:rsidP="00030311">
            <w:pPr>
              <w:spacing w:after="0" w:line="240" w:lineRule="auto"/>
              <w:jc w:val="center"/>
              <w:rPr>
                <w:rFonts w:cs="Arial"/>
                <w:color w:val="000000"/>
                <w:sz w:val="16"/>
                <w:szCs w:val="16"/>
              </w:rPr>
            </w:pPr>
            <w:r w:rsidRPr="003822A5">
              <w:rPr>
                <w:rFonts w:cs="Arial"/>
                <w:color w:val="000000"/>
                <w:sz w:val="16"/>
                <w:szCs w:val="16"/>
              </w:rPr>
              <w:t>50,0</w:t>
            </w:r>
          </w:p>
        </w:tc>
        <w:tc>
          <w:tcPr>
            <w:tcW w:w="567" w:type="dxa"/>
            <w:tcBorders>
              <w:top w:val="nil"/>
              <w:left w:val="nil"/>
              <w:bottom w:val="nil"/>
              <w:right w:val="nil"/>
            </w:tcBorders>
            <w:shd w:val="clear" w:color="auto" w:fill="auto"/>
            <w:noWrap/>
            <w:vAlign w:val="center"/>
          </w:tcPr>
          <w:p w:rsidR="00030311" w:rsidRPr="003822A5" w:rsidRDefault="00030311" w:rsidP="00030311">
            <w:pPr>
              <w:spacing w:after="0" w:line="240" w:lineRule="auto"/>
              <w:jc w:val="center"/>
              <w:rPr>
                <w:rFonts w:cs="Arial"/>
                <w:color w:val="000000"/>
                <w:sz w:val="16"/>
                <w:szCs w:val="16"/>
              </w:rPr>
            </w:pPr>
            <w:r w:rsidRPr="003822A5">
              <w:rPr>
                <w:rFonts w:cs="Arial"/>
                <w:color w:val="000000"/>
                <w:sz w:val="16"/>
                <w:szCs w:val="16"/>
              </w:rPr>
              <w:t>61,2</w:t>
            </w:r>
          </w:p>
        </w:tc>
        <w:tc>
          <w:tcPr>
            <w:tcW w:w="567" w:type="dxa"/>
            <w:tcBorders>
              <w:top w:val="nil"/>
              <w:left w:val="nil"/>
              <w:bottom w:val="nil"/>
              <w:right w:val="nil"/>
            </w:tcBorders>
            <w:shd w:val="clear" w:color="auto" w:fill="auto"/>
            <w:noWrap/>
            <w:vAlign w:val="center"/>
          </w:tcPr>
          <w:p w:rsidR="00030311" w:rsidRPr="003822A5" w:rsidRDefault="00030311" w:rsidP="00030311">
            <w:pPr>
              <w:spacing w:after="0" w:line="240" w:lineRule="auto"/>
              <w:jc w:val="center"/>
              <w:rPr>
                <w:rFonts w:cs="Arial"/>
                <w:color w:val="000000"/>
                <w:sz w:val="16"/>
                <w:szCs w:val="16"/>
              </w:rPr>
            </w:pPr>
            <w:r w:rsidRPr="003822A5">
              <w:rPr>
                <w:rFonts w:cs="Arial"/>
                <w:color w:val="000000"/>
                <w:sz w:val="16"/>
                <w:szCs w:val="16"/>
              </w:rPr>
              <w:t>70,0</w:t>
            </w:r>
          </w:p>
        </w:tc>
        <w:tc>
          <w:tcPr>
            <w:tcW w:w="559" w:type="dxa"/>
            <w:vAlign w:val="center"/>
          </w:tcPr>
          <w:p w:rsidR="00030311" w:rsidRPr="003822A5" w:rsidRDefault="00030311" w:rsidP="00030311">
            <w:pPr>
              <w:spacing w:after="0" w:line="240" w:lineRule="auto"/>
              <w:jc w:val="right"/>
              <w:rPr>
                <w:rFonts w:cs="Arial"/>
                <w:color w:val="000000"/>
                <w:sz w:val="16"/>
                <w:szCs w:val="16"/>
              </w:rPr>
            </w:pPr>
            <w:r w:rsidRPr="003822A5">
              <w:rPr>
                <w:rFonts w:cs="Arial"/>
                <w:color w:val="000000"/>
                <w:sz w:val="16"/>
                <w:szCs w:val="16"/>
              </w:rPr>
              <w:t>51,2</w:t>
            </w:r>
          </w:p>
        </w:tc>
        <w:tc>
          <w:tcPr>
            <w:tcW w:w="500" w:type="dxa"/>
            <w:vAlign w:val="center"/>
          </w:tcPr>
          <w:p w:rsidR="00030311" w:rsidRPr="00647EA1" w:rsidRDefault="00647EA1" w:rsidP="00030311">
            <w:pPr>
              <w:spacing w:after="0" w:line="240" w:lineRule="auto"/>
              <w:jc w:val="right"/>
              <w:rPr>
                <w:rFonts w:cs="Arial"/>
                <w:color w:val="000000"/>
                <w:sz w:val="16"/>
                <w:szCs w:val="16"/>
              </w:rPr>
            </w:pPr>
            <w:r w:rsidRPr="00647EA1">
              <w:rPr>
                <w:rFonts w:cs="Arial"/>
                <w:color w:val="000000"/>
                <w:sz w:val="16"/>
                <w:szCs w:val="16"/>
              </w:rPr>
              <w:t>50,8</w:t>
            </w:r>
          </w:p>
        </w:tc>
      </w:tr>
      <w:tr w:rsidR="00030311" w:rsidRPr="003822A5" w:rsidTr="00030311">
        <w:trPr>
          <w:trHeight w:val="480"/>
        </w:trPr>
        <w:tc>
          <w:tcPr>
            <w:tcW w:w="3476" w:type="dxa"/>
            <w:tcBorders>
              <w:top w:val="nil"/>
              <w:left w:val="nil"/>
              <w:bottom w:val="nil"/>
              <w:right w:val="single" w:sz="4" w:space="0" w:color="auto"/>
            </w:tcBorders>
            <w:shd w:val="clear" w:color="auto" w:fill="auto"/>
            <w:vAlign w:val="center"/>
            <w:hideMark/>
          </w:tcPr>
          <w:p w:rsidR="00030311" w:rsidRPr="003822A5" w:rsidRDefault="00030311" w:rsidP="00030311">
            <w:pPr>
              <w:spacing w:after="0" w:line="240" w:lineRule="auto"/>
              <w:ind w:firstLineChars="100" w:firstLine="160"/>
              <w:jc w:val="left"/>
              <w:rPr>
                <w:rFonts w:cs="Arial"/>
                <w:color w:val="000000"/>
                <w:sz w:val="16"/>
                <w:szCs w:val="16"/>
              </w:rPr>
            </w:pPr>
            <w:r w:rsidRPr="003822A5">
              <w:rPr>
                <w:rFonts w:cs="Arial"/>
                <w:color w:val="000000"/>
                <w:sz w:val="16"/>
                <w:szCs w:val="16"/>
              </w:rPr>
              <w:t xml:space="preserve">I – Ubytování, stravování </w:t>
            </w:r>
            <w:r w:rsidRPr="003822A5">
              <w:rPr>
                <w:rFonts w:cs="Arial"/>
                <w:color w:val="000000"/>
                <w:sz w:val="16"/>
                <w:szCs w:val="16"/>
              </w:rPr>
              <w:br/>
              <w:t xml:space="preserve">         a pohostinství</w:t>
            </w:r>
          </w:p>
        </w:tc>
        <w:tc>
          <w:tcPr>
            <w:tcW w:w="567" w:type="dxa"/>
            <w:tcBorders>
              <w:top w:val="nil"/>
              <w:left w:val="nil"/>
              <w:bottom w:val="nil"/>
              <w:right w:val="nil"/>
            </w:tcBorders>
            <w:shd w:val="clear" w:color="auto" w:fill="auto"/>
            <w:noWrap/>
            <w:vAlign w:val="center"/>
            <w:hideMark/>
          </w:tcPr>
          <w:p w:rsidR="00030311" w:rsidRPr="003822A5" w:rsidRDefault="00030311" w:rsidP="00030311">
            <w:pPr>
              <w:spacing w:after="0" w:line="240" w:lineRule="auto"/>
              <w:jc w:val="center"/>
              <w:rPr>
                <w:rFonts w:cs="Arial"/>
                <w:color w:val="000000"/>
                <w:sz w:val="16"/>
                <w:szCs w:val="16"/>
              </w:rPr>
            </w:pPr>
            <w:r w:rsidRPr="003822A5">
              <w:rPr>
                <w:rFonts w:cs="Arial"/>
                <w:color w:val="000000"/>
                <w:sz w:val="16"/>
                <w:szCs w:val="16"/>
              </w:rPr>
              <w:t>23,7</w:t>
            </w:r>
          </w:p>
        </w:tc>
        <w:tc>
          <w:tcPr>
            <w:tcW w:w="567" w:type="dxa"/>
            <w:tcBorders>
              <w:top w:val="nil"/>
              <w:left w:val="nil"/>
              <w:bottom w:val="nil"/>
              <w:right w:val="nil"/>
            </w:tcBorders>
            <w:shd w:val="clear" w:color="auto" w:fill="auto"/>
            <w:noWrap/>
            <w:vAlign w:val="center"/>
          </w:tcPr>
          <w:p w:rsidR="00030311" w:rsidRPr="003822A5" w:rsidRDefault="00030311" w:rsidP="00030311">
            <w:pPr>
              <w:spacing w:after="0" w:line="240" w:lineRule="auto"/>
              <w:jc w:val="center"/>
              <w:rPr>
                <w:rFonts w:cs="Arial"/>
                <w:color w:val="000000"/>
                <w:sz w:val="16"/>
                <w:szCs w:val="16"/>
              </w:rPr>
            </w:pPr>
            <w:r w:rsidRPr="003822A5">
              <w:rPr>
                <w:rFonts w:cs="Arial"/>
                <w:color w:val="000000"/>
                <w:sz w:val="16"/>
                <w:szCs w:val="16"/>
              </w:rPr>
              <w:t>26,9</w:t>
            </w:r>
          </w:p>
        </w:tc>
        <w:tc>
          <w:tcPr>
            <w:tcW w:w="567" w:type="dxa"/>
            <w:tcBorders>
              <w:top w:val="nil"/>
              <w:left w:val="nil"/>
              <w:bottom w:val="nil"/>
              <w:right w:val="nil"/>
            </w:tcBorders>
            <w:shd w:val="clear" w:color="auto" w:fill="auto"/>
            <w:noWrap/>
            <w:vAlign w:val="center"/>
          </w:tcPr>
          <w:p w:rsidR="00030311" w:rsidRPr="003822A5" w:rsidRDefault="00030311" w:rsidP="00030311">
            <w:pPr>
              <w:spacing w:after="0" w:line="240" w:lineRule="auto"/>
              <w:jc w:val="center"/>
              <w:rPr>
                <w:rFonts w:cs="Arial"/>
                <w:color w:val="000000"/>
                <w:sz w:val="16"/>
                <w:szCs w:val="16"/>
              </w:rPr>
            </w:pPr>
            <w:r w:rsidRPr="003822A5">
              <w:rPr>
                <w:rFonts w:cs="Arial"/>
                <w:color w:val="000000"/>
                <w:sz w:val="16"/>
                <w:szCs w:val="16"/>
              </w:rPr>
              <w:t>28,0</w:t>
            </w:r>
          </w:p>
        </w:tc>
        <w:tc>
          <w:tcPr>
            <w:tcW w:w="567" w:type="dxa"/>
            <w:tcBorders>
              <w:top w:val="nil"/>
              <w:left w:val="nil"/>
              <w:bottom w:val="nil"/>
              <w:right w:val="nil"/>
            </w:tcBorders>
            <w:shd w:val="clear" w:color="auto" w:fill="auto"/>
            <w:noWrap/>
            <w:vAlign w:val="center"/>
          </w:tcPr>
          <w:p w:rsidR="00030311" w:rsidRPr="003822A5" w:rsidRDefault="00030311" w:rsidP="00030311">
            <w:pPr>
              <w:spacing w:after="0" w:line="240" w:lineRule="auto"/>
              <w:jc w:val="center"/>
              <w:rPr>
                <w:rFonts w:cs="Arial"/>
                <w:color w:val="000000"/>
                <w:sz w:val="16"/>
                <w:szCs w:val="16"/>
              </w:rPr>
            </w:pPr>
            <w:r w:rsidRPr="003822A5">
              <w:rPr>
                <w:rFonts w:cs="Arial"/>
                <w:color w:val="000000"/>
                <w:sz w:val="16"/>
                <w:szCs w:val="16"/>
              </w:rPr>
              <w:t>27,9</w:t>
            </w:r>
          </w:p>
        </w:tc>
        <w:tc>
          <w:tcPr>
            <w:tcW w:w="567" w:type="dxa"/>
            <w:tcBorders>
              <w:top w:val="nil"/>
              <w:left w:val="nil"/>
              <w:bottom w:val="nil"/>
              <w:right w:val="nil"/>
            </w:tcBorders>
            <w:shd w:val="clear" w:color="auto" w:fill="auto"/>
            <w:noWrap/>
            <w:vAlign w:val="center"/>
          </w:tcPr>
          <w:p w:rsidR="00030311" w:rsidRPr="003822A5" w:rsidRDefault="00030311" w:rsidP="00030311">
            <w:pPr>
              <w:spacing w:after="0" w:line="240" w:lineRule="auto"/>
              <w:jc w:val="center"/>
              <w:rPr>
                <w:rFonts w:cs="Arial"/>
                <w:color w:val="000000"/>
                <w:sz w:val="16"/>
                <w:szCs w:val="16"/>
              </w:rPr>
            </w:pPr>
            <w:r w:rsidRPr="003822A5">
              <w:rPr>
                <w:rFonts w:cs="Arial"/>
                <w:color w:val="000000"/>
                <w:sz w:val="16"/>
                <w:szCs w:val="16"/>
              </w:rPr>
              <w:t>29,9</w:t>
            </w:r>
          </w:p>
        </w:tc>
        <w:tc>
          <w:tcPr>
            <w:tcW w:w="567" w:type="dxa"/>
            <w:tcBorders>
              <w:top w:val="nil"/>
              <w:left w:val="nil"/>
              <w:bottom w:val="nil"/>
              <w:right w:val="nil"/>
            </w:tcBorders>
            <w:shd w:val="clear" w:color="auto" w:fill="auto"/>
            <w:noWrap/>
            <w:vAlign w:val="center"/>
          </w:tcPr>
          <w:p w:rsidR="00030311" w:rsidRPr="003822A5" w:rsidRDefault="00030311" w:rsidP="00030311">
            <w:pPr>
              <w:spacing w:after="0" w:line="240" w:lineRule="auto"/>
              <w:jc w:val="center"/>
              <w:rPr>
                <w:rFonts w:cs="Arial"/>
                <w:color w:val="000000"/>
                <w:sz w:val="16"/>
                <w:szCs w:val="16"/>
              </w:rPr>
            </w:pPr>
            <w:r w:rsidRPr="003822A5">
              <w:rPr>
                <w:rFonts w:cs="Arial"/>
                <w:color w:val="000000"/>
                <w:sz w:val="16"/>
                <w:szCs w:val="16"/>
              </w:rPr>
              <w:t>30,8</w:t>
            </w:r>
          </w:p>
        </w:tc>
        <w:tc>
          <w:tcPr>
            <w:tcW w:w="567" w:type="dxa"/>
            <w:tcBorders>
              <w:top w:val="nil"/>
              <w:left w:val="nil"/>
              <w:bottom w:val="nil"/>
              <w:right w:val="nil"/>
            </w:tcBorders>
            <w:shd w:val="clear" w:color="auto" w:fill="auto"/>
            <w:noWrap/>
            <w:vAlign w:val="center"/>
          </w:tcPr>
          <w:p w:rsidR="00030311" w:rsidRPr="003822A5" w:rsidRDefault="00030311" w:rsidP="00030311">
            <w:pPr>
              <w:spacing w:after="0" w:line="240" w:lineRule="auto"/>
              <w:jc w:val="center"/>
              <w:rPr>
                <w:rFonts w:cs="Arial"/>
                <w:color w:val="000000"/>
                <w:sz w:val="16"/>
                <w:szCs w:val="16"/>
              </w:rPr>
            </w:pPr>
            <w:r w:rsidRPr="003822A5">
              <w:rPr>
                <w:rFonts w:cs="Arial"/>
                <w:color w:val="000000"/>
                <w:sz w:val="16"/>
                <w:szCs w:val="16"/>
              </w:rPr>
              <w:t>41,5</w:t>
            </w:r>
          </w:p>
        </w:tc>
        <w:tc>
          <w:tcPr>
            <w:tcW w:w="567" w:type="dxa"/>
            <w:tcBorders>
              <w:top w:val="nil"/>
              <w:left w:val="nil"/>
              <w:bottom w:val="nil"/>
              <w:right w:val="nil"/>
            </w:tcBorders>
            <w:shd w:val="clear" w:color="auto" w:fill="auto"/>
            <w:noWrap/>
            <w:vAlign w:val="center"/>
          </w:tcPr>
          <w:p w:rsidR="00030311" w:rsidRPr="003822A5" w:rsidRDefault="00030311" w:rsidP="00030311">
            <w:pPr>
              <w:spacing w:after="0" w:line="240" w:lineRule="auto"/>
              <w:jc w:val="center"/>
              <w:rPr>
                <w:rFonts w:cs="Arial"/>
                <w:color w:val="000000"/>
                <w:sz w:val="16"/>
                <w:szCs w:val="16"/>
              </w:rPr>
            </w:pPr>
            <w:r w:rsidRPr="003822A5">
              <w:rPr>
                <w:rFonts w:cs="Arial"/>
                <w:color w:val="000000"/>
                <w:sz w:val="16"/>
                <w:szCs w:val="16"/>
              </w:rPr>
              <w:t>39,2</w:t>
            </w:r>
          </w:p>
        </w:tc>
        <w:tc>
          <w:tcPr>
            <w:tcW w:w="567" w:type="dxa"/>
            <w:tcBorders>
              <w:top w:val="nil"/>
              <w:left w:val="nil"/>
              <w:bottom w:val="nil"/>
              <w:right w:val="nil"/>
            </w:tcBorders>
            <w:shd w:val="clear" w:color="auto" w:fill="auto"/>
            <w:noWrap/>
            <w:vAlign w:val="center"/>
          </w:tcPr>
          <w:p w:rsidR="00030311" w:rsidRPr="003822A5" w:rsidRDefault="00030311" w:rsidP="00030311">
            <w:pPr>
              <w:spacing w:after="0" w:line="240" w:lineRule="auto"/>
              <w:jc w:val="center"/>
              <w:rPr>
                <w:rFonts w:cs="Arial"/>
                <w:color w:val="000000"/>
                <w:sz w:val="16"/>
                <w:szCs w:val="16"/>
              </w:rPr>
            </w:pPr>
            <w:r w:rsidRPr="003822A5">
              <w:rPr>
                <w:rFonts w:cs="Arial"/>
                <w:color w:val="000000"/>
                <w:sz w:val="16"/>
                <w:szCs w:val="16"/>
              </w:rPr>
              <w:t>51,9</w:t>
            </w:r>
          </w:p>
        </w:tc>
        <w:tc>
          <w:tcPr>
            <w:tcW w:w="559" w:type="dxa"/>
            <w:vAlign w:val="center"/>
          </w:tcPr>
          <w:p w:rsidR="00030311" w:rsidRPr="003822A5" w:rsidRDefault="00030311" w:rsidP="00030311">
            <w:pPr>
              <w:spacing w:after="0" w:line="240" w:lineRule="auto"/>
              <w:jc w:val="right"/>
              <w:rPr>
                <w:rFonts w:cs="Arial"/>
                <w:color w:val="000000"/>
                <w:sz w:val="16"/>
                <w:szCs w:val="16"/>
              </w:rPr>
            </w:pPr>
            <w:r w:rsidRPr="003822A5">
              <w:rPr>
                <w:rFonts w:cs="Arial"/>
                <w:color w:val="000000"/>
                <w:sz w:val="16"/>
                <w:szCs w:val="16"/>
              </w:rPr>
              <w:t>38,2</w:t>
            </w:r>
          </w:p>
        </w:tc>
        <w:tc>
          <w:tcPr>
            <w:tcW w:w="500" w:type="dxa"/>
            <w:vAlign w:val="center"/>
          </w:tcPr>
          <w:p w:rsidR="00030311" w:rsidRPr="00647EA1" w:rsidRDefault="00647EA1" w:rsidP="00030311">
            <w:pPr>
              <w:spacing w:after="0" w:line="240" w:lineRule="auto"/>
              <w:jc w:val="right"/>
              <w:rPr>
                <w:rFonts w:cs="Arial"/>
                <w:color w:val="000000"/>
                <w:sz w:val="16"/>
                <w:szCs w:val="16"/>
              </w:rPr>
            </w:pPr>
            <w:r w:rsidRPr="00647EA1">
              <w:rPr>
                <w:rFonts w:cs="Arial"/>
                <w:color w:val="000000"/>
                <w:sz w:val="16"/>
                <w:szCs w:val="16"/>
              </w:rPr>
              <w:t>41,8</w:t>
            </w:r>
          </w:p>
        </w:tc>
      </w:tr>
      <w:tr w:rsidR="00030311" w:rsidRPr="003822A5" w:rsidTr="00030311">
        <w:trPr>
          <w:trHeight w:val="300"/>
        </w:trPr>
        <w:tc>
          <w:tcPr>
            <w:tcW w:w="3476" w:type="dxa"/>
            <w:tcBorders>
              <w:top w:val="nil"/>
              <w:left w:val="nil"/>
              <w:bottom w:val="nil"/>
              <w:right w:val="single" w:sz="4" w:space="0" w:color="auto"/>
            </w:tcBorders>
            <w:shd w:val="clear" w:color="auto" w:fill="auto"/>
            <w:vAlign w:val="center"/>
            <w:hideMark/>
          </w:tcPr>
          <w:p w:rsidR="00030311" w:rsidRPr="003822A5" w:rsidRDefault="00030311" w:rsidP="00030311">
            <w:pPr>
              <w:spacing w:after="0" w:line="240" w:lineRule="auto"/>
              <w:ind w:firstLineChars="100" w:firstLine="160"/>
              <w:jc w:val="left"/>
              <w:rPr>
                <w:rFonts w:cs="Arial"/>
                <w:color w:val="000000"/>
                <w:sz w:val="16"/>
                <w:szCs w:val="16"/>
              </w:rPr>
            </w:pPr>
            <w:r w:rsidRPr="003822A5">
              <w:rPr>
                <w:rFonts w:cs="Arial"/>
                <w:color w:val="000000"/>
                <w:sz w:val="16"/>
                <w:szCs w:val="16"/>
              </w:rPr>
              <w:t>J – Informační a komunikační činnosti</w:t>
            </w:r>
          </w:p>
        </w:tc>
        <w:tc>
          <w:tcPr>
            <w:tcW w:w="567" w:type="dxa"/>
            <w:tcBorders>
              <w:top w:val="nil"/>
              <w:left w:val="nil"/>
              <w:bottom w:val="nil"/>
              <w:right w:val="nil"/>
            </w:tcBorders>
            <w:shd w:val="clear" w:color="auto" w:fill="auto"/>
            <w:noWrap/>
            <w:vAlign w:val="center"/>
            <w:hideMark/>
          </w:tcPr>
          <w:p w:rsidR="00030311" w:rsidRPr="003822A5" w:rsidRDefault="00030311" w:rsidP="00030311">
            <w:pPr>
              <w:spacing w:after="0" w:line="240" w:lineRule="auto"/>
              <w:jc w:val="center"/>
              <w:rPr>
                <w:rFonts w:cs="Arial"/>
                <w:color w:val="000000"/>
                <w:sz w:val="16"/>
                <w:szCs w:val="16"/>
              </w:rPr>
            </w:pPr>
            <w:r w:rsidRPr="003822A5">
              <w:rPr>
                <w:rFonts w:cs="Arial"/>
                <w:color w:val="000000"/>
                <w:sz w:val="16"/>
                <w:szCs w:val="16"/>
              </w:rPr>
              <w:t>21,7</w:t>
            </w:r>
          </w:p>
        </w:tc>
        <w:tc>
          <w:tcPr>
            <w:tcW w:w="567" w:type="dxa"/>
            <w:tcBorders>
              <w:top w:val="nil"/>
              <w:left w:val="nil"/>
              <w:bottom w:val="nil"/>
              <w:right w:val="nil"/>
            </w:tcBorders>
            <w:shd w:val="clear" w:color="auto" w:fill="auto"/>
            <w:noWrap/>
            <w:vAlign w:val="center"/>
          </w:tcPr>
          <w:p w:rsidR="00030311" w:rsidRPr="003822A5" w:rsidRDefault="00030311" w:rsidP="00030311">
            <w:pPr>
              <w:spacing w:after="0" w:line="240" w:lineRule="auto"/>
              <w:jc w:val="center"/>
              <w:rPr>
                <w:rFonts w:cs="Arial"/>
                <w:color w:val="000000"/>
                <w:sz w:val="16"/>
                <w:szCs w:val="16"/>
              </w:rPr>
            </w:pPr>
            <w:r w:rsidRPr="003822A5">
              <w:rPr>
                <w:rFonts w:cs="Arial"/>
                <w:color w:val="000000"/>
                <w:sz w:val="16"/>
                <w:szCs w:val="16"/>
              </w:rPr>
              <w:t>23,1</w:t>
            </w:r>
          </w:p>
        </w:tc>
        <w:tc>
          <w:tcPr>
            <w:tcW w:w="567" w:type="dxa"/>
            <w:tcBorders>
              <w:top w:val="nil"/>
              <w:left w:val="nil"/>
              <w:bottom w:val="nil"/>
              <w:right w:val="nil"/>
            </w:tcBorders>
            <w:shd w:val="clear" w:color="auto" w:fill="auto"/>
            <w:noWrap/>
            <w:vAlign w:val="center"/>
          </w:tcPr>
          <w:p w:rsidR="00030311" w:rsidRPr="003822A5" w:rsidRDefault="00030311" w:rsidP="00030311">
            <w:pPr>
              <w:spacing w:after="0" w:line="240" w:lineRule="auto"/>
              <w:jc w:val="center"/>
              <w:rPr>
                <w:rFonts w:cs="Arial"/>
                <w:color w:val="000000"/>
                <w:sz w:val="16"/>
                <w:szCs w:val="16"/>
              </w:rPr>
            </w:pPr>
            <w:r w:rsidRPr="003822A5">
              <w:rPr>
                <w:rFonts w:cs="Arial"/>
                <w:color w:val="000000"/>
                <w:sz w:val="16"/>
                <w:szCs w:val="16"/>
              </w:rPr>
              <w:t>23,8</w:t>
            </w:r>
          </w:p>
        </w:tc>
        <w:tc>
          <w:tcPr>
            <w:tcW w:w="567" w:type="dxa"/>
            <w:tcBorders>
              <w:top w:val="nil"/>
              <w:left w:val="nil"/>
              <w:bottom w:val="nil"/>
              <w:right w:val="nil"/>
            </w:tcBorders>
            <w:shd w:val="clear" w:color="auto" w:fill="auto"/>
            <w:noWrap/>
            <w:vAlign w:val="center"/>
          </w:tcPr>
          <w:p w:rsidR="00030311" w:rsidRPr="003822A5" w:rsidRDefault="00030311" w:rsidP="00030311">
            <w:pPr>
              <w:spacing w:after="0" w:line="240" w:lineRule="auto"/>
              <w:jc w:val="center"/>
              <w:rPr>
                <w:rFonts w:cs="Arial"/>
                <w:color w:val="000000"/>
                <w:sz w:val="16"/>
                <w:szCs w:val="16"/>
              </w:rPr>
            </w:pPr>
            <w:r w:rsidRPr="003822A5">
              <w:rPr>
                <w:rFonts w:cs="Arial"/>
                <w:color w:val="000000"/>
                <w:sz w:val="16"/>
                <w:szCs w:val="16"/>
              </w:rPr>
              <w:t>24,7</w:t>
            </w:r>
          </w:p>
        </w:tc>
        <w:tc>
          <w:tcPr>
            <w:tcW w:w="567" w:type="dxa"/>
            <w:tcBorders>
              <w:top w:val="nil"/>
              <w:left w:val="nil"/>
              <w:bottom w:val="nil"/>
              <w:right w:val="nil"/>
            </w:tcBorders>
            <w:shd w:val="clear" w:color="auto" w:fill="auto"/>
            <w:noWrap/>
            <w:vAlign w:val="center"/>
          </w:tcPr>
          <w:p w:rsidR="00030311" w:rsidRPr="003822A5" w:rsidRDefault="00030311" w:rsidP="00030311">
            <w:pPr>
              <w:spacing w:after="0" w:line="240" w:lineRule="auto"/>
              <w:jc w:val="center"/>
              <w:rPr>
                <w:rFonts w:cs="Arial"/>
                <w:color w:val="000000"/>
                <w:sz w:val="16"/>
                <w:szCs w:val="16"/>
              </w:rPr>
            </w:pPr>
            <w:r w:rsidRPr="003822A5">
              <w:rPr>
                <w:rFonts w:cs="Arial"/>
                <w:color w:val="000000"/>
                <w:sz w:val="16"/>
                <w:szCs w:val="16"/>
              </w:rPr>
              <w:t>25,7</w:t>
            </w:r>
          </w:p>
        </w:tc>
        <w:tc>
          <w:tcPr>
            <w:tcW w:w="567" w:type="dxa"/>
            <w:tcBorders>
              <w:top w:val="nil"/>
              <w:left w:val="nil"/>
              <w:bottom w:val="nil"/>
              <w:right w:val="nil"/>
            </w:tcBorders>
            <w:shd w:val="clear" w:color="auto" w:fill="auto"/>
            <w:noWrap/>
            <w:vAlign w:val="center"/>
          </w:tcPr>
          <w:p w:rsidR="00030311" w:rsidRPr="003822A5" w:rsidRDefault="00030311" w:rsidP="00030311">
            <w:pPr>
              <w:spacing w:after="0" w:line="240" w:lineRule="auto"/>
              <w:jc w:val="center"/>
              <w:rPr>
                <w:rFonts w:cs="Arial"/>
                <w:color w:val="000000"/>
                <w:sz w:val="16"/>
                <w:szCs w:val="16"/>
              </w:rPr>
            </w:pPr>
            <w:r w:rsidRPr="003822A5">
              <w:rPr>
                <w:rFonts w:cs="Arial"/>
                <w:color w:val="000000"/>
                <w:sz w:val="16"/>
                <w:szCs w:val="16"/>
              </w:rPr>
              <w:t>27,3</w:t>
            </w:r>
          </w:p>
        </w:tc>
        <w:tc>
          <w:tcPr>
            <w:tcW w:w="567" w:type="dxa"/>
            <w:tcBorders>
              <w:top w:val="nil"/>
              <w:left w:val="nil"/>
              <w:bottom w:val="nil"/>
              <w:right w:val="nil"/>
            </w:tcBorders>
            <w:shd w:val="clear" w:color="auto" w:fill="auto"/>
            <w:noWrap/>
            <w:vAlign w:val="center"/>
          </w:tcPr>
          <w:p w:rsidR="00030311" w:rsidRPr="003822A5" w:rsidRDefault="00030311" w:rsidP="00030311">
            <w:pPr>
              <w:spacing w:after="0" w:line="240" w:lineRule="auto"/>
              <w:jc w:val="center"/>
              <w:rPr>
                <w:rFonts w:cs="Arial"/>
                <w:color w:val="000000"/>
                <w:sz w:val="16"/>
                <w:szCs w:val="16"/>
              </w:rPr>
            </w:pPr>
            <w:r w:rsidRPr="003822A5">
              <w:rPr>
                <w:rFonts w:cs="Arial"/>
                <w:color w:val="000000"/>
                <w:sz w:val="16"/>
                <w:szCs w:val="16"/>
              </w:rPr>
              <w:t>26,0</w:t>
            </w:r>
          </w:p>
        </w:tc>
        <w:tc>
          <w:tcPr>
            <w:tcW w:w="567" w:type="dxa"/>
            <w:tcBorders>
              <w:top w:val="nil"/>
              <w:left w:val="nil"/>
              <w:bottom w:val="nil"/>
              <w:right w:val="nil"/>
            </w:tcBorders>
            <w:shd w:val="clear" w:color="auto" w:fill="auto"/>
            <w:noWrap/>
            <w:vAlign w:val="center"/>
          </w:tcPr>
          <w:p w:rsidR="00030311" w:rsidRPr="003822A5" w:rsidRDefault="00030311" w:rsidP="00030311">
            <w:pPr>
              <w:spacing w:after="0" w:line="240" w:lineRule="auto"/>
              <w:jc w:val="center"/>
              <w:rPr>
                <w:rFonts w:cs="Arial"/>
                <w:color w:val="000000"/>
                <w:sz w:val="16"/>
                <w:szCs w:val="16"/>
              </w:rPr>
            </w:pPr>
            <w:r w:rsidRPr="003822A5">
              <w:rPr>
                <w:rFonts w:cs="Arial"/>
                <w:color w:val="000000"/>
                <w:sz w:val="16"/>
                <w:szCs w:val="16"/>
              </w:rPr>
              <w:t>28,9</w:t>
            </w:r>
          </w:p>
        </w:tc>
        <w:tc>
          <w:tcPr>
            <w:tcW w:w="567" w:type="dxa"/>
            <w:tcBorders>
              <w:top w:val="nil"/>
              <w:left w:val="nil"/>
              <w:bottom w:val="nil"/>
              <w:right w:val="nil"/>
            </w:tcBorders>
            <w:shd w:val="clear" w:color="auto" w:fill="auto"/>
            <w:noWrap/>
            <w:vAlign w:val="center"/>
          </w:tcPr>
          <w:p w:rsidR="00030311" w:rsidRPr="003822A5" w:rsidRDefault="00030311" w:rsidP="00030311">
            <w:pPr>
              <w:spacing w:after="0" w:line="240" w:lineRule="auto"/>
              <w:jc w:val="center"/>
              <w:rPr>
                <w:rFonts w:cs="Arial"/>
                <w:color w:val="000000"/>
                <w:sz w:val="16"/>
                <w:szCs w:val="16"/>
              </w:rPr>
            </w:pPr>
            <w:r w:rsidRPr="003822A5">
              <w:rPr>
                <w:rFonts w:cs="Arial"/>
                <w:color w:val="000000"/>
                <w:sz w:val="16"/>
                <w:szCs w:val="16"/>
              </w:rPr>
              <w:t>38,7</w:t>
            </w:r>
          </w:p>
        </w:tc>
        <w:tc>
          <w:tcPr>
            <w:tcW w:w="559" w:type="dxa"/>
            <w:vAlign w:val="center"/>
          </w:tcPr>
          <w:p w:rsidR="00030311" w:rsidRPr="003822A5" w:rsidRDefault="00030311" w:rsidP="00030311">
            <w:pPr>
              <w:spacing w:after="0" w:line="240" w:lineRule="auto"/>
              <w:jc w:val="right"/>
              <w:rPr>
                <w:rFonts w:cs="Arial"/>
                <w:color w:val="000000"/>
                <w:sz w:val="16"/>
                <w:szCs w:val="16"/>
              </w:rPr>
            </w:pPr>
            <w:r w:rsidRPr="003822A5">
              <w:rPr>
                <w:rFonts w:cs="Arial"/>
                <w:color w:val="000000"/>
                <w:sz w:val="16"/>
                <w:szCs w:val="16"/>
              </w:rPr>
              <w:t>30,2</w:t>
            </w:r>
          </w:p>
        </w:tc>
        <w:tc>
          <w:tcPr>
            <w:tcW w:w="500" w:type="dxa"/>
            <w:vAlign w:val="center"/>
          </w:tcPr>
          <w:p w:rsidR="00030311" w:rsidRPr="00647EA1" w:rsidRDefault="00647EA1" w:rsidP="00030311">
            <w:pPr>
              <w:spacing w:after="0" w:line="240" w:lineRule="auto"/>
              <w:jc w:val="right"/>
              <w:rPr>
                <w:rFonts w:cs="Arial"/>
                <w:color w:val="000000"/>
                <w:sz w:val="16"/>
                <w:szCs w:val="16"/>
              </w:rPr>
            </w:pPr>
            <w:r w:rsidRPr="00647EA1">
              <w:rPr>
                <w:rFonts w:cs="Arial"/>
                <w:color w:val="000000"/>
                <w:sz w:val="16"/>
                <w:szCs w:val="16"/>
              </w:rPr>
              <w:t>30,0</w:t>
            </w:r>
          </w:p>
        </w:tc>
      </w:tr>
      <w:tr w:rsidR="00030311" w:rsidRPr="003822A5" w:rsidTr="00030311">
        <w:trPr>
          <w:trHeight w:val="300"/>
        </w:trPr>
        <w:tc>
          <w:tcPr>
            <w:tcW w:w="3476" w:type="dxa"/>
            <w:tcBorders>
              <w:top w:val="nil"/>
              <w:left w:val="nil"/>
              <w:bottom w:val="nil"/>
              <w:right w:val="single" w:sz="4" w:space="0" w:color="auto"/>
            </w:tcBorders>
            <w:shd w:val="clear" w:color="auto" w:fill="auto"/>
            <w:vAlign w:val="center"/>
            <w:hideMark/>
          </w:tcPr>
          <w:p w:rsidR="00030311" w:rsidRPr="003822A5" w:rsidRDefault="00030311" w:rsidP="00030311">
            <w:pPr>
              <w:spacing w:after="0" w:line="240" w:lineRule="auto"/>
              <w:ind w:firstLineChars="100" w:firstLine="160"/>
              <w:jc w:val="left"/>
              <w:rPr>
                <w:rFonts w:cs="Arial"/>
                <w:color w:val="000000"/>
                <w:sz w:val="16"/>
                <w:szCs w:val="16"/>
              </w:rPr>
            </w:pPr>
            <w:r w:rsidRPr="003822A5">
              <w:rPr>
                <w:rFonts w:cs="Arial"/>
                <w:color w:val="000000"/>
                <w:sz w:val="16"/>
                <w:szCs w:val="16"/>
              </w:rPr>
              <w:t>K – Peněžnictví a pojišťovnictví</w:t>
            </w:r>
          </w:p>
        </w:tc>
        <w:tc>
          <w:tcPr>
            <w:tcW w:w="567" w:type="dxa"/>
            <w:tcBorders>
              <w:top w:val="nil"/>
              <w:left w:val="nil"/>
              <w:bottom w:val="nil"/>
              <w:right w:val="nil"/>
            </w:tcBorders>
            <w:shd w:val="clear" w:color="auto" w:fill="auto"/>
            <w:noWrap/>
            <w:vAlign w:val="center"/>
            <w:hideMark/>
          </w:tcPr>
          <w:p w:rsidR="00030311" w:rsidRPr="003822A5" w:rsidRDefault="00030311" w:rsidP="00030311">
            <w:pPr>
              <w:spacing w:after="0" w:line="240" w:lineRule="auto"/>
              <w:jc w:val="center"/>
              <w:rPr>
                <w:rFonts w:cs="Arial"/>
                <w:color w:val="000000"/>
                <w:sz w:val="16"/>
                <w:szCs w:val="16"/>
              </w:rPr>
            </w:pPr>
            <w:r w:rsidRPr="003822A5">
              <w:rPr>
                <w:rFonts w:cs="Arial"/>
                <w:color w:val="000000"/>
                <w:sz w:val="16"/>
                <w:szCs w:val="16"/>
              </w:rPr>
              <w:t>25,2</w:t>
            </w:r>
          </w:p>
        </w:tc>
        <w:tc>
          <w:tcPr>
            <w:tcW w:w="567" w:type="dxa"/>
            <w:tcBorders>
              <w:top w:val="nil"/>
              <w:left w:val="nil"/>
              <w:bottom w:val="nil"/>
              <w:right w:val="nil"/>
            </w:tcBorders>
            <w:shd w:val="clear" w:color="auto" w:fill="auto"/>
            <w:noWrap/>
            <w:vAlign w:val="center"/>
          </w:tcPr>
          <w:p w:rsidR="00030311" w:rsidRPr="003822A5" w:rsidRDefault="00030311" w:rsidP="00030311">
            <w:pPr>
              <w:spacing w:after="0" w:line="240" w:lineRule="auto"/>
              <w:jc w:val="center"/>
              <w:rPr>
                <w:rFonts w:cs="Arial"/>
                <w:color w:val="000000"/>
                <w:sz w:val="16"/>
                <w:szCs w:val="16"/>
              </w:rPr>
            </w:pPr>
            <w:r w:rsidRPr="003822A5">
              <w:rPr>
                <w:rFonts w:cs="Arial"/>
                <w:color w:val="000000"/>
                <w:sz w:val="16"/>
                <w:szCs w:val="16"/>
              </w:rPr>
              <w:t>28,3</w:t>
            </w:r>
          </w:p>
        </w:tc>
        <w:tc>
          <w:tcPr>
            <w:tcW w:w="567" w:type="dxa"/>
            <w:tcBorders>
              <w:top w:val="nil"/>
              <w:left w:val="nil"/>
              <w:bottom w:val="nil"/>
              <w:right w:val="nil"/>
            </w:tcBorders>
            <w:shd w:val="clear" w:color="auto" w:fill="auto"/>
            <w:noWrap/>
            <w:vAlign w:val="center"/>
          </w:tcPr>
          <w:p w:rsidR="00030311" w:rsidRPr="003822A5" w:rsidRDefault="00030311" w:rsidP="00030311">
            <w:pPr>
              <w:spacing w:after="0" w:line="240" w:lineRule="auto"/>
              <w:jc w:val="center"/>
              <w:rPr>
                <w:rFonts w:cs="Arial"/>
                <w:color w:val="000000"/>
                <w:sz w:val="16"/>
                <w:szCs w:val="16"/>
              </w:rPr>
            </w:pPr>
            <w:r w:rsidRPr="003822A5">
              <w:rPr>
                <w:rFonts w:cs="Arial"/>
                <w:color w:val="000000"/>
                <w:sz w:val="16"/>
                <w:szCs w:val="16"/>
              </w:rPr>
              <w:t>27,8</w:t>
            </w:r>
          </w:p>
        </w:tc>
        <w:tc>
          <w:tcPr>
            <w:tcW w:w="567" w:type="dxa"/>
            <w:tcBorders>
              <w:top w:val="nil"/>
              <w:left w:val="nil"/>
              <w:bottom w:val="nil"/>
              <w:right w:val="nil"/>
            </w:tcBorders>
            <w:shd w:val="clear" w:color="auto" w:fill="auto"/>
            <w:noWrap/>
            <w:vAlign w:val="center"/>
          </w:tcPr>
          <w:p w:rsidR="00030311" w:rsidRPr="003822A5" w:rsidRDefault="00030311" w:rsidP="00030311">
            <w:pPr>
              <w:spacing w:after="0" w:line="240" w:lineRule="auto"/>
              <w:jc w:val="center"/>
              <w:rPr>
                <w:rFonts w:cs="Arial"/>
                <w:color w:val="000000"/>
                <w:sz w:val="16"/>
                <w:szCs w:val="16"/>
              </w:rPr>
            </w:pPr>
            <w:r w:rsidRPr="003822A5">
              <w:rPr>
                <w:rFonts w:cs="Arial"/>
                <w:color w:val="000000"/>
                <w:sz w:val="16"/>
                <w:szCs w:val="16"/>
              </w:rPr>
              <w:t>27,3</w:t>
            </w:r>
          </w:p>
        </w:tc>
        <w:tc>
          <w:tcPr>
            <w:tcW w:w="567" w:type="dxa"/>
            <w:tcBorders>
              <w:top w:val="nil"/>
              <w:left w:val="nil"/>
              <w:bottom w:val="nil"/>
              <w:right w:val="nil"/>
            </w:tcBorders>
            <w:shd w:val="clear" w:color="auto" w:fill="auto"/>
            <w:noWrap/>
            <w:vAlign w:val="center"/>
          </w:tcPr>
          <w:p w:rsidR="00030311" w:rsidRPr="003822A5" w:rsidRDefault="00030311" w:rsidP="00030311">
            <w:pPr>
              <w:spacing w:after="0" w:line="240" w:lineRule="auto"/>
              <w:jc w:val="center"/>
              <w:rPr>
                <w:rFonts w:cs="Arial"/>
                <w:color w:val="000000"/>
                <w:sz w:val="16"/>
                <w:szCs w:val="16"/>
              </w:rPr>
            </w:pPr>
            <w:r w:rsidRPr="003822A5">
              <w:rPr>
                <w:rFonts w:cs="Arial"/>
                <w:color w:val="000000"/>
                <w:sz w:val="16"/>
                <w:szCs w:val="16"/>
              </w:rPr>
              <w:t>29,4</w:t>
            </w:r>
          </w:p>
        </w:tc>
        <w:tc>
          <w:tcPr>
            <w:tcW w:w="567" w:type="dxa"/>
            <w:tcBorders>
              <w:top w:val="nil"/>
              <w:left w:val="nil"/>
              <w:bottom w:val="nil"/>
              <w:right w:val="nil"/>
            </w:tcBorders>
            <w:shd w:val="clear" w:color="auto" w:fill="auto"/>
            <w:noWrap/>
            <w:vAlign w:val="center"/>
          </w:tcPr>
          <w:p w:rsidR="00030311" w:rsidRPr="003822A5" w:rsidRDefault="00030311" w:rsidP="00030311">
            <w:pPr>
              <w:spacing w:after="0" w:line="240" w:lineRule="auto"/>
              <w:jc w:val="center"/>
              <w:rPr>
                <w:rFonts w:cs="Arial"/>
                <w:color w:val="000000"/>
                <w:sz w:val="16"/>
                <w:szCs w:val="16"/>
              </w:rPr>
            </w:pPr>
            <w:r w:rsidRPr="003822A5">
              <w:rPr>
                <w:rFonts w:cs="Arial"/>
                <w:color w:val="000000"/>
                <w:sz w:val="16"/>
                <w:szCs w:val="16"/>
              </w:rPr>
              <w:t>30,9</w:t>
            </w:r>
          </w:p>
        </w:tc>
        <w:tc>
          <w:tcPr>
            <w:tcW w:w="567" w:type="dxa"/>
            <w:tcBorders>
              <w:top w:val="nil"/>
              <w:left w:val="nil"/>
              <w:bottom w:val="nil"/>
              <w:right w:val="nil"/>
            </w:tcBorders>
            <w:shd w:val="clear" w:color="auto" w:fill="auto"/>
            <w:noWrap/>
            <w:vAlign w:val="center"/>
          </w:tcPr>
          <w:p w:rsidR="00030311" w:rsidRPr="003822A5" w:rsidRDefault="00030311" w:rsidP="00030311">
            <w:pPr>
              <w:spacing w:after="0" w:line="240" w:lineRule="auto"/>
              <w:jc w:val="center"/>
              <w:rPr>
                <w:rFonts w:cs="Arial"/>
                <w:color w:val="000000"/>
                <w:sz w:val="16"/>
                <w:szCs w:val="16"/>
              </w:rPr>
            </w:pPr>
            <w:r w:rsidRPr="003822A5">
              <w:rPr>
                <w:rFonts w:cs="Arial"/>
                <w:color w:val="000000"/>
                <w:sz w:val="16"/>
                <w:szCs w:val="16"/>
              </w:rPr>
              <w:t>30,2</w:t>
            </w:r>
          </w:p>
        </w:tc>
        <w:tc>
          <w:tcPr>
            <w:tcW w:w="567" w:type="dxa"/>
            <w:tcBorders>
              <w:top w:val="nil"/>
              <w:left w:val="nil"/>
              <w:bottom w:val="nil"/>
              <w:right w:val="nil"/>
            </w:tcBorders>
            <w:shd w:val="clear" w:color="auto" w:fill="auto"/>
            <w:noWrap/>
            <w:vAlign w:val="center"/>
          </w:tcPr>
          <w:p w:rsidR="00030311" w:rsidRPr="003822A5" w:rsidRDefault="00030311" w:rsidP="00030311">
            <w:pPr>
              <w:spacing w:after="0" w:line="240" w:lineRule="auto"/>
              <w:jc w:val="center"/>
              <w:rPr>
                <w:rFonts w:cs="Arial"/>
                <w:color w:val="000000"/>
                <w:sz w:val="16"/>
                <w:szCs w:val="16"/>
              </w:rPr>
            </w:pPr>
            <w:r w:rsidRPr="003822A5">
              <w:rPr>
                <w:rFonts w:cs="Arial"/>
                <w:color w:val="000000"/>
                <w:sz w:val="16"/>
                <w:szCs w:val="16"/>
              </w:rPr>
              <w:t>31,2</w:t>
            </w:r>
          </w:p>
        </w:tc>
        <w:tc>
          <w:tcPr>
            <w:tcW w:w="567" w:type="dxa"/>
            <w:tcBorders>
              <w:top w:val="nil"/>
              <w:left w:val="nil"/>
              <w:bottom w:val="nil"/>
              <w:right w:val="nil"/>
            </w:tcBorders>
            <w:shd w:val="clear" w:color="auto" w:fill="auto"/>
            <w:noWrap/>
            <w:vAlign w:val="center"/>
          </w:tcPr>
          <w:p w:rsidR="00030311" w:rsidRPr="003822A5" w:rsidRDefault="00030311" w:rsidP="00030311">
            <w:pPr>
              <w:spacing w:after="0" w:line="240" w:lineRule="auto"/>
              <w:jc w:val="center"/>
              <w:rPr>
                <w:rFonts w:cs="Arial"/>
                <w:color w:val="000000"/>
                <w:sz w:val="16"/>
                <w:szCs w:val="16"/>
              </w:rPr>
            </w:pPr>
            <w:r w:rsidRPr="003822A5">
              <w:rPr>
                <w:rFonts w:cs="Arial"/>
                <w:color w:val="000000"/>
                <w:sz w:val="16"/>
                <w:szCs w:val="16"/>
              </w:rPr>
              <w:t>41,7</w:t>
            </w:r>
          </w:p>
        </w:tc>
        <w:tc>
          <w:tcPr>
            <w:tcW w:w="559" w:type="dxa"/>
            <w:vAlign w:val="center"/>
          </w:tcPr>
          <w:p w:rsidR="00030311" w:rsidRPr="003822A5" w:rsidRDefault="00030311" w:rsidP="00030311">
            <w:pPr>
              <w:spacing w:after="0" w:line="240" w:lineRule="auto"/>
              <w:jc w:val="right"/>
              <w:rPr>
                <w:rFonts w:cs="Arial"/>
                <w:color w:val="000000"/>
                <w:sz w:val="16"/>
                <w:szCs w:val="16"/>
              </w:rPr>
            </w:pPr>
            <w:r w:rsidRPr="003822A5">
              <w:rPr>
                <w:rFonts w:cs="Arial"/>
                <w:color w:val="000000"/>
                <w:sz w:val="16"/>
                <w:szCs w:val="16"/>
              </w:rPr>
              <w:t>33,7</w:t>
            </w:r>
          </w:p>
        </w:tc>
        <w:tc>
          <w:tcPr>
            <w:tcW w:w="500" w:type="dxa"/>
            <w:vAlign w:val="center"/>
          </w:tcPr>
          <w:p w:rsidR="00030311" w:rsidRPr="00647EA1" w:rsidRDefault="00647EA1" w:rsidP="00030311">
            <w:pPr>
              <w:spacing w:after="0" w:line="240" w:lineRule="auto"/>
              <w:jc w:val="right"/>
              <w:rPr>
                <w:rFonts w:cs="Arial"/>
                <w:color w:val="000000"/>
                <w:sz w:val="16"/>
                <w:szCs w:val="16"/>
              </w:rPr>
            </w:pPr>
            <w:r w:rsidRPr="00647EA1">
              <w:rPr>
                <w:rFonts w:cs="Arial"/>
                <w:color w:val="000000"/>
                <w:sz w:val="16"/>
                <w:szCs w:val="16"/>
              </w:rPr>
              <w:t>32,5</w:t>
            </w:r>
          </w:p>
        </w:tc>
      </w:tr>
      <w:tr w:rsidR="00030311" w:rsidRPr="003822A5" w:rsidTr="00030311">
        <w:trPr>
          <w:trHeight w:val="300"/>
        </w:trPr>
        <w:tc>
          <w:tcPr>
            <w:tcW w:w="3476" w:type="dxa"/>
            <w:tcBorders>
              <w:top w:val="nil"/>
              <w:left w:val="nil"/>
              <w:bottom w:val="nil"/>
              <w:right w:val="single" w:sz="4" w:space="0" w:color="auto"/>
            </w:tcBorders>
            <w:shd w:val="clear" w:color="auto" w:fill="auto"/>
            <w:vAlign w:val="center"/>
            <w:hideMark/>
          </w:tcPr>
          <w:p w:rsidR="00030311" w:rsidRPr="003822A5" w:rsidRDefault="00030311" w:rsidP="00030311">
            <w:pPr>
              <w:spacing w:after="0" w:line="240" w:lineRule="auto"/>
              <w:ind w:firstLineChars="100" w:firstLine="160"/>
              <w:jc w:val="left"/>
              <w:rPr>
                <w:rFonts w:cs="Arial"/>
                <w:color w:val="000000"/>
                <w:sz w:val="16"/>
                <w:szCs w:val="16"/>
              </w:rPr>
            </w:pPr>
            <w:r w:rsidRPr="003822A5">
              <w:rPr>
                <w:rFonts w:cs="Arial"/>
                <w:color w:val="000000"/>
                <w:sz w:val="16"/>
                <w:szCs w:val="16"/>
              </w:rPr>
              <w:t>L – Činnosti v oblasti nemovitostí</w:t>
            </w:r>
          </w:p>
        </w:tc>
        <w:tc>
          <w:tcPr>
            <w:tcW w:w="567" w:type="dxa"/>
            <w:tcBorders>
              <w:top w:val="nil"/>
              <w:left w:val="nil"/>
              <w:bottom w:val="nil"/>
              <w:right w:val="nil"/>
            </w:tcBorders>
            <w:shd w:val="clear" w:color="auto" w:fill="auto"/>
            <w:noWrap/>
            <w:vAlign w:val="center"/>
            <w:hideMark/>
          </w:tcPr>
          <w:p w:rsidR="00030311" w:rsidRPr="003822A5" w:rsidRDefault="00030311" w:rsidP="00030311">
            <w:pPr>
              <w:spacing w:after="0" w:line="240" w:lineRule="auto"/>
              <w:jc w:val="center"/>
              <w:rPr>
                <w:rFonts w:cs="Arial"/>
                <w:color w:val="000000"/>
                <w:sz w:val="16"/>
                <w:szCs w:val="16"/>
              </w:rPr>
            </w:pPr>
            <w:r w:rsidRPr="003822A5">
              <w:rPr>
                <w:rFonts w:cs="Arial"/>
                <w:color w:val="000000"/>
                <w:sz w:val="16"/>
                <w:szCs w:val="16"/>
              </w:rPr>
              <w:t>14,0</w:t>
            </w:r>
          </w:p>
        </w:tc>
        <w:tc>
          <w:tcPr>
            <w:tcW w:w="567" w:type="dxa"/>
            <w:tcBorders>
              <w:top w:val="nil"/>
              <w:left w:val="nil"/>
              <w:bottom w:val="nil"/>
              <w:right w:val="nil"/>
            </w:tcBorders>
            <w:shd w:val="clear" w:color="auto" w:fill="auto"/>
            <w:noWrap/>
            <w:vAlign w:val="center"/>
          </w:tcPr>
          <w:p w:rsidR="00030311" w:rsidRPr="003822A5" w:rsidRDefault="00030311" w:rsidP="00030311">
            <w:pPr>
              <w:spacing w:after="0" w:line="240" w:lineRule="auto"/>
              <w:jc w:val="center"/>
              <w:rPr>
                <w:rFonts w:cs="Arial"/>
                <w:color w:val="000000"/>
                <w:sz w:val="16"/>
                <w:szCs w:val="16"/>
              </w:rPr>
            </w:pPr>
            <w:r w:rsidRPr="003822A5">
              <w:rPr>
                <w:rFonts w:cs="Arial"/>
                <w:color w:val="000000"/>
                <w:sz w:val="16"/>
                <w:szCs w:val="16"/>
              </w:rPr>
              <w:t>16,3</w:t>
            </w:r>
          </w:p>
        </w:tc>
        <w:tc>
          <w:tcPr>
            <w:tcW w:w="567" w:type="dxa"/>
            <w:tcBorders>
              <w:top w:val="nil"/>
              <w:left w:val="nil"/>
              <w:bottom w:val="nil"/>
              <w:right w:val="nil"/>
            </w:tcBorders>
            <w:shd w:val="clear" w:color="auto" w:fill="auto"/>
            <w:noWrap/>
            <w:vAlign w:val="center"/>
          </w:tcPr>
          <w:p w:rsidR="00030311" w:rsidRPr="003822A5" w:rsidRDefault="00030311" w:rsidP="00030311">
            <w:pPr>
              <w:spacing w:after="0" w:line="240" w:lineRule="auto"/>
              <w:jc w:val="center"/>
              <w:rPr>
                <w:rFonts w:cs="Arial"/>
                <w:color w:val="000000"/>
                <w:sz w:val="16"/>
                <w:szCs w:val="16"/>
              </w:rPr>
            </w:pPr>
            <w:r w:rsidRPr="003822A5">
              <w:rPr>
                <w:rFonts w:cs="Arial"/>
                <w:color w:val="000000"/>
                <w:sz w:val="16"/>
                <w:szCs w:val="16"/>
              </w:rPr>
              <w:t>16,5</w:t>
            </w:r>
          </w:p>
        </w:tc>
        <w:tc>
          <w:tcPr>
            <w:tcW w:w="567" w:type="dxa"/>
            <w:tcBorders>
              <w:top w:val="nil"/>
              <w:left w:val="nil"/>
              <w:bottom w:val="nil"/>
              <w:right w:val="nil"/>
            </w:tcBorders>
            <w:shd w:val="clear" w:color="auto" w:fill="auto"/>
            <w:noWrap/>
            <w:vAlign w:val="center"/>
          </w:tcPr>
          <w:p w:rsidR="00030311" w:rsidRPr="003822A5" w:rsidRDefault="00030311" w:rsidP="00030311">
            <w:pPr>
              <w:spacing w:after="0" w:line="240" w:lineRule="auto"/>
              <w:jc w:val="center"/>
              <w:rPr>
                <w:rFonts w:cs="Arial"/>
                <w:color w:val="000000"/>
                <w:sz w:val="16"/>
                <w:szCs w:val="16"/>
              </w:rPr>
            </w:pPr>
            <w:r w:rsidRPr="003822A5">
              <w:rPr>
                <w:rFonts w:cs="Arial"/>
                <w:color w:val="000000"/>
                <w:sz w:val="16"/>
                <w:szCs w:val="16"/>
              </w:rPr>
              <w:t>15,7</w:t>
            </w:r>
          </w:p>
        </w:tc>
        <w:tc>
          <w:tcPr>
            <w:tcW w:w="567" w:type="dxa"/>
            <w:tcBorders>
              <w:top w:val="nil"/>
              <w:left w:val="nil"/>
              <w:bottom w:val="nil"/>
              <w:right w:val="nil"/>
            </w:tcBorders>
            <w:shd w:val="clear" w:color="auto" w:fill="auto"/>
            <w:noWrap/>
            <w:vAlign w:val="center"/>
          </w:tcPr>
          <w:p w:rsidR="00030311" w:rsidRPr="003822A5" w:rsidRDefault="00030311" w:rsidP="00030311">
            <w:pPr>
              <w:spacing w:after="0" w:line="240" w:lineRule="auto"/>
              <w:jc w:val="center"/>
              <w:rPr>
                <w:rFonts w:cs="Arial"/>
                <w:color w:val="000000"/>
                <w:sz w:val="16"/>
                <w:szCs w:val="16"/>
              </w:rPr>
            </w:pPr>
            <w:r w:rsidRPr="003822A5">
              <w:rPr>
                <w:rFonts w:cs="Arial"/>
                <w:color w:val="000000"/>
                <w:sz w:val="16"/>
                <w:szCs w:val="16"/>
              </w:rPr>
              <w:t>17,4</w:t>
            </w:r>
          </w:p>
        </w:tc>
        <w:tc>
          <w:tcPr>
            <w:tcW w:w="567" w:type="dxa"/>
            <w:tcBorders>
              <w:top w:val="nil"/>
              <w:left w:val="nil"/>
              <w:bottom w:val="nil"/>
              <w:right w:val="nil"/>
            </w:tcBorders>
            <w:shd w:val="clear" w:color="auto" w:fill="auto"/>
            <w:noWrap/>
            <w:vAlign w:val="center"/>
          </w:tcPr>
          <w:p w:rsidR="00030311" w:rsidRPr="003822A5" w:rsidRDefault="00030311" w:rsidP="00030311">
            <w:pPr>
              <w:spacing w:after="0" w:line="240" w:lineRule="auto"/>
              <w:jc w:val="center"/>
              <w:rPr>
                <w:rFonts w:cs="Arial"/>
                <w:color w:val="000000"/>
                <w:sz w:val="16"/>
                <w:szCs w:val="16"/>
              </w:rPr>
            </w:pPr>
            <w:r w:rsidRPr="003822A5">
              <w:rPr>
                <w:rFonts w:cs="Arial"/>
                <w:color w:val="000000"/>
                <w:sz w:val="16"/>
                <w:szCs w:val="16"/>
              </w:rPr>
              <w:t>18,4</w:t>
            </w:r>
          </w:p>
        </w:tc>
        <w:tc>
          <w:tcPr>
            <w:tcW w:w="567" w:type="dxa"/>
            <w:tcBorders>
              <w:top w:val="nil"/>
              <w:left w:val="nil"/>
              <w:bottom w:val="nil"/>
              <w:right w:val="nil"/>
            </w:tcBorders>
            <w:shd w:val="clear" w:color="auto" w:fill="auto"/>
            <w:noWrap/>
            <w:vAlign w:val="center"/>
          </w:tcPr>
          <w:p w:rsidR="00030311" w:rsidRPr="003822A5" w:rsidRDefault="00030311" w:rsidP="00030311">
            <w:pPr>
              <w:spacing w:after="0" w:line="240" w:lineRule="auto"/>
              <w:jc w:val="center"/>
              <w:rPr>
                <w:rFonts w:cs="Arial"/>
                <w:color w:val="000000"/>
                <w:sz w:val="16"/>
                <w:szCs w:val="16"/>
              </w:rPr>
            </w:pPr>
            <w:r w:rsidRPr="003822A5">
              <w:rPr>
                <w:rFonts w:cs="Arial"/>
                <w:color w:val="000000"/>
                <w:sz w:val="16"/>
                <w:szCs w:val="16"/>
              </w:rPr>
              <w:t>24,3</w:t>
            </w:r>
          </w:p>
        </w:tc>
        <w:tc>
          <w:tcPr>
            <w:tcW w:w="567" w:type="dxa"/>
            <w:tcBorders>
              <w:top w:val="nil"/>
              <w:left w:val="nil"/>
              <w:bottom w:val="nil"/>
              <w:right w:val="nil"/>
            </w:tcBorders>
            <w:shd w:val="clear" w:color="auto" w:fill="auto"/>
            <w:noWrap/>
            <w:vAlign w:val="center"/>
          </w:tcPr>
          <w:p w:rsidR="00030311" w:rsidRPr="003822A5" w:rsidRDefault="00030311" w:rsidP="00030311">
            <w:pPr>
              <w:spacing w:after="0" w:line="240" w:lineRule="auto"/>
              <w:jc w:val="center"/>
              <w:rPr>
                <w:rFonts w:cs="Arial"/>
                <w:color w:val="000000"/>
                <w:sz w:val="16"/>
                <w:szCs w:val="16"/>
              </w:rPr>
            </w:pPr>
            <w:r w:rsidRPr="003822A5">
              <w:rPr>
                <w:rFonts w:cs="Arial"/>
                <w:color w:val="000000"/>
                <w:sz w:val="16"/>
                <w:szCs w:val="16"/>
              </w:rPr>
              <w:t>28,7</w:t>
            </w:r>
          </w:p>
        </w:tc>
        <w:tc>
          <w:tcPr>
            <w:tcW w:w="567" w:type="dxa"/>
            <w:tcBorders>
              <w:top w:val="nil"/>
              <w:left w:val="nil"/>
              <w:bottom w:val="nil"/>
              <w:right w:val="nil"/>
            </w:tcBorders>
            <w:shd w:val="clear" w:color="auto" w:fill="auto"/>
            <w:noWrap/>
            <w:vAlign w:val="center"/>
          </w:tcPr>
          <w:p w:rsidR="00030311" w:rsidRPr="003822A5" w:rsidRDefault="00030311" w:rsidP="00030311">
            <w:pPr>
              <w:spacing w:after="0" w:line="240" w:lineRule="auto"/>
              <w:jc w:val="center"/>
              <w:rPr>
                <w:rFonts w:cs="Arial"/>
                <w:color w:val="000000"/>
                <w:sz w:val="16"/>
                <w:szCs w:val="16"/>
              </w:rPr>
            </w:pPr>
            <w:r w:rsidRPr="003822A5">
              <w:rPr>
                <w:rFonts w:cs="Arial"/>
                <w:color w:val="000000"/>
                <w:sz w:val="16"/>
                <w:szCs w:val="16"/>
              </w:rPr>
              <w:t>34,5</w:t>
            </w:r>
          </w:p>
        </w:tc>
        <w:tc>
          <w:tcPr>
            <w:tcW w:w="559" w:type="dxa"/>
            <w:vAlign w:val="center"/>
          </w:tcPr>
          <w:p w:rsidR="00030311" w:rsidRPr="003822A5" w:rsidRDefault="00030311" w:rsidP="00030311">
            <w:pPr>
              <w:spacing w:after="0" w:line="240" w:lineRule="auto"/>
              <w:jc w:val="right"/>
              <w:rPr>
                <w:rFonts w:cs="Arial"/>
                <w:color w:val="000000"/>
                <w:sz w:val="16"/>
                <w:szCs w:val="16"/>
              </w:rPr>
            </w:pPr>
            <w:r w:rsidRPr="003822A5">
              <w:rPr>
                <w:rFonts w:cs="Arial"/>
                <w:color w:val="000000"/>
                <w:sz w:val="16"/>
                <w:szCs w:val="16"/>
              </w:rPr>
              <w:t>25,0</w:t>
            </w:r>
          </w:p>
        </w:tc>
        <w:tc>
          <w:tcPr>
            <w:tcW w:w="500" w:type="dxa"/>
            <w:vAlign w:val="center"/>
          </w:tcPr>
          <w:p w:rsidR="00030311" w:rsidRPr="00647EA1" w:rsidRDefault="00647EA1" w:rsidP="00030311">
            <w:pPr>
              <w:spacing w:after="0" w:line="240" w:lineRule="auto"/>
              <w:jc w:val="right"/>
              <w:rPr>
                <w:rFonts w:cs="Arial"/>
                <w:color w:val="000000"/>
                <w:sz w:val="16"/>
                <w:szCs w:val="16"/>
              </w:rPr>
            </w:pPr>
            <w:r w:rsidRPr="00647EA1">
              <w:rPr>
                <w:rFonts w:cs="Arial"/>
                <w:color w:val="000000"/>
                <w:sz w:val="16"/>
                <w:szCs w:val="16"/>
              </w:rPr>
              <w:t>25,6</w:t>
            </w:r>
          </w:p>
        </w:tc>
      </w:tr>
      <w:tr w:rsidR="00030311" w:rsidRPr="003822A5" w:rsidTr="00030311">
        <w:trPr>
          <w:trHeight w:val="480"/>
        </w:trPr>
        <w:tc>
          <w:tcPr>
            <w:tcW w:w="3476" w:type="dxa"/>
            <w:tcBorders>
              <w:top w:val="nil"/>
              <w:left w:val="nil"/>
              <w:bottom w:val="nil"/>
              <w:right w:val="single" w:sz="4" w:space="0" w:color="auto"/>
            </w:tcBorders>
            <w:shd w:val="clear" w:color="auto" w:fill="auto"/>
            <w:vAlign w:val="center"/>
            <w:hideMark/>
          </w:tcPr>
          <w:p w:rsidR="00030311" w:rsidRPr="003822A5" w:rsidRDefault="00030311" w:rsidP="00030311">
            <w:pPr>
              <w:spacing w:after="0" w:line="240" w:lineRule="auto"/>
              <w:ind w:firstLineChars="100" w:firstLine="160"/>
              <w:jc w:val="left"/>
              <w:rPr>
                <w:rFonts w:cs="Arial"/>
                <w:color w:val="000000"/>
                <w:sz w:val="16"/>
                <w:szCs w:val="16"/>
              </w:rPr>
            </w:pPr>
            <w:r w:rsidRPr="003822A5">
              <w:rPr>
                <w:rFonts w:cs="Arial"/>
                <w:color w:val="000000"/>
                <w:sz w:val="16"/>
                <w:szCs w:val="16"/>
              </w:rPr>
              <w:t xml:space="preserve">M – Profesní, vědecké a technické </w:t>
            </w:r>
            <w:r w:rsidRPr="003822A5">
              <w:rPr>
                <w:rFonts w:cs="Arial"/>
                <w:color w:val="000000"/>
                <w:sz w:val="16"/>
                <w:szCs w:val="16"/>
              </w:rPr>
              <w:br/>
              <w:t xml:space="preserve">          činnosti</w:t>
            </w:r>
          </w:p>
        </w:tc>
        <w:tc>
          <w:tcPr>
            <w:tcW w:w="567" w:type="dxa"/>
            <w:tcBorders>
              <w:top w:val="nil"/>
              <w:left w:val="nil"/>
              <w:bottom w:val="nil"/>
              <w:right w:val="nil"/>
            </w:tcBorders>
            <w:shd w:val="clear" w:color="auto" w:fill="auto"/>
            <w:noWrap/>
            <w:vAlign w:val="center"/>
            <w:hideMark/>
          </w:tcPr>
          <w:p w:rsidR="00030311" w:rsidRPr="003822A5" w:rsidRDefault="00030311" w:rsidP="00030311">
            <w:pPr>
              <w:spacing w:after="0" w:line="240" w:lineRule="auto"/>
              <w:jc w:val="center"/>
              <w:rPr>
                <w:rFonts w:cs="Arial"/>
                <w:color w:val="000000"/>
                <w:sz w:val="16"/>
                <w:szCs w:val="16"/>
              </w:rPr>
            </w:pPr>
            <w:r w:rsidRPr="003822A5">
              <w:rPr>
                <w:rFonts w:cs="Arial"/>
                <w:color w:val="000000"/>
                <w:sz w:val="16"/>
                <w:szCs w:val="16"/>
              </w:rPr>
              <w:t>18,3</w:t>
            </w:r>
          </w:p>
        </w:tc>
        <w:tc>
          <w:tcPr>
            <w:tcW w:w="567" w:type="dxa"/>
            <w:tcBorders>
              <w:top w:val="nil"/>
              <w:left w:val="nil"/>
              <w:bottom w:val="nil"/>
              <w:right w:val="nil"/>
            </w:tcBorders>
            <w:shd w:val="clear" w:color="auto" w:fill="auto"/>
            <w:noWrap/>
            <w:vAlign w:val="center"/>
          </w:tcPr>
          <w:p w:rsidR="00030311" w:rsidRPr="003822A5" w:rsidRDefault="00030311" w:rsidP="00030311">
            <w:pPr>
              <w:spacing w:after="0" w:line="240" w:lineRule="auto"/>
              <w:jc w:val="center"/>
              <w:rPr>
                <w:rFonts w:cs="Arial"/>
                <w:color w:val="000000"/>
                <w:sz w:val="16"/>
                <w:szCs w:val="16"/>
              </w:rPr>
            </w:pPr>
            <w:r w:rsidRPr="003822A5">
              <w:rPr>
                <w:rFonts w:cs="Arial"/>
                <w:color w:val="000000"/>
                <w:sz w:val="16"/>
                <w:szCs w:val="16"/>
              </w:rPr>
              <w:t>21,1</w:t>
            </w:r>
          </w:p>
        </w:tc>
        <w:tc>
          <w:tcPr>
            <w:tcW w:w="567" w:type="dxa"/>
            <w:tcBorders>
              <w:top w:val="nil"/>
              <w:left w:val="nil"/>
              <w:bottom w:val="nil"/>
              <w:right w:val="nil"/>
            </w:tcBorders>
            <w:shd w:val="clear" w:color="auto" w:fill="auto"/>
            <w:noWrap/>
            <w:vAlign w:val="center"/>
          </w:tcPr>
          <w:p w:rsidR="00030311" w:rsidRPr="003822A5" w:rsidRDefault="00030311" w:rsidP="00030311">
            <w:pPr>
              <w:spacing w:after="0" w:line="240" w:lineRule="auto"/>
              <w:jc w:val="center"/>
              <w:rPr>
                <w:rFonts w:cs="Arial"/>
                <w:color w:val="000000"/>
                <w:sz w:val="16"/>
                <w:szCs w:val="16"/>
              </w:rPr>
            </w:pPr>
            <w:r w:rsidRPr="003822A5">
              <w:rPr>
                <w:rFonts w:cs="Arial"/>
                <w:color w:val="000000"/>
                <w:sz w:val="16"/>
                <w:szCs w:val="16"/>
              </w:rPr>
              <w:t>21,3</w:t>
            </w:r>
          </w:p>
        </w:tc>
        <w:tc>
          <w:tcPr>
            <w:tcW w:w="567" w:type="dxa"/>
            <w:tcBorders>
              <w:top w:val="nil"/>
              <w:left w:val="nil"/>
              <w:bottom w:val="nil"/>
              <w:right w:val="nil"/>
            </w:tcBorders>
            <w:shd w:val="clear" w:color="auto" w:fill="auto"/>
            <w:noWrap/>
            <w:vAlign w:val="center"/>
          </w:tcPr>
          <w:p w:rsidR="00030311" w:rsidRPr="003822A5" w:rsidRDefault="00030311" w:rsidP="00030311">
            <w:pPr>
              <w:spacing w:after="0" w:line="240" w:lineRule="auto"/>
              <w:jc w:val="center"/>
              <w:rPr>
                <w:rFonts w:cs="Arial"/>
                <w:color w:val="000000"/>
                <w:sz w:val="16"/>
                <w:szCs w:val="16"/>
              </w:rPr>
            </w:pPr>
            <w:r w:rsidRPr="003822A5">
              <w:rPr>
                <w:rFonts w:cs="Arial"/>
                <w:color w:val="000000"/>
                <w:sz w:val="16"/>
                <w:szCs w:val="16"/>
              </w:rPr>
              <w:t>21,8</w:t>
            </w:r>
          </w:p>
        </w:tc>
        <w:tc>
          <w:tcPr>
            <w:tcW w:w="567" w:type="dxa"/>
            <w:tcBorders>
              <w:top w:val="nil"/>
              <w:left w:val="nil"/>
              <w:bottom w:val="nil"/>
              <w:right w:val="nil"/>
            </w:tcBorders>
            <w:shd w:val="clear" w:color="auto" w:fill="auto"/>
            <w:noWrap/>
            <w:vAlign w:val="center"/>
          </w:tcPr>
          <w:p w:rsidR="00030311" w:rsidRPr="003822A5" w:rsidRDefault="00030311" w:rsidP="00030311">
            <w:pPr>
              <w:spacing w:after="0" w:line="240" w:lineRule="auto"/>
              <w:jc w:val="center"/>
              <w:rPr>
                <w:rFonts w:cs="Arial"/>
                <w:color w:val="000000"/>
                <w:sz w:val="16"/>
                <w:szCs w:val="16"/>
              </w:rPr>
            </w:pPr>
            <w:r w:rsidRPr="003822A5">
              <w:rPr>
                <w:rFonts w:cs="Arial"/>
                <w:color w:val="000000"/>
                <w:sz w:val="16"/>
                <w:szCs w:val="16"/>
              </w:rPr>
              <w:t>22,5</w:t>
            </w:r>
          </w:p>
        </w:tc>
        <w:tc>
          <w:tcPr>
            <w:tcW w:w="567" w:type="dxa"/>
            <w:tcBorders>
              <w:top w:val="nil"/>
              <w:left w:val="nil"/>
              <w:bottom w:val="nil"/>
              <w:right w:val="nil"/>
            </w:tcBorders>
            <w:shd w:val="clear" w:color="auto" w:fill="auto"/>
            <w:noWrap/>
            <w:vAlign w:val="center"/>
          </w:tcPr>
          <w:p w:rsidR="00030311" w:rsidRPr="003822A5" w:rsidRDefault="00030311" w:rsidP="00030311">
            <w:pPr>
              <w:spacing w:after="0" w:line="240" w:lineRule="auto"/>
              <w:jc w:val="center"/>
              <w:rPr>
                <w:rFonts w:cs="Arial"/>
                <w:color w:val="000000"/>
                <w:sz w:val="16"/>
                <w:szCs w:val="16"/>
              </w:rPr>
            </w:pPr>
            <w:r w:rsidRPr="003822A5">
              <w:rPr>
                <w:rFonts w:cs="Arial"/>
                <w:color w:val="000000"/>
                <w:sz w:val="16"/>
                <w:szCs w:val="16"/>
              </w:rPr>
              <w:t>23,0</w:t>
            </w:r>
          </w:p>
        </w:tc>
        <w:tc>
          <w:tcPr>
            <w:tcW w:w="567" w:type="dxa"/>
            <w:tcBorders>
              <w:top w:val="nil"/>
              <w:left w:val="nil"/>
              <w:bottom w:val="nil"/>
              <w:right w:val="nil"/>
            </w:tcBorders>
            <w:shd w:val="clear" w:color="auto" w:fill="auto"/>
            <w:noWrap/>
            <w:vAlign w:val="center"/>
          </w:tcPr>
          <w:p w:rsidR="00030311" w:rsidRPr="003822A5" w:rsidRDefault="00030311" w:rsidP="00030311">
            <w:pPr>
              <w:spacing w:after="0" w:line="240" w:lineRule="auto"/>
              <w:jc w:val="center"/>
              <w:rPr>
                <w:rFonts w:cs="Arial"/>
                <w:color w:val="000000"/>
                <w:sz w:val="16"/>
                <w:szCs w:val="16"/>
              </w:rPr>
            </w:pPr>
            <w:r w:rsidRPr="003822A5">
              <w:rPr>
                <w:rFonts w:cs="Arial"/>
                <w:color w:val="000000"/>
                <w:sz w:val="16"/>
                <w:szCs w:val="16"/>
              </w:rPr>
              <w:t>27,6</w:t>
            </w:r>
          </w:p>
        </w:tc>
        <w:tc>
          <w:tcPr>
            <w:tcW w:w="567" w:type="dxa"/>
            <w:tcBorders>
              <w:top w:val="nil"/>
              <w:left w:val="nil"/>
              <w:bottom w:val="nil"/>
              <w:right w:val="nil"/>
            </w:tcBorders>
            <w:shd w:val="clear" w:color="auto" w:fill="auto"/>
            <w:noWrap/>
            <w:vAlign w:val="center"/>
          </w:tcPr>
          <w:p w:rsidR="00030311" w:rsidRPr="003822A5" w:rsidRDefault="00030311" w:rsidP="00030311">
            <w:pPr>
              <w:spacing w:after="0" w:line="240" w:lineRule="auto"/>
              <w:jc w:val="center"/>
              <w:rPr>
                <w:rFonts w:cs="Arial"/>
                <w:color w:val="000000"/>
                <w:sz w:val="16"/>
                <w:szCs w:val="16"/>
              </w:rPr>
            </w:pPr>
            <w:r w:rsidRPr="003822A5">
              <w:rPr>
                <w:rFonts w:cs="Arial"/>
                <w:color w:val="000000"/>
                <w:sz w:val="16"/>
                <w:szCs w:val="16"/>
              </w:rPr>
              <w:t>30,3</w:t>
            </w:r>
          </w:p>
        </w:tc>
        <w:tc>
          <w:tcPr>
            <w:tcW w:w="567" w:type="dxa"/>
            <w:tcBorders>
              <w:top w:val="nil"/>
              <w:left w:val="nil"/>
              <w:bottom w:val="nil"/>
              <w:right w:val="nil"/>
            </w:tcBorders>
            <w:shd w:val="clear" w:color="auto" w:fill="auto"/>
            <w:noWrap/>
            <w:vAlign w:val="center"/>
          </w:tcPr>
          <w:p w:rsidR="00030311" w:rsidRPr="003822A5" w:rsidRDefault="00030311" w:rsidP="00030311">
            <w:pPr>
              <w:spacing w:after="0" w:line="240" w:lineRule="auto"/>
              <w:jc w:val="center"/>
              <w:rPr>
                <w:rFonts w:cs="Arial"/>
                <w:color w:val="000000"/>
                <w:sz w:val="16"/>
                <w:szCs w:val="16"/>
              </w:rPr>
            </w:pPr>
            <w:r w:rsidRPr="003822A5">
              <w:rPr>
                <w:rFonts w:cs="Arial"/>
                <w:color w:val="000000"/>
                <w:sz w:val="16"/>
                <w:szCs w:val="16"/>
              </w:rPr>
              <w:t>39,5</w:t>
            </w:r>
          </w:p>
        </w:tc>
        <w:tc>
          <w:tcPr>
            <w:tcW w:w="559" w:type="dxa"/>
            <w:vAlign w:val="center"/>
          </w:tcPr>
          <w:p w:rsidR="00030311" w:rsidRPr="003822A5" w:rsidRDefault="00030311" w:rsidP="00030311">
            <w:pPr>
              <w:spacing w:after="0" w:line="240" w:lineRule="auto"/>
              <w:jc w:val="right"/>
              <w:rPr>
                <w:rFonts w:cs="Arial"/>
                <w:color w:val="000000"/>
                <w:sz w:val="16"/>
                <w:szCs w:val="16"/>
              </w:rPr>
            </w:pPr>
            <w:r w:rsidRPr="003822A5">
              <w:rPr>
                <w:rFonts w:cs="Arial"/>
                <w:color w:val="000000"/>
                <w:sz w:val="16"/>
                <w:szCs w:val="16"/>
              </w:rPr>
              <w:t>29,3</w:t>
            </w:r>
          </w:p>
        </w:tc>
        <w:tc>
          <w:tcPr>
            <w:tcW w:w="500" w:type="dxa"/>
            <w:vAlign w:val="center"/>
          </w:tcPr>
          <w:p w:rsidR="00030311" w:rsidRPr="00647EA1" w:rsidRDefault="00647EA1" w:rsidP="00030311">
            <w:pPr>
              <w:spacing w:after="0" w:line="240" w:lineRule="auto"/>
              <w:jc w:val="right"/>
              <w:rPr>
                <w:rFonts w:cs="Arial"/>
                <w:color w:val="000000"/>
                <w:sz w:val="16"/>
                <w:szCs w:val="16"/>
              </w:rPr>
            </w:pPr>
            <w:r w:rsidRPr="00647EA1">
              <w:rPr>
                <w:rFonts w:cs="Arial"/>
                <w:color w:val="000000"/>
                <w:sz w:val="16"/>
                <w:szCs w:val="16"/>
              </w:rPr>
              <w:t>28,6</w:t>
            </w:r>
          </w:p>
        </w:tc>
      </w:tr>
      <w:tr w:rsidR="00030311" w:rsidRPr="003822A5" w:rsidTr="00030311">
        <w:trPr>
          <w:trHeight w:val="480"/>
        </w:trPr>
        <w:tc>
          <w:tcPr>
            <w:tcW w:w="3476" w:type="dxa"/>
            <w:tcBorders>
              <w:top w:val="nil"/>
              <w:left w:val="nil"/>
              <w:bottom w:val="nil"/>
              <w:right w:val="single" w:sz="4" w:space="0" w:color="auto"/>
            </w:tcBorders>
            <w:shd w:val="clear" w:color="auto" w:fill="auto"/>
            <w:vAlign w:val="center"/>
            <w:hideMark/>
          </w:tcPr>
          <w:p w:rsidR="00030311" w:rsidRPr="003822A5" w:rsidRDefault="00030311" w:rsidP="00030311">
            <w:pPr>
              <w:spacing w:after="0" w:line="240" w:lineRule="auto"/>
              <w:ind w:firstLineChars="100" w:firstLine="160"/>
              <w:jc w:val="left"/>
              <w:rPr>
                <w:rFonts w:cs="Arial"/>
                <w:color w:val="000000"/>
                <w:sz w:val="16"/>
                <w:szCs w:val="16"/>
              </w:rPr>
            </w:pPr>
            <w:r w:rsidRPr="003822A5">
              <w:rPr>
                <w:rFonts w:cs="Arial"/>
                <w:color w:val="000000"/>
                <w:sz w:val="16"/>
                <w:szCs w:val="16"/>
              </w:rPr>
              <w:t xml:space="preserve">N – Administrativní a podpůrné </w:t>
            </w:r>
            <w:r w:rsidRPr="003822A5">
              <w:rPr>
                <w:rFonts w:cs="Arial"/>
                <w:color w:val="000000"/>
                <w:sz w:val="16"/>
                <w:szCs w:val="16"/>
              </w:rPr>
              <w:br/>
              <w:t xml:space="preserve">          činnosti</w:t>
            </w:r>
          </w:p>
        </w:tc>
        <w:tc>
          <w:tcPr>
            <w:tcW w:w="567" w:type="dxa"/>
            <w:tcBorders>
              <w:top w:val="nil"/>
              <w:left w:val="nil"/>
              <w:bottom w:val="nil"/>
              <w:right w:val="nil"/>
            </w:tcBorders>
            <w:shd w:val="clear" w:color="auto" w:fill="auto"/>
            <w:noWrap/>
            <w:vAlign w:val="center"/>
            <w:hideMark/>
          </w:tcPr>
          <w:p w:rsidR="00030311" w:rsidRPr="003822A5" w:rsidRDefault="00030311" w:rsidP="00030311">
            <w:pPr>
              <w:spacing w:after="0" w:line="240" w:lineRule="auto"/>
              <w:jc w:val="center"/>
              <w:rPr>
                <w:rFonts w:cs="Arial"/>
                <w:color w:val="000000"/>
                <w:sz w:val="16"/>
                <w:szCs w:val="16"/>
              </w:rPr>
            </w:pPr>
            <w:r w:rsidRPr="003822A5">
              <w:rPr>
                <w:rFonts w:cs="Arial"/>
                <w:color w:val="000000"/>
                <w:sz w:val="16"/>
                <w:szCs w:val="16"/>
              </w:rPr>
              <w:t>40,3</w:t>
            </w:r>
          </w:p>
        </w:tc>
        <w:tc>
          <w:tcPr>
            <w:tcW w:w="567" w:type="dxa"/>
            <w:tcBorders>
              <w:top w:val="nil"/>
              <w:left w:val="nil"/>
              <w:bottom w:val="nil"/>
              <w:right w:val="nil"/>
            </w:tcBorders>
            <w:shd w:val="clear" w:color="auto" w:fill="auto"/>
            <w:noWrap/>
            <w:vAlign w:val="center"/>
          </w:tcPr>
          <w:p w:rsidR="00030311" w:rsidRPr="003822A5" w:rsidRDefault="00030311" w:rsidP="00030311">
            <w:pPr>
              <w:spacing w:after="0" w:line="240" w:lineRule="auto"/>
              <w:jc w:val="center"/>
              <w:rPr>
                <w:rFonts w:cs="Arial"/>
                <w:color w:val="000000"/>
                <w:sz w:val="16"/>
                <w:szCs w:val="16"/>
              </w:rPr>
            </w:pPr>
            <w:r w:rsidRPr="003822A5">
              <w:rPr>
                <w:rFonts w:cs="Arial"/>
                <w:color w:val="000000"/>
                <w:sz w:val="16"/>
                <w:szCs w:val="16"/>
              </w:rPr>
              <w:t>48,2</w:t>
            </w:r>
          </w:p>
        </w:tc>
        <w:tc>
          <w:tcPr>
            <w:tcW w:w="567" w:type="dxa"/>
            <w:tcBorders>
              <w:top w:val="nil"/>
              <w:left w:val="nil"/>
              <w:bottom w:val="nil"/>
              <w:right w:val="nil"/>
            </w:tcBorders>
            <w:shd w:val="clear" w:color="auto" w:fill="auto"/>
            <w:noWrap/>
            <w:vAlign w:val="center"/>
          </w:tcPr>
          <w:p w:rsidR="00030311" w:rsidRPr="003822A5" w:rsidRDefault="00030311" w:rsidP="00030311">
            <w:pPr>
              <w:spacing w:after="0" w:line="240" w:lineRule="auto"/>
              <w:jc w:val="center"/>
              <w:rPr>
                <w:rFonts w:cs="Arial"/>
                <w:color w:val="000000"/>
                <w:sz w:val="16"/>
                <w:szCs w:val="16"/>
              </w:rPr>
            </w:pPr>
            <w:r w:rsidRPr="003822A5">
              <w:rPr>
                <w:rFonts w:cs="Arial"/>
                <w:color w:val="000000"/>
                <w:sz w:val="16"/>
                <w:szCs w:val="16"/>
              </w:rPr>
              <w:t>49,4</w:t>
            </w:r>
          </w:p>
        </w:tc>
        <w:tc>
          <w:tcPr>
            <w:tcW w:w="567" w:type="dxa"/>
            <w:tcBorders>
              <w:top w:val="nil"/>
              <w:left w:val="nil"/>
              <w:bottom w:val="nil"/>
              <w:right w:val="nil"/>
            </w:tcBorders>
            <w:shd w:val="clear" w:color="auto" w:fill="auto"/>
            <w:noWrap/>
            <w:vAlign w:val="center"/>
          </w:tcPr>
          <w:p w:rsidR="00030311" w:rsidRPr="003822A5" w:rsidRDefault="00030311" w:rsidP="00030311">
            <w:pPr>
              <w:spacing w:after="0" w:line="240" w:lineRule="auto"/>
              <w:jc w:val="center"/>
              <w:rPr>
                <w:rFonts w:cs="Arial"/>
                <w:color w:val="000000"/>
                <w:sz w:val="16"/>
                <w:szCs w:val="16"/>
              </w:rPr>
            </w:pPr>
            <w:r w:rsidRPr="003822A5">
              <w:rPr>
                <w:rFonts w:cs="Arial"/>
                <w:color w:val="000000"/>
                <w:sz w:val="16"/>
                <w:szCs w:val="16"/>
              </w:rPr>
              <w:t>48,6</w:t>
            </w:r>
          </w:p>
        </w:tc>
        <w:tc>
          <w:tcPr>
            <w:tcW w:w="567" w:type="dxa"/>
            <w:tcBorders>
              <w:top w:val="nil"/>
              <w:left w:val="nil"/>
              <w:bottom w:val="nil"/>
              <w:right w:val="nil"/>
            </w:tcBorders>
            <w:shd w:val="clear" w:color="auto" w:fill="auto"/>
            <w:noWrap/>
            <w:vAlign w:val="center"/>
          </w:tcPr>
          <w:p w:rsidR="00030311" w:rsidRPr="003822A5" w:rsidRDefault="00030311" w:rsidP="00030311">
            <w:pPr>
              <w:spacing w:after="0" w:line="240" w:lineRule="auto"/>
              <w:jc w:val="center"/>
              <w:rPr>
                <w:rFonts w:cs="Arial"/>
                <w:color w:val="000000"/>
                <w:sz w:val="16"/>
                <w:szCs w:val="16"/>
              </w:rPr>
            </w:pPr>
            <w:r w:rsidRPr="003822A5">
              <w:rPr>
                <w:rFonts w:cs="Arial"/>
                <w:color w:val="000000"/>
                <w:sz w:val="16"/>
                <w:szCs w:val="16"/>
              </w:rPr>
              <w:t>48,6</w:t>
            </w:r>
          </w:p>
        </w:tc>
        <w:tc>
          <w:tcPr>
            <w:tcW w:w="567" w:type="dxa"/>
            <w:tcBorders>
              <w:top w:val="nil"/>
              <w:left w:val="nil"/>
              <w:bottom w:val="nil"/>
              <w:right w:val="nil"/>
            </w:tcBorders>
            <w:shd w:val="clear" w:color="auto" w:fill="auto"/>
            <w:noWrap/>
            <w:vAlign w:val="center"/>
          </w:tcPr>
          <w:p w:rsidR="00030311" w:rsidRPr="003822A5" w:rsidRDefault="00030311" w:rsidP="00030311">
            <w:pPr>
              <w:spacing w:after="0" w:line="240" w:lineRule="auto"/>
              <w:jc w:val="center"/>
              <w:rPr>
                <w:rFonts w:cs="Arial"/>
                <w:color w:val="000000"/>
                <w:sz w:val="16"/>
                <w:szCs w:val="16"/>
              </w:rPr>
            </w:pPr>
            <w:r w:rsidRPr="003822A5">
              <w:rPr>
                <w:rFonts w:cs="Arial"/>
                <w:color w:val="000000"/>
                <w:sz w:val="16"/>
                <w:szCs w:val="16"/>
              </w:rPr>
              <w:t>49,7</w:t>
            </w:r>
          </w:p>
        </w:tc>
        <w:tc>
          <w:tcPr>
            <w:tcW w:w="567" w:type="dxa"/>
            <w:tcBorders>
              <w:top w:val="nil"/>
              <w:left w:val="nil"/>
              <w:bottom w:val="nil"/>
              <w:right w:val="nil"/>
            </w:tcBorders>
            <w:shd w:val="clear" w:color="auto" w:fill="auto"/>
            <w:noWrap/>
            <w:vAlign w:val="center"/>
          </w:tcPr>
          <w:p w:rsidR="00030311" w:rsidRPr="003822A5" w:rsidRDefault="00030311" w:rsidP="00030311">
            <w:pPr>
              <w:spacing w:after="0" w:line="240" w:lineRule="auto"/>
              <w:jc w:val="center"/>
              <w:rPr>
                <w:rFonts w:cs="Arial"/>
                <w:color w:val="000000"/>
                <w:sz w:val="16"/>
                <w:szCs w:val="16"/>
              </w:rPr>
            </w:pPr>
            <w:r w:rsidRPr="003822A5">
              <w:rPr>
                <w:rFonts w:cs="Arial"/>
                <w:color w:val="000000"/>
                <w:sz w:val="16"/>
                <w:szCs w:val="16"/>
              </w:rPr>
              <w:t>56,9</w:t>
            </w:r>
          </w:p>
        </w:tc>
        <w:tc>
          <w:tcPr>
            <w:tcW w:w="567" w:type="dxa"/>
            <w:tcBorders>
              <w:top w:val="nil"/>
              <w:left w:val="nil"/>
              <w:bottom w:val="nil"/>
              <w:right w:val="nil"/>
            </w:tcBorders>
            <w:shd w:val="clear" w:color="auto" w:fill="auto"/>
            <w:noWrap/>
            <w:vAlign w:val="center"/>
          </w:tcPr>
          <w:p w:rsidR="00030311" w:rsidRPr="003822A5" w:rsidRDefault="00030311" w:rsidP="00030311">
            <w:pPr>
              <w:spacing w:after="0" w:line="240" w:lineRule="auto"/>
              <w:jc w:val="center"/>
              <w:rPr>
                <w:rFonts w:cs="Arial"/>
                <w:color w:val="000000"/>
                <w:sz w:val="16"/>
                <w:szCs w:val="16"/>
              </w:rPr>
            </w:pPr>
            <w:r w:rsidRPr="003822A5">
              <w:rPr>
                <w:rFonts w:cs="Arial"/>
                <w:color w:val="000000"/>
                <w:sz w:val="16"/>
                <w:szCs w:val="16"/>
              </w:rPr>
              <w:t>66,4</w:t>
            </w:r>
          </w:p>
        </w:tc>
        <w:tc>
          <w:tcPr>
            <w:tcW w:w="567" w:type="dxa"/>
            <w:tcBorders>
              <w:top w:val="nil"/>
              <w:left w:val="nil"/>
              <w:bottom w:val="nil"/>
              <w:right w:val="nil"/>
            </w:tcBorders>
            <w:shd w:val="clear" w:color="auto" w:fill="auto"/>
            <w:noWrap/>
            <w:vAlign w:val="center"/>
          </w:tcPr>
          <w:p w:rsidR="00030311" w:rsidRPr="003822A5" w:rsidRDefault="00030311" w:rsidP="00030311">
            <w:pPr>
              <w:spacing w:after="0" w:line="240" w:lineRule="auto"/>
              <w:jc w:val="center"/>
              <w:rPr>
                <w:rFonts w:cs="Arial"/>
                <w:color w:val="000000"/>
                <w:sz w:val="16"/>
                <w:szCs w:val="16"/>
              </w:rPr>
            </w:pPr>
            <w:r w:rsidRPr="003822A5">
              <w:rPr>
                <w:rFonts w:cs="Arial"/>
                <w:color w:val="000000"/>
                <w:sz w:val="16"/>
                <w:szCs w:val="16"/>
              </w:rPr>
              <w:t>70,4</w:t>
            </w:r>
          </w:p>
        </w:tc>
        <w:tc>
          <w:tcPr>
            <w:tcW w:w="559" w:type="dxa"/>
            <w:vAlign w:val="center"/>
          </w:tcPr>
          <w:p w:rsidR="00030311" w:rsidRPr="003822A5" w:rsidRDefault="00030311" w:rsidP="00030311">
            <w:pPr>
              <w:spacing w:after="0" w:line="240" w:lineRule="auto"/>
              <w:jc w:val="right"/>
              <w:rPr>
                <w:rFonts w:cs="Arial"/>
                <w:color w:val="000000"/>
                <w:sz w:val="16"/>
                <w:szCs w:val="16"/>
              </w:rPr>
            </w:pPr>
            <w:r w:rsidRPr="003822A5">
              <w:rPr>
                <w:rFonts w:cs="Arial"/>
                <w:color w:val="000000"/>
                <w:sz w:val="16"/>
                <w:szCs w:val="16"/>
              </w:rPr>
              <w:t>56,0</w:t>
            </w:r>
          </w:p>
        </w:tc>
        <w:tc>
          <w:tcPr>
            <w:tcW w:w="500" w:type="dxa"/>
            <w:vAlign w:val="center"/>
          </w:tcPr>
          <w:p w:rsidR="00030311" w:rsidRPr="00647EA1" w:rsidRDefault="00647EA1" w:rsidP="00030311">
            <w:pPr>
              <w:spacing w:after="0" w:line="240" w:lineRule="auto"/>
              <w:jc w:val="right"/>
              <w:rPr>
                <w:rFonts w:cs="Arial"/>
                <w:color w:val="000000"/>
                <w:sz w:val="16"/>
                <w:szCs w:val="16"/>
              </w:rPr>
            </w:pPr>
            <w:r w:rsidRPr="00647EA1">
              <w:rPr>
                <w:rFonts w:cs="Arial"/>
                <w:color w:val="000000"/>
                <w:sz w:val="16"/>
                <w:szCs w:val="16"/>
              </w:rPr>
              <w:t>56,9</w:t>
            </w:r>
          </w:p>
        </w:tc>
      </w:tr>
      <w:tr w:rsidR="00030311" w:rsidRPr="003822A5" w:rsidTr="00030311">
        <w:trPr>
          <w:trHeight w:val="480"/>
        </w:trPr>
        <w:tc>
          <w:tcPr>
            <w:tcW w:w="3476" w:type="dxa"/>
            <w:tcBorders>
              <w:top w:val="nil"/>
              <w:left w:val="nil"/>
              <w:bottom w:val="nil"/>
              <w:right w:val="single" w:sz="4" w:space="0" w:color="auto"/>
            </w:tcBorders>
            <w:shd w:val="clear" w:color="auto" w:fill="auto"/>
            <w:vAlign w:val="center"/>
            <w:hideMark/>
          </w:tcPr>
          <w:p w:rsidR="00030311" w:rsidRPr="003822A5" w:rsidRDefault="00030311" w:rsidP="00030311">
            <w:pPr>
              <w:spacing w:after="0" w:line="240" w:lineRule="auto"/>
              <w:ind w:firstLineChars="100" w:firstLine="160"/>
              <w:jc w:val="left"/>
              <w:rPr>
                <w:rFonts w:cs="Arial"/>
                <w:color w:val="000000"/>
                <w:sz w:val="16"/>
                <w:szCs w:val="16"/>
              </w:rPr>
            </w:pPr>
            <w:r w:rsidRPr="003822A5">
              <w:rPr>
                <w:rFonts w:cs="Arial"/>
                <w:color w:val="000000"/>
                <w:sz w:val="16"/>
                <w:szCs w:val="16"/>
              </w:rPr>
              <w:t xml:space="preserve">O – Veřejná správa a obrana; </w:t>
            </w:r>
            <w:r w:rsidRPr="003822A5">
              <w:rPr>
                <w:rFonts w:cs="Arial"/>
                <w:color w:val="000000"/>
                <w:sz w:val="16"/>
                <w:szCs w:val="16"/>
              </w:rPr>
              <w:br/>
              <w:t xml:space="preserve">          povinné sociální zabezpečení</w:t>
            </w:r>
          </w:p>
        </w:tc>
        <w:tc>
          <w:tcPr>
            <w:tcW w:w="567" w:type="dxa"/>
            <w:tcBorders>
              <w:top w:val="nil"/>
              <w:left w:val="nil"/>
              <w:bottom w:val="nil"/>
              <w:right w:val="nil"/>
            </w:tcBorders>
            <w:shd w:val="clear" w:color="auto" w:fill="auto"/>
            <w:noWrap/>
            <w:vAlign w:val="center"/>
            <w:hideMark/>
          </w:tcPr>
          <w:p w:rsidR="00030311" w:rsidRPr="003822A5" w:rsidRDefault="00030311" w:rsidP="00030311">
            <w:pPr>
              <w:spacing w:after="0" w:line="240" w:lineRule="auto"/>
              <w:jc w:val="center"/>
              <w:rPr>
                <w:rFonts w:cs="Arial"/>
                <w:color w:val="000000"/>
                <w:sz w:val="16"/>
                <w:szCs w:val="16"/>
              </w:rPr>
            </w:pPr>
            <w:r w:rsidRPr="003822A5">
              <w:rPr>
                <w:rFonts w:cs="Arial"/>
                <w:color w:val="000000"/>
                <w:sz w:val="16"/>
                <w:szCs w:val="16"/>
              </w:rPr>
              <w:t>26,3</w:t>
            </w:r>
          </w:p>
        </w:tc>
        <w:tc>
          <w:tcPr>
            <w:tcW w:w="567" w:type="dxa"/>
            <w:tcBorders>
              <w:top w:val="nil"/>
              <w:left w:val="nil"/>
              <w:bottom w:val="nil"/>
              <w:right w:val="nil"/>
            </w:tcBorders>
            <w:shd w:val="clear" w:color="auto" w:fill="auto"/>
            <w:noWrap/>
            <w:vAlign w:val="center"/>
          </w:tcPr>
          <w:p w:rsidR="00030311" w:rsidRPr="003822A5" w:rsidRDefault="00030311" w:rsidP="00030311">
            <w:pPr>
              <w:spacing w:after="0" w:line="240" w:lineRule="auto"/>
              <w:jc w:val="center"/>
              <w:rPr>
                <w:rFonts w:cs="Arial"/>
                <w:color w:val="000000"/>
                <w:sz w:val="16"/>
                <w:szCs w:val="16"/>
              </w:rPr>
            </w:pPr>
            <w:r w:rsidRPr="003822A5">
              <w:rPr>
                <w:rFonts w:cs="Arial"/>
                <w:color w:val="000000"/>
                <w:sz w:val="16"/>
                <w:szCs w:val="16"/>
              </w:rPr>
              <w:t>31,5</w:t>
            </w:r>
          </w:p>
        </w:tc>
        <w:tc>
          <w:tcPr>
            <w:tcW w:w="567" w:type="dxa"/>
            <w:tcBorders>
              <w:top w:val="nil"/>
              <w:left w:val="nil"/>
              <w:bottom w:val="nil"/>
              <w:right w:val="nil"/>
            </w:tcBorders>
            <w:shd w:val="clear" w:color="auto" w:fill="auto"/>
            <w:noWrap/>
            <w:vAlign w:val="center"/>
          </w:tcPr>
          <w:p w:rsidR="00030311" w:rsidRPr="003822A5" w:rsidRDefault="00030311" w:rsidP="00030311">
            <w:pPr>
              <w:spacing w:after="0" w:line="240" w:lineRule="auto"/>
              <w:jc w:val="center"/>
              <w:rPr>
                <w:rFonts w:cs="Arial"/>
                <w:color w:val="000000"/>
                <w:sz w:val="16"/>
                <w:szCs w:val="16"/>
              </w:rPr>
            </w:pPr>
            <w:r w:rsidRPr="003822A5">
              <w:rPr>
                <w:rFonts w:cs="Arial"/>
                <w:color w:val="000000"/>
                <w:sz w:val="16"/>
                <w:szCs w:val="16"/>
              </w:rPr>
              <w:t>30,7</w:t>
            </w:r>
          </w:p>
        </w:tc>
        <w:tc>
          <w:tcPr>
            <w:tcW w:w="567" w:type="dxa"/>
            <w:tcBorders>
              <w:top w:val="nil"/>
              <w:left w:val="nil"/>
              <w:bottom w:val="nil"/>
              <w:right w:val="nil"/>
            </w:tcBorders>
            <w:shd w:val="clear" w:color="auto" w:fill="auto"/>
            <w:noWrap/>
            <w:vAlign w:val="center"/>
          </w:tcPr>
          <w:p w:rsidR="00030311" w:rsidRPr="003822A5" w:rsidRDefault="00030311" w:rsidP="00030311">
            <w:pPr>
              <w:spacing w:after="0" w:line="240" w:lineRule="auto"/>
              <w:jc w:val="center"/>
              <w:rPr>
                <w:rFonts w:cs="Arial"/>
                <w:color w:val="000000"/>
                <w:sz w:val="16"/>
                <w:szCs w:val="16"/>
              </w:rPr>
            </w:pPr>
            <w:r w:rsidRPr="003822A5">
              <w:rPr>
                <w:rFonts w:cs="Arial"/>
                <w:color w:val="000000"/>
                <w:sz w:val="16"/>
                <w:szCs w:val="16"/>
              </w:rPr>
              <w:t>31,3</w:t>
            </w:r>
          </w:p>
        </w:tc>
        <w:tc>
          <w:tcPr>
            <w:tcW w:w="567" w:type="dxa"/>
            <w:tcBorders>
              <w:top w:val="nil"/>
              <w:left w:val="nil"/>
              <w:bottom w:val="nil"/>
              <w:right w:val="nil"/>
            </w:tcBorders>
            <w:shd w:val="clear" w:color="auto" w:fill="auto"/>
            <w:noWrap/>
            <w:vAlign w:val="center"/>
          </w:tcPr>
          <w:p w:rsidR="00030311" w:rsidRPr="003822A5" w:rsidRDefault="00030311" w:rsidP="00030311">
            <w:pPr>
              <w:spacing w:after="0" w:line="240" w:lineRule="auto"/>
              <w:jc w:val="center"/>
              <w:rPr>
                <w:rFonts w:cs="Arial"/>
                <w:color w:val="000000"/>
                <w:sz w:val="16"/>
                <w:szCs w:val="16"/>
              </w:rPr>
            </w:pPr>
            <w:r w:rsidRPr="003822A5">
              <w:rPr>
                <w:rFonts w:cs="Arial"/>
                <w:color w:val="000000"/>
                <w:sz w:val="16"/>
                <w:szCs w:val="16"/>
              </w:rPr>
              <w:t>34,0</w:t>
            </w:r>
          </w:p>
        </w:tc>
        <w:tc>
          <w:tcPr>
            <w:tcW w:w="567" w:type="dxa"/>
            <w:tcBorders>
              <w:top w:val="nil"/>
              <w:left w:val="nil"/>
              <w:bottom w:val="nil"/>
              <w:right w:val="nil"/>
            </w:tcBorders>
            <w:shd w:val="clear" w:color="auto" w:fill="auto"/>
            <w:noWrap/>
            <w:vAlign w:val="center"/>
          </w:tcPr>
          <w:p w:rsidR="00030311" w:rsidRPr="003822A5" w:rsidRDefault="00030311" w:rsidP="00030311">
            <w:pPr>
              <w:spacing w:after="0" w:line="240" w:lineRule="auto"/>
              <w:jc w:val="center"/>
              <w:rPr>
                <w:rFonts w:cs="Arial"/>
                <w:color w:val="000000"/>
                <w:sz w:val="16"/>
                <w:szCs w:val="16"/>
              </w:rPr>
            </w:pPr>
            <w:r w:rsidRPr="003822A5">
              <w:rPr>
                <w:rFonts w:cs="Arial"/>
                <w:color w:val="000000"/>
                <w:sz w:val="16"/>
                <w:szCs w:val="16"/>
              </w:rPr>
              <w:t>35,5</w:t>
            </w:r>
          </w:p>
        </w:tc>
        <w:tc>
          <w:tcPr>
            <w:tcW w:w="567" w:type="dxa"/>
            <w:tcBorders>
              <w:top w:val="nil"/>
              <w:left w:val="nil"/>
              <w:bottom w:val="nil"/>
              <w:right w:val="nil"/>
            </w:tcBorders>
            <w:shd w:val="clear" w:color="auto" w:fill="auto"/>
            <w:noWrap/>
            <w:vAlign w:val="center"/>
          </w:tcPr>
          <w:p w:rsidR="00030311" w:rsidRPr="003822A5" w:rsidRDefault="00030311" w:rsidP="00030311">
            <w:pPr>
              <w:spacing w:after="0" w:line="240" w:lineRule="auto"/>
              <w:jc w:val="center"/>
              <w:rPr>
                <w:rFonts w:cs="Arial"/>
                <w:color w:val="000000"/>
                <w:sz w:val="16"/>
                <w:szCs w:val="16"/>
              </w:rPr>
            </w:pPr>
            <w:r w:rsidRPr="003822A5">
              <w:rPr>
                <w:rFonts w:cs="Arial"/>
                <w:color w:val="000000"/>
                <w:sz w:val="16"/>
                <w:szCs w:val="16"/>
              </w:rPr>
              <w:t>44,9</w:t>
            </w:r>
          </w:p>
        </w:tc>
        <w:tc>
          <w:tcPr>
            <w:tcW w:w="567" w:type="dxa"/>
            <w:tcBorders>
              <w:top w:val="nil"/>
              <w:left w:val="nil"/>
              <w:bottom w:val="nil"/>
              <w:right w:val="nil"/>
            </w:tcBorders>
            <w:shd w:val="clear" w:color="auto" w:fill="auto"/>
            <w:noWrap/>
            <w:vAlign w:val="center"/>
          </w:tcPr>
          <w:p w:rsidR="00030311" w:rsidRPr="003822A5" w:rsidRDefault="00030311" w:rsidP="00030311">
            <w:pPr>
              <w:spacing w:after="0" w:line="240" w:lineRule="auto"/>
              <w:jc w:val="center"/>
              <w:rPr>
                <w:rFonts w:cs="Arial"/>
                <w:color w:val="000000"/>
                <w:sz w:val="16"/>
                <w:szCs w:val="16"/>
              </w:rPr>
            </w:pPr>
            <w:r w:rsidRPr="003822A5">
              <w:rPr>
                <w:rFonts w:cs="Arial"/>
                <w:color w:val="000000"/>
                <w:sz w:val="16"/>
                <w:szCs w:val="16"/>
              </w:rPr>
              <w:t>52,7</w:t>
            </w:r>
          </w:p>
        </w:tc>
        <w:tc>
          <w:tcPr>
            <w:tcW w:w="567" w:type="dxa"/>
            <w:tcBorders>
              <w:top w:val="nil"/>
              <w:left w:val="nil"/>
              <w:bottom w:val="nil"/>
              <w:right w:val="nil"/>
            </w:tcBorders>
            <w:shd w:val="clear" w:color="auto" w:fill="auto"/>
            <w:noWrap/>
            <w:vAlign w:val="center"/>
          </w:tcPr>
          <w:p w:rsidR="00030311" w:rsidRPr="003822A5" w:rsidRDefault="00030311" w:rsidP="00030311">
            <w:pPr>
              <w:spacing w:after="0" w:line="240" w:lineRule="auto"/>
              <w:jc w:val="center"/>
              <w:rPr>
                <w:rFonts w:cs="Arial"/>
                <w:color w:val="000000"/>
                <w:sz w:val="16"/>
                <w:szCs w:val="16"/>
              </w:rPr>
            </w:pPr>
            <w:r w:rsidRPr="003822A5">
              <w:rPr>
                <w:rFonts w:cs="Arial"/>
                <w:color w:val="000000"/>
                <w:sz w:val="16"/>
                <w:szCs w:val="16"/>
              </w:rPr>
              <w:t>77,0</w:t>
            </w:r>
          </w:p>
        </w:tc>
        <w:tc>
          <w:tcPr>
            <w:tcW w:w="559" w:type="dxa"/>
            <w:vAlign w:val="center"/>
          </w:tcPr>
          <w:p w:rsidR="00030311" w:rsidRPr="003822A5" w:rsidRDefault="00030311" w:rsidP="00030311">
            <w:pPr>
              <w:spacing w:after="0" w:line="240" w:lineRule="auto"/>
              <w:jc w:val="right"/>
              <w:rPr>
                <w:rFonts w:cs="Arial"/>
                <w:color w:val="000000"/>
                <w:sz w:val="16"/>
                <w:szCs w:val="16"/>
              </w:rPr>
            </w:pPr>
            <w:r w:rsidRPr="003822A5">
              <w:rPr>
                <w:rFonts w:cs="Arial"/>
                <w:color w:val="000000"/>
                <w:sz w:val="16"/>
                <w:szCs w:val="16"/>
              </w:rPr>
              <w:t>54,0</w:t>
            </w:r>
          </w:p>
        </w:tc>
        <w:tc>
          <w:tcPr>
            <w:tcW w:w="500" w:type="dxa"/>
            <w:vAlign w:val="center"/>
          </w:tcPr>
          <w:p w:rsidR="00030311" w:rsidRPr="00647EA1" w:rsidRDefault="00647EA1" w:rsidP="00030311">
            <w:pPr>
              <w:spacing w:after="0" w:line="240" w:lineRule="auto"/>
              <w:jc w:val="right"/>
              <w:rPr>
                <w:rFonts w:cs="Arial"/>
                <w:color w:val="000000"/>
                <w:sz w:val="16"/>
                <w:szCs w:val="16"/>
              </w:rPr>
            </w:pPr>
            <w:r w:rsidRPr="00647EA1">
              <w:rPr>
                <w:rFonts w:cs="Arial"/>
                <w:color w:val="000000"/>
                <w:sz w:val="16"/>
                <w:szCs w:val="16"/>
              </w:rPr>
              <w:t>51,0</w:t>
            </w:r>
          </w:p>
        </w:tc>
      </w:tr>
      <w:tr w:rsidR="00030311" w:rsidRPr="003822A5" w:rsidTr="00030311">
        <w:trPr>
          <w:trHeight w:val="300"/>
        </w:trPr>
        <w:tc>
          <w:tcPr>
            <w:tcW w:w="3476" w:type="dxa"/>
            <w:tcBorders>
              <w:top w:val="nil"/>
              <w:left w:val="nil"/>
              <w:bottom w:val="nil"/>
              <w:right w:val="single" w:sz="4" w:space="0" w:color="auto"/>
            </w:tcBorders>
            <w:shd w:val="clear" w:color="auto" w:fill="auto"/>
            <w:vAlign w:val="center"/>
            <w:hideMark/>
          </w:tcPr>
          <w:p w:rsidR="00030311" w:rsidRPr="003822A5" w:rsidRDefault="00030311" w:rsidP="00030311">
            <w:pPr>
              <w:spacing w:after="0" w:line="240" w:lineRule="auto"/>
              <w:ind w:firstLineChars="100" w:firstLine="160"/>
              <w:jc w:val="left"/>
              <w:rPr>
                <w:rFonts w:cs="Arial"/>
                <w:color w:val="000000"/>
                <w:sz w:val="16"/>
                <w:szCs w:val="16"/>
              </w:rPr>
            </w:pPr>
            <w:r w:rsidRPr="003822A5">
              <w:rPr>
                <w:rFonts w:cs="Arial"/>
                <w:color w:val="000000"/>
                <w:sz w:val="16"/>
                <w:szCs w:val="16"/>
              </w:rPr>
              <w:t>P – Vzdělávání</w:t>
            </w:r>
          </w:p>
        </w:tc>
        <w:tc>
          <w:tcPr>
            <w:tcW w:w="567" w:type="dxa"/>
            <w:tcBorders>
              <w:top w:val="nil"/>
              <w:left w:val="nil"/>
              <w:bottom w:val="nil"/>
              <w:right w:val="nil"/>
            </w:tcBorders>
            <w:shd w:val="clear" w:color="auto" w:fill="auto"/>
            <w:noWrap/>
            <w:vAlign w:val="center"/>
            <w:hideMark/>
          </w:tcPr>
          <w:p w:rsidR="00030311" w:rsidRPr="003822A5" w:rsidRDefault="00030311" w:rsidP="00030311">
            <w:pPr>
              <w:spacing w:after="0" w:line="240" w:lineRule="auto"/>
              <w:jc w:val="center"/>
              <w:rPr>
                <w:rFonts w:cs="Arial"/>
                <w:color w:val="000000"/>
                <w:sz w:val="16"/>
                <w:szCs w:val="16"/>
              </w:rPr>
            </w:pPr>
            <w:r w:rsidRPr="003822A5">
              <w:rPr>
                <w:rFonts w:cs="Arial"/>
                <w:color w:val="000000"/>
                <w:sz w:val="16"/>
                <w:szCs w:val="16"/>
              </w:rPr>
              <w:t>24,4</w:t>
            </w:r>
          </w:p>
        </w:tc>
        <w:tc>
          <w:tcPr>
            <w:tcW w:w="567" w:type="dxa"/>
            <w:tcBorders>
              <w:top w:val="nil"/>
              <w:left w:val="nil"/>
              <w:bottom w:val="nil"/>
              <w:right w:val="nil"/>
            </w:tcBorders>
            <w:shd w:val="clear" w:color="auto" w:fill="auto"/>
            <w:noWrap/>
            <w:vAlign w:val="center"/>
          </w:tcPr>
          <w:p w:rsidR="00030311" w:rsidRPr="003822A5" w:rsidRDefault="00030311" w:rsidP="00030311">
            <w:pPr>
              <w:spacing w:after="0" w:line="240" w:lineRule="auto"/>
              <w:jc w:val="center"/>
              <w:rPr>
                <w:rFonts w:cs="Arial"/>
                <w:color w:val="000000"/>
                <w:sz w:val="16"/>
                <w:szCs w:val="16"/>
              </w:rPr>
            </w:pPr>
            <w:r w:rsidRPr="003822A5">
              <w:rPr>
                <w:rFonts w:cs="Arial"/>
                <w:color w:val="000000"/>
                <w:sz w:val="16"/>
                <w:szCs w:val="16"/>
              </w:rPr>
              <w:t>30,5</w:t>
            </w:r>
          </w:p>
        </w:tc>
        <w:tc>
          <w:tcPr>
            <w:tcW w:w="567" w:type="dxa"/>
            <w:tcBorders>
              <w:top w:val="nil"/>
              <w:left w:val="nil"/>
              <w:bottom w:val="nil"/>
              <w:right w:val="nil"/>
            </w:tcBorders>
            <w:shd w:val="clear" w:color="auto" w:fill="auto"/>
            <w:noWrap/>
            <w:vAlign w:val="center"/>
          </w:tcPr>
          <w:p w:rsidR="00030311" w:rsidRPr="003822A5" w:rsidRDefault="00030311" w:rsidP="00030311">
            <w:pPr>
              <w:spacing w:after="0" w:line="240" w:lineRule="auto"/>
              <w:jc w:val="center"/>
              <w:rPr>
                <w:rFonts w:cs="Arial"/>
                <w:color w:val="000000"/>
                <w:sz w:val="16"/>
                <w:szCs w:val="16"/>
              </w:rPr>
            </w:pPr>
            <w:r w:rsidRPr="003822A5">
              <w:rPr>
                <w:rFonts w:cs="Arial"/>
                <w:color w:val="000000"/>
                <w:sz w:val="16"/>
                <w:szCs w:val="16"/>
              </w:rPr>
              <w:t>30,5</w:t>
            </w:r>
          </w:p>
        </w:tc>
        <w:tc>
          <w:tcPr>
            <w:tcW w:w="567" w:type="dxa"/>
            <w:tcBorders>
              <w:top w:val="nil"/>
              <w:left w:val="nil"/>
              <w:bottom w:val="nil"/>
              <w:right w:val="nil"/>
            </w:tcBorders>
            <w:shd w:val="clear" w:color="auto" w:fill="auto"/>
            <w:noWrap/>
            <w:vAlign w:val="center"/>
          </w:tcPr>
          <w:p w:rsidR="00030311" w:rsidRPr="003822A5" w:rsidRDefault="00030311" w:rsidP="00030311">
            <w:pPr>
              <w:spacing w:after="0" w:line="240" w:lineRule="auto"/>
              <w:jc w:val="center"/>
              <w:rPr>
                <w:rFonts w:cs="Arial"/>
                <w:color w:val="000000"/>
                <w:sz w:val="16"/>
                <w:szCs w:val="16"/>
              </w:rPr>
            </w:pPr>
            <w:r w:rsidRPr="003822A5">
              <w:rPr>
                <w:rFonts w:cs="Arial"/>
                <w:color w:val="000000"/>
                <w:sz w:val="16"/>
                <w:szCs w:val="16"/>
              </w:rPr>
              <w:t>32,6</w:t>
            </w:r>
          </w:p>
        </w:tc>
        <w:tc>
          <w:tcPr>
            <w:tcW w:w="567" w:type="dxa"/>
            <w:tcBorders>
              <w:top w:val="nil"/>
              <w:left w:val="nil"/>
              <w:bottom w:val="nil"/>
              <w:right w:val="nil"/>
            </w:tcBorders>
            <w:shd w:val="clear" w:color="auto" w:fill="auto"/>
            <w:noWrap/>
            <w:vAlign w:val="center"/>
          </w:tcPr>
          <w:p w:rsidR="00030311" w:rsidRPr="003822A5" w:rsidRDefault="00030311" w:rsidP="00030311">
            <w:pPr>
              <w:spacing w:after="0" w:line="240" w:lineRule="auto"/>
              <w:jc w:val="center"/>
              <w:rPr>
                <w:rFonts w:cs="Arial"/>
                <w:color w:val="000000"/>
                <w:sz w:val="16"/>
                <w:szCs w:val="16"/>
              </w:rPr>
            </w:pPr>
            <w:r w:rsidRPr="003822A5">
              <w:rPr>
                <w:rFonts w:cs="Arial"/>
                <w:color w:val="000000"/>
                <w:sz w:val="16"/>
                <w:szCs w:val="16"/>
              </w:rPr>
              <w:t>35,9</w:t>
            </w:r>
          </w:p>
        </w:tc>
        <w:tc>
          <w:tcPr>
            <w:tcW w:w="567" w:type="dxa"/>
            <w:tcBorders>
              <w:top w:val="nil"/>
              <w:left w:val="nil"/>
              <w:bottom w:val="nil"/>
              <w:right w:val="nil"/>
            </w:tcBorders>
            <w:shd w:val="clear" w:color="auto" w:fill="auto"/>
            <w:noWrap/>
            <w:vAlign w:val="center"/>
          </w:tcPr>
          <w:p w:rsidR="00030311" w:rsidRPr="003822A5" w:rsidRDefault="00030311" w:rsidP="00030311">
            <w:pPr>
              <w:spacing w:after="0" w:line="240" w:lineRule="auto"/>
              <w:jc w:val="center"/>
              <w:rPr>
                <w:rFonts w:cs="Arial"/>
                <w:color w:val="000000"/>
                <w:sz w:val="16"/>
                <w:szCs w:val="16"/>
              </w:rPr>
            </w:pPr>
            <w:r w:rsidRPr="003822A5">
              <w:rPr>
                <w:rFonts w:cs="Arial"/>
                <w:color w:val="000000"/>
                <w:sz w:val="16"/>
                <w:szCs w:val="16"/>
              </w:rPr>
              <w:t>36,0</w:t>
            </w:r>
          </w:p>
        </w:tc>
        <w:tc>
          <w:tcPr>
            <w:tcW w:w="567" w:type="dxa"/>
            <w:tcBorders>
              <w:top w:val="nil"/>
              <w:left w:val="nil"/>
              <w:bottom w:val="nil"/>
              <w:right w:val="nil"/>
            </w:tcBorders>
            <w:shd w:val="clear" w:color="auto" w:fill="auto"/>
            <w:noWrap/>
            <w:vAlign w:val="center"/>
          </w:tcPr>
          <w:p w:rsidR="00030311" w:rsidRPr="003822A5" w:rsidRDefault="00030311" w:rsidP="00030311">
            <w:pPr>
              <w:spacing w:after="0" w:line="240" w:lineRule="auto"/>
              <w:jc w:val="center"/>
              <w:rPr>
                <w:rFonts w:cs="Arial"/>
                <w:color w:val="000000"/>
                <w:sz w:val="16"/>
                <w:szCs w:val="16"/>
              </w:rPr>
            </w:pPr>
            <w:r w:rsidRPr="003822A5">
              <w:rPr>
                <w:rFonts w:cs="Arial"/>
                <w:color w:val="000000"/>
                <w:sz w:val="16"/>
                <w:szCs w:val="16"/>
              </w:rPr>
              <w:t>43,3</w:t>
            </w:r>
          </w:p>
        </w:tc>
        <w:tc>
          <w:tcPr>
            <w:tcW w:w="567" w:type="dxa"/>
            <w:tcBorders>
              <w:top w:val="nil"/>
              <w:left w:val="nil"/>
              <w:bottom w:val="nil"/>
              <w:right w:val="nil"/>
            </w:tcBorders>
            <w:shd w:val="clear" w:color="auto" w:fill="auto"/>
            <w:noWrap/>
            <w:vAlign w:val="center"/>
          </w:tcPr>
          <w:p w:rsidR="00030311" w:rsidRPr="003822A5" w:rsidRDefault="00030311" w:rsidP="00030311">
            <w:pPr>
              <w:spacing w:after="0" w:line="240" w:lineRule="auto"/>
              <w:jc w:val="center"/>
              <w:rPr>
                <w:rFonts w:cs="Arial"/>
                <w:color w:val="000000"/>
                <w:sz w:val="16"/>
                <w:szCs w:val="16"/>
              </w:rPr>
            </w:pPr>
            <w:r w:rsidRPr="003822A5">
              <w:rPr>
                <w:rFonts w:cs="Arial"/>
                <w:color w:val="000000"/>
                <w:sz w:val="16"/>
                <w:szCs w:val="16"/>
              </w:rPr>
              <w:t>55,7</w:t>
            </w:r>
          </w:p>
        </w:tc>
        <w:tc>
          <w:tcPr>
            <w:tcW w:w="567" w:type="dxa"/>
            <w:tcBorders>
              <w:top w:val="nil"/>
              <w:left w:val="nil"/>
              <w:bottom w:val="nil"/>
              <w:right w:val="nil"/>
            </w:tcBorders>
            <w:shd w:val="clear" w:color="auto" w:fill="auto"/>
            <w:noWrap/>
            <w:vAlign w:val="center"/>
          </w:tcPr>
          <w:p w:rsidR="00030311" w:rsidRPr="003822A5" w:rsidRDefault="00030311" w:rsidP="00030311">
            <w:pPr>
              <w:spacing w:after="0" w:line="240" w:lineRule="auto"/>
              <w:jc w:val="center"/>
              <w:rPr>
                <w:rFonts w:cs="Arial"/>
                <w:color w:val="000000"/>
                <w:sz w:val="16"/>
                <w:szCs w:val="16"/>
              </w:rPr>
            </w:pPr>
            <w:r w:rsidRPr="003822A5">
              <w:rPr>
                <w:rFonts w:cs="Arial"/>
                <w:color w:val="000000"/>
                <w:sz w:val="16"/>
                <w:szCs w:val="16"/>
              </w:rPr>
              <w:t>86,4</w:t>
            </w:r>
          </w:p>
        </w:tc>
        <w:tc>
          <w:tcPr>
            <w:tcW w:w="559" w:type="dxa"/>
            <w:vAlign w:val="center"/>
          </w:tcPr>
          <w:p w:rsidR="00030311" w:rsidRPr="003822A5" w:rsidRDefault="00030311" w:rsidP="00030311">
            <w:pPr>
              <w:spacing w:after="0" w:line="240" w:lineRule="auto"/>
              <w:jc w:val="right"/>
              <w:rPr>
                <w:rFonts w:cs="Arial"/>
                <w:color w:val="000000"/>
                <w:sz w:val="16"/>
                <w:szCs w:val="16"/>
              </w:rPr>
            </w:pPr>
            <w:r w:rsidRPr="003822A5">
              <w:rPr>
                <w:rFonts w:cs="Arial"/>
                <w:color w:val="000000"/>
                <w:sz w:val="16"/>
                <w:szCs w:val="16"/>
              </w:rPr>
              <w:t>63,1</w:t>
            </w:r>
          </w:p>
        </w:tc>
        <w:tc>
          <w:tcPr>
            <w:tcW w:w="500" w:type="dxa"/>
            <w:vAlign w:val="center"/>
          </w:tcPr>
          <w:p w:rsidR="00030311" w:rsidRPr="00647EA1" w:rsidRDefault="00647EA1" w:rsidP="00030311">
            <w:pPr>
              <w:spacing w:after="0" w:line="240" w:lineRule="auto"/>
              <w:jc w:val="right"/>
              <w:rPr>
                <w:rFonts w:cs="Arial"/>
                <w:color w:val="000000"/>
                <w:sz w:val="16"/>
                <w:szCs w:val="16"/>
              </w:rPr>
            </w:pPr>
            <w:r w:rsidRPr="00647EA1">
              <w:rPr>
                <w:rFonts w:cs="Arial"/>
                <w:color w:val="000000"/>
                <w:sz w:val="16"/>
                <w:szCs w:val="16"/>
              </w:rPr>
              <w:t>56,6</w:t>
            </w:r>
          </w:p>
        </w:tc>
      </w:tr>
      <w:tr w:rsidR="00030311" w:rsidRPr="003822A5" w:rsidTr="00030311">
        <w:trPr>
          <w:trHeight w:val="300"/>
        </w:trPr>
        <w:tc>
          <w:tcPr>
            <w:tcW w:w="3476" w:type="dxa"/>
            <w:tcBorders>
              <w:top w:val="nil"/>
              <w:left w:val="nil"/>
              <w:bottom w:val="nil"/>
              <w:right w:val="single" w:sz="4" w:space="0" w:color="auto"/>
            </w:tcBorders>
            <w:shd w:val="clear" w:color="auto" w:fill="auto"/>
            <w:vAlign w:val="center"/>
            <w:hideMark/>
          </w:tcPr>
          <w:p w:rsidR="00030311" w:rsidRPr="003822A5" w:rsidRDefault="00030311" w:rsidP="00030311">
            <w:pPr>
              <w:spacing w:after="0" w:line="240" w:lineRule="auto"/>
              <w:ind w:firstLineChars="100" w:firstLine="160"/>
              <w:jc w:val="left"/>
              <w:rPr>
                <w:rFonts w:cs="Arial"/>
                <w:color w:val="000000"/>
                <w:sz w:val="16"/>
                <w:szCs w:val="16"/>
              </w:rPr>
            </w:pPr>
            <w:r w:rsidRPr="003822A5">
              <w:rPr>
                <w:rFonts w:cs="Arial"/>
                <w:color w:val="000000"/>
                <w:sz w:val="16"/>
                <w:szCs w:val="16"/>
              </w:rPr>
              <w:t>Q – Zdravotní a sociální péče</w:t>
            </w:r>
          </w:p>
        </w:tc>
        <w:tc>
          <w:tcPr>
            <w:tcW w:w="567" w:type="dxa"/>
            <w:tcBorders>
              <w:top w:val="nil"/>
              <w:left w:val="nil"/>
              <w:bottom w:val="nil"/>
              <w:right w:val="nil"/>
            </w:tcBorders>
            <w:shd w:val="clear" w:color="auto" w:fill="auto"/>
            <w:noWrap/>
            <w:vAlign w:val="center"/>
            <w:hideMark/>
          </w:tcPr>
          <w:p w:rsidR="00030311" w:rsidRPr="003822A5" w:rsidRDefault="00030311" w:rsidP="00030311">
            <w:pPr>
              <w:spacing w:after="0" w:line="240" w:lineRule="auto"/>
              <w:jc w:val="center"/>
              <w:rPr>
                <w:rFonts w:cs="Arial"/>
                <w:color w:val="000000"/>
                <w:sz w:val="16"/>
                <w:szCs w:val="16"/>
              </w:rPr>
            </w:pPr>
            <w:r w:rsidRPr="003822A5">
              <w:rPr>
                <w:rFonts w:cs="Arial"/>
                <w:color w:val="000000"/>
                <w:sz w:val="16"/>
                <w:szCs w:val="16"/>
              </w:rPr>
              <w:t>25,4</w:t>
            </w:r>
          </w:p>
        </w:tc>
        <w:tc>
          <w:tcPr>
            <w:tcW w:w="567" w:type="dxa"/>
            <w:tcBorders>
              <w:top w:val="nil"/>
              <w:left w:val="nil"/>
              <w:bottom w:val="nil"/>
              <w:right w:val="nil"/>
            </w:tcBorders>
            <w:shd w:val="clear" w:color="auto" w:fill="auto"/>
            <w:noWrap/>
            <w:vAlign w:val="center"/>
          </w:tcPr>
          <w:p w:rsidR="00030311" w:rsidRPr="003822A5" w:rsidRDefault="00030311" w:rsidP="00030311">
            <w:pPr>
              <w:spacing w:after="0" w:line="240" w:lineRule="auto"/>
              <w:jc w:val="center"/>
              <w:rPr>
                <w:rFonts w:cs="Arial"/>
                <w:color w:val="000000"/>
                <w:sz w:val="16"/>
                <w:szCs w:val="16"/>
              </w:rPr>
            </w:pPr>
            <w:r w:rsidRPr="003822A5">
              <w:rPr>
                <w:rFonts w:cs="Arial"/>
                <w:color w:val="000000"/>
                <w:sz w:val="16"/>
                <w:szCs w:val="16"/>
              </w:rPr>
              <w:t>29,7</w:t>
            </w:r>
          </w:p>
        </w:tc>
        <w:tc>
          <w:tcPr>
            <w:tcW w:w="567" w:type="dxa"/>
            <w:tcBorders>
              <w:top w:val="nil"/>
              <w:left w:val="nil"/>
              <w:bottom w:val="nil"/>
              <w:right w:val="nil"/>
            </w:tcBorders>
            <w:shd w:val="clear" w:color="auto" w:fill="auto"/>
            <w:noWrap/>
            <w:vAlign w:val="center"/>
          </w:tcPr>
          <w:p w:rsidR="00030311" w:rsidRPr="003822A5" w:rsidRDefault="00030311" w:rsidP="00030311">
            <w:pPr>
              <w:spacing w:after="0" w:line="240" w:lineRule="auto"/>
              <w:jc w:val="center"/>
              <w:rPr>
                <w:rFonts w:cs="Arial"/>
                <w:color w:val="000000"/>
                <w:sz w:val="16"/>
                <w:szCs w:val="16"/>
              </w:rPr>
            </w:pPr>
            <w:r w:rsidRPr="003822A5">
              <w:rPr>
                <w:rFonts w:cs="Arial"/>
                <w:color w:val="000000"/>
                <w:sz w:val="16"/>
                <w:szCs w:val="16"/>
              </w:rPr>
              <w:t>30,4</w:t>
            </w:r>
          </w:p>
        </w:tc>
        <w:tc>
          <w:tcPr>
            <w:tcW w:w="567" w:type="dxa"/>
            <w:tcBorders>
              <w:top w:val="nil"/>
              <w:left w:val="nil"/>
              <w:bottom w:val="nil"/>
              <w:right w:val="nil"/>
            </w:tcBorders>
            <w:shd w:val="clear" w:color="auto" w:fill="auto"/>
            <w:noWrap/>
            <w:vAlign w:val="center"/>
          </w:tcPr>
          <w:p w:rsidR="00030311" w:rsidRPr="003822A5" w:rsidRDefault="00030311" w:rsidP="00030311">
            <w:pPr>
              <w:spacing w:after="0" w:line="240" w:lineRule="auto"/>
              <w:jc w:val="center"/>
              <w:rPr>
                <w:rFonts w:cs="Arial"/>
                <w:color w:val="000000"/>
                <w:sz w:val="16"/>
                <w:szCs w:val="16"/>
              </w:rPr>
            </w:pPr>
            <w:r w:rsidRPr="003822A5">
              <w:rPr>
                <w:rFonts w:cs="Arial"/>
                <w:color w:val="000000"/>
                <w:sz w:val="16"/>
                <w:szCs w:val="16"/>
              </w:rPr>
              <w:t>31,3</w:t>
            </w:r>
          </w:p>
        </w:tc>
        <w:tc>
          <w:tcPr>
            <w:tcW w:w="567" w:type="dxa"/>
            <w:tcBorders>
              <w:top w:val="nil"/>
              <w:left w:val="nil"/>
              <w:bottom w:val="nil"/>
              <w:right w:val="nil"/>
            </w:tcBorders>
            <w:shd w:val="clear" w:color="auto" w:fill="auto"/>
            <w:noWrap/>
            <w:vAlign w:val="center"/>
          </w:tcPr>
          <w:p w:rsidR="00030311" w:rsidRPr="003822A5" w:rsidRDefault="00030311" w:rsidP="00030311">
            <w:pPr>
              <w:spacing w:after="0" w:line="240" w:lineRule="auto"/>
              <w:jc w:val="center"/>
              <w:rPr>
                <w:rFonts w:cs="Arial"/>
                <w:color w:val="000000"/>
                <w:sz w:val="16"/>
                <w:szCs w:val="16"/>
              </w:rPr>
            </w:pPr>
            <w:r w:rsidRPr="003822A5">
              <w:rPr>
                <w:rFonts w:cs="Arial"/>
                <w:color w:val="000000"/>
                <w:sz w:val="16"/>
                <w:szCs w:val="16"/>
              </w:rPr>
              <w:t>33,7</w:t>
            </w:r>
          </w:p>
        </w:tc>
        <w:tc>
          <w:tcPr>
            <w:tcW w:w="567" w:type="dxa"/>
            <w:tcBorders>
              <w:top w:val="nil"/>
              <w:left w:val="nil"/>
              <w:bottom w:val="nil"/>
              <w:right w:val="nil"/>
            </w:tcBorders>
            <w:shd w:val="clear" w:color="auto" w:fill="auto"/>
            <w:noWrap/>
            <w:vAlign w:val="center"/>
          </w:tcPr>
          <w:p w:rsidR="00030311" w:rsidRPr="003822A5" w:rsidRDefault="00030311" w:rsidP="00030311">
            <w:pPr>
              <w:spacing w:after="0" w:line="240" w:lineRule="auto"/>
              <w:jc w:val="center"/>
              <w:rPr>
                <w:rFonts w:cs="Arial"/>
                <w:color w:val="000000"/>
                <w:sz w:val="16"/>
                <w:szCs w:val="16"/>
              </w:rPr>
            </w:pPr>
            <w:r w:rsidRPr="003822A5">
              <w:rPr>
                <w:rFonts w:cs="Arial"/>
                <w:color w:val="000000"/>
                <w:sz w:val="16"/>
                <w:szCs w:val="16"/>
              </w:rPr>
              <w:t>35,2</w:t>
            </w:r>
          </w:p>
        </w:tc>
        <w:tc>
          <w:tcPr>
            <w:tcW w:w="567" w:type="dxa"/>
            <w:tcBorders>
              <w:top w:val="nil"/>
              <w:left w:val="nil"/>
              <w:bottom w:val="nil"/>
              <w:right w:val="nil"/>
            </w:tcBorders>
            <w:shd w:val="clear" w:color="auto" w:fill="auto"/>
            <w:noWrap/>
            <w:vAlign w:val="center"/>
          </w:tcPr>
          <w:p w:rsidR="00030311" w:rsidRPr="003822A5" w:rsidRDefault="00030311" w:rsidP="00030311">
            <w:pPr>
              <w:spacing w:after="0" w:line="240" w:lineRule="auto"/>
              <w:jc w:val="center"/>
              <w:rPr>
                <w:rFonts w:cs="Arial"/>
                <w:color w:val="000000"/>
                <w:sz w:val="16"/>
                <w:szCs w:val="16"/>
              </w:rPr>
            </w:pPr>
            <w:r w:rsidRPr="003822A5">
              <w:rPr>
                <w:rFonts w:cs="Arial"/>
                <w:color w:val="000000"/>
                <w:sz w:val="16"/>
                <w:szCs w:val="16"/>
              </w:rPr>
              <w:t>59,7</w:t>
            </w:r>
          </w:p>
        </w:tc>
        <w:tc>
          <w:tcPr>
            <w:tcW w:w="567" w:type="dxa"/>
            <w:tcBorders>
              <w:top w:val="nil"/>
              <w:left w:val="nil"/>
              <w:bottom w:val="nil"/>
              <w:right w:val="nil"/>
            </w:tcBorders>
            <w:shd w:val="clear" w:color="auto" w:fill="auto"/>
            <w:noWrap/>
            <w:vAlign w:val="center"/>
          </w:tcPr>
          <w:p w:rsidR="00030311" w:rsidRPr="003822A5" w:rsidRDefault="00030311" w:rsidP="00030311">
            <w:pPr>
              <w:spacing w:after="0" w:line="240" w:lineRule="auto"/>
              <w:jc w:val="center"/>
              <w:rPr>
                <w:rFonts w:cs="Arial"/>
                <w:color w:val="000000"/>
                <w:sz w:val="16"/>
                <w:szCs w:val="16"/>
              </w:rPr>
            </w:pPr>
            <w:r w:rsidRPr="003822A5">
              <w:rPr>
                <w:rFonts w:cs="Arial"/>
                <w:color w:val="000000"/>
                <w:sz w:val="16"/>
                <w:szCs w:val="16"/>
              </w:rPr>
              <w:t>52,1</w:t>
            </w:r>
          </w:p>
        </w:tc>
        <w:tc>
          <w:tcPr>
            <w:tcW w:w="567" w:type="dxa"/>
            <w:tcBorders>
              <w:top w:val="nil"/>
              <w:left w:val="nil"/>
              <w:bottom w:val="nil"/>
              <w:right w:val="nil"/>
            </w:tcBorders>
            <w:shd w:val="clear" w:color="auto" w:fill="auto"/>
            <w:noWrap/>
            <w:vAlign w:val="center"/>
          </w:tcPr>
          <w:p w:rsidR="00030311" w:rsidRPr="003822A5" w:rsidRDefault="00030311" w:rsidP="00030311">
            <w:pPr>
              <w:spacing w:after="0" w:line="240" w:lineRule="auto"/>
              <w:jc w:val="center"/>
              <w:rPr>
                <w:rFonts w:cs="Arial"/>
                <w:color w:val="000000"/>
                <w:sz w:val="16"/>
                <w:szCs w:val="16"/>
              </w:rPr>
            </w:pPr>
            <w:r w:rsidRPr="003822A5">
              <w:rPr>
                <w:rFonts w:cs="Arial"/>
                <w:color w:val="000000"/>
                <w:sz w:val="16"/>
                <w:szCs w:val="16"/>
              </w:rPr>
              <w:t>72,2</w:t>
            </w:r>
          </w:p>
        </w:tc>
        <w:tc>
          <w:tcPr>
            <w:tcW w:w="559" w:type="dxa"/>
            <w:vAlign w:val="center"/>
          </w:tcPr>
          <w:p w:rsidR="00030311" w:rsidRPr="003822A5" w:rsidRDefault="00030311" w:rsidP="00030311">
            <w:pPr>
              <w:spacing w:after="0" w:line="240" w:lineRule="auto"/>
              <w:jc w:val="right"/>
              <w:rPr>
                <w:rFonts w:cs="Arial"/>
                <w:color w:val="000000"/>
                <w:sz w:val="16"/>
                <w:szCs w:val="16"/>
              </w:rPr>
            </w:pPr>
            <w:r w:rsidRPr="003822A5">
              <w:rPr>
                <w:rFonts w:cs="Arial"/>
                <w:color w:val="000000"/>
                <w:sz w:val="16"/>
                <w:szCs w:val="16"/>
              </w:rPr>
              <w:t>53,1</w:t>
            </w:r>
          </w:p>
        </w:tc>
        <w:tc>
          <w:tcPr>
            <w:tcW w:w="500" w:type="dxa"/>
            <w:vAlign w:val="center"/>
          </w:tcPr>
          <w:p w:rsidR="00030311" w:rsidRPr="00647EA1" w:rsidRDefault="00647EA1" w:rsidP="00030311">
            <w:pPr>
              <w:spacing w:after="0" w:line="240" w:lineRule="auto"/>
              <w:jc w:val="right"/>
              <w:rPr>
                <w:rFonts w:cs="Arial"/>
                <w:color w:val="000000"/>
                <w:sz w:val="16"/>
                <w:szCs w:val="16"/>
              </w:rPr>
            </w:pPr>
            <w:r w:rsidRPr="00647EA1">
              <w:rPr>
                <w:rFonts w:cs="Arial"/>
                <w:color w:val="000000"/>
                <w:sz w:val="16"/>
                <w:szCs w:val="16"/>
              </w:rPr>
              <w:t>51,9</w:t>
            </w:r>
          </w:p>
        </w:tc>
      </w:tr>
      <w:tr w:rsidR="00030311" w:rsidRPr="003822A5" w:rsidTr="00030311">
        <w:trPr>
          <w:trHeight w:val="480"/>
        </w:trPr>
        <w:tc>
          <w:tcPr>
            <w:tcW w:w="3476" w:type="dxa"/>
            <w:tcBorders>
              <w:top w:val="nil"/>
              <w:left w:val="nil"/>
              <w:bottom w:val="nil"/>
              <w:right w:val="single" w:sz="4" w:space="0" w:color="auto"/>
            </w:tcBorders>
            <w:shd w:val="clear" w:color="auto" w:fill="auto"/>
            <w:vAlign w:val="center"/>
            <w:hideMark/>
          </w:tcPr>
          <w:p w:rsidR="00030311" w:rsidRPr="003822A5" w:rsidRDefault="00030311" w:rsidP="00030311">
            <w:pPr>
              <w:spacing w:after="0" w:line="240" w:lineRule="auto"/>
              <w:ind w:firstLineChars="100" w:firstLine="160"/>
              <w:jc w:val="left"/>
              <w:rPr>
                <w:rFonts w:cs="Arial"/>
                <w:color w:val="000000"/>
                <w:sz w:val="16"/>
                <w:szCs w:val="16"/>
              </w:rPr>
            </w:pPr>
            <w:r w:rsidRPr="003822A5">
              <w:rPr>
                <w:rFonts w:cs="Arial"/>
                <w:color w:val="000000"/>
                <w:sz w:val="16"/>
                <w:szCs w:val="16"/>
              </w:rPr>
              <w:t xml:space="preserve">R – Kulturní, zábavní a rekreační </w:t>
            </w:r>
            <w:r w:rsidRPr="003822A5">
              <w:rPr>
                <w:rFonts w:cs="Arial"/>
                <w:color w:val="000000"/>
                <w:sz w:val="16"/>
                <w:szCs w:val="16"/>
              </w:rPr>
              <w:br/>
              <w:t xml:space="preserve">          činnosti</w:t>
            </w:r>
          </w:p>
        </w:tc>
        <w:tc>
          <w:tcPr>
            <w:tcW w:w="567" w:type="dxa"/>
            <w:tcBorders>
              <w:top w:val="nil"/>
              <w:left w:val="nil"/>
              <w:bottom w:val="nil"/>
              <w:right w:val="nil"/>
            </w:tcBorders>
            <w:shd w:val="clear" w:color="auto" w:fill="auto"/>
            <w:noWrap/>
            <w:vAlign w:val="center"/>
            <w:hideMark/>
          </w:tcPr>
          <w:p w:rsidR="00030311" w:rsidRPr="003822A5" w:rsidRDefault="00030311" w:rsidP="00030311">
            <w:pPr>
              <w:spacing w:after="0" w:line="240" w:lineRule="auto"/>
              <w:jc w:val="center"/>
              <w:rPr>
                <w:rFonts w:cs="Arial"/>
                <w:color w:val="000000"/>
                <w:sz w:val="16"/>
                <w:szCs w:val="16"/>
              </w:rPr>
            </w:pPr>
            <w:r w:rsidRPr="003822A5">
              <w:rPr>
                <w:rFonts w:cs="Arial"/>
                <w:color w:val="000000"/>
                <w:sz w:val="16"/>
                <w:szCs w:val="16"/>
              </w:rPr>
              <w:t>20,5</w:t>
            </w:r>
          </w:p>
        </w:tc>
        <w:tc>
          <w:tcPr>
            <w:tcW w:w="567" w:type="dxa"/>
            <w:tcBorders>
              <w:top w:val="nil"/>
              <w:left w:val="nil"/>
              <w:bottom w:val="nil"/>
              <w:right w:val="nil"/>
            </w:tcBorders>
            <w:shd w:val="clear" w:color="auto" w:fill="auto"/>
            <w:noWrap/>
            <w:vAlign w:val="center"/>
          </w:tcPr>
          <w:p w:rsidR="00030311" w:rsidRPr="003822A5" w:rsidRDefault="00030311" w:rsidP="00030311">
            <w:pPr>
              <w:spacing w:after="0" w:line="240" w:lineRule="auto"/>
              <w:jc w:val="center"/>
              <w:rPr>
                <w:rFonts w:cs="Arial"/>
                <w:color w:val="000000"/>
                <w:sz w:val="16"/>
                <w:szCs w:val="16"/>
              </w:rPr>
            </w:pPr>
            <w:r w:rsidRPr="003822A5">
              <w:rPr>
                <w:rFonts w:cs="Arial"/>
                <w:color w:val="000000"/>
                <w:sz w:val="16"/>
                <w:szCs w:val="16"/>
              </w:rPr>
              <w:t>24,1</w:t>
            </w:r>
          </w:p>
        </w:tc>
        <w:tc>
          <w:tcPr>
            <w:tcW w:w="567" w:type="dxa"/>
            <w:tcBorders>
              <w:top w:val="nil"/>
              <w:left w:val="nil"/>
              <w:bottom w:val="nil"/>
              <w:right w:val="nil"/>
            </w:tcBorders>
            <w:shd w:val="clear" w:color="auto" w:fill="auto"/>
            <w:noWrap/>
            <w:vAlign w:val="center"/>
          </w:tcPr>
          <w:p w:rsidR="00030311" w:rsidRPr="003822A5" w:rsidRDefault="00030311" w:rsidP="00030311">
            <w:pPr>
              <w:spacing w:after="0" w:line="240" w:lineRule="auto"/>
              <w:jc w:val="center"/>
              <w:rPr>
                <w:rFonts w:cs="Arial"/>
                <w:color w:val="000000"/>
                <w:sz w:val="16"/>
                <w:szCs w:val="16"/>
              </w:rPr>
            </w:pPr>
            <w:r w:rsidRPr="003822A5">
              <w:rPr>
                <w:rFonts w:cs="Arial"/>
                <w:color w:val="000000"/>
                <w:sz w:val="16"/>
                <w:szCs w:val="16"/>
              </w:rPr>
              <w:t>24,6</w:t>
            </w:r>
          </w:p>
        </w:tc>
        <w:tc>
          <w:tcPr>
            <w:tcW w:w="567" w:type="dxa"/>
            <w:tcBorders>
              <w:top w:val="nil"/>
              <w:left w:val="nil"/>
              <w:bottom w:val="nil"/>
              <w:right w:val="nil"/>
            </w:tcBorders>
            <w:shd w:val="clear" w:color="auto" w:fill="auto"/>
            <w:noWrap/>
            <w:vAlign w:val="center"/>
          </w:tcPr>
          <w:p w:rsidR="00030311" w:rsidRPr="003822A5" w:rsidRDefault="00030311" w:rsidP="00030311">
            <w:pPr>
              <w:spacing w:after="0" w:line="240" w:lineRule="auto"/>
              <w:jc w:val="center"/>
              <w:rPr>
                <w:rFonts w:cs="Arial"/>
                <w:color w:val="000000"/>
                <w:sz w:val="16"/>
                <w:szCs w:val="16"/>
              </w:rPr>
            </w:pPr>
            <w:r w:rsidRPr="003822A5">
              <w:rPr>
                <w:rFonts w:cs="Arial"/>
                <w:color w:val="000000"/>
                <w:sz w:val="16"/>
                <w:szCs w:val="16"/>
              </w:rPr>
              <w:t>24,4</w:t>
            </w:r>
          </w:p>
        </w:tc>
        <w:tc>
          <w:tcPr>
            <w:tcW w:w="567" w:type="dxa"/>
            <w:tcBorders>
              <w:top w:val="nil"/>
              <w:left w:val="nil"/>
              <w:bottom w:val="nil"/>
              <w:right w:val="nil"/>
            </w:tcBorders>
            <w:shd w:val="clear" w:color="auto" w:fill="auto"/>
            <w:noWrap/>
            <w:vAlign w:val="center"/>
          </w:tcPr>
          <w:p w:rsidR="00030311" w:rsidRPr="003822A5" w:rsidRDefault="00030311" w:rsidP="00030311">
            <w:pPr>
              <w:spacing w:after="0" w:line="240" w:lineRule="auto"/>
              <w:jc w:val="center"/>
              <w:rPr>
                <w:rFonts w:cs="Arial"/>
                <w:color w:val="000000"/>
                <w:sz w:val="16"/>
                <w:szCs w:val="16"/>
              </w:rPr>
            </w:pPr>
            <w:r w:rsidRPr="003822A5">
              <w:rPr>
                <w:rFonts w:cs="Arial"/>
                <w:color w:val="000000"/>
                <w:sz w:val="16"/>
                <w:szCs w:val="16"/>
              </w:rPr>
              <w:t>26,8</w:t>
            </w:r>
          </w:p>
        </w:tc>
        <w:tc>
          <w:tcPr>
            <w:tcW w:w="567" w:type="dxa"/>
            <w:tcBorders>
              <w:top w:val="nil"/>
              <w:left w:val="nil"/>
              <w:bottom w:val="nil"/>
              <w:right w:val="nil"/>
            </w:tcBorders>
            <w:shd w:val="clear" w:color="auto" w:fill="auto"/>
            <w:noWrap/>
            <w:vAlign w:val="center"/>
          </w:tcPr>
          <w:p w:rsidR="00030311" w:rsidRPr="003822A5" w:rsidRDefault="00030311" w:rsidP="00030311">
            <w:pPr>
              <w:spacing w:after="0" w:line="240" w:lineRule="auto"/>
              <w:jc w:val="center"/>
              <w:rPr>
                <w:rFonts w:cs="Arial"/>
                <w:color w:val="000000"/>
                <w:sz w:val="16"/>
                <w:szCs w:val="16"/>
              </w:rPr>
            </w:pPr>
            <w:r w:rsidRPr="003822A5">
              <w:rPr>
                <w:rFonts w:cs="Arial"/>
                <w:color w:val="000000"/>
                <w:sz w:val="16"/>
                <w:szCs w:val="16"/>
              </w:rPr>
              <w:t>27,9</w:t>
            </w:r>
          </w:p>
        </w:tc>
        <w:tc>
          <w:tcPr>
            <w:tcW w:w="567" w:type="dxa"/>
            <w:tcBorders>
              <w:top w:val="nil"/>
              <w:left w:val="nil"/>
              <w:bottom w:val="nil"/>
              <w:right w:val="nil"/>
            </w:tcBorders>
            <w:shd w:val="clear" w:color="auto" w:fill="auto"/>
            <w:noWrap/>
            <w:vAlign w:val="center"/>
          </w:tcPr>
          <w:p w:rsidR="00030311" w:rsidRPr="003822A5" w:rsidRDefault="00030311" w:rsidP="00030311">
            <w:pPr>
              <w:spacing w:after="0" w:line="240" w:lineRule="auto"/>
              <w:jc w:val="center"/>
              <w:rPr>
                <w:rFonts w:cs="Arial"/>
                <w:color w:val="000000"/>
                <w:sz w:val="16"/>
                <w:szCs w:val="16"/>
              </w:rPr>
            </w:pPr>
            <w:r w:rsidRPr="003822A5">
              <w:rPr>
                <w:rFonts w:cs="Arial"/>
                <w:color w:val="000000"/>
                <w:sz w:val="16"/>
                <w:szCs w:val="16"/>
              </w:rPr>
              <w:t>34,1</w:t>
            </w:r>
          </w:p>
        </w:tc>
        <w:tc>
          <w:tcPr>
            <w:tcW w:w="567" w:type="dxa"/>
            <w:tcBorders>
              <w:top w:val="nil"/>
              <w:left w:val="nil"/>
              <w:bottom w:val="nil"/>
              <w:right w:val="nil"/>
            </w:tcBorders>
            <w:shd w:val="clear" w:color="auto" w:fill="auto"/>
            <w:noWrap/>
            <w:vAlign w:val="center"/>
          </w:tcPr>
          <w:p w:rsidR="00030311" w:rsidRPr="003822A5" w:rsidRDefault="00030311" w:rsidP="00030311">
            <w:pPr>
              <w:spacing w:after="0" w:line="240" w:lineRule="auto"/>
              <w:jc w:val="center"/>
              <w:rPr>
                <w:rFonts w:cs="Arial"/>
                <w:color w:val="000000"/>
                <w:sz w:val="16"/>
                <w:szCs w:val="16"/>
              </w:rPr>
            </w:pPr>
            <w:r w:rsidRPr="003822A5">
              <w:rPr>
                <w:rFonts w:cs="Arial"/>
                <w:color w:val="000000"/>
                <w:sz w:val="16"/>
                <w:szCs w:val="16"/>
              </w:rPr>
              <w:t>36,5</w:t>
            </w:r>
          </w:p>
        </w:tc>
        <w:tc>
          <w:tcPr>
            <w:tcW w:w="567" w:type="dxa"/>
            <w:tcBorders>
              <w:top w:val="nil"/>
              <w:left w:val="nil"/>
              <w:bottom w:val="nil"/>
              <w:right w:val="nil"/>
            </w:tcBorders>
            <w:shd w:val="clear" w:color="auto" w:fill="auto"/>
            <w:noWrap/>
            <w:vAlign w:val="center"/>
          </w:tcPr>
          <w:p w:rsidR="00030311" w:rsidRPr="003822A5" w:rsidRDefault="00030311" w:rsidP="00030311">
            <w:pPr>
              <w:spacing w:after="0" w:line="240" w:lineRule="auto"/>
              <w:jc w:val="center"/>
              <w:rPr>
                <w:rFonts w:cs="Arial"/>
                <w:color w:val="000000"/>
                <w:sz w:val="16"/>
                <w:szCs w:val="16"/>
              </w:rPr>
            </w:pPr>
            <w:r w:rsidRPr="003822A5">
              <w:rPr>
                <w:rFonts w:cs="Arial"/>
                <w:color w:val="000000"/>
                <w:sz w:val="16"/>
                <w:szCs w:val="16"/>
              </w:rPr>
              <w:t>56,1</w:t>
            </w:r>
          </w:p>
        </w:tc>
        <w:tc>
          <w:tcPr>
            <w:tcW w:w="559" w:type="dxa"/>
            <w:vAlign w:val="center"/>
          </w:tcPr>
          <w:p w:rsidR="00030311" w:rsidRPr="003822A5" w:rsidRDefault="00030311" w:rsidP="00030311">
            <w:pPr>
              <w:spacing w:after="0" w:line="240" w:lineRule="auto"/>
              <w:jc w:val="right"/>
              <w:rPr>
                <w:rFonts w:cs="Arial"/>
                <w:color w:val="000000"/>
                <w:sz w:val="16"/>
                <w:szCs w:val="16"/>
              </w:rPr>
            </w:pPr>
            <w:r w:rsidRPr="003822A5">
              <w:rPr>
                <w:rFonts w:cs="Arial"/>
                <w:color w:val="000000"/>
                <w:sz w:val="16"/>
                <w:szCs w:val="16"/>
              </w:rPr>
              <w:t>39,1</w:t>
            </w:r>
          </w:p>
        </w:tc>
        <w:tc>
          <w:tcPr>
            <w:tcW w:w="500" w:type="dxa"/>
            <w:vAlign w:val="center"/>
          </w:tcPr>
          <w:p w:rsidR="00030311" w:rsidRPr="00647EA1" w:rsidRDefault="00647EA1" w:rsidP="00030311">
            <w:pPr>
              <w:spacing w:after="0" w:line="240" w:lineRule="auto"/>
              <w:jc w:val="right"/>
              <w:rPr>
                <w:rFonts w:cs="Arial"/>
                <w:color w:val="000000"/>
                <w:sz w:val="16"/>
                <w:szCs w:val="16"/>
              </w:rPr>
            </w:pPr>
            <w:r w:rsidRPr="00647EA1">
              <w:rPr>
                <w:rFonts w:cs="Arial"/>
                <w:color w:val="000000"/>
                <w:sz w:val="16"/>
                <w:szCs w:val="16"/>
              </w:rPr>
              <w:t>39,4</w:t>
            </w:r>
          </w:p>
        </w:tc>
      </w:tr>
      <w:tr w:rsidR="00030311" w:rsidRPr="003822A5" w:rsidTr="00030311">
        <w:trPr>
          <w:trHeight w:val="300"/>
        </w:trPr>
        <w:tc>
          <w:tcPr>
            <w:tcW w:w="3476" w:type="dxa"/>
            <w:tcBorders>
              <w:top w:val="nil"/>
              <w:left w:val="nil"/>
              <w:bottom w:val="nil"/>
              <w:right w:val="single" w:sz="4" w:space="0" w:color="auto"/>
            </w:tcBorders>
            <w:shd w:val="clear" w:color="auto" w:fill="auto"/>
            <w:vAlign w:val="center"/>
            <w:hideMark/>
          </w:tcPr>
          <w:p w:rsidR="00030311" w:rsidRPr="003822A5" w:rsidRDefault="00030311" w:rsidP="00030311">
            <w:pPr>
              <w:spacing w:after="0" w:line="240" w:lineRule="auto"/>
              <w:ind w:firstLineChars="100" w:firstLine="160"/>
              <w:jc w:val="left"/>
              <w:rPr>
                <w:rFonts w:cs="Arial"/>
                <w:color w:val="000000"/>
                <w:sz w:val="16"/>
                <w:szCs w:val="16"/>
              </w:rPr>
            </w:pPr>
            <w:r w:rsidRPr="003822A5">
              <w:rPr>
                <w:rFonts w:cs="Arial"/>
                <w:color w:val="000000"/>
                <w:sz w:val="16"/>
                <w:szCs w:val="16"/>
              </w:rPr>
              <w:t>S – Ostatní činnosti</w:t>
            </w:r>
          </w:p>
        </w:tc>
        <w:tc>
          <w:tcPr>
            <w:tcW w:w="567" w:type="dxa"/>
            <w:tcBorders>
              <w:top w:val="nil"/>
              <w:left w:val="nil"/>
              <w:bottom w:val="nil"/>
              <w:right w:val="nil"/>
            </w:tcBorders>
            <w:shd w:val="clear" w:color="auto" w:fill="auto"/>
            <w:noWrap/>
            <w:vAlign w:val="center"/>
            <w:hideMark/>
          </w:tcPr>
          <w:p w:rsidR="00030311" w:rsidRPr="003822A5" w:rsidRDefault="00030311" w:rsidP="00030311">
            <w:pPr>
              <w:spacing w:after="0" w:line="240" w:lineRule="auto"/>
              <w:jc w:val="center"/>
              <w:rPr>
                <w:rFonts w:cs="Arial"/>
                <w:color w:val="000000"/>
                <w:sz w:val="16"/>
                <w:szCs w:val="16"/>
              </w:rPr>
            </w:pPr>
            <w:r w:rsidRPr="003822A5">
              <w:rPr>
                <w:rFonts w:cs="Arial"/>
                <w:color w:val="000000"/>
                <w:sz w:val="16"/>
                <w:szCs w:val="16"/>
              </w:rPr>
              <w:t>23,5</w:t>
            </w:r>
          </w:p>
        </w:tc>
        <w:tc>
          <w:tcPr>
            <w:tcW w:w="567" w:type="dxa"/>
            <w:tcBorders>
              <w:top w:val="nil"/>
              <w:left w:val="nil"/>
              <w:bottom w:val="nil"/>
              <w:right w:val="nil"/>
            </w:tcBorders>
            <w:shd w:val="clear" w:color="auto" w:fill="auto"/>
            <w:noWrap/>
            <w:vAlign w:val="center"/>
          </w:tcPr>
          <w:p w:rsidR="00030311" w:rsidRPr="003822A5" w:rsidRDefault="00030311" w:rsidP="00030311">
            <w:pPr>
              <w:spacing w:after="0" w:line="240" w:lineRule="auto"/>
              <w:jc w:val="center"/>
              <w:rPr>
                <w:rFonts w:cs="Arial"/>
                <w:color w:val="000000"/>
                <w:sz w:val="16"/>
                <w:szCs w:val="16"/>
              </w:rPr>
            </w:pPr>
            <w:r w:rsidRPr="003822A5">
              <w:rPr>
                <w:rFonts w:cs="Arial"/>
                <w:color w:val="000000"/>
                <w:sz w:val="16"/>
                <w:szCs w:val="16"/>
              </w:rPr>
              <w:t>27,5</w:t>
            </w:r>
          </w:p>
        </w:tc>
        <w:tc>
          <w:tcPr>
            <w:tcW w:w="567" w:type="dxa"/>
            <w:tcBorders>
              <w:top w:val="nil"/>
              <w:left w:val="nil"/>
              <w:bottom w:val="nil"/>
              <w:right w:val="nil"/>
            </w:tcBorders>
            <w:shd w:val="clear" w:color="auto" w:fill="auto"/>
            <w:noWrap/>
            <w:vAlign w:val="center"/>
          </w:tcPr>
          <w:p w:rsidR="00030311" w:rsidRPr="003822A5" w:rsidRDefault="00030311" w:rsidP="00030311">
            <w:pPr>
              <w:spacing w:after="0" w:line="240" w:lineRule="auto"/>
              <w:jc w:val="center"/>
              <w:rPr>
                <w:rFonts w:cs="Arial"/>
                <w:color w:val="000000"/>
                <w:sz w:val="16"/>
                <w:szCs w:val="16"/>
              </w:rPr>
            </w:pPr>
            <w:r w:rsidRPr="003822A5">
              <w:rPr>
                <w:rFonts w:cs="Arial"/>
                <w:color w:val="000000"/>
                <w:sz w:val="16"/>
                <w:szCs w:val="16"/>
              </w:rPr>
              <w:t>28,1</w:t>
            </w:r>
          </w:p>
        </w:tc>
        <w:tc>
          <w:tcPr>
            <w:tcW w:w="567" w:type="dxa"/>
            <w:tcBorders>
              <w:top w:val="nil"/>
              <w:left w:val="nil"/>
              <w:bottom w:val="nil"/>
              <w:right w:val="nil"/>
            </w:tcBorders>
            <w:shd w:val="clear" w:color="auto" w:fill="auto"/>
            <w:noWrap/>
            <w:vAlign w:val="center"/>
          </w:tcPr>
          <w:p w:rsidR="00030311" w:rsidRPr="003822A5" w:rsidRDefault="00030311" w:rsidP="00030311">
            <w:pPr>
              <w:spacing w:after="0" w:line="240" w:lineRule="auto"/>
              <w:jc w:val="center"/>
              <w:rPr>
                <w:rFonts w:cs="Arial"/>
                <w:color w:val="000000"/>
                <w:sz w:val="16"/>
                <w:szCs w:val="16"/>
              </w:rPr>
            </w:pPr>
            <w:r w:rsidRPr="003822A5">
              <w:rPr>
                <w:rFonts w:cs="Arial"/>
                <w:color w:val="000000"/>
                <w:sz w:val="16"/>
                <w:szCs w:val="16"/>
              </w:rPr>
              <w:t>27,8</w:t>
            </w:r>
          </w:p>
        </w:tc>
        <w:tc>
          <w:tcPr>
            <w:tcW w:w="567" w:type="dxa"/>
            <w:tcBorders>
              <w:top w:val="nil"/>
              <w:left w:val="nil"/>
              <w:bottom w:val="nil"/>
              <w:right w:val="nil"/>
            </w:tcBorders>
            <w:shd w:val="clear" w:color="auto" w:fill="auto"/>
            <w:noWrap/>
            <w:vAlign w:val="center"/>
          </w:tcPr>
          <w:p w:rsidR="00030311" w:rsidRPr="003822A5" w:rsidRDefault="00030311" w:rsidP="00030311">
            <w:pPr>
              <w:spacing w:after="0" w:line="240" w:lineRule="auto"/>
              <w:jc w:val="center"/>
              <w:rPr>
                <w:rFonts w:cs="Arial"/>
                <w:color w:val="000000"/>
                <w:sz w:val="16"/>
                <w:szCs w:val="16"/>
              </w:rPr>
            </w:pPr>
            <w:r w:rsidRPr="003822A5">
              <w:rPr>
                <w:rFonts w:cs="Arial"/>
                <w:color w:val="000000"/>
                <w:sz w:val="16"/>
                <w:szCs w:val="16"/>
              </w:rPr>
              <w:t>29,8</w:t>
            </w:r>
          </w:p>
        </w:tc>
        <w:tc>
          <w:tcPr>
            <w:tcW w:w="567" w:type="dxa"/>
            <w:tcBorders>
              <w:top w:val="nil"/>
              <w:left w:val="nil"/>
              <w:bottom w:val="nil"/>
              <w:right w:val="nil"/>
            </w:tcBorders>
            <w:shd w:val="clear" w:color="auto" w:fill="auto"/>
            <w:noWrap/>
            <w:vAlign w:val="center"/>
          </w:tcPr>
          <w:p w:rsidR="00030311" w:rsidRPr="003822A5" w:rsidRDefault="00030311" w:rsidP="00030311">
            <w:pPr>
              <w:spacing w:after="0" w:line="240" w:lineRule="auto"/>
              <w:jc w:val="center"/>
              <w:rPr>
                <w:rFonts w:cs="Arial"/>
                <w:color w:val="000000"/>
                <w:sz w:val="16"/>
                <w:szCs w:val="16"/>
              </w:rPr>
            </w:pPr>
            <w:r w:rsidRPr="003822A5">
              <w:rPr>
                <w:rFonts w:cs="Arial"/>
                <w:color w:val="000000"/>
                <w:sz w:val="16"/>
                <w:szCs w:val="16"/>
              </w:rPr>
              <w:t>31,3</w:t>
            </w:r>
          </w:p>
        </w:tc>
        <w:tc>
          <w:tcPr>
            <w:tcW w:w="567" w:type="dxa"/>
            <w:tcBorders>
              <w:top w:val="nil"/>
              <w:left w:val="nil"/>
              <w:bottom w:val="nil"/>
              <w:right w:val="nil"/>
            </w:tcBorders>
            <w:shd w:val="clear" w:color="auto" w:fill="auto"/>
            <w:noWrap/>
            <w:vAlign w:val="center"/>
          </w:tcPr>
          <w:p w:rsidR="00030311" w:rsidRPr="003822A5" w:rsidRDefault="00030311" w:rsidP="00030311">
            <w:pPr>
              <w:spacing w:after="0" w:line="240" w:lineRule="auto"/>
              <w:jc w:val="center"/>
              <w:rPr>
                <w:rFonts w:cs="Arial"/>
                <w:color w:val="000000"/>
                <w:sz w:val="16"/>
                <w:szCs w:val="16"/>
              </w:rPr>
            </w:pPr>
            <w:r w:rsidRPr="003822A5">
              <w:rPr>
                <w:rFonts w:cs="Arial"/>
                <w:color w:val="000000"/>
                <w:sz w:val="16"/>
                <w:szCs w:val="16"/>
              </w:rPr>
              <w:t>40,6</w:t>
            </w:r>
          </w:p>
        </w:tc>
        <w:tc>
          <w:tcPr>
            <w:tcW w:w="567" w:type="dxa"/>
            <w:tcBorders>
              <w:top w:val="nil"/>
              <w:left w:val="nil"/>
              <w:bottom w:val="nil"/>
              <w:right w:val="nil"/>
            </w:tcBorders>
            <w:shd w:val="clear" w:color="auto" w:fill="auto"/>
            <w:noWrap/>
            <w:vAlign w:val="center"/>
          </w:tcPr>
          <w:p w:rsidR="00030311" w:rsidRPr="003822A5" w:rsidRDefault="00030311" w:rsidP="00030311">
            <w:pPr>
              <w:spacing w:after="0" w:line="240" w:lineRule="auto"/>
              <w:jc w:val="center"/>
              <w:rPr>
                <w:rFonts w:cs="Arial"/>
                <w:color w:val="000000"/>
                <w:sz w:val="16"/>
                <w:szCs w:val="16"/>
              </w:rPr>
            </w:pPr>
            <w:r w:rsidRPr="003822A5">
              <w:rPr>
                <w:rFonts w:cs="Arial"/>
                <w:color w:val="000000"/>
                <w:sz w:val="16"/>
                <w:szCs w:val="16"/>
              </w:rPr>
              <w:t>44,2</w:t>
            </w:r>
          </w:p>
        </w:tc>
        <w:tc>
          <w:tcPr>
            <w:tcW w:w="567" w:type="dxa"/>
            <w:tcBorders>
              <w:top w:val="nil"/>
              <w:left w:val="nil"/>
              <w:bottom w:val="nil"/>
              <w:right w:val="nil"/>
            </w:tcBorders>
            <w:shd w:val="clear" w:color="auto" w:fill="auto"/>
            <w:noWrap/>
            <w:vAlign w:val="center"/>
          </w:tcPr>
          <w:p w:rsidR="00030311" w:rsidRPr="003822A5" w:rsidRDefault="00030311" w:rsidP="00030311">
            <w:pPr>
              <w:spacing w:after="0" w:line="240" w:lineRule="auto"/>
              <w:jc w:val="center"/>
              <w:rPr>
                <w:rFonts w:cs="Arial"/>
                <w:color w:val="000000"/>
                <w:sz w:val="16"/>
                <w:szCs w:val="16"/>
              </w:rPr>
            </w:pPr>
            <w:r w:rsidRPr="003822A5">
              <w:rPr>
                <w:rFonts w:cs="Arial"/>
                <w:color w:val="000000"/>
                <w:sz w:val="16"/>
                <w:szCs w:val="16"/>
              </w:rPr>
              <w:t>56,3</w:t>
            </w:r>
          </w:p>
        </w:tc>
        <w:tc>
          <w:tcPr>
            <w:tcW w:w="559" w:type="dxa"/>
            <w:vAlign w:val="center"/>
          </w:tcPr>
          <w:p w:rsidR="00030311" w:rsidRPr="003822A5" w:rsidRDefault="00030311" w:rsidP="00030311">
            <w:pPr>
              <w:spacing w:after="0" w:line="240" w:lineRule="auto"/>
              <w:jc w:val="right"/>
              <w:rPr>
                <w:rFonts w:cs="Arial"/>
                <w:color w:val="000000"/>
                <w:sz w:val="16"/>
                <w:szCs w:val="16"/>
              </w:rPr>
            </w:pPr>
            <w:r w:rsidRPr="003822A5">
              <w:rPr>
                <w:rFonts w:cs="Arial"/>
                <w:color w:val="000000"/>
                <w:sz w:val="16"/>
                <w:szCs w:val="16"/>
              </w:rPr>
              <w:t>33,9</w:t>
            </w:r>
          </w:p>
        </w:tc>
        <w:tc>
          <w:tcPr>
            <w:tcW w:w="500" w:type="dxa"/>
            <w:vAlign w:val="center"/>
          </w:tcPr>
          <w:p w:rsidR="00030311" w:rsidRPr="00647EA1" w:rsidRDefault="00647EA1" w:rsidP="00647EA1">
            <w:pPr>
              <w:spacing w:after="0" w:line="240" w:lineRule="auto"/>
              <w:jc w:val="right"/>
              <w:rPr>
                <w:rFonts w:cs="Arial"/>
                <w:color w:val="000000"/>
                <w:sz w:val="16"/>
                <w:szCs w:val="16"/>
              </w:rPr>
            </w:pPr>
            <w:r w:rsidRPr="00647EA1">
              <w:rPr>
                <w:rFonts w:cs="Arial"/>
                <w:color w:val="000000"/>
                <w:sz w:val="16"/>
                <w:szCs w:val="16"/>
              </w:rPr>
              <w:t>33</w:t>
            </w:r>
            <w:r w:rsidR="00030311" w:rsidRPr="00647EA1">
              <w:rPr>
                <w:rFonts w:cs="Arial"/>
                <w:color w:val="000000"/>
                <w:sz w:val="16"/>
                <w:szCs w:val="16"/>
              </w:rPr>
              <w:t>,7</w:t>
            </w:r>
          </w:p>
        </w:tc>
      </w:tr>
    </w:tbl>
    <w:p w:rsidR="001D1F5B" w:rsidRPr="001D1F5B" w:rsidRDefault="001D1F5B" w:rsidP="001D1F5B">
      <w:pPr>
        <w:spacing w:before="60" w:after="0" w:line="240" w:lineRule="auto"/>
        <w:rPr>
          <w:rFonts w:cs="Arial"/>
          <w:color w:val="000000"/>
          <w:sz w:val="16"/>
          <w:szCs w:val="16"/>
        </w:rPr>
      </w:pPr>
      <w:r w:rsidRPr="001D1F5B">
        <w:rPr>
          <w:rFonts w:cs="Arial"/>
          <w:color w:val="000000"/>
          <w:sz w:val="16"/>
          <w:szCs w:val="16"/>
        </w:rPr>
        <w:t>* Údaje za rok 2022 nejsou srovnatelné s údaji za ostatní roky.</w:t>
      </w:r>
    </w:p>
    <w:p w:rsidR="00D16EC5" w:rsidRDefault="001D1F5B" w:rsidP="001D1F5B">
      <w:pPr>
        <w:rPr>
          <w:rFonts w:cs="Arial"/>
          <w:color w:val="000000"/>
          <w:sz w:val="16"/>
          <w:szCs w:val="16"/>
        </w:rPr>
      </w:pPr>
      <w:r w:rsidRPr="001D1F5B">
        <w:rPr>
          <w:rFonts w:cs="Arial"/>
          <w:color w:val="000000"/>
          <w:sz w:val="16"/>
          <w:szCs w:val="16"/>
        </w:rPr>
        <w:t>Zdroj: ČSÚ</w:t>
      </w:r>
    </w:p>
    <w:p w:rsidR="001D1F5B" w:rsidRDefault="00CB5F21" w:rsidP="00B323BE">
      <w:r w:rsidRPr="00251BF8">
        <w:t xml:space="preserve">Nejvíce případů dočasné pracovní neschopnosti </w:t>
      </w:r>
      <w:r w:rsidRPr="00251BF8">
        <w:rPr>
          <w:b/>
        </w:rPr>
        <w:t>pro pracovní úraz</w:t>
      </w:r>
      <w:r w:rsidRPr="00251BF8">
        <w:t xml:space="preserve"> na 100 pojištěnců, což je možné chápat jako ukazatel vyjadřující „stupeň rizikovosti“ </w:t>
      </w:r>
      <w:r>
        <w:t>daného odvětví, bylo v roce 2024</w:t>
      </w:r>
      <w:r w:rsidRPr="00251BF8">
        <w:t xml:space="preserve"> (ale </w:t>
      </w:r>
      <w:r>
        <w:t>též</w:t>
      </w:r>
      <w:r w:rsidRPr="00251BF8">
        <w:t xml:space="preserve"> dlouhodobě) evidováno u sekce Zemědělství, lesnictví a </w:t>
      </w:r>
      <w:r w:rsidRPr="00126F27">
        <w:t xml:space="preserve">rybářství </w:t>
      </w:r>
      <w:r w:rsidR="00126F27" w:rsidRPr="00126F27">
        <w:t>(2,4</w:t>
      </w:r>
      <w:r w:rsidRPr="00126F27">
        <w:t xml:space="preserve">), následované </w:t>
      </w:r>
      <w:r w:rsidR="00B323BE" w:rsidRPr="00126F27">
        <w:t>sekcemi</w:t>
      </w:r>
      <w:r w:rsidRPr="00126F27">
        <w:t xml:space="preserve"> Zásobování vodou; činnosti souv</w:t>
      </w:r>
      <w:r w:rsidR="00B323BE" w:rsidRPr="00126F27">
        <w:t xml:space="preserve">isející s odpady a sanacemi </w:t>
      </w:r>
      <w:r w:rsidR="00126F27" w:rsidRPr="00126F27">
        <w:t>(2,2</w:t>
      </w:r>
      <w:r w:rsidRPr="00126F27">
        <w:t xml:space="preserve">) a Těžba a dobývání </w:t>
      </w:r>
      <w:r w:rsidR="00126F27" w:rsidRPr="00126F27">
        <w:t>(1,9</w:t>
      </w:r>
      <w:r w:rsidRPr="00126F27">
        <w:t>). Naproti</w:t>
      </w:r>
      <w:r w:rsidRPr="00251BF8">
        <w:t xml:space="preserve"> tomu nejméně pracovních úrazů bylo zaznamenáno </w:t>
      </w:r>
      <w:r w:rsidR="00B323BE">
        <w:t>v podnicích</w:t>
      </w:r>
      <w:r w:rsidRPr="00251BF8">
        <w:t xml:space="preserve"> působících v odvětví</w:t>
      </w:r>
      <w:r w:rsidR="00126F27">
        <w:t>ch</w:t>
      </w:r>
      <w:r w:rsidRPr="00251BF8">
        <w:t xml:space="preserve"> Peněžnictví a pojišťovnictví a Informační a komunikační činnosti (</w:t>
      </w:r>
      <w:r w:rsidR="00126F27" w:rsidRPr="00126F27">
        <w:t>shodně 0,09</w:t>
      </w:r>
      <w:r w:rsidRPr="00251BF8">
        <w:t>). Průměrně za všechna odvětví připadalo na 100 </w:t>
      </w:r>
      <w:r w:rsidRPr="00126F27">
        <w:t>pojištěnců 0,9 případu</w:t>
      </w:r>
      <w:r w:rsidRPr="00251BF8">
        <w:t xml:space="preserve"> pracovní neschopnosti pro pracovní úraz. </w:t>
      </w:r>
      <w:r w:rsidR="00B323BE">
        <w:t>Podrobněji o pracovních úrazech pojednává kapitola 4.5</w:t>
      </w:r>
      <w:r w:rsidRPr="00251BF8">
        <w:t>.</w:t>
      </w:r>
    </w:p>
    <w:p w:rsidR="00B323BE" w:rsidRPr="00B323BE" w:rsidRDefault="00B323BE" w:rsidP="00B323BE">
      <w:pPr>
        <w:spacing w:before="120"/>
      </w:pPr>
      <w:r w:rsidRPr="00B323BE">
        <w:t xml:space="preserve">Rozdíly v pracovní </w:t>
      </w:r>
      <w:r w:rsidRPr="00126F27">
        <w:t xml:space="preserve">neschopnosti lze analyzovat také podle </w:t>
      </w:r>
      <w:r w:rsidRPr="00126F27">
        <w:rPr>
          <w:b/>
        </w:rPr>
        <w:t>velikosti podniku</w:t>
      </w:r>
      <w:r w:rsidRPr="00126F27">
        <w:t xml:space="preserve">. V relativním pojetí při přepočtu na 100 pojištěnců první místo zaujímaly podniky zaměstnávající 100–249 a 250–499 zaměstnanců. Tyto firmy během roku 2024 v průměru zaznamenaly okolo </w:t>
      </w:r>
      <w:r w:rsidR="00126F27" w:rsidRPr="00126F27">
        <w:t>60</w:t>
      </w:r>
      <w:r w:rsidRPr="00126F27">
        <w:t xml:space="preserve"> pracovních neschopností v přepočtu na 100 pojištěnců. </w:t>
      </w:r>
      <w:r w:rsidRPr="00126F27">
        <w:lastRenderedPageBreak/>
        <w:t xml:space="preserve">S minimálním odstupem následovaly podniky </w:t>
      </w:r>
      <w:r w:rsidR="00126F27" w:rsidRPr="00126F27">
        <w:t xml:space="preserve">s </w:t>
      </w:r>
      <w:r w:rsidR="002666BC" w:rsidRPr="00126F27">
        <w:t xml:space="preserve">50–99 a </w:t>
      </w:r>
      <w:r w:rsidRPr="00126F27">
        <w:t>s více než 500 zaměstnanci</w:t>
      </w:r>
      <w:r w:rsidR="002666BC">
        <w:t>. T</w:t>
      </w:r>
      <w:r w:rsidRPr="00B323BE">
        <w:t xml:space="preserve">yto velikostní kategorie </w:t>
      </w:r>
      <w:r w:rsidRPr="00126F27">
        <w:t>vykázaly </w:t>
      </w:r>
      <w:r w:rsidR="00126F27" w:rsidRPr="00126F27">
        <w:t>59, resp. 58</w:t>
      </w:r>
      <w:r w:rsidRPr="00126F27">
        <w:t> případů pracovních</w:t>
      </w:r>
      <w:r w:rsidRPr="00B323BE">
        <w:t xml:space="preserve"> neschopností v přepočtu na 100 pojištěnců. </w:t>
      </w:r>
      <w:r w:rsidR="002666BC">
        <w:t>Výrazně</w:t>
      </w:r>
      <w:r w:rsidRPr="00B323BE">
        <w:t xml:space="preserve"> méně případů pracovní neschopnosti vykázaly firmy mající do 50 zaměstnanců</w:t>
      </w:r>
      <w:r w:rsidR="002666BC">
        <w:t xml:space="preserve">, kde na 100 pojištěnců připadalo </w:t>
      </w:r>
      <w:r w:rsidR="00126F27">
        <w:t>40</w:t>
      </w:r>
      <w:r w:rsidRPr="00B323BE">
        <w:t xml:space="preserve"> hlášení. </w:t>
      </w:r>
      <w:r w:rsidR="002666BC">
        <w:t>N</w:t>
      </w:r>
      <w:r w:rsidRPr="00B323BE">
        <w:t>ejméně případů bylo zaznamenáno u OSVČ</w:t>
      </w:r>
      <w:r w:rsidRPr="00126F27">
        <w:t>, a sice 1</w:t>
      </w:r>
      <w:r w:rsidR="002666BC" w:rsidRPr="00126F27">
        <w:t>6</w:t>
      </w:r>
      <w:r w:rsidRPr="00126F27">
        <w:t xml:space="preserve"> na 100 nemocensky</w:t>
      </w:r>
      <w:r w:rsidRPr="00B323BE">
        <w:t xml:space="preserve"> pojištěných OSVČ. Zde je </w:t>
      </w:r>
      <w:r w:rsidR="002666BC">
        <w:t xml:space="preserve">však </w:t>
      </w:r>
      <w:r w:rsidRPr="00B323BE">
        <w:t>nutné mít na paměti, že nemocenské dávky jsou vypláceny až od 15. dne pracovní neschopnosti (do té doby vyplácí náhradu mzdy zaměstnavatel), a proto se OSVČ nevyplatí při krátkodobější nemoci nastupovat do pracovní neschopnosti.</w:t>
      </w:r>
    </w:p>
    <w:p w:rsidR="00B323BE" w:rsidRDefault="00B323BE" w:rsidP="00B323BE">
      <w:r w:rsidRPr="00B323BE">
        <w:t xml:space="preserve">Dalším kritériem, podle kterého je možné hodnotit pracovní neschopnost nemocensky pojištěných, je rozdělení na </w:t>
      </w:r>
      <w:r w:rsidRPr="00B323BE">
        <w:rPr>
          <w:b/>
        </w:rPr>
        <w:t xml:space="preserve">podniky domácí </w:t>
      </w:r>
      <w:r w:rsidRPr="0013117F">
        <w:t>vs.</w:t>
      </w:r>
      <w:r w:rsidRPr="00B323BE">
        <w:rPr>
          <w:b/>
        </w:rPr>
        <w:t xml:space="preserve"> </w:t>
      </w:r>
      <w:r w:rsidRPr="00B323BE">
        <w:t xml:space="preserve">podniky </w:t>
      </w:r>
      <w:r w:rsidRPr="00B323BE">
        <w:rPr>
          <w:b/>
        </w:rPr>
        <w:t>pod zahraniční kontrolou</w:t>
      </w:r>
      <w:r w:rsidRPr="00B323BE">
        <w:t xml:space="preserve">. Např. </w:t>
      </w:r>
      <w:r w:rsidR="0013117F">
        <w:t>u</w:t>
      </w:r>
      <w:r w:rsidRPr="00B323BE">
        <w:t> </w:t>
      </w:r>
      <w:r w:rsidR="00A00CC7">
        <w:t>nefinančních podniků</w:t>
      </w:r>
      <w:r w:rsidRPr="00B323BE">
        <w:t xml:space="preserve"> pod </w:t>
      </w:r>
      <w:r w:rsidR="0013117F">
        <w:t>zahraniční kontrolou v roce 2024</w:t>
      </w:r>
      <w:r w:rsidRPr="00B323BE">
        <w:t xml:space="preserve"> připadlo </w:t>
      </w:r>
      <w:r w:rsidR="0013117F">
        <w:t xml:space="preserve">na 100 nemocensky pojištěných </w:t>
      </w:r>
      <w:r w:rsidR="007F7AC3">
        <w:t xml:space="preserve">64,5 </w:t>
      </w:r>
      <w:r w:rsidRPr="00B323BE">
        <w:t>na</w:t>
      </w:r>
      <w:r w:rsidR="0013117F">
        <w:t>hlášených případů v porovnání s </w:t>
      </w:r>
      <w:r w:rsidR="007F7AC3" w:rsidRPr="007F7AC3">
        <w:t>48</w:t>
      </w:r>
      <w:r w:rsidRPr="007F7AC3">
        <w:t> případy</w:t>
      </w:r>
      <w:r w:rsidRPr="00B323BE">
        <w:t xml:space="preserve"> </w:t>
      </w:r>
      <w:r w:rsidR="0013117F">
        <w:t>u </w:t>
      </w:r>
      <w:r w:rsidR="0013117F" w:rsidRPr="00CA184D">
        <w:t>domácích nefinančních podniků</w:t>
      </w:r>
      <w:r w:rsidRPr="00CA184D">
        <w:t xml:space="preserve">. Pracovní neschopnost zaměstnanců v domácích podnicích však trvala v průměru o </w:t>
      </w:r>
      <w:r w:rsidR="00A00CC7" w:rsidRPr="00CA184D">
        <w:t>6,</w:t>
      </w:r>
      <w:r w:rsidRPr="00CA184D">
        <w:t>7 dnů déle (35</w:t>
      </w:r>
      <w:r w:rsidR="00A00CC7" w:rsidRPr="00CA184D">
        <w:t>,5 dne</w:t>
      </w:r>
      <w:r w:rsidRPr="00CA184D">
        <w:t>) než u podn</w:t>
      </w:r>
      <w:r w:rsidR="00A00CC7" w:rsidRPr="00CA184D">
        <w:t>iků pod zahraniční kontrolou (29</w:t>
      </w:r>
      <w:r w:rsidRPr="00CA184D">
        <w:t xml:space="preserve"> dnů).</w:t>
      </w:r>
      <w:r w:rsidRPr="00B323BE">
        <w:t xml:space="preserve"> Podrobnější údaje za nefinanční podniky </w:t>
      </w:r>
      <w:r w:rsidR="00A00CC7">
        <w:t>jsou obsaženy v tabulkové příloze</w:t>
      </w:r>
      <w:r w:rsidRPr="00B323BE">
        <w:t xml:space="preserve"> – </w:t>
      </w:r>
      <w:r w:rsidRPr="00306114">
        <w:t>část</w:t>
      </w:r>
      <w:r w:rsidR="00A00CC7" w:rsidRPr="00306114">
        <w:t>i</w:t>
      </w:r>
      <w:r w:rsidRPr="00306114">
        <w:t xml:space="preserve"> </w:t>
      </w:r>
      <w:r w:rsidR="00A00CC7" w:rsidRPr="00306114">
        <w:t>5</w:t>
      </w:r>
      <w:r w:rsidRPr="00306114">
        <w:t>.</w:t>
      </w:r>
    </w:p>
    <w:p w:rsidR="00A00CC7" w:rsidRDefault="00F23E0E" w:rsidP="006334F3">
      <w:pPr>
        <w:pStyle w:val="Nadpis4"/>
      </w:pPr>
      <w:bookmarkStart w:id="4" w:name="_Toc198986217"/>
      <w:r w:rsidRPr="006334F3">
        <w:rPr>
          <w:sz w:val="24"/>
        </w:rPr>
        <w:t>4.2.2 Délka trvání dočasné pracovní neschopnosti</w:t>
      </w:r>
      <w:bookmarkEnd w:id="4"/>
    </w:p>
    <w:p w:rsidR="00F23E0E" w:rsidRDefault="00F23E0E" w:rsidP="006D2101">
      <w:pPr>
        <w:spacing w:after="100"/>
      </w:pPr>
      <w:r w:rsidRPr="00B448CC">
        <w:t>Pro posouzení vývoje pracovní neschopnosti je důležité nejen zjištění, jak často zaměstnanci do pracovní neschopnosti nastupují, ale</w:t>
      </w:r>
      <w:r>
        <w:t xml:space="preserve"> také</w:t>
      </w:r>
      <w:r w:rsidRPr="00B448CC">
        <w:t xml:space="preserve"> to, jak dlouho v pracovní neschopnosti zůstávají.</w:t>
      </w:r>
    </w:p>
    <w:p w:rsidR="00F83B84" w:rsidRPr="00F83B84" w:rsidRDefault="00F83B84" w:rsidP="00F83B84">
      <w:pPr>
        <w:pStyle w:val="Box1"/>
        <w:spacing w:before="0" w:after="120"/>
        <w:ind w:left="0"/>
        <w:contextualSpacing w:val="0"/>
        <w:jc w:val="both"/>
        <w:rPr>
          <w:b/>
          <w:i/>
        </w:rPr>
      </w:pPr>
      <w:r w:rsidRPr="00F83B84">
        <w:rPr>
          <w:b/>
          <w:i/>
        </w:rPr>
        <w:t>Počet kalendářních dnů pracovní neschopnosti</w:t>
      </w:r>
      <w:r w:rsidRPr="00F83B84">
        <w:rPr>
          <w:i/>
        </w:rPr>
        <w:t xml:space="preserve"> – ukazatel udává celkový počet kalendářních dnů, po které byli v daném období (roce) nemocensky pojištění práce neschopni. Počet kalendářních dnů strávených v pracovní neschopnosti je zjišťován na základě hlášení o vzniku a ukončení pracovní neschopnosti. Údaj zahrnuje dny pracovní neschopnosti vč. dnů u těch případů, které vznikly před sledovaným obdobím a v počtu nově hlášených případů dočasné pracovní neschopnosti za toto období zařazeny nejsou. Maximální doba zápočtu je délka sledovaného období (365 resp. 366 dnů) bez ohledu na délku trvání pracovní neschopnosti daného případu. Do počtu kalendářních dnů pracovní neschopnosti patří i pracovní neschopnost vzniklá po zániku pojištění v tzv. ochranné lhůtě sedmi kalendářních dnů.</w:t>
      </w:r>
    </w:p>
    <w:p w:rsidR="00F83B84" w:rsidRPr="00F83B84" w:rsidRDefault="00F83B84" w:rsidP="00403D84">
      <w:pPr>
        <w:pStyle w:val="Box1"/>
        <w:spacing w:before="0" w:after="120"/>
        <w:ind w:left="0"/>
        <w:contextualSpacing w:val="0"/>
        <w:jc w:val="both"/>
        <w:rPr>
          <w:i/>
        </w:rPr>
      </w:pPr>
      <w:r w:rsidRPr="00F83B84">
        <w:rPr>
          <w:b/>
          <w:i/>
        </w:rPr>
        <w:t>Průměrná délka trvání pracovní neschopnosti ve dnech</w:t>
      </w:r>
      <w:r w:rsidRPr="00F83B84">
        <w:rPr>
          <w:i/>
        </w:rPr>
        <w:t xml:space="preserve"> – ukazatel vyjadřuje, kolik kalendářních dnů pracovní neschopnosti v průměru připadá na jeden nově hlášený případ pracovní neschopnosti. Ukazatel je též nazýván </w:t>
      </w:r>
      <w:r w:rsidRPr="00F83B84">
        <w:rPr>
          <w:b/>
          <w:i/>
        </w:rPr>
        <w:t>Počet kalendářních dnů pracovní neschopnosti na 1 nově hlášený případ.</w:t>
      </w:r>
      <w:r w:rsidRPr="00F83B84">
        <w:rPr>
          <w:i/>
        </w:rPr>
        <w:t xml:space="preserve"> Nově hlášený případ musí být vzniklý ve sledovaném období, kdežto do dnů pracovní neschopnosti (maximálně v délce sledovaného období, tedy 365 resp. 366 dnů) se započítávají i dny z případů </w:t>
      </w:r>
      <w:r w:rsidR="00DD6C03">
        <w:rPr>
          <w:i/>
        </w:rPr>
        <w:t>pracovní neschopnosti</w:t>
      </w:r>
      <w:r w:rsidRPr="00F83B84">
        <w:rPr>
          <w:i/>
        </w:rPr>
        <w:t>, které mohly vzniknout již v předchozím období, ale byly ukončeny či nadále trvají v průběhu sledovaného období.</w:t>
      </w:r>
    </w:p>
    <w:p w:rsidR="00F83B84" w:rsidRPr="00F83B84" w:rsidRDefault="00F83B84" w:rsidP="00F83B84">
      <w:pPr>
        <w:pStyle w:val="Box1"/>
        <w:ind w:left="0"/>
        <w:jc w:val="both"/>
        <w:rPr>
          <w:i/>
          <w:u w:val="single"/>
        </w:rPr>
      </w:pPr>
      <w:r w:rsidRPr="00F83B84">
        <w:rPr>
          <w:i/>
          <w:u w:val="single"/>
        </w:rPr>
        <w:t>Způsob výpočtu:</w:t>
      </w:r>
    </w:p>
    <w:p w:rsidR="00F83B84" w:rsidRPr="00F83B84" w:rsidRDefault="00F83B84" w:rsidP="00F83B84">
      <w:pPr>
        <w:pStyle w:val="Box1"/>
        <w:spacing w:before="0" w:after="120"/>
        <w:ind w:left="0"/>
        <w:contextualSpacing w:val="0"/>
        <w:jc w:val="both"/>
      </w:pPr>
      <w:r w:rsidRPr="00F83B84">
        <w:rPr>
          <w:i/>
        </w:rPr>
        <w:t>Průměrná délka trvání pracovní neschopnosti ve dnech = počet kalendářních dnů dočasné pracovní neschopnosti / počet nově hlášených případů dočasné pracovní neschopnosti.</w:t>
      </w:r>
    </w:p>
    <w:p w:rsidR="009E73C9" w:rsidRDefault="009E73C9">
      <w:pPr>
        <w:spacing w:after="0" w:line="240" w:lineRule="auto"/>
        <w:jc w:val="left"/>
      </w:pPr>
      <w:r>
        <w:br w:type="page"/>
      </w:r>
    </w:p>
    <w:p w:rsidR="00F23E0E" w:rsidRDefault="00F83B84" w:rsidP="00F83B84">
      <w:r w:rsidRPr="00F83B84">
        <w:lastRenderedPageBreak/>
        <w:t>B</w:t>
      </w:r>
      <w:r w:rsidR="00DD6C03">
        <w:t xml:space="preserve">ěhem roku 2024 strávili </w:t>
      </w:r>
      <w:r w:rsidR="00DD6C03" w:rsidRPr="009E73C9">
        <w:t xml:space="preserve">pojištěnci </w:t>
      </w:r>
      <w:r w:rsidR="009E73C9" w:rsidRPr="009E73C9">
        <w:t>78 482</w:t>
      </w:r>
      <w:r w:rsidRPr="00F83B84">
        <w:t xml:space="preserve"> tis</w:t>
      </w:r>
      <w:r w:rsidR="00DD6C03">
        <w:t>íc</w:t>
      </w:r>
      <w:r w:rsidRPr="00F83B84">
        <w:t xml:space="preserve"> dnů v</w:t>
      </w:r>
      <w:r w:rsidR="009E73C9">
        <w:t> dočasné pracovní neschopnosti, což představuje o</w:t>
      </w:r>
      <w:r w:rsidRPr="00F83B84">
        <w:t xml:space="preserve">proti </w:t>
      </w:r>
      <w:proofErr w:type="spellStart"/>
      <w:r w:rsidR="009E73C9">
        <w:t>předcovidovému</w:t>
      </w:r>
      <w:proofErr w:type="spellEnd"/>
      <w:r w:rsidR="009E73C9">
        <w:t xml:space="preserve"> </w:t>
      </w:r>
      <w:r w:rsidRPr="00F83B84">
        <w:t xml:space="preserve">roku </w:t>
      </w:r>
      <w:r w:rsidRPr="009E73C9">
        <w:t>2019 o </w:t>
      </w:r>
      <w:r w:rsidR="009E73C9" w:rsidRPr="009E73C9">
        <w:t>2 723 tisíc</w:t>
      </w:r>
      <w:r w:rsidR="00DD6C03" w:rsidRPr="009E73C9">
        <w:t xml:space="preserve"> (3</w:t>
      </w:r>
      <w:r w:rsidRPr="009E73C9">
        <w:t xml:space="preserve"> %) </w:t>
      </w:r>
      <w:r w:rsidR="00DD6C03" w:rsidRPr="009E73C9">
        <w:t xml:space="preserve">dnů </w:t>
      </w:r>
      <w:r w:rsidRPr="009E73C9">
        <w:t>méně</w:t>
      </w:r>
      <w:r w:rsidRPr="00F83B84">
        <w:t xml:space="preserve">. Mezi rokem 2019 a 2020 počet prudce vzrostl </w:t>
      </w:r>
      <w:r w:rsidR="009E73C9">
        <w:br/>
      </w:r>
      <w:r w:rsidRPr="00F83B84">
        <w:t>z 81 205 tis</w:t>
      </w:r>
      <w:r w:rsidR="00DD6C03">
        <w:t>íc</w:t>
      </w:r>
      <w:r w:rsidRPr="00F83B84">
        <w:t xml:space="preserve"> prostonaných dnů na 94 246 tis</w:t>
      </w:r>
      <w:r w:rsidR="00DD6C03">
        <w:t>íc</w:t>
      </w:r>
      <w:r w:rsidRPr="00F83B84">
        <w:t xml:space="preserve"> dnů (tj. o 16 %).</w:t>
      </w:r>
    </w:p>
    <w:p w:rsidR="00DD6C03" w:rsidRPr="00DD6C03" w:rsidRDefault="00DD6C03" w:rsidP="00DD6C03">
      <w:pPr>
        <w:spacing w:after="0"/>
        <w:rPr>
          <w:b/>
        </w:rPr>
      </w:pPr>
      <w:r w:rsidRPr="00DD6C03">
        <w:rPr>
          <w:b/>
        </w:rPr>
        <w:t>Tab. 2.3: Kalendářní dny dočasné pracovní neschopnosti podle příčiny a pohlaví, 201</w:t>
      </w:r>
      <w:r>
        <w:rPr>
          <w:b/>
        </w:rPr>
        <w:t>4</w:t>
      </w:r>
      <w:r w:rsidRPr="00DD6C03">
        <w:rPr>
          <w:b/>
        </w:rPr>
        <w:t>–202</w:t>
      </w:r>
      <w:r>
        <w:rPr>
          <w:b/>
        </w:rPr>
        <w:t>4</w:t>
      </w:r>
      <w:r w:rsidRPr="00DD6C03">
        <w:rPr>
          <w:b/>
        </w:rPr>
        <w:t xml:space="preserve"> (v tis.)</w:t>
      </w:r>
    </w:p>
    <w:tbl>
      <w:tblPr>
        <w:tblW w:w="9591" w:type="dxa"/>
        <w:tblCellMar>
          <w:left w:w="70" w:type="dxa"/>
          <w:right w:w="70" w:type="dxa"/>
        </w:tblCellMar>
        <w:tblLook w:val="04A0" w:firstRow="1" w:lastRow="0" w:firstColumn="1" w:lastColumn="0" w:noHBand="0" w:noVBand="1"/>
      </w:tblPr>
      <w:tblGrid>
        <w:gridCol w:w="735"/>
        <w:gridCol w:w="737"/>
        <w:gridCol w:w="736"/>
        <w:gridCol w:w="736"/>
        <w:gridCol w:w="736"/>
        <w:gridCol w:w="736"/>
        <w:gridCol w:w="736"/>
        <w:gridCol w:w="754"/>
        <w:gridCol w:w="737"/>
        <w:gridCol w:w="737"/>
        <w:gridCol w:w="737"/>
        <w:gridCol w:w="737"/>
        <w:gridCol w:w="737"/>
      </w:tblGrid>
      <w:tr w:rsidR="00DD6C03" w:rsidRPr="00DD6C03" w:rsidTr="00451CBD">
        <w:trPr>
          <w:trHeight w:val="300"/>
        </w:trPr>
        <w:tc>
          <w:tcPr>
            <w:tcW w:w="735" w:type="dxa"/>
            <w:vMerge w:val="restart"/>
            <w:tcBorders>
              <w:top w:val="single" w:sz="4" w:space="0" w:color="auto"/>
              <w:left w:val="nil"/>
              <w:bottom w:val="single" w:sz="4" w:space="0" w:color="auto"/>
              <w:right w:val="single" w:sz="4" w:space="0" w:color="auto"/>
            </w:tcBorders>
            <w:shd w:val="clear" w:color="auto" w:fill="E6C483"/>
            <w:vAlign w:val="center"/>
            <w:hideMark/>
          </w:tcPr>
          <w:p w:rsidR="00DD6C03" w:rsidRPr="00DD6C03" w:rsidRDefault="00DD6C03" w:rsidP="00DD6C03">
            <w:pPr>
              <w:spacing w:after="0" w:line="240" w:lineRule="auto"/>
              <w:jc w:val="center"/>
              <w:rPr>
                <w:rFonts w:cs="Arial"/>
                <w:color w:val="000000"/>
                <w:sz w:val="16"/>
                <w:szCs w:val="16"/>
              </w:rPr>
            </w:pPr>
            <w:r w:rsidRPr="00DD6C03">
              <w:rPr>
                <w:rFonts w:cs="Arial"/>
                <w:color w:val="000000"/>
                <w:sz w:val="16"/>
                <w:szCs w:val="16"/>
              </w:rPr>
              <w:t>Rok</w:t>
            </w:r>
          </w:p>
        </w:tc>
        <w:tc>
          <w:tcPr>
            <w:tcW w:w="737" w:type="dxa"/>
            <w:vMerge w:val="restart"/>
            <w:tcBorders>
              <w:top w:val="single" w:sz="4" w:space="0" w:color="auto"/>
              <w:left w:val="single" w:sz="4" w:space="0" w:color="auto"/>
              <w:bottom w:val="single" w:sz="4" w:space="0" w:color="auto"/>
              <w:right w:val="single" w:sz="4" w:space="0" w:color="auto"/>
            </w:tcBorders>
            <w:shd w:val="clear" w:color="auto" w:fill="E6C483"/>
            <w:vAlign w:val="center"/>
            <w:hideMark/>
          </w:tcPr>
          <w:p w:rsidR="00DD6C03" w:rsidRPr="00DD6C03" w:rsidRDefault="00DD6C03" w:rsidP="00DD6C03">
            <w:pPr>
              <w:spacing w:after="0" w:line="240" w:lineRule="auto"/>
              <w:jc w:val="center"/>
              <w:rPr>
                <w:rFonts w:cs="Arial"/>
                <w:b/>
                <w:bCs/>
                <w:color w:val="000000"/>
                <w:sz w:val="16"/>
                <w:szCs w:val="16"/>
              </w:rPr>
            </w:pPr>
            <w:r w:rsidRPr="00DD6C03">
              <w:rPr>
                <w:rFonts w:cs="Arial"/>
                <w:b/>
                <w:bCs/>
                <w:color w:val="000000"/>
                <w:sz w:val="16"/>
                <w:szCs w:val="16"/>
              </w:rPr>
              <w:t>Celkem</w:t>
            </w:r>
          </w:p>
        </w:tc>
        <w:tc>
          <w:tcPr>
            <w:tcW w:w="1472" w:type="dxa"/>
            <w:gridSpan w:val="2"/>
            <w:tcBorders>
              <w:top w:val="single" w:sz="4" w:space="0" w:color="auto"/>
              <w:left w:val="nil"/>
              <w:bottom w:val="single" w:sz="4" w:space="0" w:color="auto"/>
              <w:right w:val="single" w:sz="4" w:space="0" w:color="auto"/>
            </w:tcBorders>
            <w:shd w:val="clear" w:color="auto" w:fill="E6C483"/>
            <w:vAlign w:val="center"/>
            <w:hideMark/>
          </w:tcPr>
          <w:p w:rsidR="00DD6C03" w:rsidRPr="00DD6C03" w:rsidRDefault="00DD6C03" w:rsidP="00DD6C03">
            <w:pPr>
              <w:spacing w:after="0" w:line="240" w:lineRule="auto"/>
              <w:jc w:val="center"/>
              <w:rPr>
                <w:rFonts w:cs="Arial"/>
                <w:color w:val="000000"/>
                <w:sz w:val="16"/>
                <w:szCs w:val="16"/>
              </w:rPr>
            </w:pPr>
            <w:r w:rsidRPr="00DD6C03">
              <w:rPr>
                <w:rFonts w:cs="Arial"/>
                <w:color w:val="000000"/>
                <w:sz w:val="16"/>
                <w:szCs w:val="16"/>
              </w:rPr>
              <w:t>podle pohlaví</w:t>
            </w:r>
          </w:p>
        </w:tc>
        <w:tc>
          <w:tcPr>
            <w:tcW w:w="736" w:type="dxa"/>
            <w:vMerge w:val="restart"/>
            <w:tcBorders>
              <w:top w:val="single" w:sz="4" w:space="0" w:color="auto"/>
              <w:left w:val="single" w:sz="4" w:space="0" w:color="auto"/>
              <w:right w:val="single" w:sz="4" w:space="0" w:color="auto"/>
            </w:tcBorders>
            <w:shd w:val="clear" w:color="auto" w:fill="E6C483"/>
            <w:vAlign w:val="center"/>
            <w:hideMark/>
          </w:tcPr>
          <w:p w:rsidR="00DD6C03" w:rsidRPr="00DD6C03" w:rsidRDefault="00DD6C03" w:rsidP="00DD6C03">
            <w:pPr>
              <w:spacing w:after="0" w:line="240" w:lineRule="auto"/>
              <w:jc w:val="center"/>
              <w:rPr>
                <w:rFonts w:cs="Arial"/>
                <w:color w:val="000000"/>
                <w:sz w:val="16"/>
                <w:szCs w:val="16"/>
              </w:rPr>
            </w:pPr>
            <w:r w:rsidRPr="00DD6C03">
              <w:rPr>
                <w:rFonts w:cs="Arial"/>
                <w:color w:val="000000"/>
                <w:sz w:val="16"/>
                <w:szCs w:val="16"/>
              </w:rPr>
              <w:t>Pro nemoc</w:t>
            </w:r>
          </w:p>
        </w:tc>
        <w:tc>
          <w:tcPr>
            <w:tcW w:w="1472" w:type="dxa"/>
            <w:gridSpan w:val="2"/>
            <w:tcBorders>
              <w:top w:val="single" w:sz="4" w:space="0" w:color="auto"/>
              <w:left w:val="nil"/>
              <w:bottom w:val="single" w:sz="4" w:space="0" w:color="auto"/>
              <w:right w:val="single" w:sz="4" w:space="0" w:color="auto"/>
            </w:tcBorders>
            <w:shd w:val="clear" w:color="auto" w:fill="E6C483"/>
            <w:vAlign w:val="center"/>
            <w:hideMark/>
          </w:tcPr>
          <w:p w:rsidR="00DD6C03" w:rsidRPr="00DD6C03" w:rsidRDefault="00DD6C03" w:rsidP="00DD6C03">
            <w:pPr>
              <w:spacing w:after="0" w:line="240" w:lineRule="auto"/>
              <w:jc w:val="center"/>
              <w:rPr>
                <w:rFonts w:cs="Arial"/>
                <w:color w:val="000000"/>
                <w:sz w:val="16"/>
                <w:szCs w:val="16"/>
              </w:rPr>
            </w:pPr>
            <w:r w:rsidRPr="00DD6C03">
              <w:rPr>
                <w:rFonts w:cs="Arial"/>
                <w:color w:val="000000"/>
                <w:sz w:val="16"/>
                <w:szCs w:val="16"/>
              </w:rPr>
              <w:t>podle pohlaví</w:t>
            </w:r>
          </w:p>
        </w:tc>
        <w:tc>
          <w:tcPr>
            <w:tcW w:w="754" w:type="dxa"/>
            <w:vMerge w:val="restart"/>
            <w:tcBorders>
              <w:top w:val="single" w:sz="4" w:space="0" w:color="auto"/>
              <w:left w:val="single" w:sz="4" w:space="0" w:color="auto"/>
              <w:right w:val="single" w:sz="4" w:space="0" w:color="auto"/>
            </w:tcBorders>
            <w:shd w:val="clear" w:color="auto" w:fill="E6C483"/>
            <w:vAlign w:val="center"/>
            <w:hideMark/>
          </w:tcPr>
          <w:p w:rsidR="00DD6C03" w:rsidRPr="00DD6C03" w:rsidRDefault="00DD6C03" w:rsidP="00DD6C03">
            <w:pPr>
              <w:spacing w:after="0" w:line="240" w:lineRule="auto"/>
              <w:jc w:val="center"/>
              <w:rPr>
                <w:rFonts w:cs="Arial"/>
                <w:color w:val="000000"/>
                <w:sz w:val="16"/>
                <w:szCs w:val="16"/>
              </w:rPr>
            </w:pPr>
            <w:r w:rsidRPr="00DD6C03">
              <w:rPr>
                <w:rFonts w:cs="Arial"/>
                <w:color w:val="000000"/>
                <w:sz w:val="16"/>
                <w:szCs w:val="16"/>
              </w:rPr>
              <w:t>Pro pracovní úrazy</w:t>
            </w:r>
          </w:p>
        </w:tc>
        <w:tc>
          <w:tcPr>
            <w:tcW w:w="1474" w:type="dxa"/>
            <w:gridSpan w:val="2"/>
            <w:tcBorders>
              <w:top w:val="single" w:sz="4" w:space="0" w:color="auto"/>
              <w:left w:val="nil"/>
              <w:bottom w:val="single" w:sz="4" w:space="0" w:color="auto"/>
              <w:right w:val="single" w:sz="4" w:space="0" w:color="auto"/>
            </w:tcBorders>
            <w:shd w:val="clear" w:color="auto" w:fill="E6C483"/>
            <w:vAlign w:val="center"/>
            <w:hideMark/>
          </w:tcPr>
          <w:p w:rsidR="00DD6C03" w:rsidRPr="00DD6C03" w:rsidRDefault="00DD6C03" w:rsidP="00DD6C03">
            <w:pPr>
              <w:spacing w:after="0" w:line="240" w:lineRule="auto"/>
              <w:jc w:val="center"/>
              <w:rPr>
                <w:rFonts w:cs="Arial"/>
                <w:color w:val="000000"/>
                <w:sz w:val="16"/>
                <w:szCs w:val="16"/>
              </w:rPr>
            </w:pPr>
            <w:r w:rsidRPr="00DD6C03">
              <w:rPr>
                <w:rFonts w:cs="Arial"/>
                <w:color w:val="000000"/>
                <w:sz w:val="16"/>
                <w:szCs w:val="16"/>
              </w:rPr>
              <w:t>podle pohlaví</w:t>
            </w:r>
          </w:p>
        </w:tc>
        <w:tc>
          <w:tcPr>
            <w:tcW w:w="737" w:type="dxa"/>
            <w:vMerge w:val="restart"/>
            <w:tcBorders>
              <w:top w:val="single" w:sz="4" w:space="0" w:color="auto"/>
              <w:left w:val="single" w:sz="4" w:space="0" w:color="auto"/>
              <w:right w:val="single" w:sz="4" w:space="0" w:color="auto"/>
            </w:tcBorders>
            <w:shd w:val="clear" w:color="auto" w:fill="E6C483"/>
            <w:vAlign w:val="center"/>
            <w:hideMark/>
          </w:tcPr>
          <w:p w:rsidR="00DD6C03" w:rsidRPr="00DD6C03" w:rsidRDefault="00DD6C03" w:rsidP="00DD6C03">
            <w:pPr>
              <w:spacing w:after="0" w:line="240" w:lineRule="auto"/>
              <w:jc w:val="center"/>
              <w:rPr>
                <w:rFonts w:cs="Arial"/>
                <w:color w:val="000000"/>
                <w:sz w:val="16"/>
                <w:szCs w:val="16"/>
              </w:rPr>
            </w:pPr>
            <w:r w:rsidRPr="00DD6C03">
              <w:rPr>
                <w:rFonts w:cs="Arial"/>
                <w:color w:val="000000"/>
                <w:sz w:val="16"/>
                <w:szCs w:val="16"/>
              </w:rPr>
              <w:t>Pro ostatní úrazy</w:t>
            </w:r>
          </w:p>
        </w:tc>
        <w:tc>
          <w:tcPr>
            <w:tcW w:w="1474" w:type="dxa"/>
            <w:gridSpan w:val="2"/>
            <w:tcBorders>
              <w:top w:val="single" w:sz="4" w:space="0" w:color="auto"/>
              <w:left w:val="nil"/>
              <w:bottom w:val="single" w:sz="4" w:space="0" w:color="auto"/>
            </w:tcBorders>
            <w:shd w:val="clear" w:color="auto" w:fill="E6C483"/>
            <w:vAlign w:val="center"/>
            <w:hideMark/>
          </w:tcPr>
          <w:p w:rsidR="00DD6C03" w:rsidRPr="00DD6C03" w:rsidRDefault="00DD6C03" w:rsidP="00DD6C03">
            <w:pPr>
              <w:spacing w:after="0" w:line="240" w:lineRule="auto"/>
              <w:jc w:val="center"/>
              <w:rPr>
                <w:rFonts w:cs="Arial"/>
                <w:color w:val="000000"/>
                <w:sz w:val="16"/>
                <w:szCs w:val="16"/>
              </w:rPr>
            </w:pPr>
            <w:r w:rsidRPr="00DD6C03">
              <w:rPr>
                <w:rFonts w:cs="Arial"/>
                <w:color w:val="000000"/>
                <w:sz w:val="16"/>
                <w:szCs w:val="16"/>
              </w:rPr>
              <w:t>podle pohlaví</w:t>
            </w:r>
          </w:p>
        </w:tc>
      </w:tr>
      <w:tr w:rsidR="00DD6C03" w:rsidRPr="00DD6C03" w:rsidTr="00451CBD">
        <w:trPr>
          <w:trHeight w:val="300"/>
        </w:trPr>
        <w:tc>
          <w:tcPr>
            <w:tcW w:w="735" w:type="dxa"/>
            <w:vMerge/>
            <w:tcBorders>
              <w:top w:val="single" w:sz="4" w:space="0" w:color="auto"/>
              <w:left w:val="nil"/>
              <w:bottom w:val="single" w:sz="4" w:space="0" w:color="auto"/>
              <w:right w:val="single" w:sz="4" w:space="0" w:color="auto"/>
            </w:tcBorders>
            <w:shd w:val="clear" w:color="auto" w:fill="E6C483"/>
            <w:vAlign w:val="center"/>
            <w:hideMark/>
          </w:tcPr>
          <w:p w:rsidR="00DD6C03" w:rsidRPr="00DD6C03" w:rsidRDefault="00DD6C03" w:rsidP="00DD6C03">
            <w:pPr>
              <w:spacing w:after="0" w:line="240" w:lineRule="auto"/>
              <w:jc w:val="left"/>
              <w:rPr>
                <w:rFonts w:cs="Arial"/>
                <w:color w:val="000000"/>
                <w:sz w:val="16"/>
                <w:szCs w:val="16"/>
              </w:rPr>
            </w:pPr>
          </w:p>
        </w:tc>
        <w:tc>
          <w:tcPr>
            <w:tcW w:w="737" w:type="dxa"/>
            <w:vMerge/>
            <w:tcBorders>
              <w:top w:val="single" w:sz="4" w:space="0" w:color="auto"/>
              <w:left w:val="single" w:sz="4" w:space="0" w:color="auto"/>
              <w:bottom w:val="single" w:sz="4" w:space="0" w:color="auto"/>
              <w:right w:val="single" w:sz="4" w:space="0" w:color="auto"/>
            </w:tcBorders>
            <w:shd w:val="clear" w:color="auto" w:fill="E6C483"/>
            <w:vAlign w:val="center"/>
            <w:hideMark/>
          </w:tcPr>
          <w:p w:rsidR="00DD6C03" w:rsidRPr="00DD6C03" w:rsidRDefault="00DD6C03" w:rsidP="00DD6C03">
            <w:pPr>
              <w:spacing w:after="0" w:line="240" w:lineRule="auto"/>
              <w:jc w:val="left"/>
              <w:rPr>
                <w:rFonts w:cs="Arial"/>
                <w:b/>
                <w:bCs/>
                <w:color w:val="000000"/>
                <w:sz w:val="16"/>
                <w:szCs w:val="16"/>
              </w:rPr>
            </w:pPr>
          </w:p>
        </w:tc>
        <w:tc>
          <w:tcPr>
            <w:tcW w:w="736" w:type="dxa"/>
            <w:tcBorders>
              <w:top w:val="nil"/>
              <w:left w:val="nil"/>
              <w:bottom w:val="single" w:sz="4" w:space="0" w:color="auto"/>
              <w:right w:val="single" w:sz="4" w:space="0" w:color="auto"/>
            </w:tcBorders>
            <w:shd w:val="clear" w:color="auto" w:fill="E6C483"/>
            <w:vAlign w:val="center"/>
            <w:hideMark/>
          </w:tcPr>
          <w:p w:rsidR="00DD6C03" w:rsidRPr="00DD6C03" w:rsidRDefault="00DD6C03" w:rsidP="00DD6C03">
            <w:pPr>
              <w:spacing w:after="0" w:line="240" w:lineRule="auto"/>
              <w:jc w:val="center"/>
              <w:rPr>
                <w:rFonts w:cs="Arial"/>
                <w:color w:val="000000"/>
                <w:sz w:val="16"/>
                <w:szCs w:val="16"/>
              </w:rPr>
            </w:pPr>
            <w:r w:rsidRPr="00DD6C03">
              <w:rPr>
                <w:rFonts w:cs="Arial"/>
                <w:color w:val="000000"/>
                <w:sz w:val="16"/>
                <w:szCs w:val="16"/>
              </w:rPr>
              <w:t>muži</w:t>
            </w:r>
          </w:p>
        </w:tc>
        <w:tc>
          <w:tcPr>
            <w:tcW w:w="736" w:type="dxa"/>
            <w:tcBorders>
              <w:top w:val="nil"/>
              <w:left w:val="nil"/>
              <w:bottom w:val="single" w:sz="4" w:space="0" w:color="auto"/>
              <w:right w:val="single" w:sz="4" w:space="0" w:color="auto"/>
            </w:tcBorders>
            <w:shd w:val="clear" w:color="auto" w:fill="E6C483"/>
            <w:vAlign w:val="center"/>
            <w:hideMark/>
          </w:tcPr>
          <w:p w:rsidR="00DD6C03" w:rsidRPr="00DD6C03" w:rsidRDefault="00DD6C03" w:rsidP="00DD6C03">
            <w:pPr>
              <w:spacing w:after="0" w:line="240" w:lineRule="auto"/>
              <w:jc w:val="center"/>
              <w:rPr>
                <w:rFonts w:cs="Arial"/>
                <w:color w:val="000000"/>
                <w:sz w:val="16"/>
                <w:szCs w:val="16"/>
              </w:rPr>
            </w:pPr>
            <w:r w:rsidRPr="00DD6C03">
              <w:rPr>
                <w:rFonts w:cs="Arial"/>
                <w:color w:val="000000"/>
                <w:sz w:val="16"/>
                <w:szCs w:val="16"/>
              </w:rPr>
              <w:t>ženy</w:t>
            </w:r>
          </w:p>
        </w:tc>
        <w:tc>
          <w:tcPr>
            <w:tcW w:w="736" w:type="dxa"/>
            <w:vMerge/>
            <w:tcBorders>
              <w:left w:val="single" w:sz="4" w:space="0" w:color="auto"/>
              <w:bottom w:val="single" w:sz="4" w:space="0" w:color="000000"/>
              <w:right w:val="single" w:sz="4" w:space="0" w:color="auto"/>
            </w:tcBorders>
            <w:shd w:val="clear" w:color="auto" w:fill="E6C483"/>
            <w:vAlign w:val="center"/>
            <w:hideMark/>
          </w:tcPr>
          <w:p w:rsidR="00DD6C03" w:rsidRPr="00DD6C03" w:rsidRDefault="00DD6C03" w:rsidP="00DD6C03">
            <w:pPr>
              <w:spacing w:after="0" w:line="240" w:lineRule="auto"/>
              <w:jc w:val="left"/>
              <w:rPr>
                <w:rFonts w:cs="Arial"/>
                <w:color w:val="000000"/>
                <w:sz w:val="16"/>
                <w:szCs w:val="16"/>
              </w:rPr>
            </w:pPr>
          </w:p>
        </w:tc>
        <w:tc>
          <w:tcPr>
            <w:tcW w:w="736" w:type="dxa"/>
            <w:tcBorders>
              <w:top w:val="nil"/>
              <w:left w:val="nil"/>
              <w:bottom w:val="single" w:sz="4" w:space="0" w:color="auto"/>
              <w:right w:val="single" w:sz="4" w:space="0" w:color="auto"/>
            </w:tcBorders>
            <w:shd w:val="clear" w:color="auto" w:fill="E6C483"/>
            <w:vAlign w:val="center"/>
            <w:hideMark/>
          </w:tcPr>
          <w:p w:rsidR="00DD6C03" w:rsidRPr="00DD6C03" w:rsidRDefault="00DD6C03" w:rsidP="00DD6C03">
            <w:pPr>
              <w:spacing w:after="0" w:line="240" w:lineRule="auto"/>
              <w:jc w:val="center"/>
              <w:rPr>
                <w:rFonts w:cs="Arial"/>
                <w:color w:val="000000"/>
                <w:sz w:val="16"/>
                <w:szCs w:val="16"/>
              </w:rPr>
            </w:pPr>
            <w:r w:rsidRPr="00DD6C03">
              <w:rPr>
                <w:rFonts w:cs="Arial"/>
                <w:color w:val="000000"/>
                <w:sz w:val="16"/>
                <w:szCs w:val="16"/>
              </w:rPr>
              <w:t>muži</w:t>
            </w:r>
          </w:p>
        </w:tc>
        <w:tc>
          <w:tcPr>
            <w:tcW w:w="736" w:type="dxa"/>
            <w:tcBorders>
              <w:top w:val="nil"/>
              <w:left w:val="nil"/>
              <w:bottom w:val="single" w:sz="4" w:space="0" w:color="auto"/>
              <w:right w:val="single" w:sz="4" w:space="0" w:color="auto"/>
            </w:tcBorders>
            <w:shd w:val="clear" w:color="auto" w:fill="E6C483"/>
            <w:vAlign w:val="center"/>
            <w:hideMark/>
          </w:tcPr>
          <w:p w:rsidR="00DD6C03" w:rsidRPr="00DD6C03" w:rsidRDefault="00DD6C03" w:rsidP="00DD6C03">
            <w:pPr>
              <w:spacing w:after="0" w:line="240" w:lineRule="auto"/>
              <w:jc w:val="center"/>
              <w:rPr>
                <w:rFonts w:cs="Arial"/>
                <w:color w:val="000000"/>
                <w:sz w:val="16"/>
                <w:szCs w:val="16"/>
              </w:rPr>
            </w:pPr>
            <w:r w:rsidRPr="00DD6C03">
              <w:rPr>
                <w:rFonts w:cs="Arial"/>
                <w:color w:val="000000"/>
                <w:sz w:val="16"/>
                <w:szCs w:val="16"/>
              </w:rPr>
              <w:t>ženy</w:t>
            </w:r>
          </w:p>
        </w:tc>
        <w:tc>
          <w:tcPr>
            <w:tcW w:w="754" w:type="dxa"/>
            <w:vMerge/>
            <w:tcBorders>
              <w:left w:val="single" w:sz="4" w:space="0" w:color="auto"/>
              <w:bottom w:val="single" w:sz="4" w:space="0" w:color="000000"/>
              <w:right w:val="single" w:sz="4" w:space="0" w:color="auto"/>
            </w:tcBorders>
            <w:shd w:val="clear" w:color="auto" w:fill="E6C483"/>
            <w:vAlign w:val="center"/>
            <w:hideMark/>
          </w:tcPr>
          <w:p w:rsidR="00DD6C03" w:rsidRPr="00DD6C03" w:rsidRDefault="00DD6C03" w:rsidP="00DD6C03">
            <w:pPr>
              <w:spacing w:after="0" w:line="240" w:lineRule="auto"/>
              <w:jc w:val="left"/>
              <w:rPr>
                <w:rFonts w:cs="Arial"/>
                <w:color w:val="000000"/>
                <w:sz w:val="16"/>
                <w:szCs w:val="16"/>
              </w:rPr>
            </w:pPr>
          </w:p>
        </w:tc>
        <w:tc>
          <w:tcPr>
            <w:tcW w:w="737" w:type="dxa"/>
            <w:tcBorders>
              <w:top w:val="nil"/>
              <w:left w:val="nil"/>
              <w:bottom w:val="single" w:sz="4" w:space="0" w:color="auto"/>
              <w:right w:val="single" w:sz="4" w:space="0" w:color="auto"/>
            </w:tcBorders>
            <w:shd w:val="clear" w:color="auto" w:fill="E6C483"/>
            <w:vAlign w:val="center"/>
            <w:hideMark/>
          </w:tcPr>
          <w:p w:rsidR="00DD6C03" w:rsidRPr="00DD6C03" w:rsidRDefault="00DD6C03" w:rsidP="00DD6C03">
            <w:pPr>
              <w:spacing w:after="0" w:line="240" w:lineRule="auto"/>
              <w:jc w:val="center"/>
              <w:rPr>
                <w:rFonts w:cs="Arial"/>
                <w:color w:val="000000"/>
                <w:sz w:val="16"/>
                <w:szCs w:val="16"/>
              </w:rPr>
            </w:pPr>
            <w:r w:rsidRPr="00DD6C03">
              <w:rPr>
                <w:rFonts w:cs="Arial"/>
                <w:color w:val="000000"/>
                <w:sz w:val="16"/>
                <w:szCs w:val="16"/>
              </w:rPr>
              <w:t>muži</w:t>
            </w:r>
          </w:p>
        </w:tc>
        <w:tc>
          <w:tcPr>
            <w:tcW w:w="737" w:type="dxa"/>
            <w:tcBorders>
              <w:top w:val="nil"/>
              <w:left w:val="nil"/>
              <w:bottom w:val="single" w:sz="4" w:space="0" w:color="auto"/>
              <w:right w:val="single" w:sz="4" w:space="0" w:color="auto"/>
            </w:tcBorders>
            <w:shd w:val="clear" w:color="auto" w:fill="E6C483"/>
            <w:vAlign w:val="center"/>
            <w:hideMark/>
          </w:tcPr>
          <w:p w:rsidR="00DD6C03" w:rsidRPr="00DD6C03" w:rsidRDefault="00DD6C03" w:rsidP="00DD6C03">
            <w:pPr>
              <w:spacing w:after="0" w:line="240" w:lineRule="auto"/>
              <w:jc w:val="center"/>
              <w:rPr>
                <w:rFonts w:cs="Arial"/>
                <w:color w:val="000000"/>
                <w:sz w:val="16"/>
                <w:szCs w:val="16"/>
              </w:rPr>
            </w:pPr>
            <w:r w:rsidRPr="00DD6C03">
              <w:rPr>
                <w:rFonts w:cs="Arial"/>
                <w:color w:val="000000"/>
                <w:sz w:val="16"/>
                <w:szCs w:val="16"/>
              </w:rPr>
              <w:t>ženy</w:t>
            </w:r>
          </w:p>
        </w:tc>
        <w:tc>
          <w:tcPr>
            <w:tcW w:w="737" w:type="dxa"/>
            <w:vMerge/>
            <w:tcBorders>
              <w:left w:val="single" w:sz="4" w:space="0" w:color="auto"/>
              <w:bottom w:val="single" w:sz="4" w:space="0" w:color="000000"/>
              <w:right w:val="single" w:sz="4" w:space="0" w:color="auto"/>
            </w:tcBorders>
            <w:shd w:val="clear" w:color="auto" w:fill="E6C483"/>
            <w:vAlign w:val="center"/>
            <w:hideMark/>
          </w:tcPr>
          <w:p w:rsidR="00DD6C03" w:rsidRPr="00DD6C03" w:rsidRDefault="00DD6C03" w:rsidP="00DD6C03">
            <w:pPr>
              <w:spacing w:after="0" w:line="240" w:lineRule="auto"/>
              <w:jc w:val="left"/>
              <w:rPr>
                <w:rFonts w:cs="Arial"/>
                <w:color w:val="000000"/>
                <w:sz w:val="16"/>
                <w:szCs w:val="16"/>
              </w:rPr>
            </w:pPr>
          </w:p>
        </w:tc>
        <w:tc>
          <w:tcPr>
            <w:tcW w:w="737" w:type="dxa"/>
            <w:tcBorders>
              <w:top w:val="nil"/>
              <w:left w:val="nil"/>
              <w:bottom w:val="single" w:sz="4" w:space="0" w:color="auto"/>
              <w:right w:val="single" w:sz="4" w:space="0" w:color="auto"/>
            </w:tcBorders>
            <w:shd w:val="clear" w:color="auto" w:fill="E6C483"/>
            <w:vAlign w:val="center"/>
            <w:hideMark/>
          </w:tcPr>
          <w:p w:rsidR="00DD6C03" w:rsidRPr="00DD6C03" w:rsidRDefault="00DD6C03" w:rsidP="00DD6C03">
            <w:pPr>
              <w:spacing w:after="0" w:line="240" w:lineRule="auto"/>
              <w:jc w:val="center"/>
              <w:rPr>
                <w:rFonts w:cs="Arial"/>
                <w:color w:val="000000"/>
                <w:sz w:val="16"/>
                <w:szCs w:val="16"/>
              </w:rPr>
            </w:pPr>
            <w:r w:rsidRPr="00DD6C03">
              <w:rPr>
                <w:rFonts w:cs="Arial"/>
                <w:color w:val="000000"/>
                <w:sz w:val="16"/>
                <w:szCs w:val="16"/>
              </w:rPr>
              <w:t>muži</w:t>
            </w:r>
          </w:p>
        </w:tc>
        <w:tc>
          <w:tcPr>
            <w:tcW w:w="737" w:type="dxa"/>
            <w:tcBorders>
              <w:top w:val="nil"/>
              <w:left w:val="nil"/>
              <w:bottom w:val="single" w:sz="4" w:space="0" w:color="auto"/>
              <w:right w:val="nil"/>
            </w:tcBorders>
            <w:shd w:val="clear" w:color="auto" w:fill="E6C483"/>
            <w:vAlign w:val="center"/>
            <w:hideMark/>
          </w:tcPr>
          <w:p w:rsidR="00DD6C03" w:rsidRPr="00DD6C03" w:rsidRDefault="00DD6C03" w:rsidP="00DD6C03">
            <w:pPr>
              <w:spacing w:after="0" w:line="240" w:lineRule="auto"/>
              <w:jc w:val="center"/>
              <w:rPr>
                <w:rFonts w:cs="Arial"/>
                <w:color w:val="000000"/>
                <w:sz w:val="16"/>
                <w:szCs w:val="16"/>
              </w:rPr>
            </w:pPr>
            <w:r w:rsidRPr="00DD6C03">
              <w:rPr>
                <w:rFonts w:cs="Arial"/>
                <w:color w:val="000000"/>
                <w:sz w:val="16"/>
                <w:szCs w:val="16"/>
              </w:rPr>
              <w:t>ženy</w:t>
            </w:r>
          </w:p>
        </w:tc>
      </w:tr>
      <w:tr w:rsidR="00DD6C03" w:rsidRPr="00DD6C03" w:rsidTr="00DD6C03">
        <w:trPr>
          <w:trHeight w:val="300"/>
        </w:trPr>
        <w:tc>
          <w:tcPr>
            <w:tcW w:w="735" w:type="dxa"/>
            <w:tcBorders>
              <w:top w:val="nil"/>
              <w:left w:val="nil"/>
              <w:bottom w:val="nil"/>
              <w:right w:val="single" w:sz="4" w:space="0" w:color="auto"/>
            </w:tcBorders>
            <w:shd w:val="clear" w:color="auto" w:fill="auto"/>
            <w:vAlign w:val="center"/>
            <w:hideMark/>
          </w:tcPr>
          <w:p w:rsidR="00DD6C03" w:rsidRPr="00DD6C03" w:rsidRDefault="00DD6C03" w:rsidP="00DD6C03">
            <w:pPr>
              <w:spacing w:after="0" w:line="240" w:lineRule="auto"/>
              <w:jc w:val="center"/>
              <w:rPr>
                <w:rFonts w:cs="Arial"/>
                <w:color w:val="000000"/>
                <w:sz w:val="16"/>
                <w:szCs w:val="16"/>
              </w:rPr>
            </w:pPr>
            <w:r w:rsidRPr="00DD6C03">
              <w:rPr>
                <w:rFonts w:cs="Arial"/>
                <w:color w:val="000000"/>
                <w:sz w:val="16"/>
                <w:szCs w:val="16"/>
              </w:rPr>
              <w:t>2014</w:t>
            </w:r>
          </w:p>
        </w:tc>
        <w:tc>
          <w:tcPr>
            <w:tcW w:w="737" w:type="dxa"/>
            <w:tcBorders>
              <w:top w:val="nil"/>
              <w:left w:val="nil"/>
              <w:bottom w:val="nil"/>
              <w:right w:val="nil"/>
            </w:tcBorders>
            <w:shd w:val="clear" w:color="auto" w:fill="auto"/>
            <w:vAlign w:val="center"/>
            <w:hideMark/>
          </w:tcPr>
          <w:p w:rsidR="00DD6C03" w:rsidRPr="00DD6C03" w:rsidRDefault="00DD6C03" w:rsidP="00DD6C03">
            <w:pPr>
              <w:spacing w:after="0" w:line="240" w:lineRule="auto"/>
              <w:jc w:val="right"/>
              <w:rPr>
                <w:rFonts w:cs="Arial"/>
                <w:color w:val="000000"/>
                <w:sz w:val="16"/>
                <w:szCs w:val="16"/>
              </w:rPr>
            </w:pPr>
            <w:r w:rsidRPr="00DD6C03">
              <w:rPr>
                <w:rFonts w:cs="Arial"/>
                <w:color w:val="000000"/>
                <w:sz w:val="16"/>
                <w:szCs w:val="16"/>
              </w:rPr>
              <w:t>60 235</w:t>
            </w:r>
          </w:p>
        </w:tc>
        <w:tc>
          <w:tcPr>
            <w:tcW w:w="736" w:type="dxa"/>
            <w:tcBorders>
              <w:top w:val="nil"/>
              <w:left w:val="nil"/>
              <w:bottom w:val="nil"/>
              <w:right w:val="nil"/>
            </w:tcBorders>
            <w:shd w:val="clear" w:color="auto" w:fill="auto"/>
            <w:vAlign w:val="center"/>
            <w:hideMark/>
          </w:tcPr>
          <w:p w:rsidR="00DD6C03" w:rsidRPr="00DD6C03" w:rsidRDefault="00DD6C03" w:rsidP="00DD6C03">
            <w:pPr>
              <w:spacing w:after="0" w:line="240" w:lineRule="auto"/>
              <w:jc w:val="right"/>
              <w:rPr>
                <w:rFonts w:cs="Arial"/>
                <w:color w:val="000000"/>
                <w:sz w:val="16"/>
                <w:szCs w:val="16"/>
              </w:rPr>
            </w:pPr>
            <w:r w:rsidRPr="00DD6C03">
              <w:rPr>
                <w:rFonts w:cs="Arial"/>
                <w:color w:val="000000"/>
                <w:sz w:val="16"/>
                <w:szCs w:val="16"/>
              </w:rPr>
              <w:t>27 429</w:t>
            </w:r>
          </w:p>
        </w:tc>
        <w:tc>
          <w:tcPr>
            <w:tcW w:w="736" w:type="dxa"/>
            <w:tcBorders>
              <w:top w:val="nil"/>
              <w:left w:val="nil"/>
              <w:bottom w:val="nil"/>
              <w:right w:val="nil"/>
            </w:tcBorders>
            <w:shd w:val="clear" w:color="auto" w:fill="auto"/>
            <w:vAlign w:val="center"/>
            <w:hideMark/>
          </w:tcPr>
          <w:p w:rsidR="00DD6C03" w:rsidRPr="00DD6C03" w:rsidRDefault="00DD6C03" w:rsidP="00DD6C03">
            <w:pPr>
              <w:spacing w:after="0" w:line="240" w:lineRule="auto"/>
              <w:jc w:val="right"/>
              <w:rPr>
                <w:rFonts w:cs="Arial"/>
                <w:color w:val="000000"/>
                <w:sz w:val="16"/>
                <w:szCs w:val="16"/>
              </w:rPr>
            </w:pPr>
            <w:r w:rsidRPr="00DD6C03">
              <w:rPr>
                <w:rFonts w:cs="Arial"/>
                <w:color w:val="000000"/>
                <w:sz w:val="16"/>
                <w:szCs w:val="16"/>
              </w:rPr>
              <w:t>32 806</w:t>
            </w:r>
          </w:p>
        </w:tc>
        <w:tc>
          <w:tcPr>
            <w:tcW w:w="736" w:type="dxa"/>
            <w:tcBorders>
              <w:top w:val="nil"/>
              <w:left w:val="single" w:sz="4" w:space="0" w:color="auto"/>
              <w:bottom w:val="nil"/>
              <w:right w:val="nil"/>
            </w:tcBorders>
            <w:shd w:val="clear" w:color="auto" w:fill="auto"/>
            <w:vAlign w:val="center"/>
            <w:hideMark/>
          </w:tcPr>
          <w:p w:rsidR="00DD6C03" w:rsidRPr="00DD6C03" w:rsidRDefault="00DD6C03" w:rsidP="00DD6C03">
            <w:pPr>
              <w:spacing w:after="0" w:line="240" w:lineRule="auto"/>
              <w:jc w:val="right"/>
              <w:rPr>
                <w:rFonts w:cs="Arial"/>
                <w:color w:val="000000"/>
                <w:sz w:val="16"/>
                <w:szCs w:val="16"/>
              </w:rPr>
            </w:pPr>
            <w:r w:rsidRPr="00DD6C03">
              <w:rPr>
                <w:rFonts w:cs="Arial"/>
                <w:color w:val="000000"/>
                <w:sz w:val="16"/>
                <w:szCs w:val="16"/>
              </w:rPr>
              <w:t>51 093</w:t>
            </w:r>
          </w:p>
        </w:tc>
        <w:tc>
          <w:tcPr>
            <w:tcW w:w="736" w:type="dxa"/>
            <w:tcBorders>
              <w:top w:val="nil"/>
              <w:left w:val="nil"/>
              <w:bottom w:val="nil"/>
              <w:right w:val="nil"/>
            </w:tcBorders>
            <w:shd w:val="clear" w:color="auto" w:fill="auto"/>
            <w:vAlign w:val="center"/>
            <w:hideMark/>
          </w:tcPr>
          <w:p w:rsidR="00DD6C03" w:rsidRPr="00DD6C03" w:rsidRDefault="00DD6C03" w:rsidP="00DD6C03">
            <w:pPr>
              <w:spacing w:after="0" w:line="240" w:lineRule="auto"/>
              <w:jc w:val="right"/>
              <w:rPr>
                <w:rFonts w:cs="Arial"/>
                <w:color w:val="000000"/>
                <w:sz w:val="16"/>
                <w:szCs w:val="16"/>
              </w:rPr>
            </w:pPr>
            <w:r w:rsidRPr="00DD6C03">
              <w:rPr>
                <w:rFonts w:cs="Arial"/>
                <w:color w:val="000000"/>
                <w:sz w:val="16"/>
                <w:szCs w:val="16"/>
              </w:rPr>
              <w:t>21 441</w:t>
            </w:r>
          </w:p>
        </w:tc>
        <w:tc>
          <w:tcPr>
            <w:tcW w:w="736" w:type="dxa"/>
            <w:tcBorders>
              <w:top w:val="nil"/>
              <w:left w:val="nil"/>
              <w:bottom w:val="nil"/>
              <w:right w:val="single" w:sz="4" w:space="0" w:color="auto"/>
            </w:tcBorders>
            <w:shd w:val="clear" w:color="auto" w:fill="auto"/>
            <w:vAlign w:val="center"/>
            <w:hideMark/>
          </w:tcPr>
          <w:p w:rsidR="00DD6C03" w:rsidRPr="00DD6C03" w:rsidRDefault="00DD6C03" w:rsidP="00DD6C03">
            <w:pPr>
              <w:spacing w:after="0" w:line="240" w:lineRule="auto"/>
              <w:jc w:val="right"/>
              <w:rPr>
                <w:rFonts w:cs="Arial"/>
                <w:color w:val="000000"/>
                <w:sz w:val="16"/>
                <w:szCs w:val="16"/>
              </w:rPr>
            </w:pPr>
            <w:r w:rsidRPr="00DD6C03">
              <w:rPr>
                <w:rFonts w:cs="Arial"/>
                <w:color w:val="000000"/>
                <w:sz w:val="16"/>
                <w:szCs w:val="16"/>
              </w:rPr>
              <w:t>29 652</w:t>
            </w:r>
          </w:p>
        </w:tc>
        <w:tc>
          <w:tcPr>
            <w:tcW w:w="754" w:type="dxa"/>
            <w:tcBorders>
              <w:top w:val="nil"/>
              <w:left w:val="nil"/>
              <w:bottom w:val="nil"/>
              <w:right w:val="nil"/>
            </w:tcBorders>
            <w:shd w:val="clear" w:color="auto" w:fill="auto"/>
            <w:vAlign w:val="center"/>
            <w:hideMark/>
          </w:tcPr>
          <w:p w:rsidR="00DD6C03" w:rsidRPr="00DD6C03" w:rsidRDefault="00DD6C03" w:rsidP="00DD6C03">
            <w:pPr>
              <w:spacing w:after="0" w:line="240" w:lineRule="auto"/>
              <w:jc w:val="right"/>
              <w:rPr>
                <w:rFonts w:cs="Arial"/>
                <w:color w:val="000000"/>
                <w:sz w:val="16"/>
                <w:szCs w:val="16"/>
              </w:rPr>
            </w:pPr>
            <w:r w:rsidRPr="00DD6C03">
              <w:rPr>
                <w:rFonts w:cs="Arial"/>
                <w:color w:val="000000"/>
                <w:sz w:val="16"/>
                <w:szCs w:val="16"/>
              </w:rPr>
              <w:t>2 447</w:t>
            </w:r>
          </w:p>
        </w:tc>
        <w:tc>
          <w:tcPr>
            <w:tcW w:w="737" w:type="dxa"/>
            <w:tcBorders>
              <w:top w:val="nil"/>
              <w:left w:val="nil"/>
              <w:bottom w:val="nil"/>
              <w:right w:val="nil"/>
            </w:tcBorders>
            <w:shd w:val="clear" w:color="auto" w:fill="auto"/>
            <w:vAlign w:val="center"/>
            <w:hideMark/>
          </w:tcPr>
          <w:p w:rsidR="00DD6C03" w:rsidRPr="00DD6C03" w:rsidRDefault="00DD6C03" w:rsidP="00DD6C03">
            <w:pPr>
              <w:spacing w:after="0" w:line="240" w:lineRule="auto"/>
              <w:jc w:val="right"/>
              <w:rPr>
                <w:rFonts w:cs="Arial"/>
                <w:color w:val="000000"/>
                <w:sz w:val="16"/>
                <w:szCs w:val="16"/>
              </w:rPr>
            </w:pPr>
            <w:r w:rsidRPr="00DD6C03">
              <w:rPr>
                <w:rFonts w:cs="Arial"/>
                <w:color w:val="000000"/>
                <w:sz w:val="16"/>
                <w:szCs w:val="16"/>
              </w:rPr>
              <w:t>1 723</w:t>
            </w:r>
          </w:p>
        </w:tc>
        <w:tc>
          <w:tcPr>
            <w:tcW w:w="737" w:type="dxa"/>
            <w:tcBorders>
              <w:top w:val="nil"/>
              <w:left w:val="nil"/>
              <w:bottom w:val="nil"/>
              <w:right w:val="single" w:sz="4" w:space="0" w:color="auto"/>
            </w:tcBorders>
            <w:shd w:val="clear" w:color="auto" w:fill="auto"/>
            <w:vAlign w:val="center"/>
            <w:hideMark/>
          </w:tcPr>
          <w:p w:rsidR="00DD6C03" w:rsidRPr="00DD6C03" w:rsidRDefault="00DD6C03" w:rsidP="00DD6C03">
            <w:pPr>
              <w:spacing w:after="0" w:line="240" w:lineRule="auto"/>
              <w:jc w:val="right"/>
              <w:rPr>
                <w:rFonts w:cs="Arial"/>
                <w:color w:val="000000"/>
                <w:sz w:val="16"/>
                <w:szCs w:val="16"/>
              </w:rPr>
            </w:pPr>
            <w:r w:rsidRPr="00DD6C03">
              <w:rPr>
                <w:rFonts w:cs="Arial"/>
                <w:color w:val="000000"/>
                <w:sz w:val="16"/>
                <w:szCs w:val="16"/>
              </w:rPr>
              <w:t>724</w:t>
            </w:r>
          </w:p>
        </w:tc>
        <w:tc>
          <w:tcPr>
            <w:tcW w:w="737" w:type="dxa"/>
            <w:tcBorders>
              <w:top w:val="nil"/>
              <w:left w:val="nil"/>
              <w:bottom w:val="nil"/>
              <w:right w:val="nil"/>
            </w:tcBorders>
            <w:shd w:val="clear" w:color="auto" w:fill="auto"/>
            <w:vAlign w:val="center"/>
            <w:hideMark/>
          </w:tcPr>
          <w:p w:rsidR="00DD6C03" w:rsidRPr="00DD6C03" w:rsidRDefault="00DD6C03" w:rsidP="00DD6C03">
            <w:pPr>
              <w:spacing w:after="0" w:line="240" w:lineRule="auto"/>
              <w:jc w:val="right"/>
              <w:rPr>
                <w:rFonts w:cs="Arial"/>
                <w:color w:val="000000"/>
                <w:sz w:val="16"/>
                <w:szCs w:val="16"/>
              </w:rPr>
            </w:pPr>
            <w:r w:rsidRPr="00DD6C03">
              <w:rPr>
                <w:rFonts w:cs="Arial"/>
                <w:color w:val="000000"/>
                <w:sz w:val="16"/>
                <w:szCs w:val="16"/>
              </w:rPr>
              <w:t>6 695</w:t>
            </w:r>
          </w:p>
        </w:tc>
        <w:tc>
          <w:tcPr>
            <w:tcW w:w="737" w:type="dxa"/>
            <w:tcBorders>
              <w:top w:val="nil"/>
              <w:left w:val="nil"/>
              <w:bottom w:val="nil"/>
              <w:right w:val="nil"/>
            </w:tcBorders>
            <w:shd w:val="clear" w:color="auto" w:fill="auto"/>
            <w:vAlign w:val="center"/>
            <w:hideMark/>
          </w:tcPr>
          <w:p w:rsidR="00DD6C03" w:rsidRPr="00DD6C03" w:rsidRDefault="00DD6C03" w:rsidP="00DD6C03">
            <w:pPr>
              <w:spacing w:after="0" w:line="240" w:lineRule="auto"/>
              <w:jc w:val="right"/>
              <w:rPr>
                <w:rFonts w:cs="Arial"/>
                <w:color w:val="000000"/>
                <w:sz w:val="16"/>
                <w:szCs w:val="16"/>
              </w:rPr>
            </w:pPr>
            <w:r w:rsidRPr="00DD6C03">
              <w:rPr>
                <w:rFonts w:cs="Arial"/>
                <w:color w:val="000000"/>
                <w:sz w:val="16"/>
                <w:szCs w:val="16"/>
              </w:rPr>
              <w:t>4 265</w:t>
            </w:r>
          </w:p>
        </w:tc>
        <w:tc>
          <w:tcPr>
            <w:tcW w:w="737" w:type="dxa"/>
            <w:tcBorders>
              <w:top w:val="nil"/>
              <w:left w:val="nil"/>
              <w:bottom w:val="nil"/>
              <w:right w:val="nil"/>
            </w:tcBorders>
            <w:shd w:val="clear" w:color="auto" w:fill="auto"/>
            <w:vAlign w:val="center"/>
            <w:hideMark/>
          </w:tcPr>
          <w:p w:rsidR="00DD6C03" w:rsidRPr="00DD6C03" w:rsidRDefault="00DD6C03" w:rsidP="00DD6C03">
            <w:pPr>
              <w:spacing w:after="0" w:line="240" w:lineRule="auto"/>
              <w:jc w:val="right"/>
              <w:rPr>
                <w:rFonts w:cs="Arial"/>
                <w:color w:val="000000"/>
                <w:sz w:val="16"/>
                <w:szCs w:val="16"/>
              </w:rPr>
            </w:pPr>
            <w:r w:rsidRPr="00DD6C03">
              <w:rPr>
                <w:rFonts w:cs="Arial"/>
                <w:color w:val="000000"/>
                <w:sz w:val="16"/>
                <w:szCs w:val="16"/>
              </w:rPr>
              <w:t>2 431</w:t>
            </w:r>
          </w:p>
        </w:tc>
      </w:tr>
      <w:tr w:rsidR="00DD6C03" w:rsidRPr="00DD6C03" w:rsidTr="00DD6C03">
        <w:trPr>
          <w:trHeight w:val="300"/>
        </w:trPr>
        <w:tc>
          <w:tcPr>
            <w:tcW w:w="735" w:type="dxa"/>
            <w:tcBorders>
              <w:top w:val="nil"/>
              <w:left w:val="nil"/>
              <w:bottom w:val="nil"/>
              <w:right w:val="single" w:sz="4" w:space="0" w:color="auto"/>
            </w:tcBorders>
            <w:shd w:val="clear" w:color="auto" w:fill="auto"/>
            <w:vAlign w:val="center"/>
            <w:hideMark/>
          </w:tcPr>
          <w:p w:rsidR="00DD6C03" w:rsidRPr="00DD6C03" w:rsidRDefault="00DD6C03" w:rsidP="00DD6C03">
            <w:pPr>
              <w:spacing w:after="0" w:line="240" w:lineRule="auto"/>
              <w:jc w:val="center"/>
              <w:rPr>
                <w:rFonts w:cs="Arial"/>
                <w:color w:val="000000"/>
                <w:sz w:val="16"/>
                <w:szCs w:val="16"/>
              </w:rPr>
            </w:pPr>
            <w:r w:rsidRPr="00DD6C03">
              <w:rPr>
                <w:rFonts w:cs="Arial"/>
                <w:color w:val="000000"/>
                <w:sz w:val="16"/>
                <w:szCs w:val="16"/>
              </w:rPr>
              <w:t>2015</w:t>
            </w:r>
          </w:p>
        </w:tc>
        <w:tc>
          <w:tcPr>
            <w:tcW w:w="737" w:type="dxa"/>
            <w:tcBorders>
              <w:top w:val="nil"/>
              <w:left w:val="nil"/>
              <w:bottom w:val="nil"/>
              <w:right w:val="nil"/>
            </w:tcBorders>
            <w:shd w:val="clear" w:color="auto" w:fill="auto"/>
            <w:vAlign w:val="center"/>
            <w:hideMark/>
          </w:tcPr>
          <w:p w:rsidR="00DD6C03" w:rsidRPr="00DD6C03" w:rsidRDefault="00DD6C03" w:rsidP="00DD6C03">
            <w:pPr>
              <w:spacing w:after="0" w:line="240" w:lineRule="auto"/>
              <w:jc w:val="right"/>
              <w:rPr>
                <w:rFonts w:cs="Arial"/>
                <w:color w:val="000000"/>
                <w:sz w:val="16"/>
                <w:szCs w:val="16"/>
              </w:rPr>
            </w:pPr>
            <w:r w:rsidRPr="00DD6C03">
              <w:rPr>
                <w:rFonts w:cs="Arial"/>
                <w:color w:val="000000"/>
                <w:sz w:val="16"/>
                <w:szCs w:val="16"/>
              </w:rPr>
              <w:t>66 817</w:t>
            </w:r>
          </w:p>
        </w:tc>
        <w:tc>
          <w:tcPr>
            <w:tcW w:w="736" w:type="dxa"/>
            <w:tcBorders>
              <w:top w:val="nil"/>
              <w:left w:val="nil"/>
              <w:bottom w:val="nil"/>
              <w:right w:val="nil"/>
            </w:tcBorders>
            <w:shd w:val="clear" w:color="auto" w:fill="auto"/>
            <w:vAlign w:val="center"/>
            <w:hideMark/>
          </w:tcPr>
          <w:p w:rsidR="00DD6C03" w:rsidRPr="00DD6C03" w:rsidRDefault="00DD6C03" w:rsidP="00DD6C03">
            <w:pPr>
              <w:spacing w:after="0" w:line="240" w:lineRule="auto"/>
              <w:jc w:val="right"/>
              <w:rPr>
                <w:rFonts w:cs="Arial"/>
                <w:color w:val="000000"/>
                <w:sz w:val="16"/>
                <w:szCs w:val="16"/>
              </w:rPr>
            </w:pPr>
            <w:r w:rsidRPr="00DD6C03">
              <w:rPr>
                <w:rFonts w:cs="Arial"/>
                <w:color w:val="000000"/>
                <w:sz w:val="16"/>
                <w:szCs w:val="16"/>
              </w:rPr>
              <w:t>30 473</w:t>
            </w:r>
          </w:p>
        </w:tc>
        <w:tc>
          <w:tcPr>
            <w:tcW w:w="736" w:type="dxa"/>
            <w:tcBorders>
              <w:top w:val="nil"/>
              <w:left w:val="nil"/>
              <w:bottom w:val="nil"/>
              <w:right w:val="nil"/>
            </w:tcBorders>
            <w:shd w:val="clear" w:color="auto" w:fill="auto"/>
            <w:vAlign w:val="center"/>
            <w:hideMark/>
          </w:tcPr>
          <w:p w:rsidR="00DD6C03" w:rsidRPr="00DD6C03" w:rsidRDefault="00DD6C03" w:rsidP="00DD6C03">
            <w:pPr>
              <w:spacing w:after="0" w:line="240" w:lineRule="auto"/>
              <w:jc w:val="right"/>
              <w:rPr>
                <w:rFonts w:cs="Arial"/>
                <w:color w:val="000000"/>
                <w:sz w:val="16"/>
                <w:szCs w:val="16"/>
              </w:rPr>
            </w:pPr>
            <w:r w:rsidRPr="00DD6C03">
              <w:rPr>
                <w:rFonts w:cs="Arial"/>
                <w:color w:val="000000"/>
                <w:sz w:val="16"/>
                <w:szCs w:val="16"/>
              </w:rPr>
              <w:t>36 345</w:t>
            </w:r>
          </w:p>
        </w:tc>
        <w:tc>
          <w:tcPr>
            <w:tcW w:w="736" w:type="dxa"/>
            <w:tcBorders>
              <w:top w:val="nil"/>
              <w:left w:val="single" w:sz="4" w:space="0" w:color="auto"/>
              <w:bottom w:val="nil"/>
              <w:right w:val="nil"/>
            </w:tcBorders>
            <w:shd w:val="clear" w:color="auto" w:fill="auto"/>
            <w:vAlign w:val="center"/>
            <w:hideMark/>
          </w:tcPr>
          <w:p w:rsidR="00DD6C03" w:rsidRPr="00DD6C03" w:rsidRDefault="00DD6C03" w:rsidP="00DD6C03">
            <w:pPr>
              <w:spacing w:after="0" w:line="240" w:lineRule="auto"/>
              <w:jc w:val="right"/>
              <w:rPr>
                <w:rFonts w:cs="Arial"/>
                <w:color w:val="000000"/>
                <w:sz w:val="16"/>
                <w:szCs w:val="16"/>
              </w:rPr>
            </w:pPr>
            <w:r w:rsidRPr="00DD6C03">
              <w:rPr>
                <w:rFonts w:cs="Arial"/>
                <w:color w:val="000000"/>
                <w:sz w:val="16"/>
                <w:szCs w:val="16"/>
              </w:rPr>
              <w:t>57 013</w:t>
            </w:r>
          </w:p>
        </w:tc>
        <w:tc>
          <w:tcPr>
            <w:tcW w:w="736" w:type="dxa"/>
            <w:tcBorders>
              <w:top w:val="nil"/>
              <w:left w:val="nil"/>
              <w:bottom w:val="nil"/>
              <w:right w:val="nil"/>
            </w:tcBorders>
            <w:shd w:val="clear" w:color="auto" w:fill="auto"/>
            <w:vAlign w:val="center"/>
            <w:hideMark/>
          </w:tcPr>
          <w:p w:rsidR="00DD6C03" w:rsidRPr="00DD6C03" w:rsidRDefault="00DD6C03" w:rsidP="00DD6C03">
            <w:pPr>
              <w:spacing w:after="0" w:line="240" w:lineRule="auto"/>
              <w:jc w:val="right"/>
              <w:rPr>
                <w:rFonts w:cs="Arial"/>
                <w:color w:val="000000"/>
                <w:sz w:val="16"/>
                <w:szCs w:val="16"/>
              </w:rPr>
            </w:pPr>
            <w:r w:rsidRPr="00DD6C03">
              <w:rPr>
                <w:rFonts w:cs="Arial"/>
                <w:color w:val="000000"/>
                <w:sz w:val="16"/>
                <w:szCs w:val="16"/>
              </w:rPr>
              <w:t>24 152</w:t>
            </w:r>
          </w:p>
        </w:tc>
        <w:tc>
          <w:tcPr>
            <w:tcW w:w="736" w:type="dxa"/>
            <w:tcBorders>
              <w:top w:val="nil"/>
              <w:left w:val="nil"/>
              <w:bottom w:val="nil"/>
              <w:right w:val="single" w:sz="4" w:space="0" w:color="auto"/>
            </w:tcBorders>
            <w:shd w:val="clear" w:color="auto" w:fill="auto"/>
            <w:vAlign w:val="center"/>
            <w:hideMark/>
          </w:tcPr>
          <w:p w:rsidR="00DD6C03" w:rsidRPr="00DD6C03" w:rsidRDefault="00DD6C03" w:rsidP="00DD6C03">
            <w:pPr>
              <w:spacing w:after="0" w:line="240" w:lineRule="auto"/>
              <w:jc w:val="right"/>
              <w:rPr>
                <w:rFonts w:cs="Arial"/>
                <w:color w:val="000000"/>
                <w:sz w:val="16"/>
                <w:szCs w:val="16"/>
              </w:rPr>
            </w:pPr>
            <w:r w:rsidRPr="00DD6C03">
              <w:rPr>
                <w:rFonts w:cs="Arial"/>
                <w:color w:val="000000"/>
                <w:sz w:val="16"/>
                <w:szCs w:val="16"/>
              </w:rPr>
              <w:t>32 861</w:t>
            </w:r>
          </w:p>
        </w:tc>
        <w:tc>
          <w:tcPr>
            <w:tcW w:w="754" w:type="dxa"/>
            <w:tcBorders>
              <w:top w:val="nil"/>
              <w:left w:val="nil"/>
              <w:bottom w:val="nil"/>
              <w:right w:val="nil"/>
            </w:tcBorders>
            <w:shd w:val="clear" w:color="auto" w:fill="auto"/>
            <w:vAlign w:val="center"/>
            <w:hideMark/>
          </w:tcPr>
          <w:p w:rsidR="00DD6C03" w:rsidRPr="00DD6C03" w:rsidRDefault="00DD6C03" w:rsidP="00DD6C03">
            <w:pPr>
              <w:spacing w:after="0" w:line="240" w:lineRule="auto"/>
              <w:jc w:val="right"/>
              <w:rPr>
                <w:rFonts w:cs="Arial"/>
                <w:color w:val="000000"/>
                <w:sz w:val="16"/>
                <w:szCs w:val="16"/>
              </w:rPr>
            </w:pPr>
            <w:r w:rsidRPr="00DD6C03">
              <w:rPr>
                <w:rFonts w:cs="Arial"/>
                <w:color w:val="000000"/>
                <w:sz w:val="16"/>
                <w:szCs w:val="16"/>
              </w:rPr>
              <w:t>2 569</w:t>
            </w:r>
          </w:p>
        </w:tc>
        <w:tc>
          <w:tcPr>
            <w:tcW w:w="737" w:type="dxa"/>
            <w:tcBorders>
              <w:top w:val="nil"/>
              <w:left w:val="nil"/>
              <w:bottom w:val="nil"/>
              <w:right w:val="nil"/>
            </w:tcBorders>
            <w:shd w:val="clear" w:color="auto" w:fill="auto"/>
            <w:vAlign w:val="center"/>
            <w:hideMark/>
          </w:tcPr>
          <w:p w:rsidR="00DD6C03" w:rsidRPr="00DD6C03" w:rsidRDefault="00DD6C03" w:rsidP="00DD6C03">
            <w:pPr>
              <w:spacing w:after="0" w:line="240" w:lineRule="auto"/>
              <w:jc w:val="right"/>
              <w:rPr>
                <w:rFonts w:cs="Arial"/>
                <w:color w:val="000000"/>
                <w:sz w:val="16"/>
                <w:szCs w:val="16"/>
              </w:rPr>
            </w:pPr>
            <w:r w:rsidRPr="00DD6C03">
              <w:rPr>
                <w:rFonts w:cs="Arial"/>
                <w:color w:val="000000"/>
                <w:sz w:val="16"/>
                <w:szCs w:val="16"/>
              </w:rPr>
              <w:t>1 775</w:t>
            </w:r>
          </w:p>
        </w:tc>
        <w:tc>
          <w:tcPr>
            <w:tcW w:w="737" w:type="dxa"/>
            <w:tcBorders>
              <w:top w:val="nil"/>
              <w:left w:val="nil"/>
              <w:bottom w:val="nil"/>
              <w:right w:val="single" w:sz="4" w:space="0" w:color="auto"/>
            </w:tcBorders>
            <w:shd w:val="clear" w:color="auto" w:fill="auto"/>
            <w:vAlign w:val="center"/>
            <w:hideMark/>
          </w:tcPr>
          <w:p w:rsidR="00DD6C03" w:rsidRPr="00DD6C03" w:rsidRDefault="00DD6C03" w:rsidP="00DD6C03">
            <w:pPr>
              <w:spacing w:after="0" w:line="240" w:lineRule="auto"/>
              <w:jc w:val="right"/>
              <w:rPr>
                <w:rFonts w:cs="Arial"/>
                <w:color w:val="000000"/>
                <w:sz w:val="16"/>
                <w:szCs w:val="16"/>
              </w:rPr>
            </w:pPr>
            <w:r w:rsidRPr="00DD6C03">
              <w:rPr>
                <w:rFonts w:cs="Arial"/>
                <w:color w:val="000000"/>
                <w:sz w:val="16"/>
                <w:szCs w:val="16"/>
              </w:rPr>
              <w:t>794</w:t>
            </w:r>
          </w:p>
        </w:tc>
        <w:tc>
          <w:tcPr>
            <w:tcW w:w="737" w:type="dxa"/>
            <w:tcBorders>
              <w:top w:val="nil"/>
              <w:left w:val="nil"/>
              <w:bottom w:val="nil"/>
              <w:right w:val="nil"/>
            </w:tcBorders>
            <w:shd w:val="clear" w:color="auto" w:fill="auto"/>
            <w:vAlign w:val="center"/>
            <w:hideMark/>
          </w:tcPr>
          <w:p w:rsidR="00DD6C03" w:rsidRPr="00DD6C03" w:rsidRDefault="00DD6C03" w:rsidP="00DD6C03">
            <w:pPr>
              <w:spacing w:after="0" w:line="240" w:lineRule="auto"/>
              <w:jc w:val="right"/>
              <w:rPr>
                <w:rFonts w:cs="Arial"/>
                <w:color w:val="000000"/>
                <w:sz w:val="16"/>
                <w:szCs w:val="16"/>
              </w:rPr>
            </w:pPr>
            <w:r w:rsidRPr="00DD6C03">
              <w:rPr>
                <w:rFonts w:cs="Arial"/>
                <w:color w:val="000000"/>
                <w:sz w:val="16"/>
                <w:szCs w:val="16"/>
              </w:rPr>
              <w:t>7 236</w:t>
            </w:r>
          </w:p>
        </w:tc>
        <w:tc>
          <w:tcPr>
            <w:tcW w:w="737" w:type="dxa"/>
            <w:tcBorders>
              <w:top w:val="nil"/>
              <w:left w:val="nil"/>
              <w:bottom w:val="nil"/>
              <w:right w:val="nil"/>
            </w:tcBorders>
            <w:shd w:val="clear" w:color="auto" w:fill="auto"/>
            <w:vAlign w:val="center"/>
            <w:hideMark/>
          </w:tcPr>
          <w:p w:rsidR="00DD6C03" w:rsidRPr="00DD6C03" w:rsidRDefault="00DD6C03" w:rsidP="00DD6C03">
            <w:pPr>
              <w:spacing w:after="0" w:line="240" w:lineRule="auto"/>
              <w:jc w:val="right"/>
              <w:rPr>
                <w:rFonts w:cs="Arial"/>
                <w:color w:val="000000"/>
                <w:sz w:val="16"/>
                <w:szCs w:val="16"/>
              </w:rPr>
            </w:pPr>
            <w:r w:rsidRPr="00DD6C03">
              <w:rPr>
                <w:rFonts w:cs="Arial"/>
                <w:color w:val="000000"/>
                <w:sz w:val="16"/>
                <w:szCs w:val="16"/>
              </w:rPr>
              <w:t>4 546</w:t>
            </w:r>
          </w:p>
        </w:tc>
        <w:tc>
          <w:tcPr>
            <w:tcW w:w="737" w:type="dxa"/>
            <w:tcBorders>
              <w:top w:val="nil"/>
              <w:left w:val="nil"/>
              <w:bottom w:val="nil"/>
              <w:right w:val="nil"/>
            </w:tcBorders>
            <w:shd w:val="clear" w:color="auto" w:fill="auto"/>
            <w:vAlign w:val="center"/>
            <w:hideMark/>
          </w:tcPr>
          <w:p w:rsidR="00DD6C03" w:rsidRPr="00DD6C03" w:rsidRDefault="00DD6C03" w:rsidP="00DD6C03">
            <w:pPr>
              <w:spacing w:after="0" w:line="240" w:lineRule="auto"/>
              <w:jc w:val="right"/>
              <w:rPr>
                <w:rFonts w:cs="Arial"/>
                <w:color w:val="000000"/>
                <w:sz w:val="16"/>
                <w:szCs w:val="16"/>
              </w:rPr>
            </w:pPr>
            <w:r w:rsidRPr="00DD6C03">
              <w:rPr>
                <w:rFonts w:cs="Arial"/>
                <w:color w:val="000000"/>
                <w:sz w:val="16"/>
                <w:szCs w:val="16"/>
              </w:rPr>
              <w:t>2 689</w:t>
            </w:r>
          </w:p>
        </w:tc>
      </w:tr>
      <w:tr w:rsidR="00DD6C03" w:rsidRPr="00DD6C03" w:rsidTr="00DD6C03">
        <w:trPr>
          <w:trHeight w:val="300"/>
        </w:trPr>
        <w:tc>
          <w:tcPr>
            <w:tcW w:w="735" w:type="dxa"/>
            <w:tcBorders>
              <w:top w:val="nil"/>
              <w:left w:val="nil"/>
              <w:bottom w:val="nil"/>
              <w:right w:val="single" w:sz="4" w:space="0" w:color="auto"/>
            </w:tcBorders>
            <w:shd w:val="clear" w:color="auto" w:fill="auto"/>
            <w:vAlign w:val="center"/>
            <w:hideMark/>
          </w:tcPr>
          <w:p w:rsidR="00DD6C03" w:rsidRPr="00DD6C03" w:rsidRDefault="00DD6C03" w:rsidP="00DD6C03">
            <w:pPr>
              <w:spacing w:after="0" w:line="240" w:lineRule="auto"/>
              <w:jc w:val="center"/>
              <w:rPr>
                <w:rFonts w:cs="Arial"/>
                <w:color w:val="000000"/>
                <w:sz w:val="16"/>
                <w:szCs w:val="16"/>
              </w:rPr>
            </w:pPr>
            <w:r w:rsidRPr="00DD6C03">
              <w:rPr>
                <w:rFonts w:cs="Arial"/>
                <w:color w:val="000000"/>
                <w:sz w:val="16"/>
                <w:szCs w:val="16"/>
              </w:rPr>
              <w:t>2016</w:t>
            </w:r>
          </w:p>
        </w:tc>
        <w:tc>
          <w:tcPr>
            <w:tcW w:w="737" w:type="dxa"/>
            <w:tcBorders>
              <w:top w:val="nil"/>
              <w:left w:val="nil"/>
              <w:bottom w:val="nil"/>
              <w:right w:val="nil"/>
            </w:tcBorders>
            <w:shd w:val="clear" w:color="auto" w:fill="auto"/>
            <w:vAlign w:val="center"/>
            <w:hideMark/>
          </w:tcPr>
          <w:p w:rsidR="00DD6C03" w:rsidRPr="00DD6C03" w:rsidRDefault="00DD6C03" w:rsidP="00DD6C03">
            <w:pPr>
              <w:spacing w:after="0" w:line="240" w:lineRule="auto"/>
              <w:jc w:val="right"/>
              <w:rPr>
                <w:rFonts w:cs="Arial"/>
                <w:color w:val="000000"/>
                <w:sz w:val="16"/>
                <w:szCs w:val="16"/>
              </w:rPr>
            </w:pPr>
            <w:r w:rsidRPr="00DD6C03">
              <w:rPr>
                <w:rFonts w:cs="Arial"/>
                <w:color w:val="000000"/>
                <w:sz w:val="16"/>
                <w:szCs w:val="16"/>
              </w:rPr>
              <w:t>70 252</w:t>
            </w:r>
          </w:p>
        </w:tc>
        <w:tc>
          <w:tcPr>
            <w:tcW w:w="736" w:type="dxa"/>
            <w:tcBorders>
              <w:top w:val="nil"/>
              <w:left w:val="nil"/>
              <w:bottom w:val="nil"/>
              <w:right w:val="nil"/>
            </w:tcBorders>
            <w:shd w:val="clear" w:color="auto" w:fill="auto"/>
            <w:vAlign w:val="center"/>
            <w:hideMark/>
          </w:tcPr>
          <w:p w:rsidR="00DD6C03" w:rsidRPr="00DD6C03" w:rsidRDefault="00DD6C03" w:rsidP="00DD6C03">
            <w:pPr>
              <w:spacing w:after="0" w:line="240" w:lineRule="auto"/>
              <w:jc w:val="right"/>
              <w:rPr>
                <w:rFonts w:cs="Arial"/>
                <w:color w:val="000000"/>
                <w:sz w:val="16"/>
                <w:szCs w:val="16"/>
              </w:rPr>
            </w:pPr>
            <w:r w:rsidRPr="00DD6C03">
              <w:rPr>
                <w:rFonts w:cs="Arial"/>
                <w:color w:val="000000"/>
                <w:sz w:val="16"/>
                <w:szCs w:val="16"/>
              </w:rPr>
              <w:t>31 874</w:t>
            </w:r>
          </w:p>
        </w:tc>
        <w:tc>
          <w:tcPr>
            <w:tcW w:w="736" w:type="dxa"/>
            <w:tcBorders>
              <w:top w:val="nil"/>
              <w:left w:val="nil"/>
              <w:bottom w:val="nil"/>
              <w:right w:val="nil"/>
            </w:tcBorders>
            <w:shd w:val="clear" w:color="auto" w:fill="auto"/>
            <w:vAlign w:val="center"/>
            <w:hideMark/>
          </w:tcPr>
          <w:p w:rsidR="00DD6C03" w:rsidRPr="00DD6C03" w:rsidRDefault="00DD6C03" w:rsidP="00DD6C03">
            <w:pPr>
              <w:spacing w:after="0" w:line="240" w:lineRule="auto"/>
              <w:jc w:val="right"/>
              <w:rPr>
                <w:rFonts w:cs="Arial"/>
                <w:color w:val="000000"/>
                <w:sz w:val="16"/>
                <w:szCs w:val="16"/>
              </w:rPr>
            </w:pPr>
            <w:r w:rsidRPr="00DD6C03">
              <w:rPr>
                <w:rFonts w:cs="Arial"/>
                <w:color w:val="000000"/>
                <w:sz w:val="16"/>
                <w:szCs w:val="16"/>
              </w:rPr>
              <w:t>38 378</w:t>
            </w:r>
          </w:p>
        </w:tc>
        <w:tc>
          <w:tcPr>
            <w:tcW w:w="736" w:type="dxa"/>
            <w:tcBorders>
              <w:top w:val="nil"/>
              <w:left w:val="single" w:sz="4" w:space="0" w:color="auto"/>
              <w:bottom w:val="nil"/>
              <w:right w:val="nil"/>
            </w:tcBorders>
            <w:shd w:val="clear" w:color="auto" w:fill="auto"/>
            <w:vAlign w:val="center"/>
            <w:hideMark/>
          </w:tcPr>
          <w:p w:rsidR="00DD6C03" w:rsidRPr="00DD6C03" w:rsidRDefault="00DD6C03" w:rsidP="00DD6C03">
            <w:pPr>
              <w:spacing w:after="0" w:line="240" w:lineRule="auto"/>
              <w:jc w:val="right"/>
              <w:rPr>
                <w:rFonts w:cs="Arial"/>
                <w:color w:val="000000"/>
                <w:sz w:val="16"/>
                <w:szCs w:val="16"/>
              </w:rPr>
            </w:pPr>
            <w:r w:rsidRPr="00DD6C03">
              <w:rPr>
                <w:rFonts w:cs="Arial"/>
                <w:color w:val="000000"/>
                <w:sz w:val="16"/>
                <w:szCs w:val="16"/>
              </w:rPr>
              <w:t>60 094</w:t>
            </w:r>
          </w:p>
        </w:tc>
        <w:tc>
          <w:tcPr>
            <w:tcW w:w="736" w:type="dxa"/>
            <w:tcBorders>
              <w:top w:val="nil"/>
              <w:left w:val="nil"/>
              <w:bottom w:val="nil"/>
              <w:right w:val="nil"/>
            </w:tcBorders>
            <w:shd w:val="clear" w:color="auto" w:fill="auto"/>
            <w:vAlign w:val="center"/>
            <w:hideMark/>
          </w:tcPr>
          <w:p w:rsidR="00DD6C03" w:rsidRPr="00DD6C03" w:rsidRDefault="00DD6C03" w:rsidP="00DD6C03">
            <w:pPr>
              <w:spacing w:after="0" w:line="240" w:lineRule="auto"/>
              <w:jc w:val="right"/>
              <w:rPr>
                <w:rFonts w:cs="Arial"/>
                <w:color w:val="000000"/>
                <w:sz w:val="16"/>
                <w:szCs w:val="16"/>
              </w:rPr>
            </w:pPr>
            <w:r w:rsidRPr="00DD6C03">
              <w:rPr>
                <w:rFonts w:cs="Arial"/>
                <w:color w:val="000000"/>
                <w:sz w:val="16"/>
                <w:szCs w:val="16"/>
              </w:rPr>
              <w:t>25 396</w:t>
            </w:r>
          </w:p>
        </w:tc>
        <w:tc>
          <w:tcPr>
            <w:tcW w:w="736" w:type="dxa"/>
            <w:tcBorders>
              <w:top w:val="nil"/>
              <w:left w:val="nil"/>
              <w:bottom w:val="nil"/>
              <w:right w:val="single" w:sz="4" w:space="0" w:color="auto"/>
            </w:tcBorders>
            <w:shd w:val="clear" w:color="auto" w:fill="auto"/>
            <w:vAlign w:val="center"/>
            <w:hideMark/>
          </w:tcPr>
          <w:p w:rsidR="00DD6C03" w:rsidRPr="00DD6C03" w:rsidRDefault="00DD6C03" w:rsidP="00DD6C03">
            <w:pPr>
              <w:spacing w:after="0" w:line="240" w:lineRule="auto"/>
              <w:jc w:val="right"/>
              <w:rPr>
                <w:rFonts w:cs="Arial"/>
                <w:color w:val="000000"/>
                <w:sz w:val="16"/>
                <w:szCs w:val="16"/>
              </w:rPr>
            </w:pPr>
            <w:r w:rsidRPr="00DD6C03">
              <w:rPr>
                <w:rFonts w:cs="Arial"/>
                <w:color w:val="000000"/>
                <w:sz w:val="16"/>
                <w:szCs w:val="16"/>
              </w:rPr>
              <w:t>34 697</w:t>
            </w:r>
          </w:p>
        </w:tc>
        <w:tc>
          <w:tcPr>
            <w:tcW w:w="754" w:type="dxa"/>
            <w:tcBorders>
              <w:top w:val="nil"/>
              <w:left w:val="nil"/>
              <w:bottom w:val="nil"/>
              <w:right w:val="nil"/>
            </w:tcBorders>
            <w:shd w:val="clear" w:color="auto" w:fill="auto"/>
            <w:vAlign w:val="center"/>
            <w:hideMark/>
          </w:tcPr>
          <w:p w:rsidR="00DD6C03" w:rsidRPr="00DD6C03" w:rsidRDefault="00DD6C03" w:rsidP="00DD6C03">
            <w:pPr>
              <w:spacing w:after="0" w:line="240" w:lineRule="auto"/>
              <w:jc w:val="right"/>
              <w:rPr>
                <w:rFonts w:cs="Arial"/>
                <w:color w:val="000000"/>
                <w:sz w:val="16"/>
                <w:szCs w:val="16"/>
              </w:rPr>
            </w:pPr>
            <w:r w:rsidRPr="00DD6C03">
              <w:rPr>
                <w:rFonts w:cs="Arial"/>
                <w:color w:val="000000"/>
                <w:sz w:val="16"/>
                <w:szCs w:val="16"/>
              </w:rPr>
              <w:t>2 575</w:t>
            </w:r>
          </w:p>
        </w:tc>
        <w:tc>
          <w:tcPr>
            <w:tcW w:w="737" w:type="dxa"/>
            <w:tcBorders>
              <w:top w:val="nil"/>
              <w:left w:val="nil"/>
              <w:bottom w:val="nil"/>
              <w:right w:val="nil"/>
            </w:tcBorders>
            <w:shd w:val="clear" w:color="auto" w:fill="auto"/>
            <w:vAlign w:val="center"/>
            <w:hideMark/>
          </w:tcPr>
          <w:p w:rsidR="00DD6C03" w:rsidRPr="00DD6C03" w:rsidRDefault="00DD6C03" w:rsidP="00DD6C03">
            <w:pPr>
              <w:spacing w:after="0" w:line="240" w:lineRule="auto"/>
              <w:jc w:val="right"/>
              <w:rPr>
                <w:rFonts w:cs="Arial"/>
                <w:color w:val="000000"/>
                <w:sz w:val="16"/>
                <w:szCs w:val="16"/>
              </w:rPr>
            </w:pPr>
            <w:r w:rsidRPr="00DD6C03">
              <w:rPr>
                <w:rFonts w:cs="Arial"/>
                <w:color w:val="000000"/>
                <w:sz w:val="16"/>
                <w:szCs w:val="16"/>
              </w:rPr>
              <w:t>1 761</w:t>
            </w:r>
          </w:p>
        </w:tc>
        <w:tc>
          <w:tcPr>
            <w:tcW w:w="737" w:type="dxa"/>
            <w:tcBorders>
              <w:top w:val="nil"/>
              <w:left w:val="nil"/>
              <w:bottom w:val="nil"/>
              <w:right w:val="single" w:sz="4" w:space="0" w:color="auto"/>
            </w:tcBorders>
            <w:shd w:val="clear" w:color="auto" w:fill="auto"/>
            <w:vAlign w:val="center"/>
            <w:hideMark/>
          </w:tcPr>
          <w:p w:rsidR="00DD6C03" w:rsidRPr="00DD6C03" w:rsidRDefault="00DD6C03" w:rsidP="00DD6C03">
            <w:pPr>
              <w:spacing w:after="0" w:line="240" w:lineRule="auto"/>
              <w:jc w:val="right"/>
              <w:rPr>
                <w:rFonts w:cs="Arial"/>
                <w:color w:val="000000"/>
                <w:sz w:val="16"/>
                <w:szCs w:val="16"/>
              </w:rPr>
            </w:pPr>
            <w:r w:rsidRPr="00DD6C03">
              <w:rPr>
                <w:rFonts w:cs="Arial"/>
                <w:color w:val="000000"/>
                <w:sz w:val="16"/>
                <w:szCs w:val="16"/>
              </w:rPr>
              <w:t>814</w:t>
            </w:r>
          </w:p>
        </w:tc>
        <w:tc>
          <w:tcPr>
            <w:tcW w:w="737" w:type="dxa"/>
            <w:tcBorders>
              <w:top w:val="nil"/>
              <w:left w:val="nil"/>
              <w:bottom w:val="nil"/>
              <w:right w:val="nil"/>
            </w:tcBorders>
            <w:shd w:val="clear" w:color="auto" w:fill="auto"/>
            <w:vAlign w:val="center"/>
            <w:hideMark/>
          </w:tcPr>
          <w:p w:rsidR="00DD6C03" w:rsidRPr="00DD6C03" w:rsidRDefault="00DD6C03" w:rsidP="00DD6C03">
            <w:pPr>
              <w:spacing w:after="0" w:line="240" w:lineRule="auto"/>
              <w:jc w:val="right"/>
              <w:rPr>
                <w:rFonts w:cs="Arial"/>
                <w:color w:val="000000"/>
                <w:sz w:val="16"/>
                <w:szCs w:val="16"/>
              </w:rPr>
            </w:pPr>
            <w:r w:rsidRPr="00DD6C03">
              <w:rPr>
                <w:rFonts w:cs="Arial"/>
                <w:color w:val="000000"/>
                <w:sz w:val="16"/>
                <w:szCs w:val="16"/>
              </w:rPr>
              <w:t>7 583</w:t>
            </w:r>
          </w:p>
        </w:tc>
        <w:tc>
          <w:tcPr>
            <w:tcW w:w="737" w:type="dxa"/>
            <w:tcBorders>
              <w:top w:val="nil"/>
              <w:left w:val="nil"/>
              <w:bottom w:val="nil"/>
              <w:right w:val="nil"/>
            </w:tcBorders>
            <w:shd w:val="clear" w:color="auto" w:fill="auto"/>
            <w:vAlign w:val="center"/>
            <w:hideMark/>
          </w:tcPr>
          <w:p w:rsidR="00DD6C03" w:rsidRPr="00DD6C03" w:rsidRDefault="00DD6C03" w:rsidP="00DD6C03">
            <w:pPr>
              <w:spacing w:after="0" w:line="240" w:lineRule="auto"/>
              <w:jc w:val="right"/>
              <w:rPr>
                <w:rFonts w:cs="Arial"/>
                <w:color w:val="000000"/>
                <w:sz w:val="16"/>
                <w:szCs w:val="16"/>
              </w:rPr>
            </w:pPr>
            <w:r w:rsidRPr="00DD6C03">
              <w:rPr>
                <w:rFonts w:cs="Arial"/>
                <w:color w:val="000000"/>
                <w:sz w:val="16"/>
                <w:szCs w:val="16"/>
              </w:rPr>
              <w:t>4 717</w:t>
            </w:r>
          </w:p>
        </w:tc>
        <w:tc>
          <w:tcPr>
            <w:tcW w:w="737" w:type="dxa"/>
            <w:tcBorders>
              <w:top w:val="nil"/>
              <w:left w:val="nil"/>
              <w:bottom w:val="nil"/>
              <w:right w:val="nil"/>
            </w:tcBorders>
            <w:shd w:val="clear" w:color="auto" w:fill="auto"/>
            <w:vAlign w:val="center"/>
            <w:hideMark/>
          </w:tcPr>
          <w:p w:rsidR="00DD6C03" w:rsidRPr="00DD6C03" w:rsidRDefault="00DD6C03" w:rsidP="00DD6C03">
            <w:pPr>
              <w:spacing w:after="0" w:line="240" w:lineRule="auto"/>
              <w:jc w:val="right"/>
              <w:rPr>
                <w:rFonts w:cs="Arial"/>
                <w:color w:val="000000"/>
                <w:sz w:val="16"/>
                <w:szCs w:val="16"/>
              </w:rPr>
            </w:pPr>
            <w:r w:rsidRPr="00DD6C03">
              <w:rPr>
                <w:rFonts w:cs="Arial"/>
                <w:color w:val="000000"/>
                <w:sz w:val="16"/>
                <w:szCs w:val="16"/>
              </w:rPr>
              <w:t>2 866</w:t>
            </w:r>
          </w:p>
        </w:tc>
      </w:tr>
      <w:tr w:rsidR="00DD6C03" w:rsidRPr="00DD6C03" w:rsidTr="00DD6C03">
        <w:trPr>
          <w:trHeight w:val="300"/>
        </w:trPr>
        <w:tc>
          <w:tcPr>
            <w:tcW w:w="735" w:type="dxa"/>
            <w:tcBorders>
              <w:top w:val="nil"/>
              <w:left w:val="nil"/>
              <w:bottom w:val="nil"/>
              <w:right w:val="single" w:sz="4" w:space="0" w:color="auto"/>
            </w:tcBorders>
            <w:shd w:val="clear" w:color="auto" w:fill="auto"/>
            <w:vAlign w:val="center"/>
            <w:hideMark/>
          </w:tcPr>
          <w:p w:rsidR="00DD6C03" w:rsidRPr="00DD6C03" w:rsidRDefault="00DD6C03" w:rsidP="00DD6C03">
            <w:pPr>
              <w:spacing w:after="0" w:line="240" w:lineRule="auto"/>
              <w:jc w:val="center"/>
              <w:rPr>
                <w:rFonts w:cs="Arial"/>
                <w:color w:val="000000"/>
                <w:sz w:val="16"/>
                <w:szCs w:val="16"/>
              </w:rPr>
            </w:pPr>
            <w:r w:rsidRPr="00DD6C03">
              <w:rPr>
                <w:rFonts w:cs="Arial"/>
                <w:color w:val="000000"/>
                <w:sz w:val="16"/>
                <w:szCs w:val="16"/>
              </w:rPr>
              <w:t>2017</w:t>
            </w:r>
          </w:p>
        </w:tc>
        <w:tc>
          <w:tcPr>
            <w:tcW w:w="737" w:type="dxa"/>
            <w:tcBorders>
              <w:top w:val="nil"/>
              <w:left w:val="nil"/>
              <w:bottom w:val="nil"/>
              <w:right w:val="nil"/>
            </w:tcBorders>
            <w:shd w:val="clear" w:color="auto" w:fill="auto"/>
            <w:vAlign w:val="center"/>
            <w:hideMark/>
          </w:tcPr>
          <w:p w:rsidR="00DD6C03" w:rsidRPr="00DD6C03" w:rsidRDefault="00DD6C03" w:rsidP="00DD6C03">
            <w:pPr>
              <w:spacing w:after="0" w:line="240" w:lineRule="auto"/>
              <w:jc w:val="right"/>
              <w:rPr>
                <w:rFonts w:cs="Arial"/>
                <w:color w:val="000000"/>
                <w:sz w:val="16"/>
                <w:szCs w:val="16"/>
              </w:rPr>
            </w:pPr>
            <w:r w:rsidRPr="00DD6C03">
              <w:rPr>
                <w:rFonts w:cs="Arial"/>
                <w:color w:val="000000"/>
                <w:sz w:val="16"/>
                <w:szCs w:val="16"/>
              </w:rPr>
              <w:t>72 678</w:t>
            </w:r>
          </w:p>
        </w:tc>
        <w:tc>
          <w:tcPr>
            <w:tcW w:w="736" w:type="dxa"/>
            <w:tcBorders>
              <w:top w:val="nil"/>
              <w:left w:val="nil"/>
              <w:bottom w:val="nil"/>
              <w:right w:val="nil"/>
            </w:tcBorders>
            <w:shd w:val="clear" w:color="auto" w:fill="auto"/>
            <w:vAlign w:val="center"/>
            <w:hideMark/>
          </w:tcPr>
          <w:p w:rsidR="00DD6C03" w:rsidRPr="00DD6C03" w:rsidRDefault="00DD6C03" w:rsidP="00DD6C03">
            <w:pPr>
              <w:spacing w:after="0" w:line="240" w:lineRule="auto"/>
              <w:jc w:val="right"/>
              <w:rPr>
                <w:rFonts w:cs="Arial"/>
                <w:color w:val="000000"/>
                <w:sz w:val="16"/>
                <w:szCs w:val="16"/>
              </w:rPr>
            </w:pPr>
            <w:r w:rsidRPr="00DD6C03">
              <w:rPr>
                <w:rFonts w:cs="Arial"/>
                <w:color w:val="000000"/>
                <w:sz w:val="16"/>
                <w:szCs w:val="16"/>
              </w:rPr>
              <w:t>33 089</w:t>
            </w:r>
          </w:p>
        </w:tc>
        <w:tc>
          <w:tcPr>
            <w:tcW w:w="736" w:type="dxa"/>
            <w:tcBorders>
              <w:top w:val="nil"/>
              <w:left w:val="nil"/>
              <w:bottom w:val="nil"/>
              <w:right w:val="nil"/>
            </w:tcBorders>
            <w:shd w:val="clear" w:color="auto" w:fill="auto"/>
            <w:vAlign w:val="center"/>
            <w:hideMark/>
          </w:tcPr>
          <w:p w:rsidR="00DD6C03" w:rsidRPr="00DD6C03" w:rsidRDefault="00DD6C03" w:rsidP="00DD6C03">
            <w:pPr>
              <w:spacing w:after="0" w:line="240" w:lineRule="auto"/>
              <w:jc w:val="right"/>
              <w:rPr>
                <w:rFonts w:cs="Arial"/>
                <w:color w:val="000000"/>
                <w:sz w:val="16"/>
                <w:szCs w:val="16"/>
              </w:rPr>
            </w:pPr>
            <w:r w:rsidRPr="00DD6C03">
              <w:rPr>
                <w:rFonts w:cs="Arial"/>
                <w:color w:val="000000"/>
                <w:sz w:val="16"/>
                <w:szCs w:val="16"/>
              </w:rPr>
              <w:t>39 588</w:t>
            </w:r>
          </w:p>
        </w:tc>
        <w:tc>
          <w:tcPr>
            <w:tcW w:w="736" w:type="dxa"/>
            <w:tcBorders>
              <w:top w:val="nil"/>
              <w:left w:val="single" w:sz="4" w:space="0" w:color="auto"/>
              <w:bottom w:val="nil"/>
              <w:right w:val="nil"/>
            </w:tcBorders>
            <w:shd w:val="clear" w:color="auto" w:fill="auto"/>
            <w:vAlign w:val="center"/>
            <w:hideMark/>
          </w:tcPr>
          <w:p w:rsidR="00DD6C03" w:rsidRPr="00DD6C03" w:rsidRDefault="00DD6C03" w:rsidP="00DD6C03">
            <w:pPr>
              <w:spacing w:after="0" w:line="240" w:lineRule="auto"/>
              <w:jc w:val="right"/>
              <w:rPr>
                <w:rFonts w:cs="Arial"/>
                <w:color w:val="000000"/>
                <w:sz w:val="16"/>
                <w:szCs w:val="16"/>
              </w:rPr>
            </w:pPr>
            <w:r w:rsidRPr="00DD6C03">
              <w:rPr>
                <w:rFonts w:cs="Arial"/>
                <w:color w:val="000000"/>
                <w:sz w:val="16"/>
                <w:szCs w:val="16"/>
              </w:rPr>
              <w:t>62 113</w:t>
            </w:r>
          </w:p>
        </w:tc>
        <w:tc>
          <w:tcPr>
            <w:tcW w:w="736" w:type="dxa"/>
            <w:tcBorders>
              <w:top w:val="nil"/>
              <w:left w:val="nil"/>
              <w:bottom w:val="nil"/>
              <w:right w:val="nil"/>
            </w:tcBorders>
            <w:shd w:val="clear" w:color="auto" w:fill="auto"/>
            <w:vAlign w:val="center"/>
            <w:hideMark/>
          </w:tcPr>
          <w:p w:rsidR="00DD6C03" w:rsidRPr="00DD6C03" w:rsidRDefault="00DD6C03" w:rsidP="00DD6C03">
            <w:pPr>
              <w:spacing w:after="0" w:line="240" w:lineRule="auto"/>
              <w:jc w:val="right"/>
              <w:rPr>
                <w:rFonts w:cs="Arial"/>
                <w:color w:val="000000"/>
                <w:sz w:val="16"/>
                <w:szCs w:val="16"/>
              </w:rPr>
            </w:pPr>
            <w:r w:rsidRPr="00DD6C03">
              <w:rPr>
                <w:rFonts w:cs="Arial"/>
                <w:color w:val="000000"/>
                <w:sz w:val="16"/>
                <w:szCs w:val="16"/>
              </w:rPr>
              <w:t>26 463</w:t>
            </w:r>
          </w:p>
        </w:tc>
        <w:tc>
          <w:tcPr>
            <w:tcW w:w="736" w:type="dxa"/>
            <w:tcBorders>
              <w:top w:val="nil"/>
              <w:left w:val="nil"/>
              <w:bottom w:val="nil"/>
              <w:right w:val="single" w:sz="4" w:space="0" w:color="auto"/>
            </w:tcBorders>
            <w:shd w:val="clear" w:color="auto" w:fill="auto"/>
            <w:vAlign w:val="center"/>
            <w:hideMark/>
          </w:tcPr>
          <w:p w:rsidR="00DD6C03" w:rsidRPr="00DD6C03" w:rsidRDefault="00DD6C03" w:rsidP="00DD6C03">
            <w:pPr>
              <w:spacing w:after="0" w:line="240" w:lineRule="auto"/>
              <w:jc w:val="right"/>
              <w:rPr>
                <w:rFonts w:cs="Arial"/>
                <w:color w:val="000000"/>
                <w:sz w:val="16"/>
                <w:szCs w:val="16"/>
              </w:rPr>
            </w:pPr>
            <w:r w:rsidRPr="00DD6C03">
              <w:rPr>
                <w:rFonts w:cs="Arial"/>
                <w:color w:val="000000"/>
                <w:sz w:val="16"/>
                <w:szCs w:val="16"/>
              </w:rPr>
              <w:t>35 650</w:t>
            </w:r>
          </w:p>
        </w:tc>
        <w:tc>
          <w:tcPr>
            <w:tcW w:w="754" w:type="dxa"/>
            <w:tcBorders>
              <w:top w:val="nil"/>
              <w:left w:val="nil"/>
              <w:bottom w:val="nil"/>
              <w:right w:val="nil"/>
            </w:tcBorders>
            <w:shd w:val="clear" w:color="auto" w:fill="auto"/>
            <w:vAlign w:val="center"/>
            <w:hideMark/>
          </w:tcPr>
          <w:p w:rsidR="00DD6C03" w:rsidRPr="00DD6C03" w:rsidRDefault="00DD6C03" w:rsidP="00DD6C03">
            <w:pPr>
              <w:spacing w:after="0" w:line="240" w:lineRule="auto"/>
              <w:jc w:val="right"/>
              <w:rPr>
                <w:rFonts w:cs="Arial"/>
                <w:color w:val="000000"/>
                <w:sz w:val="16"/>
                <w:szCs w:val="16"/>
              </w:rPr>
            </w:pPr>
            <w:r w:rsidRPr="00DD6C03">
              <w:rPr>
                <w:rFonts w:cs="Arial"/>
                <w:color w:val="000000"/>
                <w:sz w:val="16"/>
                <w:szCs w:val="16"/>
              </w:rPr>
              <w:t>2 583</w:t>
            </w:r>
          </w:p>
        </w:tc>
        <w:tc>
          <w:tcPr>
            <w:tcW w:w="737" w:type="dxa"/>
            <w:tcBorders>
              <w:top w:val="nil"/>
              <w:left w:val="nil"/>
              <w:bottom w:val="nil"/>
              <w:right w:val="nil"/>
            </w:tcBorders>
            <w:shd w:val="clear" w:color="auto" w:fill="auto"/>
            <w:vAlign w:val="center"/>
            <w:hideMark/>
          </w:tcPr>
          <w:p w:rsidR="00DD6C03" w:rsidRPr="00DD6C03" w:rsidRDefault="00DD6C03" w:rsidP="00DD6C03">
            <w:pPr>
              <w:spacing w:after="0" w:line="240" w:lineRule="auto"/>
              <w:jc w:val="right"/>
              <w:rPr>
                <w:rFonts w:cs="Arial"/>
                <w:color w:val="000000"/>
                <w:sz w:val="16"/>
                <w:szCs w:val="16"/>
              </w:rPr>
            </w:pPr>
            <w:r w:rsidRPr="00DD6C03">
              <w:rPr>
                <w:rFonts w:cs="Arial"/>
                <w:color w:val="000000"/>
                <w:sz w:val="16"/>
                <w:szCs w:val="16"/>
              </w:rPr>
              <w:t>1 765</w:t>
            </w:r>
          </w:p>
        </w:tc>
        <w:tc>
          <w:tcPr>
            <w:tcW w:w="737" w:type="dxa"/>
            <w:tcBorders>
              <w:top w:val="nil"/>
              <w:left w:val="nil"/>
              <w:bottom w:val="nil"/>
              <w:right w:val="single" w:sz="4" w:space="0" w:color="auto"/>
            </w:tcBorders>
            <w:shd w:val="clear" w:color="auto" w:fill="auto"/>
            <w:vAlign w:val="center"/>
            <w:hideMark/>
          </w:tcPr>
          <w:p w:rsidR="00DD6C03" w:rsidRPr="00DD6C03" w:rsidRDefault="00DD6C03" w:rsidP="00DD6C03">
            <w:pPr>
              <w:spacing w:after="0" w:line="240" w:lineRule="auto"/>
              <w:jc w:val="right"/>
              <w:rPr>
                <w:rFonts w:cs="Arial"/>
                <w:color w:val="000000"/>
                <w:sz w:val="16"/>
                <w:szCs w:val="16"/>
              </w:rPr>
            </w:pPr>
            <w:r w:rsidRPr="00DD6C03">
              <w:rPr>
                <w:rFonts w:cs="Arial"/>
                <w:color w:val="000000"/>
                <w:sz w:val="16"/>
                <w:szCs w:val="16"/>
              </w:rPr>
              <w:t>818</w:t>
            </w:r>
          </w:p>
        </w:tc>
        <w:tc>
          <w:tcPr>
            <w:tcW w:w="737" w:type="dxa"/>
            <w:tcBorders>
              <w:top w:val="nil"/>
              <w:left w:val="nil"/>
              <w:bottom w:val="nil"/>
              <w:right w:val="nil"/>
            </w:tcBorders>
            <w:shd w:val="clear" w:color="auto" w:fill="auto"/>
            <w:vAlign w:val="center"/>
            <w:hideMark/>
          </w:tcPr>
          <w:p w:rsidR="00DD6C03" w:rsidRPr="00DD6C03" w:rsidRDefault="00DD6C03" w:rsidP="00DD6C03">
            <w:pPr>
              <w:spacing w:after="0" w:line="240" w:lineRule="auto"/>
              <w:jc w:val="right"/>
              <w:rPr>
                <w:rFonts w:cs="Arial"/>
                <w:color w:val="000000"/>
                <w:sz w:val="16"/>
                <w:szCs w:val="16"/>
              </w:rPr>
            </w:pPr>
            <w:r w:rsidRPr="00DD6C03">
              <w:rPr>
                <w:rFonts w:cs="Arial"/>
                <w:color w:val="000000"/>
                <w:sz w:val="16"/>
                <w:szCs w:val="16"/>
              </w:rPr>
              <w:t>7 982</w:t>
            </w:r>
          </w:p>
        </w:tc>
        <w:tc>
          <w:tcPr>
            <w:tcW w:w="737" w:type="dxa"/>
            <w:tcBorders>
              <w:top w:val="nil"/>
              <w:left w:val="nil"/>
              <w:bottom w:val="nil"/>
              <w:right w:val="nil"/>
            </w:tcBorders>
            <w:shd w:val="clear" w:color="auto" w:fill="auto"/>
            <w:vAlign w:val="center"/>
            <w:hideMark/>
          </w:tcPr>
          <w:p w:rsidR="00DD6C03" w:rsidRPr="00DD6C03" w:rsidRDefault="00DD6C03" w:rsidP="00DD6C03">
            <w:pPr>
              <w:spacing w:after="0" w:line="240" w:lineRule="auto"/>
              <w:jc w:val="right"/>
              <w:rPr>
                <w:rFonts w:cs="Arial"/>
                <w:color w:val="000000"/>
                <w:sz w:val="16"/>
                <w:szCs w:val="16"/>
              </w:rPr>
            </w:pPr>
            <w:r w:rsidRPr="00DD6C03">
              <w:rPr>
                <w:rFonts w:cs="Arial"/>
                <w:color w:val="000000"/>
                <w:sz w:val="16"/>
                <w:szCs w:val="16"/>
              </w:rPr>
              <w:t>4 862</w:t>
            </w:r>
          </w:p>
        </w:tc>
        <w:tc>
          <w:tcPr>
            <w:tcW w:w="737" w:type="dxa"/>
            <w:tcBorders>
              <w:top w:val="nil"/>
              <w:left w:val="nil"/>
              <w:bottom w:val="nil"/>
              <w:right w:val="nil"/>
            </w:tcBorders>
            <w:shd w:val="clear" w:color="auto" w:fill="auto"/>
            <w:vAlign w:val="center"/>
            <w:hideMark/>
          </w:tcPr>
          <w:p w:rsidR="00DD6C03" w:rsidRPr="00DD6C03" w:rsidRDefault="00DD6C03" w:rsidP="00DD6C03">
            <w:pPr>
              <w:spacing w:after="0" w:line="240" w:lineRule="auto"/>
              <w:jc w:val="right"/>
              <w:rPr>
                <w:rFonts w:cs="Arial"/>
                <w:color w:val="000000"/>
                <w:sz w:val="16"/>
                <w:szCs w:val="16"/>
              </w:rPr>
            </w:pPr>
            <w:r w:rsidRPr="00DD6C03">
              <w:rPr>
                <w:rFonts w:cs="Arial"/>
                <w:color w:val="000000"/>
                <w:sz w:val="16"/>
                <w:szCs w:val="16"/>
              </w:rPr>
              <w:t>3 120</w:t>
            </w:r>
          </w:p>
        </w:tc>
      </w:tr>
      <w:tr w:rsidR="00DD6C03" w:rsidRPr="00DD6C03" w:rsidTr="00DD6C03">
        <w:trPr>
          <w:trHeight w:val="300"/>
        </w:trPr>
        <w:tc>
          <w:tcPr>
            <w:tcW w:w="735" w:type="dxa"/>
            <w:tcBorders>
              <w:top w:val="nil"/>
              <w:left w:val="nil"/>
              <w:bottom w:val="nil"/>
              <w:right w:val="single" w:sz="4" w:space="0" w:color="auto"/>
            </w:tcBorders>
            <w:shd w:val="clear" w:color="auto" w:fill="auto"/>
            <w:vAlign w:val="center"/>
            <w:hideMark/>
          </w:tcPr>
          <w:p w:rsidR="00DD6C03" w:rsidRPr="00DD6C03" w:rsidRDefault="00DD6C03" w:rsidP="00DD6C03">
            <w:pPr>
              <w:spacing w:after="0" w:line="240" w:lineRule="auto"/>
              <w:jc w:val="center"/>
              <w:rPr>
                <w:rFonts w:cs="Arial"/>
                <w:color w:val="000000"/>
                <w:sz w:val="16"/>
                <w:szCs w:val="16"/>
              </w:rPr>
            </w:pPr>
            <w:r w:rsidRPr="00DD6C03">
              <w:rPr>
                <w:rFonts w:cs="Arial"/>
                <w:color w:val="000000"/>
                <w:sz w:val="16"/>
                <w:szCs w:val="16"/>
              </w:rPr>
              <w:t>2018</w:t>
            </w:r>
          </w:p>
        </w:tc>
        <w:tc>
          <w:tcPr>
            <w:tcW w:w="737" w:type="dxa"/>
            <w:tcBorders>
              <w:top w:val="nil"/>
              <w:left w:val="nil"/>
              <w:bottom w:val="nil"/>
              <w:right w:val="nil"/>
            </w:tcBorders>
            <w:shd w:val="clear" w:color="auto" w:fill="auto"/>
            <w:vAlign w:val="center"/>
            <w:hideMark/>
          </w:tcPr>
          <w:p w:rsidR="00DD6C03" w:rsidRPr="00DD6C03" w:rsidRDefault="00DD6C03" w:rsidP="00DD6C03">
            <w:pPr>
              <w:spacing w:after="0" w:line="240" w:lineRule="auto"/>
              <w:jc w:val="right"/>
              <w:rPr>
                <w:rFonts w:cs="Arial"/>
                <w:color w:val="000000"/>
                <w:sz w:val="16"/>
                <w:szCs w:val="16"/>
              </w:rPr>
            </w:pPr>
            <w:r w:rsidRPr="00DD6C03">
              <w:rPr>
                <w:rFonts w:cs="Arial"/>
                <w:color w:val="000000"/>
                <w:sz w:val="16"/>
                <w:szCs w:val="16"/>
              </w:rPr>
              <w:t>77 158</w:t>
            </w:r>
          </w:p>
        </w:tc>
        <w:tc>
          <w:tcPr>
            <w:tcW w:w="736" w:type="dxa"/>
            <w:tcBorders>
              <w:top w:val="nil"/>
              <w:left w:val="nil"/>
              <w:bottom w:val="nil"/>
              <w:right w:val="nil"/>
            </w:tcBorders>
            <w:shd w:val="clear" w:color="auto" w:fill="auto"/>
            <w:vAlign w:val="center"/>
            <w:hideMark/>
          </w:tcPr>
          <w:p w:rsidR="00DD6C03" w:rsidRPr="00DD6C03" w:rsidRDefault="00DD6C03" w:rsidP="00DD6C03">
            <w:pPr>
              <w:spacing w:after="0" w:line="240" w:lineRule="auto"/>
              <w:jc w:val="right"/>
              <w:rPr>
                <w:rFonts w:cs="Arial"/>
                <w:color w:val="000000"/>
                <w:sz w:val="16"/>
                <w:szCs w:val="16"/>
              </w:rPr>
            </w:pPr>
            <w:r w:rsidRPr="00DD6C03">
              <w:rPr>
                <w:rFonts w:cs="Arial"/>
                <w:color w:val="000000"/>
                <w:sz w:val="16"/>
                <w:szCs w:val="16"/>
              </w:rPr>
              <w:t>35 223</w:t>
            </w:r>
          </w:p>
        </w:tc>
        <w:tc>
          <w:tcPr>
            <w:tcW w:w="736" w:type="dxa"/>
            <w:tcBorders>
              <w:top w:val="nil"/>
              <w:left w:val="nil"/>
              <w:bottom w:val="nil"/>
              <w:right w:val="nil"/>
            </w:tcBorders>
            <w:shd w:val="clear" w:color="auto" w:fill="auto"/>
            <w:vAlign w:val="center"/>
            <w:hideMark/>
          </w:tcPr>
          <w:p w:rsidR="00DD6C03" w:rsidRPr="00DD6C03" w:rsidRDefault="00DD6C03" w:rsidP="00DD6C03">
            <w:pPr>
              <w:spacing w:after="0" w:line="240" w:lineRule="auto"/>
              <w:jc w:val="right"/>
              <w:rPr>
                <w:rFonts w:cs="Arial"/>
                <w:color w:val="000000"/>
                <w:sz w:val="16"/>
                <w:szCs w:val="16"/>
              </w:rPr>
            </w:pPr>
            <w:r w:rsidRPr="00DD6C03">
              <w:rPr>
                <w:rFonts w:cs="Arial"/>
                <w:color w:val="000000"/>
                <w:sz w:val="16"/>
                <w:szCs w:val="16"/>
              </w:rPr>
              <w:t>41 934</w:t>
            </w:r>
          </w:p>
        </w:tc>
        <w:tc>
          <w:tcPr>
            <w:tcW w:w="736" w:type="dxa"/>
            <w:tcBorders>
              <w:top w:val="nil"/>
              <w:left w:val="single" w:sz="4" w:space="0" w:color="auto"/>
              <w:bottom w:val="nil"/>
              <w:right w:val="nil"/>
            </w:tcBorders>
            <w:shd w:val="clear" w:color="auto" w:fill="auto"/>
            <w:vAlign w:val="center"/>
            <w:hideMark/>
          </w:tcPr>
          <w:p w:rsidR="00DD6C03" w:rsidRPr="00DD6C03" w:rsidRDefault="00DD6C03" w:rsidP="00DD6C03">
            <w:pPr>
              <w:spacing w:after="0" w:line="240" w:lineRule="auto"/>
              <w:jc w:val="right"/>
              <w:rPr>
                <w:rFonts w:cs="Arial"/>
                <w:color w:val="000000"/>
                <w:sz w:val="16"/>
                <w:szCs w:val="16"/>
              </w:rPr>
            </w:pPr>
            <w:r w:rsidRPr="00DD6C03">
              <w:rPr>
                <w:rFonts w:cs="Arial"/>
                <w:color w:val="000000"/>
                <w:sz w:val="16"/>
                <w:szCs w:val="16"/>
              </w:rPr>
              <w:t>66 223</w:t>
            </w:r>
          </w:p>
        </w:tc>
        <w:tc>
          <w:tcPr>
            <w:tcW w:w="736" w:type="dxa"/>
            <w:tcBorders>
              <w:top w:val="nil"/>
              <w:left w:val="nil"/>
              <w:bottom w:val="nil"/>
              <w:right w:val="nil"/>
            </w:tcBorders>
            <w:shd w:val="clear" w:color="auto" w:fill="auto"/>
            <w:vAlign w:val="center"/>
            <w:hideMark/>
          </w:tcPr>
          <w:p w:rsidR="00DD6C03" w:rsidRPr="00DD6C03" w:rsidRDefault="00DD6C03" w:rsidP="00DD6C03">
            <w:pPr>
              <w:spacing w:after="0" w:line="240" w:lineRule="auto"/>
              <w:jc w:val="right"/>
              <w:rPr>
                <w:rFonts w:cs="Arial"/>
                <w:color w:val="000000"/>
                <w:sz w:val="16"/>
                <w:szCs w:val="16"/>
              </w:rPr>
            </w:pPr>
            <w:r w:rsidRPr="00DD6C03">
              <w:rPr>
                <w:rFonts w:cs="Arial"/>
                <w:color w:val="000000"/>
                <w:sz w:val="16"/>
                <w:szCs w:val="16"/>
              </w:rPr>
              <w:t>28 379</w:t>
            </w:r>
          </w:p>
        </w:tc>
        <w:tc>
          <w:tcPr>
            <w:tcW w:w="736" w:type="dxa"/>
            <w:tcBorders>
              <w:top w:val="nil"/>
              <w:left w:val="nil"/>
              <w:bottom w:val="nil"/>
              <w:right w:val="single" w:sz="4" w:space="0" w:color="auto"/>
            </w:tcBorders>
            <w:shd w:val="clear" w:color="auto" w:fill="auto"/>
            <w:vAlign w:val="center"/>
            <w:hideMark/>
          </w:tcPr>
          <w:p w:rsidR="00DD6C03" w:rsidRPr="00DD6C03" w:rsidRDefault="00DD6C03" w:rsidP="00DD6C03">
            <w:pPr>
              <w:spacing w:after="0" w:line="240" w:lineRule="auto"/>
              <w:jc w:val="right"/>
              <w:rPr>
                <w:rFonts w:cs="Arial"/>
                <w:color w:val="000000"/>
                <w:sz w:val="16"/>
                <w:szCs w:val="16"/>
              </w:rPr>
            </w:pPr>
            <w:r w:rsidRPr="00DD6C03">
              <w:rPr>
                <w:rFonts w:cs="Arial"/>
                <w:color w:val="000000"/>
                <w:sz w:val="16"/>
                <w:szCs w:val="16"/>
              </w:rPr>
              <w:t>37 845</w:t>
            </w:r>
          </w:p>
        </w:tc>
        <w:tc>
          <w:tcPr>
            <w:tcW w:w="754" w:type="dxa"/>
            <w:tcBorders>
              <w:top w:val="nil"/>
              <w:left w:val="nil"/>
              <w:bottom w:val="nil"/>
              <w:right w:val="nil"/>
            </w:tcBorders>
            <w:shd w:val="clear" w:color="auto" w:fill="auto"/>
            <w:vAlign w:val="center"/>
            <w:hideMark/>
          </w:tcPr>
          <w:p w:rsidR="00DD6C03" w:rsidRPr="00DD6C03" w:rsidRDefault="00DD6C03" w:rsidP="00DD6C03">
            <w:pPr>
              <w:spacing w:after="0" w:line="240" w:lineRule="auto"/>
              <w:jc w:val="right"/>
              <w:rPr>
                <w:rFonts w:cs="Arial"/>
                <w:color w:val="000000"/>
                <w:sz w:val="16"/>
                <w:szCs w:val="16"/>
              </w:rPr>
            </w:pPr>
            <w:r w:rsidRPr="00DD6C03">
              <w:rPr>
                <w:rFonts w:cs="Arial"/>
                <w:color w:val="000000"/>
                <w:sz w:val="16"/>
                <w:szCs w:val="16"/>
              </w:rPr>
              <w:t>2 571</w:t>
            </w:r>
          </w:p>
        </w:tc>
        <w:tc>
          <w:tcPr>
            <w:tcW w:w="737" w:type="dxa"/>
            <w:tcBorders>
              <w:top w:val="nil"/>
              <w:left w:val="nil"/>
              <w:bottom w:val="nil"/>
              <w:right w:val="nil"/>
            </w:tcBorders>
            <w:shd w:val="clear" w:color="auto" w:fill="auto"/>
            <w:vAlign w:val="center"/>
            <w:hideMark/>
          </w:tcPr>
          <w:p w:rsidR="00DD6C03" w:rsidRPr="00DD6C03" w:rsidRDefault="00DD6C03" w:rsidP="00DD6C03">
            <w:pPr>
              <w:spacing w:after="0" w:line="240" w:lineRule="auto"/>
              <w:jc w:val="right"/>
              <w:rPr>
                <w:rFonts w:cs="Arial"/>
                <w:color w:val="000000"/>
                <w:sz w:val="16"/>
                <w:szCs w:val="16"/>
              </w:rPr>
            </w:pPr>
            <w:r w:rsidRPr="00DD6C03">
              <w:rPr>
                <w:rFonts w:cs="Arial"/>
                <w:color w:val="000000"/>
                <w:sz w:val="16"/>
                <w:szCs w:val="16"/>
              </w:rPr>
              <w:t>1 741</w:t>
            </w:r>
          </w:p>
        </w:tc>
        <w:tc>
          <w:tcPr>
            <w:tcW w:w="737" w:type="dxa"/>
            <w:tcBorders>
              <w:top w:val="nil"/>
              <w:left w:val="nil"/>
              <w:bottom w:val="nil"/>
              <w:right w:val="single" w:sz="4" w:space="0" w:color="auto"/>
            </w:tcBorders>
            <w:shd w:val="clear" w:color="auto" w:fill="auto"/>
            <w:vAlign w:val="center"/>
            <w:hideMark/>
          </w:tcPr>
          <w:p w:rsidR="00DD6C03" w:rsidRPr="00DD6C03" w:rsidRDefault="00DD6C03" w:rsidP="00DD6C03">
            <w:pPr>
              <w:spacing w:after="0" w:line="240" w:lineRule="auto"/>
              <w:jc w:val="right"/>
              <w:rPr>
                <w:rFonts w:cs="Arial"/>
                <w:color w:val="000000"/>
                <w:sz w:val="16"/>
                <w:szCs w:val="16"/>
              </w:rPr>
            </w:pPr>
            <w:r w:rsidRPr="00DD6C03">
              <w:rPr>
                <w:rFonts w:cs="Arial"/>
                <w:color w:val="000000"/>
                <w:sz w:val="16"/>
                <w:szCs w:val="16"/>
              </w:rPr>
              <w:t>830</w:t>
            </w:r>
          </w:p>
        </w:tc>
        <w:tc>
          <w:tcPr>
            <w:tcW w:w="737" w:type="dxa"/>
            <w:tcBorders>
              <w:top w:val="nil"/>
              <w:left w:val="nil"/>
              <w:bottom w:val="nil"/>
              <w:right w:val="nil"/>
            </w:tcBorders>
            <w:shd w:val="clear" w:color="auto" w:fill="auto"/>
            <w:vAlign w:val="center"/>
            <w:hideMark/>
          </w:tcPr>
          <w:p w:rsidR="00DD6C03" w:rsidRPr="00DD6C03" w:rsidRDefault="00DD6C03" w:rsidP="00DD6C03">
            <w:pPr>
              <w:spacing w:after="0" w:line="240" w:lineRule="auto"/>
              <w:jc w:val="right"/>
              <w:rPr>
                <w:rFonts w:cs="Arial"/>
                <w:color w:val="000000"/>
                <w:sz w:val="16"/>
                <w:szCs w:val="16"/>
              </w:rPr>
            </w:pPr>
            <w:r w:rsidRPr="00DD6C03">
              <w:rPr>
                <w:rFonts w:cs="Arial"/>
                <w:color w:val="000000"/>
                <w:sz w:val="16"/>
                <w:szCs w:val="16"/>
              </w:rPr>
              <w:t>8 363</w:t>
            </w:r>
          </w:p>
        </w:tc>
        <w:tc>
          <w:tcPr>
            <w:tcW w:w="737" w:type="dxa"/>
            <w:tcBorders>
              <w:top w:val="nil"/>
              <w:left w:val="nil"/>
              <w:bottom w:val="nil"/>
              <w:right w:val="nil"/>
            </w:tcBorders>
            <w:shd w:val="clear" w:color="auto" w:fill="auto"/>
            <w:vAlign w:val="center"/>
            <w:hideMark/>
          </w:tcPr>
          <w:p w:rsidR="00DD6C03" w:rsidRPr="00DD6C03" w:rsidRDefault="00DD6C03" w:rsidP="00DD6C03">
            <w:pPr>
              <w:spacing w:after="0" w:line="240" w:lineRule="auto"/>
              <w:jc w:val="right"/>
              <w:rPr>
                <w:rFonts w:cs="Arial"/>
                <w:color w:val="000000"/>
                <w:sz w:val="16"/>
                <w:szCs w:val="16"/>
              </w:rPr>
            </w:pPr>
            <w:r w:rsidRPr="00DD6C03">
              <w:rPr>
                <w:rFonts w:cs="Arial"/>
                <w:color w:val="000000"/>
                <w:sz w:val="16"/>
                <w:szCs w:val="16"/>
              </w:rPr>
              <w:t>5 104</w:t>
            </w:r>
          </w:p>
        </w:tc>
        <w:tc>
          <w:tcPr>
            <w:tcW w:w="737" w:type="dxa"/>
            <w:tcBorders>
              <w:top w:val="nil"/>
              <w:left w:val="nil"/>
              <w:bottom w:val="nil"/>
              <w:right w:val="nil"/>
            </w:tcBorders>
            <w:shd w:val="clear" w:color="auto" w:fill="auto"/>
            <w:vAlign w:val="center"/>
            <w:hideMark/>
          </w:tcPr>
          <w:p w:rsidR="00DD6C03" w:rsidRPr="00DD6C03" w:rsidRDefault="00DD6C03" w:rsidP="00DD6C03">
            <w:pPr>
              <w:spacing w:after="0" w:line="240" w:lineRule="auto"/>
              <w:jc w:val="right"/>
              <w:rPr>
                <w:rFonts w:cs="Arial"/>
                <w:color w:val="000000"/>
                <w:sz w:val="16"/>
                <w:szCs w:val="16"/>
              </w:rPr>
            </w:pPr>
            <w:r w:rsidRPr="00DD6C03">
              <w:rPr>
                <w:rFonts w:cs="Arial"/>
                <w:color w:val="000000"/>
                <w:sz w:val="16"/>
                <w:szCs w:val="16"/>
              </w:rPr>
              <w:t>3 260</w:t>
            </w:r>
          </w:p>
        </w:tc>
      </w:tr>
      <w:tr w:rsidR="00DD6C03" w:rsidRPr="00DD6C03" w:rsidTr="00DD6C03">
        <w:trPr>
          <w:trHeight w:val="300"/>
        </w:trPr>
        <w:tc>
          <w:tcPr>
            <w:tcW w:w="735" w:type="dxa"/>
            <w:tcBorders>
              <w:top w:val="nil"/>
              <w:left w:val="nil"/>
              <w:bottom w:val="nil"/>
              <w:right w:val="single" w:sz="4" w:space="0" w:color="auto"/>
            </w:tcBorders>
            <w:shd w:val="clear" w:color="auto" w:fill="auto"/>
            <w:vAlign w:val="center"/>
            <w:hideMark/>
          </w:tcPr>
          <w:p w:rsidR="00DD6C03" w:rsidRPr="00DD6C03" w:rsidRDefault="00DD6C03" w:rsidP="00DD6C03">
            <w:pPr>
              <w:spacing w:after="0" w:line="240" w:lineRule="auto"/>
              <w:jc w:val="center"/>
              <w:rPr>
                <w:rFonts w:cs="Arial"/>
                <w:color w:val="000000"/>
                <w:sz w:val="16"/>
                <w:szCs w:val="16"/>
              </w:rPr>
            </w:pPr>
            <w:r w:rsidRPr="00DD6C03">
              <w:rPr>
                <w:rFonts w:cs="Arial"/>
                <w:color w:val="000000"/>
                <w:sz w:val="16"/>
                <w:szCs w:val="16"/>
              </w:rPr>
              <w:t>2019</w:t>
            </w:r>
          </w:p>
        </w:tc>
        <w:tc>
          <w:tcPr>
            <w:tcW w:w="737" w:type="dxa"/>
            <w:tcBorders>
              <w:top w:val="nil"/>
              <w:left w:val="nil"/>
              <w:bottom w:val="nil"/>
              <w:right w:val="nil"/>
            </w:tcBorders>
            <w:shd w:val="clear" w:color="auto" w:fill="auto"/>
            <w:vAlign w:val="center"/>
            <w:hideMark/>
          </w:tcPr>
          <w:p w:rsidR="00DD6C03" w:rsidRPr="00DD6C03" w:rsidRDefault="00DD6C03" w:rsidP="00DD6C03">
            <w:pPr>
              <w:spacing w:after="0" w:line="240" w:lineRule="auto"/>
              <w:jc w:val="right"/>
              <w:rPr>
                <w:rFonts w:cs="Arial"/>
                <w:color w:val="000000"/>
                <w:sz w:val="16"/>
                <w:szCs w:val="16"/>
              </w:rPr>
            </w:pPr>
            <w:r w:rsidRPr="00DD6C03">
              <w:rPr>
                <w:rFonts w:cs="Arial"/>
                <w:color w:val="000000"/>
                <w:sz w:val="16"/>
                <w:szCs w:val="16"/>
              </w:rPr>
              <w:t>81 205</w:t>
            </w:r>
          </w:p>
        </w:tc>
        <w:tc>
          <w:tcPr>
            <w:tcW w:w="736" w:type="dxa"/>
            <w:tcBorders>
              <w:top w:val="nil"/>
              <w:left w:val="nil"/>
              <w:bottom w:val="nil"/>
              <w:right w:val="nil"/>
            </w:tcBorders>
            <w:shd w:val="clear" w:color="auto" w:fill="auto"/>
            <w:vAlign w:val="center"/>
            <w:hideMark/>
          </w:tcPr>
          <w:p w:rsidR="00DD6C03" w:rsidRPr="00DD6C03" w:rsidRDefault="00DD6C03" w:rsidP="00DD6C03">
            <w:pPr>
              <w:spacing w:after="0" w:line="240" w:lineRule="auto"/>
              <w:jc w:val="right"/>
              <w:rPr>
                <w:rFonts w:cs="Arial"/>
                <w:color w:val="000000"/>
                <w:sz w:val="16"/>
                <w:szCs w:val="16"/>
              </w:rPr>
            </w:pPr>
            <w:r w:rsidRPr="00DD6C03">
              <w:rPr>
                <w:rFonts w:cs="Arial"/>
                <w:color w:val="000000"/>
                <w:sz w:val="16"/>
                <w:szCs w:val="16"/>
              </w:rPr>
              <w:t>37 043</w:t>
            </w:r>
          </w:p>
        </w:tc>
        <w:tc>
          <w:tcPr>
            <w:tcW w:w="736" w:type="dxa"/>
            <w:tcBorders>
              <w:top w:val="nil"/>
              <w:left w:val="nil"/>
              <w:bottom w:val="nil"/>
              <w:right w:val="nil"/>
            </w:tcBorders>
            <w:shd w:val="clear" w:color="auto" w:fill="auto"/>
            <w:vAlign w:val="center"/>
            <w:hideMark/>
          </w:tcPr>
          <w:p w:rsidR="00DD6C03" w:rsidRPr="00DD6C03" w:rsidRDefault="00DD6C03" w:rsidP="00DD6C03">
            <w:pPr>
              <w:spacing w:after="0" w:line="240" w:lineRule="auto"/>
              <w:jc w:val="right"/>
              <w:rPr>
                <w:rFonts w:cs="Arial"/>
                <w:color w:val="000000"/>
                <w:sz w:val="16"/>
                <w:szCs w:val="16"/>
              </w:rPr>
            </w:pPr>
            <w:r w:rsidRPr="00DD6C03">
              <w:rPr>
                <w:rFonts w:cs="Arial"/>
                <w:color w:val="000000"/>
                <w:sz w:val="16"/>
                <w:szCs w:val="16"/>
              </w:rPr>
              <w:t>44 162</w:t>
            </w:r>
          </w:p>
        </w:tc>
        <w:tc>
          <w:tcPr>
            <w:tcW w:w="736" w:type="dxa"/>
            <w:tcBorders>
              <w:top w:val="nil"/>
              <w:left w:val="single" w:sz="4" w:space="0" w:color="auto"/>
              <w:bottom w:val="nil"/>
              <w:right w:val="nil"/>
            </w:tcBorders>
            <w:shd w:val="clear" w:color="auto" w:fill="auto"/>
            <w:vAlign w:val="center"/>
            <w:hideMark/>
          </w:tcPr>
          <w:p w:rsidR="00DD6C03" w:rsidRPr="00DD6C03" w:rsidRDefault="00DD6C03" w:rsidP="00DD6C03">
            <w:pPr>
              <w:spacing w:after="0" w:line="240" w:lineRule="auto"/>
              <w:jc w:val="right"/>
              <w:rPr>
                <w:rFonts w:cs="Arial"/>
                <w:color w:val="000000"/>
                <w:sz w:val="16"/>
                <w:szCs w:val="16"/>
              </w:rPr>
            </w:pPr>
            <w:r w:rsidRPr="00DD6C03">
              <w:rPr>
                <w:rFonts w:cs="Arial"/>
                <w:color w:val="000000"/>
                <w:sz w:val="16"/>
                <w:szCs w:val="16"/>
              </w:rPr>
              <w:t>69 903</w:t>
            </w:r>
          </w:p>
        </w:tc>
        <w:tc>
          <w:tcPr>
            <w:tcW w:w="736" w:type="dxa"/>
            <w:tcBorders>
              <w:top w:val="nil"/>
              <w:left w:val="nil"/>
              <w:bottom w:val="nil"/>
              <w:right w:val="nil"/>
            </w:tcBorders>
            <w:shd w:val="clear" w:color="auto" w:fill="auto"/>
            <w:vAlign w:val="center"/>
            <w:hideMark/>
          </w:tcPr>
          <w:p w:rsidR="00DD6C03" w:rsidRPr="00DD6C03" w:rsidRDefault="00DD6C03" w:rsidP="00DD6C03">
            <w:pPr>
              <w:spacing w:after="0" w:line="240" w:lineRule="auto"/>
              <w:jc w:val="right"/>
              <w:rPr>
                <w:rFonts w:cs="Arial"/>
                <w:color w:val="000000"/>
                <w:sz w:val="16"/>
                <w:szCs w:val="16"/>
              </w:rPr>
            </w:pPr>
            <w:r w:rsidRPr="00DD6C03">
              <w:rPr>
                <w:rFonts w:cs="Arial"/>
                <w:color w:val="000000"/>
                <w:sz w:val="16"/>
                <w:szCs w:val="16"/>
              </w:rPr>
              <w:t>30 002</w:t>
            </w:r>
          </w:p>
        </w:tc>
        <w:tc>
          <w:tcPr>
            <w:tcW w:w="736" w:type="dxa"/>
            <w:tcBorders>
              <w:top w:val="nil"/>
              <w:left w:val="nil"/>
              <w:bottom w:val="nil"/>
              <w:right w:val="single" w:sz="4" w:space="0" w:color="auto"/>
            </w:tcBorders>
            <w:shd w:val="clear" w:color="auto" w:fill="auto"/>
            <w:vAlign w:val="center"/>
            <w:hideMark/>
          </w:tcPr>
          <w:p w:rsidR="00DD6C03" w:rsidRPr="00DD6C03" w:rsidRDefault="00DD6C03" w:rsidP="00DD6C03">
            <w:pPr>
              <w:spacing w:after="0" w:line="240" w:lineRule="auto"/>
              <w:jc w:val="right"/>
              <w:rPr>
                <w:rFonts w:cs="Arial"/>
                <w:color w:val="000000"/>
                <w:sz w:val="16"/>
                <w:szCs w:val="16"/>
              </w:rPr>
            </w:pPr>
            <w:r w:rsidRPr="00DD6C03">
              <w:rPr>
                <w:rFonts w:cs="Arial"/>
                <w:color w:val="000000"/>
                <w:sz w:val="16"/>
                <w:szCs w:val="16"/>
              </w:rPr>
              <w:t>39 900</w:t>
            </w:r>
          </w:p>
        </w:tc>
        <w:tc>
          <w:tcPr>
            <w:tcW w:w="754" w:type="dxa"/>
            <w:tcBorders>
              <w:top w:val="nil"/>
              <w:left w:val="nil"/>
              <w:bottom w:val="nil"/>
              <w:right w:val="nil"/>
            </w:tcBorders>
            <w:shd w:val="clear" w:color="auto" w:fill="auto"/>
            <w:vAlign w:val="center"/>
            <w:hideMark/>
          </w:tcPr>
          <w:p w:rsidR="00DD6C03" w:rsidRPr="00DD6C03" w:rsidRDefault="00DD6C03" w:rsidP="00DD6C03">
            <w:pPr>
              <w:spacing w:after="0" w:line="240" w:lineRule="auto"/>
              <w:jc w:val="right"/>
              <w:rPr>
                <w:rFonts w:cs="Arial"/>
                <w:color w:val="000000"/>
                <w:sz w:val="16"/>
                <w:szCs w:val="16"/>
              </w:rPr>
            </w:pPr>
            <w:r w:rsidRPr="00DD6C03">
              <w:rPr>
                <w:rFonts w:cs="Arial"/>
                <w:color w:val="000000"/>
                <w:sz w:val="16"/>
                <w:szCs w:val="16"/>
              </w:rPr>
              <w:t>2 533</w:t>
            </w:r>
          </w:p>
        </w:tc>
        <w:tc>
          <w:tcPr>
            <w:tcW w:w="737" w:type="dxa"/>
            <w:tcBorders>
              <w:top w:val="nil"/>
              <w:left w:val="nil"/>
              <w:bottom w:val="nil"/>
              <w:right w:val="nil"/>
            </w:tcBorders>
            <w:shd w:val="clear" w:color="auto" w:fill="auto"/>
            <w:vAlign w:val="center"/>
            <w:hideMark/>
          </w:tcPr>
          <w:p w:rsidR="00DD6C03" w:rsidRPr="00DD6C03" w:rsidRDefault="00DD6C03" w:rsidP="00DD6C03">
            <w:pPr>
              <w:spacing w:after="0" w:line="240" w:lineRule="auto"/>
              <w:jc w:val="right"/>
              <w:rPr>
                <w:rFonts w:cs="Arial"/>
                <w:color w:val="000000"/>
                <w:sz w:val="16"/>
                <w:szCs w:val="16"/>
              </w:rPr>
            </w:pPr>
            <w:r w:rsidRPr="00DD6C03">
              <w:rPr>
                <w:rFonts w:cs="Arial"/>
                <w:color w:val="000000"/>
                <w:sz w:val="16"/>
                <w:szCs w:val="16"/>
              </w:rPr>
              <w:t>1 709</w:t>
            </w:r>
          </w:p>
        </w:tc>
        <w:tc>
          <w:tcPr>
            <w:tcW w:w="737" w:type="dxa"/>
            <w:tcBorders>
              <w:top w:val="nil"/>
              <w:left w:val="nil"/>
              <w:bottom w:val="nil"/>
              <w:right w:val="single" w:sz="4" w:space="0" w:color="auto"/>
            </w:tcBorders>
            <w:shd w:val="clear" w:color="auto" w:fill="auto"/>
            <w:vAlign w:val="center"/>
            <w:hideMark/>
          </w:tcPr>
          <w:p w:rsidR="00DD6C03" w:rsidRPr="00DD6C03" w:rsidRDefault="00DD6C03" w:rsidP="00DD6C03">
            <w:pPr>
              <w:spacing w:after="0" w:line="240" w:lineRule="auto"/>
              <w:jc w:val="right"/>
              <w:rPr>
                <w:rFonts w:cs="Arial"/>
                <w:color w:val="000000"/>
                <w:sz w:val="16"/>
                <w:szCs w:val="16"/>
              </w:rPr>
            </w:pPr>
            <w:r w:rsidRPr="00DD6C03">
              <w:rPr>
                <w:rFonts w:cs="Arial"/>
                <w:color w:val="000000"/>
                <w:sz w:val="16"/>
                <w:szCs w:val="16"/>
              </w:rPr>
              <w:t>823</w:t>
            </w:r>
          </w:p>
        </w:tc>
        <w:tc>
          <w:tcPr>
            <w:tcW w:w="737" w:type="dxa"/>
            <w:tcBorders>
              <w:top w:val="nil"/>
              <w:left w:val="nil"/>
              <w:bottom w:val="nil"/>
              <w:right w:val="nil"/>
            </w:tcBorders>
            <w:shd w:val="clear" w:color="auto" w:fill="auto"/>
            <w:vAlign w:val="center"/>
            <w:hideMark/>
          </w:tcPr>
          <w:p w:rsidR="00DD6C03" w:rsidRPr="00DD6C03" w:rsidRDefault="00DD6C03" w:rsidP="00DD6C03">
            <w:pPr>
              <w:spacing w:after="0" w:line="240" w:lineRule="auto"/>
              <w:jc w:val="right"/>
              <w:rPr>
                <w:rFonts w:cs="Arial"/>
                <w:color w:val="000000"/>
                <w:sz w:val="16"/>
                <w:szCs w:val="16"/>
              </w:rPr>
            </w:pPr>
            <w:r w:rsidRPr="00DD6C03">
              <w:rPr>
                <w:rFonts w:cs="Arial"/>
                <w:color w:val="000000"/>
                <w:sz w:val="16"/>
                <w:szCs w:val="16"/>
              </w:rPr>
              <w:t>8 770</w:t>
            </w:r>
          </w:p>
        </w:tc>
        <w:tc>
          <w:tcPr>
            <w:tcW w:w="737" w:type="dxa"/>
            <w:tcBorders>
              <w:top w:val="nil"/>
              <w:left w:val="nil"/>
              <w:bottom w:val="nil"/>
              <w:right w:val="nil"/>
            </w:tcBorders>
            <w:shd w:val="clear" w:color="auto" w:fill="auto"/>
            <w:vAlign w:val="center"/>
            <w:hideMark/>
          </w:tcPr>
          <w:p w:rsidR="00DD6C03" w:rsidRPr="00DD6C03" w:rsidRDefault="00DD6C03" w:rsidP="00DD6C03">
            <w:pPr>
              <w:spacing w:after="0" w:line="240" w:lineRule="auto"/>
              <w:jc w:val="right"/>
              <w:rPr>
                <w:rFonts w:cs="Arial"/>
                <w:color w:val="000000"/>
                <w:sz w:val="16"/>
                <w:szCs w:val="16"/>
              </w:rPr>
            </w:pPr>
            <w:r w:rsidRPr="00DD6C03">
              <w:rPr>
                <w:rFonts w:cs="Arial"/>
                <w:color w:val="000000"/>
                <w:sz w:val="16"/>
                <w:szCs w:val="16"/>
              </w:rPr>
              <w:t>5 331</w:t>
            </w:r>
          </w:p>
        </w:tc>
        <w:tc>
          <w:tcPr>
            <w:tcW w:w="737" w:type="dxa"/>
            <w:tcBorders>
              <w:top w:val="nil"/>
              <w:left w:val="nil"/>
              <w:bottom w:val="nil"/>
              <w:right w:val="nil"/>
            </w:tcBorders>
            <w:shd w:val="clear" w:color="auto" w:fill="auto"/>
            <w:vAlign w:val="center"/>
            <w:hideMark/>
          </w:tcPr>
          <w:p w:rsidR="00DD6C03" w:rsidRPr="00DD6C03" w:rsidRDefault="00DD6C03" w:rsidP="00DD6C03">
            <w:pPr>
              <w:spacing w:after="0" w:line="240" w:lineRule="auto"/>
              <w:jc w:val="right"/>
              <w:rPr>
                <w:rFonts w:cs="Arial"/>
                <w:color w:val="000000"/>
                <w:sz w:val="16"/>
                <w:szCs w:val="16"/>
              </w:rPr>
            </w:pPr>
            <w:r w:rsidRPr="00DD6C03">
              <w:rPr>
                <w:rFonts w:cs="Arial"/>
                <w:color w:val="000000"/>
                <w:sz w:val="16"/>
                <w:szCs w:val="16"/>
              </w:rPr>
              <w:t>3 438</w:t>
            </w:r>
          </w:p>
        </w:tc>
      </w:tr>
      <w:tr w:rsidR="00DD6C03" w:rsidRPr="00DD6C03" w:rsidTr="00DD6C03">
        <w:trPr>
          <w:trHeight w:val="300"/>
        </w:trPr>
        <w:tc>
          <w:tcPr>
            <w:tcW w:w="735" w:type="dxa"/>
            <w:tcBorders>
              <w:top w:val="nil"/>
              <w:left w:val="nil"/>
              <w:bottom w:val="nil"/>
              <w:right w:val="single" w:sz="4" w:space="0" w:color="auto"/>
            </w:tcBorders>
            <w:shd w:val="clear" w:color="auto" w:fill="auto"/>
            <w:vAlign w:val="center"/>
            <w:hideMark/>
          </w:tcPr>
          <w:p w:rsidR="00DD6C03" w:rsidRPr="00DD6C03" w:rsidRDefault="00DD6C03" w:rsidP="00DD6C03">
            <w:pPr>
              <w:spacing w:after="0" w:line="240" w:lineRule="auto"/>
              <w:jc w:val="center"/>
              <w:rPr>
                <w:rFonts w:cs="Arial"/>
                <w:color w:val="000000"/>
                <w:sz w:val="16"/>
                <w:szCs w:val="16"/>
              </w:rPr>
            </w:pPr>
            <w:r w:rsidRPr="00DD6C03">
              <w:rPr>
                <w:rFonts w:cs="Arial"/>
                <w:color w:val="000000"/>
                <w:sz w:val="16"/>
                <w:szCs w:val="16"/>
              </w:rPr>
              <w:t>2020</w:t>
            </w:r>
          </w:p>
        </w:tc>
        <w:tc>
          <w:tcPr>
            <w:tcW w:w="737" w:type="dxa"/>
            <w:tcBorders>
              <w:top w:val="nil"/>
              <w:left w:val="nil"/>
              <w:bottom w:val="nil"/>
              <w:right w:val="nil"/>
            </w:tcBorders>
            <w:shd w:val="clear" w:color="auto" w:fill="auto"/>
            <w:vAlign w:val="center"/>
            <w:hideMark/>
          </w:tcPr>
          <w:p w:rsidR="00DD6C03" w:rsidRPr="00DD6C03" w:rsidRDefault="00DD6C03" w:rsidP="00DD6C03">
            <w:pPr>
              <w:spacing w:after="0" w:line="240" w:lineRule="auto"/>
              <w:jc w:val="right"/>
              <w:rPr>
                <w:rFonts w:cs="Arial"/>
                <w:color w:val="000000"/>
                <w:sz w:val="16"/>
                <w:szCs w:val="16"/>
              </w:rPr>
            </w:pPr>
            <w:r w:rsidRPr="00DD6C03">
              <w:rPr>
                <w:rFonts w:cs="Arial"/>
                <w:color w:val="000000"/>
                <w:sz w:val="16"/>
                <w:szCs w:val="16"/>
              </w:rPr>
              <w:t>94 246</w:t>
            </w:r>
          </w:p>
        </w:tc>
        <w:tc>
          <w:tcPr>
            <w:tcW w:w="736" w:type="dxa"/>
            <w:tcBorders>
              <w:top w:val="nil"/>
              <w:left w:val="nil"/>
              <w:bottom w:val="nil"/>
              <w:right w:val="nil"/>
            </w:tcBorders>
            <w:shd w:val="clear" w:color="auto" w:fill="auto"/>
            <w:vAlign w:val="center"/>
            <w:hideMark/>
          </w:tcPr>
          <w:p w:rsidR="00DD6C03" w:rsidRPr="00DD6C03" w:rsidRDefault="00DD6C03" w:rsidP="00DD6C03">
            <w:pPr>
              <w:spacing w:after="0" w:line="240" w:lineRule="auto"/>
              <w:jc w:val="right"/>
              <w:rPr>
                <w:rFonts w:cs="Arial"/>
                <w:color w:val="000000"/>
                <w:sz w:val="16"/>
                <w:szCs w:val="16"/>
              </w:rPr>
            </w:pPr>
            <w:r w:rsidRPr="00DD6C03">
              <w:rPr>
                <w:rFonts w:cs="Arial"/>
                <w:color w:val="000000"/>
                <w:sz w:val="16"/>
                <w:szCs w:val="16"/>
              </w:rPr>
              <w:t>43 214</w:t>
            </w:r>
          </w:p>
        </w:tc>
        <w:tc>
          <w:tcPr>
            <w:tcW w:w="736" w:type="dxa"/>
            <w:tcBorders>
              <w:top w:val="nil"/>
              <w:left w:val="nil"/>
              <w:bottom w:val="nil"/>
              <w:right w:val="nil"/>
            </w:tcBorders>
            <w:shd w:val="clear" w:color="auto" w:fill="auto"/>
            <w:vAlign w:val="center"/>
            <w:hideMark/>
          </w:tcPr>
          <w:p w:rsidR="00DD6C03" w:rsidRPr="00DD6C03" w:rsidRDefault="00DD6C03" w:rsidP="00DD6C03">
            <w:pPr>
              <w:spacing w:after="0" w:line="240" w:lineRule="auto"/>
              <w:jc w:val="right"/>
              <w:rPr>
                <w:rFonts w:cs="Arial"/>
                <w:color w:val="000000"/>
                <w:sz w:val="16"/>
                <w:szCs w:val="16"/>
              </w:rPr>
            </w:pPr>
            <w:r w:rsidRPr="00DD6C03">
              <w:rPr>
                <w:rFonts w:cs="Arial"/>
                <w:color w:val="000000"/>
                <w:sz w:val="16"/>
                <w:szCs w:val="16"/>
              </w:rPr>
              <w:t>51 032</w:t>
            </w:r>
          </w:p>
        </w:tc>
        <w:tc>
          <w:tcPr>
            <w:tcW w:w="736" w:type="dxa"/>
            <w:tcBorders>
              <w:top w:val="nil"/>
              <w:left w:val="single" w:sz="4" w:space="0" w:color="auto"/>
              <w:bottom w:val="nil"/>
              <w:right w:val="nil"/>
            </w:tcBorders>
            <w:shd w:val="clear" w:color="auto" w:fill="auto"/>
            <w:vAlign w:val="center"/>
            <w:hideMark/>
          </w:tcPr>
          <w:p w:rsidR="00DD6C03" w:rsidRPr="00DD6C03" w:rsidRDefault="00DD6C03" w:rsidP="00DD6C03">
            <w:pPr>
              <w:spacing w:after="0" w:line="240" w:lineRule="auto"/>
              <w:jc w:val="right"/>
              <w:rPr>
                <w:rFonts w:cs="Arial"/>
                <w:color w:val="000000"/>
                <w:sz w:val="16"/>
                <w:szCs w:val="16"/>
              </w:rPr>
            </w:pPr>
            <w:r w:rsidRPr="00DD6C03">
              <w:rPr>
                <w:rFonts w:cs="Arial"/>
                <w:color w:val="000000"/>
                <w:sz w:val="16"/>
                <w:szCs w:val="16"/>
              </w:rPr>
              <w:t>82 287</w:t>
            </w:r>
          </w:p>
        </w:tc>
        <w:tc>
          <w:tcPr>
            <w:tcW w:w="736" w:type="dxa"/>
            <w:tcBorders>
              <w:top w:val="nil"/>
              <w:left w:val="nil"/>
              <w:bottom w:val="nil"/>
              <w:right w:val="nil"/>
            </w:tcBorders>
            <w:shd w:val="clear" w:color="auto" w:fill="auto"/>
            <w:vAlign w:val="center"/>
            <w:hideMark/>
          </w:tcPr>
          <w:p w:rsidR="00DD6C03" w:rsidRPr="00DD6C03" w:rsidRDefault="00DD6C03" w:rsidP="00DD6C03">
            <w:pPr>
              <w:spacing w:after="0" w:line="240" w:lineRule="auto"/>
              <w:jc w:val="right"/>
              <w:rPr>
                <w:rFonts w:cs="Arial"/>
                <w:color w:val="000000"/>
                <w:sz w:val="16"/>
                <w:szCs w:val="16"/>
              </w:rPr>
            </w:pPr>
            <w:r w:rsidRPr="00DD6C03">
              <w:rPr>
                <w:rFonts w:cs="Arial"/>
                <w:color w:val="000000"/>
                <w:sz w:val="16"/>
                <w:szCs w:val="16"/>
              </w:rPr>
              <w:t>35 854</w:t>
            </w:r>
          </w:p>
        </w:tc>
        <w:tc>
          <w:tcPr>
            <w:tcW w:w="736" w:type="dxa"/>
            <w:tcBorders>
              <w:top w:val="nil"/>
              <w:left w:val="nil"/>
              <w:bottom w:val="nil"/>
              <w:right w:val="single" w:sz="4" w:space="0" w:color="auto"/>
            </w:tcBorders>
            <w:shd w:val="clear" w:color="auto" w:fill="auto"/>
            <w:vAlign w:val="center"/>
            <w:hideMark/>
          </w:tcPr>
          <w:p w:rsidR="00DD6C03" w:rsidRPr="00DD6C03" w:rsidRDefault="00DD6C03" w:rsidP="00DD6C03">
            <w:pPr>
              <w:spacing w:after="0" w:line="240" w:lineRule="auto"/>
              <w:jc w:val="right"/>
              <w:rPr>
                <w:rFonts w:cs="Arial"/>
                <w:color w:val="000000"/>
                <w:sz w:val="16"/>
                <w:szCs w:val="16"/>
              </w:rPr>
            </w:pPr>
            <w:r w:rsidRPr="00DD6C03">
              <w:rPr>
                <w:rFonts w:cs="Arial"/>
                <w:color w:val="000000"/>
                <w:sz w:val="16"/>
                <w:szCs w:val="16"/>
              </w:rPr>
              <w:t>46 434</w:t>
            </w:r>
          </w:p>
        </w:tc>
        <w:tc>
          <w:tcPr>
            <w:tcW w:w="754" w:type="dxa"/>
            <w:tcBorders>
              <w:top w:val="nil"/>
              <w:left w:val="nil"/>
              <w:bottom w:val="nil"/>
              <w:right w:val="nil"/>
            </w:tcBorders>
            <w:shd w:val="clear" w:color="auto" w:fill="auto"/>
            <w:vAlign w:val="center"/>
            <w:hideMark/>
          </w:tcPr>
          <w:p w:rsidR="00DD6C03" w:rsidRPr="00DD6C03" w:rsidRDefault="00DD6C03" w:rsidP="00DD6C03">
            <w:pPr>
              <w:spacing w:after="0" w:line="240" w:lineRule="auto"/>
              <w:jc w:val="right"/>
              <w:rPr>
                <w:rFonts w:cs="Arial"/>
                <w:color w:val="000000"/>
                <w:sz w:val="16"/>
                <w:szCs w:val="16"/>
              </w:rPr>
            </w:pPr>
            <w:r w:rsidRPr="00DD6C03">
              <w:rPr>
                <w:rFonts w:cs="Arial"/>
                <w:color w:val="000000"/>
                <w:sz w:val="16"/>
                <w:szCs w:val="16"/>
              </w:rPr>
              <w:t>2 585</w:t>
            </w:r>
          </w:p>
        </w:tc>
        <w:tc>
          <w:tcPr>
            <w:tcW w:w="737" w:type="dxa"/>
            <w:tcBorders>
              <w:top w:val="nil"/>
              <w:left w:val="nil"/>
              <w:bottom w:val="nil"/>
              <w:right w:val="nil"/>
            </w:tcBorders>
            <w:shd w:val="clear" w:color="auto" w:fill="auto"/>
            <w:vAlign w:val="center"/>
            <w:hideMark/>
          </w:tcPr>
          <w:p w:rsidR="00DD6C03" w:rsidRPr="00DD6C03" w:rsidRDefault="00DD6C03" w:rsidP="00DD6C03">
            <w:pPr>
              <w:spacing w:after="0" w:line="240" w:lineRule="auto"/>
              <w:jc w:val="right"/>
              <w:rPr>
                <w:rFonts w:cs="Arial"/>
                <w:color w:val="000000"/>
                <w:sz w:val="16"/>
                <w:szCs w:val="16"/>
              </w:rPr>
            </w:pPr>
            <w:r w:rsidRPr="00DD6C03">
              <w:rPr>
                <w:rFonts w:cs="Arial"/>
                <w:color w:val="000000"/>
                <w:sz w:val="16"/>
                <w:szCs w:val="16"/>
              </w:rPr>
              <w:t>1 766</w:t>
            </w:r>
          </w:p>
        </w:tc>
        <w:tc>
          <w:tcPr>
            <w:tcW w:w="737" w:type="dxa"/>
            <w:tcBorders>
              <w:top w:val="nil"/>
              <w:left w:val="nil"/>
              <w:bottom w:val="nil"/>
              <w:right w:val="single" w:sz="4" w:space="0" w:color="auto"/>
            </w:tcBorders>
            <w:shd w:val="clear" w:color="auto" w:fill="auto"/>
            <w:vAlign w:val="center"/>
            <w:hideMark/>
          </w:tcPr>
          <w:p w:rsidR="00DD6C03" w:rsidRPr="00DD6C03" w:rsidRDefault="00DD6C03" w:rsidP="00DD6C03">
            <w:pPr>
              <w:spacing w:after="0" w:line="240" w:lineRule="auto"/>
              <w:jc w:val="right"/>
              <w:rPr>
                <w:rFonts w:cs="Arial"/>
                <w:color w:val="000000"/>
                <w:sz w:val="16"/>
                <w:szCs w:val="16"/>
              </w:rPr>
            </w:pPr>
            <w:r w:rsidRPr="00DD6C03">
              <w:rPr>
                <w:rFonts w:cs="Arial"/>
                <w:color w:val="000000"/>
                <w:sz w:val="16"/>
                <w:szCs w:val="16"/>
              </w:rPr>
              <w:t>819</w:t>
            </w:r>
          </w:p>
        </w:tc>
        <w:tc>
          <w:tcPr>
            <w:tcW w:w="737" w:type="dxa"/>
            <w:tcBorders>
              <w:top w:val="nil"/>
              <w:left w:val="nil"/>
              <w:bottom w:val="nil"/>
              <w:right w:val="nil"/>
            </w:tcBorders>
            <w:shd w:val="clear" w:color="auto" w:fill="auto"/>
            <w:vAlign w:val="center"/>
            <w:hideMark/>
          </w:tcPr>
          <w:p w:rsidR="00DD6C03" w:rsidRPr="00DD6C03" w:rsidRDefault="00DD6C03" w:rsidP="00DD6C03">
            <w:pPr>
              <w:spacing w:after="0" w:line="240" w:lineRule="auto"/>
              <w:jc w:val="right"/>
              <w:rPr>
                <w:rFonts w:cs="Arial"/>
                <w:color w:val="000000"/>
                <w:sz w:val="16"/>
                <w:szCs w:val="16"/>
              </w:rPr>
            </w:pPr>
            <w:r w:rsidRPr="00DD6C03">
              <w:rPr>
                <w:rFonts w:cs="Arial"/>
                <w:color w:val="000000"/>
                <w:sz w:val="16"/>
                <w:szCs w:val="16"/>
              </w:rPr>
              <w:t>9 373</w:t>
            </w:r>
          </w:p>
        </w:tc>
        <w:tc>
          <w:tcPr>
            <w:tcW w:w="737" w:type="dxa"/>
            <w:tcBorders>
              <w:top w:val="nil"/>
              <w:left w:val="nil"/>
              <w:bottom w:val="nil"/>
              <w:right w:val="nil"/>
            </w:tcBorders>
            <w:shd w:val="clear" w:color="auto" w:fill="auto"/>
            <w:vAlign w:val="center"/>
            <w:hideMark/>
          </w:tcPr>
          <w:p w:rsidR="00DD6C03" w:rsidRPr="00DD6C03" w:rsidRDefault="00DD6C03" w:rsidP="00DD6C03">
            <w:pPr>
              <w:spacing w:after="0" w:line="240" w:lineRule="auto"/>
              <w:jc w:val="right"/>
              <w:rPr>
                <w:rFonts w:cs="Arial"/>
                <w:color w:val="000000"/>
                <w:sz w:val="16"/>
                <w:szCs w:val="16"/>
              </w:rPr>
            </w:pPr>
            <w:r w:rsidRPr="00DD6C03">
              <w:rPr>
                <w:rFonts w:cs="Arial"/>
                <w:color w:val="000000"/>
                <w:sz w:val="16"/>
                <w:szCs w:val="16"/>
              </w:rPr>
              <w:t>5 594</w:t>
            </w:r>
          </w:p>
        </w:tc>
        <w:tc>
          <w:tcPr>
            <w:tcW w:w="737" w:type="dxa"/>
            <w:tcBorders>
              <w:top w:val="nil"/>
              <w:left w:val="nil"/>
              <w:bottom w:val="nil"/>
              <w:right w:val="nil"/>
            </w:tcBorders>
            <w:shd w:val="clear" w:color="auto" w:fill="auto"/>
            <w:vAlign w:val="center"/>
            <w:hideMark/>
          </w:tcPr>
          <w:p w:rsidR="00DD6C03" w:rsidRPr="00DD6C03" w:rsidRDefault="00DD6C03" w:rsidP="00DD6C03">
            <w:pPr>
              <w:spacing w:after="0" w:line="240" w:lineRule="auto"/>
              <w:jc w:val="right"/>
              <w:rPr>
                <w:rFonts w:cs="Arial"/>
                <w:color w:val="000000"/>
                <w:sz w:val="16"/>
                <w:szCs w:val="16"/>
              </w:rPr>
            </w:pPr>
            <w:r w:rsidRPr="00DD6C03">
              <w:rPr>
                <w:rFonts w:cs="Arial"/>
                <w:color w:val="000000"/>
                <w:sz w:val="16"/>
                <w:szCs w:val="16"/>
              </w:rPr>
              <w:t>3 779</w:t>
            </w:r>
          </w:p>
        </w:tc>
      </w:tr>
      <w:tr w:rsidR="00DD6C03" w:rsidRPr="00DD6C03" w:rsidTr="00DD6C03">
        <w:trPr>
          <w:trHeight w:val="300"/>
        </w:trPr>
        <w:tc>
          <w:tcPr>
            <w:tcW w:w="735" w:type="dxa"/>
            <w:tcBorders>
              <w:top w:val="nil"/>
              <w:left w:val="nil"/>
              <w:bottom w:val="nil"/>
              <w:right w:val="single" w:sz="4" w:space="0" w:color="auto"/>
            </w:tcBorders>
            <w:shd w:val="clear" w:color="auto" w:fill="auto"/>
            <w:vAlign w:val="center"/>
          </w:tcPr>
          <w:p w:rsidR="00DD6C03" w:rsidRPr="00DD6C03" w:rsidRDefault="00DD6C03" w:rsidP="00DD6C03">
            <w:pPr>
              <w:spacing w:after="0" w:line="240" w:lineRule="auto"/>
              <w:jc w:val="center"/>
              <w:rPr>
                <w:rFonts w:cs="Arial"/>
                <w:color w:val="000000"/>
                <w:sz w:val="16"/>
                <w:szCs w:val="16"/>
              </w:rPr>
            </w:pPr>
            <w:r w:rsidRPr="00DD6C03">
              <w:rPr>
                <w:rFonts w:cs="Arial"/>
                <w:color w:val="000000"/>
                <w:sz w:val="16"/>
                <w:szCs w:val="16"/>
              </w:rPr>
              <w:t>2021</w:t>
            </w:r>
          </w:p>
        </w:tc>
        <w:tc>
          <w:tcPr>
            <w:tcW w:w="737" w:type="dxa"/>
            <w:tcBorders>
              <w:top w:val="nil"/>
              <w:left w:val="nil"/>
              <w:bottom w:val="nil"/>
              <w:right w:val="nil"/>
            </w:tcBorders>
            <w:shd w:val="clear" w:color="auto" w:fill="auto"/>
            <w:vAlign w:val="center"/>
          </w:tcPr>
          <w:p w:rsidR="00DD6C03" w:rsidRPr="00DD6C03" w:rsidRDefault="00DD6C03" w:rsidP="00DD6C03">
            <w:pPr>
              <w:spacing w:after="0" w:line="240" w:lineRule="auto"/>
              <w:jc w:val="right"/>
              <w:rPr>
                <w:rFonts w:cs="Arial"/>
                <w:color w:val="000000"/>
                <w:sz w:val="16"/>
                <w:szCs w:val="16"/>
              </w:rPr>
            </w:pPr>
            <w:r w:rsidRPr="00DD6C03">
              <w:rPr>
                <w:rFonts w:cs="Arial"/>
                <w:color w:val="000000"/>
                <w:sz w:val="16"/>
                <w:szCs w:val="16"/>
              </w:rPr>
              <w:t>94 950</w:t>
            </w:r>
          </w:p>
        </w:tc>
        <w:tc>
          <w:tcPr>
            <w:tcW w:w="736" w:type="dxa"/>
            <w:tcBorders>
              <w:top w:val="nil"/>
              <w:left w:val="nil"/>
              <w:bottom w:val="nil"/>
              <w:right w:val="nil"/>
            </w:tcBorders>
            <w:shd w:val="clear" w:color="auto" w:fill="auto"/>
            <w:vAlign w:val="center"/>
          </w:tcPr>
          <w:p w:rsidR="00DD6C03" w:rsidRPr="00DD6C03" w:rsidRDefault="00DD6C03" w:rsidP="00DD6C03">
            <w:pPr>
              <w:spacing w:after="0" w:line="240" w:lineRule="auto"/>
              <w:jc w:val="right"/>
              <w:rPr>
                <w:rFonts w:cs="Arial"/>
                <w:color w:val="000000"/>
                <w:sz w:val="16"/>
                <w:szCs w:val="16"/>
              </w:rPr>
            </w:pPr>
            <w:r w:rsidRPr="00DD6C03">
              <w:rPr>
                <w:rFonts w:cs="Arial"/>
                <w:color w:val="000000"/>
                <w:sz w:val="16"/>
                <w:szCs w:val="16"/>
              </w:rPr>
              <w:t>44 255</w:t>
            </w:r>
          </w:p>
        </w:tc>
        <w:tc>
          <w:tcPr>
            <w:tcW w:w="736" w:type="dxa"/>
            <w:tcBorders>
              <w:top w:val="nil"/>
              <w:left w:val="nil"/>
              <w:bottom w:val="nil"/>
              <w:right w:val="nil"/>
            </w:tcBorders>
            <w:shd w:val="clear" w:color="auto" w:fill="auto"/>
            <w:vAlign w:val="center"/>
          </w:tcPr>
          <w:p w:rsidR="00DD6C03" w:rsidRPr="00DD6C03" w:rsidRDefault="00DD6C03" w:rsidP="00DD6C03">
            <w:pPr>
              <w:spacing w:after="0" w:line="240" w:lineRule="auto"/>
              <w:jc w:val="right"/>
              <w:rPr>
                <w:rFonts w:cs="Arial"/>
                <w:color w:val="000000"/>
                <w:sz w:val="16"/>
                <w:szCs w:val="16"/>
              </w:rPr>
            </w:pPr>
            <w:r w:rsidRPr="00DD6C03">
              <w:rPr>
                <w:rFonts w:cs="Arial"/>
                <w:color w:val="000000"/>
                <w:sz w:val="16"/>
                <w:szCs w:val="16"/>
              </w:rPr>
              <w:t>50 695</w:t>
            </w:r>
          </w:p>
        </w:tc>
        <w:tc>
          <w:tcPr>
            <w:tcW w:w="736" w:type="dxa"/>
            <w:tcBorders>
              <w:top w:val="nil"/>
              <w:left w:val="single" w:sz="4" w:space="0" w:color="auto"/>
              <w:bottom w:val="nil"/>
              <w:right w:val="nil"/>
            </w:tcBorders>
            <w:shd w:val="clear" w:color="auto" w:fill="auto"/>
            <w:vAlign w:val="center"/>
          </w:tcPr>
          <w:p w:rsidR="00DD6C03" w:rsidRPr="00DD6C03" w:rsidRDefault="00DD6C03" w:rsidP="00DD6C03">
            <w:pPr>
              <w:spacing w:after="0" w:line="240" w:lineRule="auto"/>
              <w:jc w:val="right"/>
              <w:rPr>
                <w:rFonts w:cs="Arial"/>
                <w:color w:val="000000"/>
                <w:sz w:val="16"/>
                <w:szCs w:val="16"/>
              </w:rPr>
            </w:pPr>
            <w:r w:rsidRPr="00DD6C03">
              <w:rPr>
                <w:rFonts w:cs="Arial"/>
                <w:color w:val="000000"/>
                <w:sz w:val="16"/>
                <w:szCs w:val="16"/>
              </w:rPr>
              <w:t>83 363</w:t>
            </w:r>
          </w:p>
        </w:tc>
        <w:tc>
          <w:tcPr>
            <w:tcW w:w="736" w:type="dxa"/>
            <w:tcBorders>
              <w:top w:val="nil"/>
              <w:left w:val="nil"/>
              <w:bottom w:val="nil"/>
              <w:right w:val="nil"/>
            </w:tcBorders>
            <w:shd w:val="clear" w:color="auto" w:fill="auto"/>
            <w:vAlign w:val="center"/>
          </w:tcPr>
          <w:p w:rsidR="00DD6C03" w:rsidRPr="00DD6C03" w:rsidRDefault="00DD6C03" w:rsidP="00DD6C03">
            <w:pPr>
              <w:spacing w:after="0" w:line="240" w:lineRule="auto"/>
              <w:jc w:val="right"/>
              <w:rPr>
                <w:rFonts w:cs="Arial"/>
                <w:color w:val="000000"/>
                <w:sz w:val="16"/>
                <w:szCs w:val="16"/>
              </w:rPr>
            </w:pPr>
            <w:r w:rsidRPr="00DD6C03">
              <w:rPr>
                <w:rFonts w:cs="Arial"/>
                <w:color w:val="000000"/>
                <w:sz w:val="16"/>
                <w:szCs w:val="16"/>
              </w:rPr>
              <w:t>37 211</w:t>
            </w:r>
          </w:p>
        </w:tc>
        <w:tc>
          <w:tcPr>
            <w:tcW w:w="736" w:type="dxa"/>
            <w:tcBorders>
              <w:top w:val="nil"/>
              <w:left w:val="nil"/>
              <w:bottom w:val="nil"/>
              <w:right w:val="single" w:sz="4" w:space="0" w:color="auto"/>
            </w:tcBorders>
            <w:shd w:val="clear" w:color="auto" w:fill="auto"/>
            <w:vAlign w:val="center"/>
          </w:tcPr>
          <w:p w:rsidR="00DD6C03" w:rsidRPr="00DD6C03" w:rsidRDefault="00DD6C03" w:rsidP="00DD6C03">
            <w:pPr>
              <w:spacing w:after="0" w:line="240" w:lineRule="auto"/>
              <w:jc w:val="right"/>
              <w:rPr>
                <w:rFonts w:cs="Arial"/>
                <w:color w:val="000000"/>
                <w:sz w:val="16"/>
                <w:szCs w:val="16"/>
              </w:rPr>
            </w:pPr>
            <w:r w:rsidRPr="00DD6C03">
              <w:rPr>
                <w:rFonts w:cs="Arial"/>
                <w:color w:val="000000"/>
                <w:sz w:val="16"/>
                <w:szCs w:val="16"/>
              </w:rPr>
              <w:t>46 152</w:t>
            </w:r>
          </w:p>
        </w:tc>
        <w:tc>
          <w:tcPr>
            <w:tcW w:w="754" w:type="dxa"/>
            <w:tcBorders>
              <w:top w:val="nil"/>
              <w:left w:val="nil"/>
              <w:bottom w:val="nil"/>
              <w:right w:val="nil"/>
            </w:tcBorders>
            <w:shd w:val="clear" w:color="auto" w:fill="auto"/>
            <w:vAlign w:val="center"/>
          </w:tcPr>
          <w:p w:rsidR="00DD6C03" w:rsidRPr="00DD6C03" w:rsidRDefault="00DD6C03" w:rsidP="00DD6C03">
            <w:pPr>
              <w:spacing w:after="0" w:line="240" w:lineRule="auto"/>
              <w:jc w:val="right"/>
              <w:rPr>
                <w:rFonts w:cs="Arial"/>
                <w:color w:val="000000"/>
                <w:sz w:val="16"/>
                <w:szCs w:val="16"/>
              </w:rPr>
            </w:pPr>
            <w:r w:rsidRPr="00DD6C03">
              <w:rPr>
                <w:rFonts w:cs="Arial"/>
                <w:color w:val="000000"/>
                <w:sz w:val="16"/>
                <w:szCs w:val="16"/>
              </w:rPr>
              <w:t>2 607</w:t>
            </w:r>
          </w:p>
        </w:tc>
        <w:tc>
          <w:tcPr>
            <w:tcW w:w="737" w:type="dxa"/>
            <w:tcBorders>
              <w:top w:val="nil"/>
              <w:left w:val="nil"/>
              <w:bottom w:val="nil"/>
              <w:right w:val="nil"/>
            </w:tcBorders>
            <w:shd w:val="clear" w:color="auto" w:fill="auto"/>
            <w:vAlign w:val="center"/>
          </w:tcPr>
          <w:p w:rsidR="00DD6C03" w:rsidRPr="00DD6C03" w:rsidRDefault="00DD6C03" w:rsidP="00DD6C03">
            <w:pPr>
              <w:spacing w:after="0" w:line="240" w:lineRule="auto"/>
              <w:jc w:val="right"/>
              <w:rPr>
                <w:rFonts w:cs="Arial"/>
                <w:color w:val="000000"/>
                <w:sz w:val="16"/>
                <w:szCs w:val="16"/>
              </w:rPr>
            </w:pPr>
            <w:r w:rsidRPr="00DD6C03">
              <w:rPr>
                <w:rFonts w:cs="Arial"/>
                <w:color w:val="000000"/>
                <w:sz w:val="16"/>
                <w:szCs w:val="16"/>
              </w:rPr>
              <w:t>1 791</w:t>
            </w:r>
          </w:p>
        </w:tc>
        <w:tc>
          <w:tcPr>
            <w:tcW w:w="737" w:type="dxa"/>
            <w:tcBorders>
              <w:top w:val="nil"/>
              <w:left w:val="nil"/>
              <w:bottom w:val="nil"/>
              <w:right w:val="single" w:sz="4" w:space="0" w:color="auto"/>
            </w:tcBorders>
            <w:shd w:val="clear" w:color="auto" w:fill="auto"/>
            <w:vAlign w:val="center"/>
          </w:tcPr>
          <w:p w:rsidR="00DD6C03" w:rsidRPr="00DD6C03" w:rsidRDefault="00DD6C03" w:rsidP="00DD6C03">
            <w:pPr>
              <w:spacing w:after="0" w:line="240" w:lineRule="auto"/>
              <w:jc w:val="right"/>
              <w:rPr>
                <w:rFonts w:cs="Arial"/>
                <w:color w:val="000000"/>
                <w:sz w:val="16"/>
                <w:szCs w:val="16"/>
              </w:rPr>
            </w:pPr>
            <w:r w:rsidRPr="00DD6C03">
              <w:rPr>
                <w:rFonts w:cs="Arial"/>
                <w:color w:val="000000"/>
                <w:sz w:val="16"/>
                <w:szCs w:val="16"/>
              </w:rPr>
              <w:t>816</w:t>
            </w:r>
          </w:p>
        </w:tc>
        <w:tc>
          <w:tcPr>
            <w:tcW w:w="737" w:type="dxa"/>
            <w:tcBorders>
              <w:top w:val="nil"/>
              <w:left w:val="nil"/>
              <w:bottom w:val="nil"/>
              <w:right w:val="nil"/>
            </w:tcBorders>
            <w:shd w:val="clear" w:color="auto" w:fill="auto"/>
            <w:vAlign w:val="center"/>
          </w:tcPr>
          <w:p w:rsidR="00DD6C03" w:rsidRPr="00DD6C03" w:rsidRDefault="00DD6C03" w:rsidP="00DD6C03">
            <w:pPr>
              <w:spacing w:after="0" w:line="240" w:lineRule="auto"/>
              <w:jc w:val="right"/>
              <w:rPr>
                <w:rFonts w:cs="Arial"/>
                <w:color w:val="000000"/>
                <w:sz w:val="16"/>
                <w:szCs w:val="16"/>
              </w:rPr>
            </w:pPr>
            <w:r w:rsidRPr="00DD6C03">
              <w:rPr>
                <w:rFonts w:cs="Arial"/>
                <w:color w:val="000000"/>
                <w:sz w:val="16"/>
                <w:szCs w:val="16"/>
              </w:rPr>
              <w:t>8 979</w:t>
            </w:r>
          </w:p>
        </w:tc>
        <w:tc>
          <w:tcPr>
            <w:tcW w:w="737" w:type="dxa"/>
            <w:tcBorders>
              <w:top w:val="nil"/>
              <w:left w:val="nil"/>
              <w:bottom w:val="nil"/>
              <w:right w:val="nil"/>
            </w:tcBorders>
            <w:shd w:val="clear" w:color="auto" w:fill="auto"/>
            <w:vAlign w:val="center"/>
          </w:tcPr>
          <w:p w:rsidR="00DD6C03" w:rsidRPr="00DD6C03" w:rsidRDefault="00DD6C03" w:rsidP="00DD6C03">
            <w:pPr>
              <w:spacing w:after="0" w:line="240" w:lineRule="auto"/>
              <w:jc w:val="right"/>
              <w:rPr>
                <w:rFonts w:cs="Arial"/>
                <w:color w:val="000000"/>
                <w:sz w:val="16"/>
                <w:szCs w:val="16"/>
              </w:rPr>
            </w:pPr>
            <w:r w:rsidRPr="00DD6C03">
              <w:rPr>
                <w:rFonts w:cs="Arial"/>
                <w:color w:val="000000"/>
                <w:sz w:val="16"/>
                <w:szCs w:val="16"/>
              </w:rPr>
              <w:t>5 253</w:t>
            </w:r>
          </w:p>
        </w:tc>
        <w:tc>
          <w:tcPr>
            <w:tcW w:w="737" w:type="dxa"/>
            <w:tcBorders>
              <w:top w:val="nil"/>
              <w:left w:val="nil"/>
              <w:bottom w:val="nil"/>
              <w:right w:val="nil"/>
            </w:tcBorders>
            <w:shd w:val="clear" w:color="auto" w:fill="auto"/>
            <w:vAlign w:val="center"/>
          </w:tcPr>
          <w:p w:rsidR="00DD6C03" w:rsidRPr="00DD6C03" w:rsidRDefault="00DD6C03" w:rsidP="00DD6C03">
            <w:pPr>
              <w:spacing w:after="0" w:line="240" w:lineRule="auto"/>
              <w:jc w:val="right"/>
              <w:rPr>
                <w:rFonts w:cs="Arial"/>
                <w:color w:val="000000"/>
                <w:sz w:val="16"/>
                <w:szCs w:val="16"/>
              </w:rPr>
            </w:pPr>
            <w:r w:rsidRPr="00DD6C03">
              <w:rPr>
                <w:rFonts w:cs="Arial"/>
                <w:color w:val="000000"/>
                <w:sz w:val="16"/>
                <w:szCs w:val="16"/>
              </w:rPr>
              <w:t>3 726</w:t>
            </w:r>
          </w:p>
        </w:tc>
      </w:tr>
      <w:tr w:rsidR="00DD6C03" w:rsidRPr="00DD6C03" w:rsidTr="00DD6C03">
        <w:trPr>
          <w:trHeight w:val="300"/>
        </w:trPr>
        <w:tc>
          <w:tcPr>
            <w:tcW w:w="735" w:type="dxa"/>
            <w:tcBorders>
              <w:top w:val="nil"/>
              <w:left w:val="nil"/>
              <w:bottom w:val="nil"/>
              <w:right w:val="single" w:sz="4" w:space="0" w:color="auto"/>
            </w:tcBorders>
            <w:shd w:val="clear" w:color="auto" w:fill="auto"/>
            <w:vAlign w:val="center"/>
          </w:tcPr>
          <w:p w:rsidR="00DD6C03" w:rsidRPr="00DD6C03" w:rsidRDefault="00DD6C03" w:rsidP="00DD6C03">
            <w:pPr>
              <w:spacing w:after="0" w:line="240" w:lineRule="auto"/>
              <w:jc w:val="center"/>
              <w:rPr>
                <w:rFonts w:cs="Arial"/>
                <w:color w:val="000000"/>
                <w:sz w:val="16"/>
                <w:szCs w:val="16"/>
              </w:rPr>
            </w:pPr>
            <w:r w:rsidRPr="00DD6C03">
              <w:rPr>
                <w:rFonts w:cs="Arial"/>
                <w:color w:val="000000"/>
                <w:sz w:val="16"/>
                <w:szCs w:val="16"/>
              </w:rPr>
              <w:t>2022*</w:t>
            </w:r>
          </w:p>
        </w:tc>
        <w:tc>
          <w:tcPr>
            <w:tcW w:w="737" w:type="dxa"/>
            <w:tcBorders>
              <w:top w:val="nil"/>
              <w:left w:val="nil"/>
              <w:bottom w:val="nil"/>
              <w:right w:val="nil"/>
            </w:tcBorders>
            <w:shd w:val="clear" w:color="auto" w:fill="auto"/>
            <w:vAlign w:val="center"/>
          </w:tcPr>
          <w:p w:rsidR="00DD6C03" w:rsidRPr="00DD6C03" w:rsidRDefault="00DD6C03" w:rsidP="00DD6C03">
            <w:pPr>
              <w:spacing w:after="0" w:line="240" w:lineRule="auto"/>
              <w:jc w:val="right"/>
              <w:rPr>
                <w:rFonts w:cs="Arial"/>
                <w:color w:val="000000"/>
                <w:sz w:val="16"/>
                <w:szCs w:val="16"/>
              </w:rPr>
            </w:pPr>
            <w:r w:rsidRPr="00DD6C03">
              <w:rPr>
                <w:rFonts w:cs="Arial"/>
                <w:color w:val="000000"/>
                <w:sz w:val="16"/>
                <w:szCs w:val="16"/>
              </w:rPr>
              <w:t>91 064</w:t>
            </w:r>
          </w:p>
        </w:tc>
        <w:tc>
          <w:tcPr>
            <w:tcW w:w="736" w:type="dxa"/>
            <w:tcBorders>
              <w:top w:val="nil"/>
              <w:left w:val="nil"/>
              <w:bottom w:val="nil"/>
              <w:right w:val="nil"/>
            </w:tcBorders>
            <w:shd w:val="clear" w:color="auto" w:fill="auto"/>
            <w:vAlign w:val="center"/>
          </w:tcPr>
          <w:p w:rsidR="00DD6C03" w:rsidRPr="00DD6C03" w:rsidRDefault="00DD6C03" w:rsidP="00DD6C03">
            <w:pPr>
              <w:spacing w:after="0" w:line="240" w:lineRule="auto"/>
              <w:jc w:val="right"/>
              <w:rPr>
                <w:rFonts w:cs="Arial"/>
                <w:color w:val="000000"/>
                <w:sz w:val="16"/>
                <w:szCs w:val="16"/>
              </w:rPr>
            </w:pPr>
            <w:r w:rsidRPr="00DD6C03">
              <w:rPr>
                <w:rFonts w:cs="Arial"/>
                <w:color w:val="000000"/>
                <w:sz w:val="16"/>
                <w:szCs w:val="16"/>
              </w:rPr>
              <w:t>41 382</w:t>
            </w:r>
          </w:p>
        </w:tc>
        <w:tc>
          <w:tcPr>
            <w:tcW w:w="736" w:type="dxa"/>
            <w:tcBorders>
              <w:top w:val="nil"/>
              <w:left w:val="nil"/>
              <w:bottom w:val="nil"/>
              <w:right w:val="nil"/>
            </w:tcBorders>
            <w:shd w:val="clear" w:color="auto" w:fill="auto"/>
            <w:vAlign w:val="center"/>
          </w:tcPr>
          <w:p w:rsidR="00DD6C03" w:rsidRPr="00DD6C03" w:rsidRDefault="00DD6C03" w:rsidP="00DD6C03">
            <w:pPr>
              <w:spacing w:after="0" w:line="240" w:lineRule="auto"/>
              <w:jc w:val="right"/>
              <w:rPr>
                <w:rFonts w:cs="Arial"/>
                <w:color w:val="000000"/>
                <w:sz w:val="16"/>
                <w:szCs w:val="16"/>
              </w:rPr>
            </w:pPr>
            <w:r w:rsidRPr="00DD6C03">
              <w:rPr>
                <w:rFonts w:cs="Arial"/>
                <w:color w:val="000000"/>
                <w:sz w:val="16"/>
                <w:szCs w:val="16"/>
              </w:rPr>
              <w:t>49 681</w:t>
            </w:r>
          </w:p>
        </w:tc>
        <w:tc>
          <w:tcPr>
            <w:tcW w:w="736" w:type="dxa"/>
            <w:tcBorders>
              <w:top w:val="nil"/>
              <w:left w:val="single" w:sz="4" w:space="0" w:color="auto"/>
              <w:bottom w:val="nil"/>
              <w:right w:val="nil"/>
            </w:tcBorders>
            <w:shd w:val="clear" w:color="auto" w:fill="auto"/>
            <w:vAlign w:val="center"/>
          </w:tcPr>
          <w:p w:rsidR="00DD6C03" w:rsidRPr="00DD6C03" w:rsidRDefault="00DD6C03" w:rsidP="00DD6C03">
            <w:pPr>
              <w:spacing w:after="0" w:line="240" w:lineRule="auto"/>
              <w:jc w:val="right"/>
              <w:rPr>
                <w:rFonts w:cs="Arial"/>
                <w:color w:val="000000"/>
                <w:sz w:val="16"/>
                <w:szCs w:val="16"/>
              </w:rPr>
            </w:pPr>
            <w:r w:rsidRPr="00DD6C03">
              <w:rPr>
                <w:rFonts w:cs="Arial"/>
                <w:color w:val="000000"/>
                <w:sz w:val="16"/>
                <w:szCs w:val="16"/>
              </w:rPr>
              <w:t>79 190</w:t>
            </w:r>
          </w:p>
        </w:tc>
        <w:tc>
          <w:tcPr>
            <w:tcW w:w="736" w:type="dxa"/>
            <w:tcBorders>
              <w:top w:val="nil"/>
              <w:left w:val="nil"/>
              <w:bottom w:val="nil"/>
              <w:right w:val="nil"/>
            </w:tcBorders>
            <w:shd w:val="clear" w:color="auto" w:fill="auto"/>
            <w:vAlign w:val="center"/>
          </w:tcPr>
          <w:p w:rsidR="00DD6C03" w:rsidRPr="00DD6C03" w:rsidRDefault="00DD6C03" w:rsidP="00DD6C03">
            <w:pPr>
              <w:spacing w:after="0" w:line="240" w:lineRule="auto"/>
              <w:jc w:val="right"/>
              <w:rPr>
                <w:rFonts w:cs="Arial"/>
                <w:color w:val="000000"/>
                <w:sz w:val="16"/>
                <w:szCs w:val="16"/>
              </w:rPr>
            </w:pPr>
            <w:r w:rsidRPr="00DD6C03">
              <w:rPr>
                <w:rFonts w:cs="Arial"/>
                <w:color w:val="000000"/>
                <w:sz w:val="16"/>
                <w:szCs w:val="16"/>
              </w:rPr>
              <w:t>34 214</w:t>
            </w:r>
          </w:p>
        </w:tc>
        <w:tc>
          <w:tcPr>
            <w:tcW w:w="736" w:type="dxa"/>
            <w:tcBorders>
              <w:top w:val="nil"/>
              <w:left w:val="nil"/>
              <w:bottom w:val="nil"/>
              <w:right w:val="single" w:sz="4" w:space="0" w:color="auto"/>
            </w:tcBorders>
            <w:shd w:val="clear" w:color="auto" w:fill="auto"/>
            <w:vAlign w:val="center"/>
          </w:tcPr>
          <w:p w:rsidR="00DD6C03" w:rsidRPr="00DD6C03" w:rsidRDefault="00DD6C03" w:rsidP="00DD6C03">
            <w:pPr>
              <w:spacing w:after="0" w:line="240" w:lineRule="auto"/>
              <w:jc w:val="right"/>
              <w:rPr>
                <w:rFonts w:cs="Arial"/>
                <w:color w:val="000000"/>
                <w:sz w:val="16"/>
                <w:szCs w:val="16"/>
              </w:rPr>
            </w:pPr>
            <w:r w:rsidRPr="00DD6C03">
              <w:rPr>
                <w:rFonts w:cs="Arial"/>
                <w:color w:val="000000"/>
                <w:sz w:val="16"/>
                <w:szCs w:val="16"/>
              </w:rPr>
              <w:t>44 976</w:t>
            </w:r>
          </w:p>
        </w:tc>
        <w:tc>
          <w:tcPr>
            <w:tcW w:w="754" w:type="dxa"/>
            <w:tcBorders>
              <w:top w:val="nil"/>
              <w:left w:val="nil"/>
              <w:bottom w:val="nil"/>
              <w:right w:val="nil"/>
            </w:tcBorders>
            <w:shd w:val="clear" w:color="auto" w:fill="auto"/>
            <w:vAlign w:val="center"/>
          </w:tcPr>
          <w:p w:rsidR="00DD6C03" w:rsidRPr="00DD6C03" w:rsidRDefault="00DD6C03" w:rsidP="00DD6C03">
            <w:pPr>
              <w:spacing w:after="0" w:line="240" w:lineRule="auto"/>
              <w:jc w:val="right"/>
              <w:rPr>
                <w:rFonts w:cs="Arial"/>
                <w:color w:val="000000"/>
                <w:sz w:val="16"/>
                <w:szCs w:val="16"/>
              </w:rPr>
            </w:pPr>
            <w:r w:rsidRPr="00DD6C03">
              <w:rPr>
                <w:rFonts w:cs="Arial"/>
                <w:color w:val="000000"/>
                <w:sz w:val="16"/>
                <w:szCs w:val="16"/>
              </w:rPr>
              <w:t>2 514</w:t>
            </w:r>
          </w:p>
        </w:tc>
        <w:tc>
          <w:tcPr>
            <w:tcW w:w="737" w:type="dxa"/>
            <w:tcBorders>
              <w:top w:val="nil"/>
              <w:left w:val="nil"/>
              <w:bottom w:val="nil"/>
              <w:right w:val="nil"/>
            </w:tcBorders>
            <w:shd w:val="clear" w:color="auto" w:fill="auto"/>
            <w:vAlign w:val="center"/>
          </w:tcPr>
          <w:p w:rsidR="00DD6C03" w:rsidRPr="00DD6C03" w:rsidRDefault="00DD6C03" w:rsidP="00DD6C03">
            <w:pPr>
              <w:spacing w:after="0" w:line="240" w:lineRule="auto"/>
              <w:jc w:val="right"/>
              <w:rPr>
                <w:rFonts w:cs="Arial"/>
                <w:color w:val="000000"/>
                <w:sz w:val="16"/>
                <w:szCs w:val="16"/>
              </w:rPr>
            </w:pPr>
            <w:r w:rsidRPr="00DD6C03">
              <w:rPr>
                <w:rFonts w:cs="Arial"/>
                <w:color w:val="000000"/>
                <w:sz w:val="16"/>
                <w:szCs w:val="16"/>
              </w:rPr>
              <w:t>1 692</w:t>
            </w:r>
          </w:p>
        </w:tc>
        <w:tc>
          <w:tcPr>
            <w:tcW w:w="737" w:type="dxa"/>
            <w:tcBorders>
              <w:top w:val="nil"/>
              <w:left w:val="nil"/>
              <w:bottom w:val="nil"/>
              <w:right w:val="single" w:sz="4" w:space="0" w:color="auto"/>
            </w:tcBorders>
            <w:shd w:val="clear" w:color="auto" w:fill="auto"/>
            <w:vAlign w:val="center"/>
          </w:tcPr>
          <w:p w:rsidR="00DD6C03" w:rsidRPr="00DD6C03" w:rsidRDefault="00DD6C03" w:rsidP="00DD6C03">
            <w:pPr>
              <w:spacing w:after="0" w:line="240" w:lineRule="auto"/>
              <w:jc w:val="right"/>
              <w:rPr>
                <w:rFonts w:cs="Arial"/>
                <w:color w:val="000000"/>
                <w:sz w:val="16"/>
                <w:szCs w:val="16"/>
              </w:rPr>
            </w:pPr>
            <w:r w:rsidRPr="00DD6C03">
              <w:rPr>
                <w:rFonts w:cs="Arial"/>
                <w:color w:val="000000"/>
                <w:sz w:val="16"/>
                <w:szCs w:val="16"/>
              </w:rPr>
              <w:t>822</w:t>
            </w:r>
          </w:p>
        </w:tc>
        <w:tc>
          <w:tcPr>
            <w:tcW w:w="737" w:type="dxa"/>
            <w:tcBorders>
              <w:top w:val="nil"/>
              <w:left w:val="nil"/>
              <w:bottom w:val="nil"/>
              <w:right w:val="nil"/>
            </w:tcBorders>
            <w:shd w:val="clear" w:color="auto" w:fill="auto"/>
            <w:vAlign w:val="center"/>
          </w:tcPr>
          <w:p w:rsidR="00DD6C03" w:rsidRPr="00DD6C03" w:rsidRDefault="00DD6C03" w:rsidP="00DD6C03">
            <w:pPr>
              <w:spacing w:after="0" w:line="240" w:lineRule="auto"/>
              <w:jc w:val="right"/>
              <w:rPr>
                <w:rFonts w:cs="Arial"/>
                <w:color w:val="000000"/>
                <w:sz w:val="16"/>
                <w:szCs w:val="16"/>
              </w:rPr>
            </w:pPr>
            <w:r w:rsidRPr="00DD6C03">
              <w:rPr>
                <w:rFonts w:cs="Arial"/>
                <w:color w:val="000000"/>
                <w:sz w:val="16"/>
                <w:szCs w:val="16"/>
              </w:rPr>
              <w:t>9 360</w:t>
            </w:r>
          </w:p>
        </w:tc>
        <w:tc>
          <w:tcPr>
            <w:tcW w:w="737" w:type="dxa"/>
            <w:tcBorders>
              <w:top w:val="nil"/>
              <w:left w:val="nil"/>
              <w:bottom w:val="nil"/>
              <w:right w:val="nil"/>
            </w:tcBorders>
            <w:shd w:val="clear" w:color="auto" w:fill="auto"/>
            <w:vAlign w:val="center"/>
          </w:tcPr>
          <w:p w:rsidR="00DD6C03" w:rsidRPr="00DD6C03" w:rsidRDefault="00DD6C03" w:rsidP="00DD6C03">
            <w:pPr>
              <w:spacing w:after="0" w:line="240" w:lineRule="auto"/>
              <w:jc w:val="right"/>
              <w:rPr>
                <w:rFonts w:cs="Arial"/>
                <w:color w:val="000000"/>
                <w:sz w:val="16"/>
                <w:szCs w:val="16"/>
              </w:rPr>
            </w:pPr>
            <w:r w:rsidRPr="00DD6C03">
              <w:rPr>
                <w:rFonts w:cs="Arial"/>
                <w:color w:val="000000"/>
                <w:sz w:val="16"/>
                <w:szCs w:val="16"/>
              </w:rPr>
              <w:t>5 476</w:t>
            </w:r>
          </w:p>
        </w:tc>
        <w:tc>
          <w:tcPr>
            <w:tcW w:w="737" w:type="dxa"/>
            <w:tcBorders>
              <w:top w:val="nil"/>
              <w:left w:val="nil"/>
              <w:bottom w:val="nil"/>
              <w:right w:val="nil"/>
            </w:tcBorders>
            <w:shd w:val="clear" w:color="auto" w:fill="auto"/>
            <w:vAlign w:val="center"/>
          </w:tcPr>
          <w:p w:rsidR="00DD6C03" w:rsidRPr="00DD6C03" w:rsidRDefault="00DD6C03" w:rsidP="00DD6C03">
            <w:pPr>
              <w:spacing w:after="0" w:line="240" w:lineRule="auto"/>
              <w:jc w:val="right"/>
              <w:rPr>
                <w:rFonts w:cs="Arial"/>
                <w:color w:val="000000"/>
                <w:sz w:val="16"/>
                <w:szCs w:val="16"/>
              </w:rPr>
            </w:pPr>
            <w:r w:rsidRPr="00DD6C03">
              <w:rPr>
                <w:rFonts w:cs="Arial"/>
                <w:color w:val="000000"/>
                <w:sz w:val="16"/>
                <w:szCs w:val="16"/>
              </w:rPr>
              <w:t>3 884</w:t>
            </w:r>
          </w:p>
        </w:tc>
      </w:tr>
      <w:tr w:rsidR="00DD6C03" w:rsidRPr="00DD6C03" w:rsidTr="00DD6C03">
        <w:trPr>
          <w:trHeight w:val="300"/>
        </w:trPr>
        <w:tc>
          <w:tcPr>
            <w:tcW w:w="735" w:type="dxa"/>
            <w:tcBorders>
              <w:top w:val="nil"/>
              <w:left w:val="nil"/>
              <w:bottom w:val="nil"/>
              <w:right w:val="single" w:sz="4" w:space="0" w:color="auto"/>
            </w:tcBorders>
            <w:shd w:val="clear" w:color="auto" w:fill="auto"/>
            <w:vAlign w:val="center"/>
          </w:tcPr>
          <w:p w:rsidR="00DD6C03" w:rsidRPr="00DD6C03" w:rsidRDefault="00DD6C03" w:rsidP="00DD6C03">
            <w:pPr>
              <w:spacing w:after="0" w:line="240" w:lineRule="auto"/>
              <w:jc w:val="center"/>
              <w:rPr>
                <w:rFonts w:cs="Arial"/>
                <w:color w:val="000000"/>
                <w:sz w:val="16"/>
                <w:szCs w:val="16"/>
              </w:rPr>
            </w:pPr>
            <w:r w:rsidRPr="00DD6C03">
              <w:rPr>
                <w:rFonts w:cs="Arial"/>
                <w:color w:val="000000"/>
                <w:sz w:val="16"/>
                <w:szCs w:val="16"/>
              </w:rPr>
              <w:t>2023</w:t>
            </w:r>
          </w:p>
        </w:tc>
        <w:tc>
          <w:tcPr>
            <w:tcW w:w="737" w:type="dxa"/>
            <w:tcBorders>
              <w:top w:val="nil"/>
              <w:left w:val="nil"/>
              <w:bottom w:val="nil"/>
              <w:right w:val="nil"/>
            </w:tcBorders>
            <w:shd w:val="clear" w:color="auto" w:fill="auto"/>
            <w:vAlign w:val="center"/>
          </w:tcPr>
          <w:p w:rsidR="00DD6C03" w:rsidRPr="00DD6C03" w:rsidRDefault="00DD6C03" w:rsidP="00DD6C03">
            <w:pPr>
              <w:spacing w:after="0" w:line="240" w:lineRule="auto"/>
              <w:jc w:val="right"/>
              <w:rPr>
                <w:rFonts w:cs="Arial"/>
                <w:color w:val="000000"/>
                <w:sz w:val="16"/>
                <w:szCs w:val="16"/>
              </w:rPr>
            </w:pPr>
            <w:r w:rsidRPr="00DD6C03">
              <w:rPr>
                <w:rFonts w:cs="Arial"/>
                <w:color w:val="000000"/>
                <w:sz w:val="16"/>
                <w:szCs w:val="16"/>
              </w:rPr>
              <w:t>79 564</w:t>
            </w:r>
          </w:p>
        </w:tc>
        <w:tc>
          <w:tcPr>
            <w:tcW w:w="736" w:type="dxa"/>
            <w:tcBorders>
              <w:top w:val="nil"/>
              <w:left w:val="nil"/>
              <w:bottom w:val="nil"/>
              <w:right w:val="nil"/>
            </w:tcBorders>
            <w:shd w:val="clear" w:color="auto" w:fill="auto"/>
            <w:vAlign w:val="center"/>
          </w:tcPr>
          <w:p w:rsidR="00DD6C03" w:rsidRPr="00DD6C03" w:rsidRDefault="00DD6C03" w:rsidP="00DD6C03">
            <w:pPr>
              <w:spacing w:after="0" w:line="240" w:lineRule="auto"/>
              <w:jc w:val="right"/>
              <w:rPr>
                <w:rFonts w:cs="Arial"/>
                <w:color w:val="000000"/>
                <w:sz w:val="16"/>
                <w:szCs w:val="16"/>
              </w:rPr>
            </w:pPr>
            <w:r w:rsidRPr="00DD6C03">
              <w:rPr>
                <w:rFonts w:cs="Arial"/>
                <w:color w:val="000000"/>
                <w:sz w:val="16"/>
                <w:szCs w:val="16"/>
              </w:rPr>
              <w:t>36 126</w:t>
            </w:r>
          </w:p>
        </w:tc>
        <w:tc>
          <w:tcPr>
            <w:tcW w:w="736" w:type="dxa"/>
            <w:tcBorders>
              <w:top w:val="nil"/>
              <w:left w:val="nil"/>
              <w:bottom w:val="nil"/>
              <w:right w:val="nil"/>
            </w:tcBorders>
            <w:shd w:val="clear" w:color="auto" w:fill="auto"/>
            <w:vAlign w:val="center"/>
          </w:tcPr>
          <w:p w:rsidR="00DD6C03" w:rsidRPr="00DD6C03" w:rsidRDefault="00DD6C03" w:rsidP="00DD6C03">
            <w:pPr>
              <w:spacing w:after="0" w:line="240" w:lineRule="auto"/>
              <w:jc w:val="right"/>
              <w:rPr>
                <w:rFonts w:cs="Arial"/>
                <w:color w:val="000000"/>
                <w:sz w:val="16"/>
                <w:szCs w:val="16"/>
              </w:rPr>
            </w:pPr>
            <w:r w:rsidRPr="00DD6C03">
              <w:rPr>
                <w:rFonts w:cs="Arial"/>
                <w:color w:val="000000"/>
                <w:sz w:val="16"/>
                <w:szCs w:val="16"/>
              </w:rPr>
              <w:t>43 439</w:t>
            </w:r>
          </w:p>
        </w:tc>
        <w:tc>
          <w:tcPr>
            <w:tcW w:w="736" w:type="dxa"/>
            <w:tcBorders>
              <w:top w:val="nil"/>
              <w:left w:val="single" w:sz="4" w:space="0" w:color="auto"/>
              <w:bottom w:val="nil"/>
              <w:right w:val="nil"/>
            </w:tcBorders>
            <w:shd w:val="clear" w:color="auto" w:fill="auto"/>
            <w:vAlign w:val="center"/>
          </w:tcPr>
          <w:p w:rsidR="00DD6C03" w:rsidRPr="00DD6C03" w:rsidRDefault="00DD6C03" w:rsidP="00DD6C03">
            <w:pPr>
              <w:spacing w:after="0" w:line="240" w:lineRule="auto"/>
              <w:jc w:val="right"/>
              <w:rPr>
                <w:rFonts w:cs="Arial"/>
                <w:color w:val="000000"/>
                <w:sz w:val="16"/>
                <w:szCs w:val="16"/>
              </w:rPr>
            </w:pPr>
            <w:r w:rsidRPr="00DD6C03">
              <w:rPr>
                <w:rFonts w:cs="Arial"/>
                <w:color w:val="000000"/>
                <w:sz w:val="16"/>
                <w:szCs w:val="16"/>
              </w:rPr>
              <w:t>67 864</w:t>
            </w:r>
          </w:p>
        </w:tc>
        <w:tc>
          <w:tcPr>
            <w:tcW w:w="736" w:type="dxa"/>
            <w:tcBorders>
              <w:top w:val="nil"/>
              <w:left w:val="nil"/>
              <w:bottom w:val="nil"/>
              <w:right w:val="nil"/>
            </w:tcBorders>
            <w:shd w:val="clear" w:color="auto" w:fill="auto"/>
            <w:vAlign w:val="center"/>
          </w:tcPr>
          <w:p w:rsidR="00DD6C03" w:rsidRPr="00DD6C03" w:rsidRDefault="00DD6C03" w:rsidP="00DD6C03">
            <w:pPr>
              <w:spacing w:after="0" w:line="240" w:lineRule="auto"/>
              <w:jc w:val="right"/>
              <w:rPr>
                <w:rFonts w:cs="Arial"/>
                <w:color w:val="000000"/>
                <w:sz w:val="16"/>
                <w:szCs w:val="16"/>
              </w:rPr>
            </w:pPr>
            <w:r w:rsidRPr="00DD6C03">
              <w:rPr>
                <w:rFonts w:cs="Arial"/>
                <w:color w:val="000000"/>
                <w:sz w:val="16"/>
                <w:szCs w:val="16"/>
              </w:rPr>
              <w:t>29 177</w:t>
            </w:r>
          </w:p>
        </w:tc>
        <w:tc>
          <w:tcPr>
            <w:tcW w:w="736" w:type="dxa"/>
            <w:tcBorders>
              <w:top w:val="nil"/>
              <w:left w:val="nil"/>
              <w:bottom w:val="nil"/>
              <w:right w:val="single" w:sz="4" w:space="0" w:color="auto"/>
            </w:tcBorders>
            <w:shd w:val="clear" w:color="auto" w:fill="auto"/>
            <w:vAlign w:val="center"/>
          </w:tcPr>
          <w:p w:rsidR="00DD6C03" w:rsidRPr="00DD6C03" w:rsidRDefault="00DD6C03" w:rsidP="00DD6C03">
            <w:pPr>
              <w:spacing w:after="0" w:line="240" w:lineRule="auto"/>
              <w:jc w:val="right"/>
              <w:rPr>
                <w:rFonts w:cs="Arial"/>
                <w:color w:val="000000"/>
                <w:sz w:val="16"/>
                <w:szCs w:val="16"/>
              </w:rPr>
            </w:pPr>
            <w:r w:rsidRPr="00DD6C03">
              <w:rPr>
                <w:rFonts w:cs="Arial"/>
                <w:color w:val="000000"/>
                <w:sz w:val="16"/>
                <w:szCs w:val="16"/>
              </w:rPr>
              <w:t>38 687</w:t>
            </w:r>
          </w:p>
        </w:tc>
        <w:tc>
          <w:tcPr>
            <w:tcW w:w="754" w:type="dxa"/>
            <w:tcBorders>
              <w:top w:val="nil"/>
              <w:left w:val="nil"/>
              <w:bottom w:val="nil"/>
              <w:right w:val="nil"/>
            </w:tcBorders>
            <w:shd w:val="clear" w:color="auto" w:fill="auto"/>
            <w:vAlign w:val="center"/>
          </w:tcPr>
          <w:p w:rsidR="00DD6C03" w:rsidRPr="00DD6C03" w:rsidRDefault="00DD6C03" w:rsidP="00DD6C03">
            <w:pPr>
              <w:spacing w:after="0" w:line="240" w:lineRule="auto"/>
              <w:jc w:val="right"/>
              <w:rPr>
                <w:rFonts w:cs="Arial"/>
                <w:color w:val="000000"/>
                <w:sz w:val="16"/>
                <w:szCs w:val="16"/>
              </w:rPr>
            </w:pPr>
            <w:r w:rsidRPr="00DD6C03">
              <w:rPr>
                <w:rFonts w:cs="Arial"/>
                <w:color w:val="000000"/>
                <w:sz w:val="16"/>
                <w:szCs w:val="16"/>
              </w:rPr>
              <w:t>2 441</w:t>
            </w:r>
          </w:p>
        </w:tc>
        <w:tc>
          <w:tcPr>
            <w:tcW w:w="737" w:type="dxa"/>
            <w:tcBorders>
              <w:top w:val="nil"/>
              <w:left w:val="nil"/>
              <w:bottom w:val="nil"/>
              <w:right w:val="nil"/>
            </w:tcBorders>
            <w:shd w:val="clear" w:color="auto" w:fill="auto"/>
            <w:vAlign w:val="center"/>
          </w:tcPr>
          <w:p w:rsidR="00DD6C03" w:rsidRPr="00DD6C03" w:rsidRDefault="00DD6C03" w:rsidP="00DD6C03">
            <w:pPr>
              <w:spacing w:after="0" w:line="240" w:lineRule="auto"/>
              <w:jc w:val="right"/>
              <w:rPr>
                <w:rFonts w:cs="Arial"/>
                <w:color w:val="000000"/>
                <w:sz w:val="16"/>
                <w:szCs w:val="16"/>
              </w:rPr>
            </w:pPr>
            <w:r w:rsidRPr="00DD6C03">
              <w:rPr>
                <w:rFonts w:cs="Arial"/>
                <w:color w:val="000000"/>
                <w:sz w:val="16"/>
                <w:szCs w:val="16"/>
              </w:rPr>
              <w:t>1 603</w:t>
            </w:r>
          </w:p>
        </w:tc>
        <w:tc>
          <w:tcPr>
            <w:tcW w:w="737" w:type="dxa"/>
            <w:tcBorders>
              <w:top w:val="nil"/>
              <w:left w:val="nil"/>
              <w:bottom w:val="nil"/>
              <w:right w:val="single" w:sz="4" w:space="0" w:color="auto"/>
            </w:tcBorders>
            <w:shd w:val="clear" w:color="auto" w:fill="auto"/>
            <w:vAlign w:val="center"/>
          </w:tcPr>
          <w:p w:rsidR="00DD6C03" w:rsidRPr="00DD6C03" w:rsidRDefault="00DD6C03" w:rsidP="00DD6C03">
            <w:pPr>
              <w:spacing w:after="0" w:line="240" w:lineRule="auto"/>
              <w:jc w:val="right"/>
              <w:rPr>
                <w:rFonts w:cs="Arial"/>
                <w:color w:val="000000"/>
                <w:sz w:val="16"/>
                <w:szCs w:val="16"/>
              </w:rPr>
            </w:pPr>
            <w:r w:rsidRPr="00DD6C03">
              <w:rPr>
                <w:rFonts w:cs="Arial"/>
                <w:color w:val="000000"/>
                <w:sz w:val="16"/>
                <w:szCs w:val="16"/>
              </w:rPr>
              <w:t>838</w:t>
            </w:r>
          </w:p>
        </w:tc>
        <w:tc>
          <w:tcPr>
            <w:tcW w:w="737" w:type="dxa"/>
            <w:tcBorders>
              <w:top w:val="nil"/>
              <w:left w:val="nil"/>
              <w:bottom w:val="nil"/>
              <w:right w:val="nil"/>
            </w:tcBorders>
            <w:shd w:val="clear" w:color="auto" w:fill="auto"/>
            <w:vAlign w:val="center"/>
          </w:tcPr>
          <w:p w:rsidR="00DD6C03" w:rsidRPr="00DD6C03" w:rsidRDefault="00DD6C03" w:rsidP="00DD6C03">
            <w:pPr>
              <w:spacing w:after="0" w:line="240" w:lineRule="auto"/>
              <w:jc w:val="right"/>
              <w:rPr>
                <w:rFonts w:cs="Arial"/>
                <w:color w:val="000000"/>
                <w:sz w:val="16"/>
                <w:szCs w:val="16"/>
              </w:rPr>
            </w:pPr>
            <w:r w:rsidRPr="00DD6C03">
              <w:rPr>
                <w:rFonts w:cs="Arial"/>
                <w:color w:val="000000"/>
                <w:sz w:val="16"/>
                <w:szCs w:val="16"/>
              </w:rPr>
              <w:t>9 259</w:t>
            </w:r>
          </w:p>
        </w:tc>
        <w:tc>
          <w:tcPr>
            <w:tcW w:w="737" w:type="dxa"/>
            <w:tcBorders>
              <w:top w:val="nil"/>
              <w:left w:val="nil"/>
              <w:bottom w:val="nil"/>
              <w:right w:val="nil"/>
            </w:tcBorders>
            <w:shd w:val="clear" w:color="auto" w:fill="auto"/>
            <w:vAlign w:val="center"/>
          </w:tcPr>
          <w:p w:rsidR="00DD6C03" w:rsidRPr="00DD6C03" w:rsidRDefault="00DD6C03" w:rsidP="00DD6C03">
            <w:pPr>
              <w:spacing w:after="0" w:line="240" w:lineRule="auto"/>
              <w:jc w:val="right"/>
              <w:rPr>
                <w:rFonts w:cs="Arial"/>
                <w:color w:val="000000"/>
                <w:sz w:val="16"/>
                <w:szCs w:val="16"/>
              </w:rPr>
            </w:pPr>
            <w:r w:rsidRPr="00DD6C03">
              <w:rPr>
                <w:rFonts w:cs="Arial"/>
                <w:color w:val="000000"/>
                <w:sz w:val="16"/>
                <w:szCs w:val="16"/>
              </w:rPr>
              <w:t>5 346</w:t>
            </w:r>
          </w:p>
        </w:tc>
        <w:tc>
          <w:tcPr>
            <w:tcW w:w="737" w:type="dxa"/>
            <w:tcBorders>
              <w:top w:val="nil"/>
              <w:left w:val="nil"/>
              <w:bottom w:val="nil"/>
              <w:right w:val="nil"/>
            </w:tcBorders>
            <w:shd w:val="clear" w:color="auto" w:fill="auto"/>
            <w:vAlign w:val="center"/>
          </w:tcPr>
          <w:p w:rsidR="00DD6C03" w:rsidRPr="00DD6C03" w:rsidRDefault="00DD6C03" w:rsidP="00DD6C03">
            <w:pPr>
              <w:spacing w:after="0" w:line="240" w:lineRule="auto"/>
              <w:jc w:val="right"/>
              <w:rPr>
                <w:rFonts w:cs="Arial"/>
                <w:color w:val="000000"/>
                <w:sz w:val="16"/>
                <w:szCs w:val="16"/>
              </w:rPr>
            </w:pPr>
            <w:r w:rsidRPr="00DD6C03">
              <w:rPr>
                <w:rFonts w:cs="Arial"/>
                <w:color w:val="000000"/>
                <w:sz w:val="16"/>
                <w:szCs w:val="16"/>
              </w:rPr>
              <w:t>3 913</w:t>
            </w:r>
          </w:p>
        </w:tc>
      </w:tr>
      <w:tr w:rsidR="00DD6C03" w:rsidRPr="00DD6C03" w:rsidTr="00DD6C03">
        <w:trPr>
          <w:trHeight w:val="300"/>
        </w:trPr>
        <w:tc>
          <w:tcPr>
            <w:tcW w:w="735" w:type="dxa"/>
            <w:tcBorders>
              <w:top w:val="nil"/>
              <w:left w:val="nil"/>
              <w:bottom w:val="nil"/>
              <w:right w:val="single" w:sz="4" w:space="0" w:color="auto"/>
            </w:tcBorders>
            <w:shd w:val="clear" w:color="auto" w:fill="auto"/>
            <w:vAlign w:val="center"/>
          </w:tcPr>
          <w:p w:rsidR="00DD6C03" w:rsidRPr="009E73C9" w:rsidRDefault="00DD6C03" w:rsidP="00DD6C03">
            <w:pPr>
              <w:spacing w:after="0" w:line="240" w:lineRule="auto"/>
              <w:jc w:val="center"/>
              <w:rPr>
                <w:rFonts w:cs="Arial"/>
                <w:color w:val="000000"/>
                <w:sz w:val="16"/>
                <w:szCs w:val="16"/>
              </w:rPr>
            </w:pPr>
            <w:r w:rsidRPr="009E73C9">
              <w:rPr>
                <w:rFonts w:cs="Arial"/>
                <w:color w:val="000000"/>
                <w:sz w:val="16"/>
                <w:szCs w:val="16"/>
              </w:rPr>
              <w:t>2024</w:t>
            </w:r>
          </w:p>
        </w:tc>
        <w:tc>
          <w:tcPr>
            <w:tcW w:w="737" w:type="dxa"/>
            <w:tcBorders>
              <w:top w:val="nil"/>
              <w:left w:val="nil"/>
              <w:bottom w:val="nil"/>
              <w:right w:val="nil"/>
            </w:tcBorders>
            <w:shd w:val="clear" w:color="auto" w:fill="auto"/>
            <w:vAlign w:val="center"/>
          </w:tcPr>
          <w:p w:rsidR="00DD6C03" w:rsidRPr="009E73C9" w:rsidRDefault="009E73C9" w:rsidP="00DD6C03">
            <w:pPr>
              <w:spacing w:after="0" w:line="240" w:lineRule="auto"/>
              <w:jc w:val="right"/>
              <w:rPr>
                <w:rFonts w:cs="Arial"/>
                <w:color w:val="000000"/>
                <w:sz w:val="16"/>
                <w:szCs w:val="16"/>
              </w:rPr>
            </w:pPr>
            <w:r w:rsidRPr="009E73C9">
              <w:rPr>
                <w:rFonts w:cs="Arial"/>
                <w:color w:val="000000"/>
                <w:sz w:val="16"/>
                <w:szCs w:val="16"/>
              </w:rPr>
              <w:t>78 482</w:t>
            </w:r>
          </w:p>
        </w:tc>
        <w:tc>
          <w:tcPr>
            <w:tcW w:w="736" w:type="dxa"/>
            <w:tcBorders>
              <w:top w:val="nil"/>
              <w:left w:val="nil"/>
              <w:bottom w:val="nil"/>
              <w:right w:val="nil"/>
            </w:tcBorders>
            <w:shd w:val="clear" w:color="auto" w:fill="auto"/>
            <w:vAlign w:val="center"/>
          </w:tcPr>
          <w:p w:rsidR="00DD6C03" w:rsidRPr="009E73C9" w:rsidRDefault="009E73C9" w:rsidP="00DD6C03">
            <w:pPr>
              <w:spacing w:after="0" w:line="240" w:lineRule="auto"/>
              <w:jc w:val="right"/>
              <w:rPr>
                <w:rFonts w:cs="Arial"/>
                <w:color w:val="000000"/>
                <w:sz w:val="16"/>
                <w:szCs w:val="16"/>
              </w:rPr>
            </w:pPr>
            <w:r w:rsidRPr="009E73C9">
              <w:rPr>
                <w:rFonts w:cs="Arial"/>
                <w:color w:val="000000"/>
                <w:sz w:val="16"/>
                <w:szCs w:val="16"/>
              </w:rPr>
              <w:t>35 706</w:t>
            </w:r>
          </w:p>
        </w:tc>
        <w:tc>
          <w:tcPr>
            <w:tcW w:w="736" w:type="dxa"/>
            <w:tcBorders>
              <w:top w:val="nil"/>
              <w:left w:val="nil"/>
              <w:bottom w:val="nil"/>
              <w:right w:val="nil"/>
            </w:tcBorders>
            <w:shd w:val="clear" w:color="auto" w:fill="auto"/>
            <w:vAlign w:val="center"/>
          </w:tcPr>
          <w:p w:rsidR="00DD6C03" w:rsidRPr="009E73C9" w:rsidRDefault="009E73C9" w:rsidP="00DD6C03">
            <w:pPr>
              <w:spacing w:after="0" w:line="240" w:lineRule="auto"/>
              <w:jc w:val="right"/>
              <w:rPr>
                <w:rFonts w:cs="Arial"/>
                <w:color w:val="000000"/>
                <w:sz w:val="16"/>
                <w:szCs w:val="16"/>
              </w:rPr>
            </w:pPr>
            <w:r w:rsidRPr="009E73C9">
              <w:rPr>
                <w:rFonts w:cs="Arial"/>
                <w:color w:val="000000"/>
                <w:sz w:val="16"/>
                <w:szCs w:val="16"/>
              </w:rPr>
              <w:t>42 776</w:t>
            </w:r>
          </w:p>
        </w:tc>
        <w:tc>
          <w:tcPr>
            <w:tcW w:w="736" w:type="dxa"/>
            <w:tcBorders>
              <w:top w:val="nil"/>
              <w:left w:val="single" w:sz="4" w:space="0" w:color="auto"/>
              <w:bottom w:val="nil"/>
              <w:right w:val="nil"/>
            </w:tcBorders>
            <w:shd w:val="clear" w:color="auto" w:fill="auto"/>
            <w:vAlign w:val="center"/>
          </w:tcPr>
          <w:p w:rsidR="00DD6C03" w:rsidRPr="009E73C9" w:rsidRDefault="009E73C9" w:rsidP="00DD6C03">
            <w:pPr>
              <w:spacing w:after="0" w:line="240" w:lineRule="auto"/>
              <w:jc w:val="right"/>
              <w:rPr>
                <w:rFonts w:cs="Arial"/>
                <w:color w:val="000000"/>
                <w:sz w:val="16"/>
                <w:szCs w:val="16"/>
              </w:rPr>
            </w:pPr>
            <w:r w:rsidRPr="009E73C9">
              <w:rPr>
                <w:rFonts w:cs="Arial"/>
                <w:color w:val="000000"/>
                <w:sz w:val="16"/>
                <w:szCs w:val="16"/>
              </w:rPr>
              <w:t>66 932</w:t>
            </w:r>
          </w:p>
        </w:tc>
        <w:tc>
          <w:tcPr>
            <w:tcW w:w="736" w:type="dxa"/>
            <w:tcBorders>
              <w:top w:val="nil"/>
              <w:left w:val="nil"/>
              <w:bottom w:val="nil"/>
              <w:right w:val="nil"/>
            </w:tcBorders>
            <w:shd w:val="clear" w:color="auto" w:fill="auto"/>
            <w:vAlign w:val="center"/>
          </w:tcPr>
          <w:p w:rsidR="00DD6C03" w:rsidRPr="009E73C9" w:rsidRDefault="009E73C9" w:rsidP="00DD6C03">
            <w:pPr>
              <w:spacing w:after="0" w:line="240" w:lineRule="auto"/>
              <w:jc w:val="right"/>
              <w:rPr>
                <w:rFonts w:cs="Arial"/>
                <w:color w:val="000000"/>
                <w:sz w:val="16"/>
                <w:szCs w:val="16"/>
              </w:rPr>
            </w:pPr>
            <w:r w:rsidRPr="009E73C9">
              <w:rPr>
                <w:rFonts w:cs="Arial"/>
                <w:color w:val="000000"/>
                <w:sz w:val="16"/>
                <w:szCs w:val="16"/>
              </w:rPr>
              <w:t>28 907</w:t>
            </w:r>
          </w:p>
        </w:tc>
        <w:tc>
          <w:tcPr>
            <w:tcW w:w="736" w:type="dxa"/>
            <w:tcBorders>
              <w:top w:val="nil"/>
              <w:left w:val="nil"/>
              <w:bottom w:val="nil"/>
              <w:right w:val="single" w:sz="4" w:space="0" w:color="auto"/>
            </w:tcBorders>
            <w:shd w:val="clear" w:color="auto" w:fill="auto"/>
            <w:vAlign w:val="center"/>
          </w:tcPr>
          <w:p w:rsidR="00DD6C03" w:rsidRPr="009E73C9" w:rsidRDefault="009E73C9" w:rsidP="00DD6C03">
            <w:pPr>
              <w:spacing w:after="0" w:line="240" w:lineRule="auto"/>
              <w:jc w:val="right"/>
              <w:rPr>
                <w:rFonts w:cs="Arial"/>
                <w:color w:val="000000"/>
                <w:sz w:val="16"/>
                <w:szCs w:val="16"/>
              </w:rPr>
            </w:pPr>
            <w:r w:rsidRPr="009E73C9">
              <w:rPr>
                <w:rFonts w:cs="Arial"/>
                <w:color w:val="000000"/>
                <w:sz w:val="16"/>
                <w:szCs w:val="16"/>
              </w:rPr>
              <w:t>38 025</w:t>
            </w:r>
          </w:p>
        </w:tc>
        <w:tc>
          <w:tcPr>
            <w:tcW w:w="754" w:type="dxa"/>
            <w:tcBorders>
              <w:top w:val="nil"/>
              <w:left w:val="nil"/>
              <w:bottom w:val="nil"/>
              <w:right w:val="nil"/>
            </w:tcBorders>
            <w:shd w:val="clear" w:color="auto" w:fill="auto"/>
            <w:vAlign w:val="center"/>
          </w:tcPr>
          <w:p w:rsidR="00DD6C03" w:rsidRPr="009E73C9" w:rsidRDefault="009E73C9" w:rsidP="00DD6C03">
            <w:pPr>
              <w:spacing w:after="0" w:line="240" w:lineRule="auto"/>
              <w:jc w:val="right"/>
              <w:rPr>
                <w:rFonts w:cs="Arial"/>
                <w:color w:val="000000"/>
                <w:sz w:val="16"/>
                <w:szCs w:val="16"/>
              </w:rPr>
            </w:pPr>
            <w:r w:rsidRPr="009E73C9">
              <w:rPr>
                <w:rFonts w:cs="Arial"/>
                <w:color w:val="000000"/>
                <w:sz w:val="16"/>
                <w:szCs w:val="16"/>
              </w:rPr>
              <w:t>2 500</w:t>
            </w:r>
          </w:p>
        </w:tc>
        <w:tc>
          <w:tcPr>
            <w:tcW w:w="737" w:type="dxa"/>
            <w:tcBorders>
              <w:top w:val="nil"/>
              <w:left w:val="nil"/>
              <w:bottom w:val="nil"/>
              <w:right w:val="nil"/>
            </w:tcBorders>
            <w:shd w:val="clear" w:color="auto" w:fill="auto"/>
            <w:vAlign w:val="center"/>
          </w:tcPr>
          <w:p w:rsidR="00DD6C03" w:rsidRPr="009E73C9" w:rsidRDefault="009E73C9" w:rsidP="00DD6C03">
            <w:pPr>
              <w:spacing w:after="0" w:line="240" w:lineRule="auto"/>
              <w:jc w:val="right"/>
              <w:rPr>
                <w:rFonts w:cs="Arial"/>
                <w:color w:val="000000"/>
                <w:sz w:val="16"/>
                <w:szCs w:val="16"/>
              </w:rPr>
            </w:pPr>
            <w:r w:rsidRPr="009E73C9">
              <w:rPr>
                <w:rFonts w:cs="Arial"/>
                <w:color w:val="000000"/>
                <w:sz w:val="16"/>
                <w:szCs w:val="16"/>
              </w:rPr>
              <w:t>1 640</w:t>
            </w:r>
          </w:p>
        </w:tc>
        <w:tc>
          <w:tcPr>
            <w:tcW w:w="737" w:type="dxa"/>
            <w:tcBorders>
              <w:top w:val="nil"/>
              <w:left w:val="nil"/>
              <w:bottom w:val="nil"/>
              <w:right w:val="single" w:sz="4" w:space="0" w:color="auto"/>
            </w:tcBorders>
            <w:shd w:val="clear" w:color="auto" w:fill="auto"/>
            <w:vAlign w:val="center"/>
          </w:tcPr>
          <w:p w:rsidR="00DD6C03" w:rsidRPr="009E73C9" w:rsidRDefault="009E73C9" w:rsidP="00DD6C03">
            <w:pPr>
              <w:spacing w:after="0" w:line="240" w:lineRule="auto"/>
              <w:jc w:val="right"/>
              <w:rPr>
                <w:rFonts w:cs="Arial"/>
                <w:color w:val="000000"/>
                <w:sz w:val="16"/>
                <w:szCs w:val="16"/>
              </w:rPr>
            </w:pPr>
            <w:r w:rsidRPr="009E73C9">
              <w:rPr>
                <w:rFonts w:cs="Arial"/>
                <w:color w:val="000000"/>
                <w:sz w:val="16"/>
                <w:szCs w:val="16"/>
              </w:rPr>
              <w:t>859</w:t>
            </w:r>
          </w:p>
        </w:tc>
        <w:tc>
          <w:tcPr>
            <w:tcW w:w="737" w:type="dxa"/>
            <w:tcBorders>
              <w:top w:val="nil"/>
              <w:left w:val="nil"/>
              <w:bottom w:val="nil"/>
              <w:right w:val="nil"/>
            </w:tcBorders>
            <w:shd w:val="clear" w:color="auto" w:fill="auto"/>
            <w:vAlign w:val="center"/>
          </w:tcPr>
          <w:p w:rsidR="00DD6C03" w:rsidRPr="009E73C9" w:rsidRDefault="009E73C9" w:rsidP="00DD6C03">
            <w:pPr>
              <w:spacing w:after="0" w:line="240" w:lineRule="auto"/>
              <w:jc w:val="right"/>
              <w:rPr>
                <w:rFonts w:cs="Arial"/>
                <w:color w:val="000000"/>
                <w:sz w:val="16"/>
                <w:szCs w:val="16"/>
              </w:rPr>
            </w:pPr>
            <w:r w:rsidRPr="009E73C9">
              <w:rPr>
                <w:rFonts w:cs="Arial"/>
                <w:color w:val="000000"/>
                <w:sz w:val="16"/>
                <w:szCs w:val="16"/>
              </w:rPr>
              <w:t>9 050</w:t>
            </w:r>
          </w:p>
        </w:tc>
        <w:tc>
          <w:tcPr>
            <w:tcW w:w="737" w:type="dxa"/>
            <w:tcBorders>
              <w:top w:val="nil"/>
              <w:left w:val="nil"/>
              <w:bottom w:val="nil"/>
              <w:right w:val="nil"/>
            </w:tcBorders>
            <w:shd w:val="clear" w:color="auto" w:fill="auto"/>
            <w:vAlign w:val="center"/>
          </w:tcPr>
          <w:p w:rsidR="00DD6C03" w:rsidRPr="009E73C9" w:rsidRDefault="009E73C9" w:rsidP="00DD6C03">
            <w:pPr>
              <w:spacing w:after="0" w:line="240" w:lineRule="auto"/>
              <w:jc w:val="right"/>
              <w:rPr>
                <w:rFonts w:cs="Arial"/>
                <w:color w:val="000000"/>
                <w:sz w:val="16"/>
                <w:szCs w:val="16"/>
              </w:rPr>
            </w:pPr>
            <w:r w:rsidRPr="009E73C9">
              <w:rPr>
                <w:rFonts w:cs="Arial"/>
                <w:color w:val="000000"/>
                <w:sz w:val="16"/>
                <w:szCs w:val="16"/>
              </w:rPr>
              <w:t>5 158</w:t>
            </w:r>
          </w:p>
        </w:tc>
        <w:tc>
          <w:tcPr>
            <w:tcW w:w="737" w:type="dxa"/>
            <w:tcBorders>
              <w:top w:val="nil"/>
              <w:left w:val="nil"/>
              <w:bottom w:val="nil"/>
              <w:right w:val="nil"/>
            </w:tcBorders>
            <w:shd w:val="clear" w:color="auto" w:fill="auto"/>
            <w:vAlign w:val="center"/>
          </w:tcPr>
          <w:p w:rsidR="00DD6C03" w:rsidRPr="009E73C9" w:rsidRDefault="009E73C9" w:rsidP="00DD6C03">
            <w:pPr>
              <w:spacing w:after="0" w:line="240" w:lineRule="auto"/>
              <w:jc w:val="right"/>
              <w:rPr>
                <w:rFonts w:cs="Arial"/>
                <w:color w:val="000000"/>
                <w:sz w:val="16"/>
                <w:szCs w:val="16"/>
              </w:rPr>
            </w:pPr>
            <w:r w:rsidRPr="009E73C9">
              <w:rPr>
                <w:rFonts w:cs="Arial"/>
                <w:color w:val="000000"/>
                <w:sz w:val="16"/>
                <w:szCs w:val="16"/>
              </w:rPr>
              <w:t>3 892</w:t>
            </w:r>
          </w:p>
        </w:tc>
      </w:tr>
    </w:tbl>
    <w:p w:rsidR="00DD6C03" w:rsidRPr="00DD6C03" w:rsidRDefault="00DD6C03" w:rsidP="009E73C9">
      <w:pPr>
        <w:spacing w:before="120" w:after="0" w:line="240" w:lineRule="auto"/>
        <w:rPr>
          <w:rFonts w:cs="Arial"/>
          <w:color w:val="000000"/>
          <w:sz w:val="16"/>
          <w:szCs w:val="16"/>
        </w:rPr>
      </w:pPr>
      <w:r w:rsidRPr="00DD6C03">
        <w:rPr>
          <w:rFonts w:cs="Arial"/>
          <w:color w:val="000000"/>
          <w:sz w:val="16"/>
          <w:szCs w:val="16"/>
        </w:rPr>
        <w:t>* Údaje za rok 2022 (celkem a pro nemoc) nejsou srovnatelné s údaji za ostatní roky.</w:t>
      </w:r>
    </w:p>
    <w:p w:rsidR="00DD6C03" w:rsidRDefault="00DD6C03" w:rsidP="009E73C9">
      <w:pPr>
        <w:rPr>
          <w:rFonts w:cs="Arial"/>
          <w:color w:val="000000"/>
          <w:sz w:val="16"/>
          <w:szCs w:val="16"/>
        </w:rPr>
      </w:pPr>
      <w:r w:rsidRPr="00DD6C03">
        <w:rPr>
          <w:rFonts w:cs="Arial"/>
          <w:color w:val="000000"/>
          <w:sz w:val="16"/>
          <w:szCs w:val="16"/>
        </w:rPr>
        <w:t>Zdroj: ČSÚ</w:t>
      </w:r>
    </w:p>
    <w:p w:rsidR="00276BBF" w:rsidRDefault="00276BBF" w:rsidP="00276BBF">
      <w:r w:rsidRPr="00276BBF">
        <w:rPr>
          <w:spacing w:val="-2"/>
        </w:rPr>
        <w:t xml:space="preserve">Většina dnů pracovní </w:t>
      </w:r>
      <w:r w:rsidRPr="008E5ABF">
        <w:rPr>
          <w:spacing w:val="-2"/>
        </w:rPr>
        <w:t>neschopnosti (85 %</w:t>
      </w:r>
      <w:r w:rsidR="00AE49D8" w:rsidRPr="008E5ABF">
        <w:rPr>
          <w:spacing w:val="-2"/>
        </w:rPr>
        <w:t>, v absolutním p</w:t>
      </w:r>
      <w:r w:rsidR="008E5ABF" w:rsidRPr="008E5ABF">
        <w:rPr>
          <w:spacing w:val="-2"/>
        </w:rPr>
        <w:t>očtu 66 932</w:t>
      </w:r>
      <w:r w:rsidR="00AE49D8" w:rsidRPr="008E5ABF">
        <w:rPr>
          <w:spacing w:val="-2"/>
        </w:rPr>
        <w:t xml:space="preserve"> tisíc</w:t>
      </w:r>
      <w:r w:rsidRPr="008E5ABF">
        <w:rPr>
          <w:spacing w:val="-2"/>
        </w:rPr>
        <w:t>) v</w:t>
      </w:r>
      <w:r w:rsidRPr="00276BBF">
        <w:rPr>
          <w:spacing w:val="-2"/>
        </w:rPr>
        <w:t> roce 2024 připadala na nemoc.</w:t>
      </w:r>
      <w:r>
        <w:rPr>
          <w:spacing w:val="-2"/>
        </w:rPr>
        <w:t xml:space="preserve"> </w:t>
      </w:r>
      <w:r w:rsidRPr="00251BF8">
        <w:t xml:space="preserve">Ženy byly na neschopence </w:t>
      </w:r>
      <w:r w:rsidRPr="00DF128B">
        <w:t xml:space="preserve">celkem </w:t>
      </w:r>
      <w:r w:rsidR="00DF128B" w:rsidRPr="00DF128B">
        <w:t>42 776 tisíc dní, o 7 071</w:t>
      </w:r>
      <w:r w:rsidRPr="00DF128B">
        <w:t xml:space="preserve"> tisíc dní více než muži.</w:t>
      </w:r>
      <w:r>
        <w:t xml:space="preserve"> </w:t>
      </w:r>
      <w:r w:rsidRPr="00276BBF">
        <w:t xml:space="preserve">Celkový počet dnů pracovní neschopnosti za rok 2022 byl zatížen duplicitami z počátku roku. Druhé pololetí už touto skutečností ovlivněno nebylo a </w:t>
      </w:r>
      <w:r w:rsidRPr="00B901A8">
        <w:rPr>
          <w:spacing w:val="-2"/>
        </w:rPr>
        <w:t>v</w:t>
      </w:r>
      <w:r w:rsidR="00B901A8" w:rsidRPr="00B901A8">
        <w:rPr>
          <w:spacing w:val="-2"/>
        </w:rPr>
        <w:t>e</w:t>
      </w:r>
      <w:r w:rsidRPr="00B901A8">
        <w:rPr>
          <w:spacing w:val="-2"/>
        </w:rPr>
        <w:t> 2. pol</w:t>
      </w:r>
      <w:r w:rsidR="00B901A8" w:rsidRPr="00B901A8">
        <w:rPr>
          <w:spacing w:val="-2"/>
        </w:rPr>
        <w:t>oletí roku</w:t>
      </w:r>
      <w:r w:rsidRPr="00B901A8">
        <w:rPr>
          <w:spacing w:val="-2"/>
        </w:rPr>
        <w:t xml:space="preserve"> 202</w:t>
      </w:r>
      <w:r w:rsidR="00DF128B">
        <w:rPr>
          <w:spacing w:val="-2"/>
        </w:rPr>
        <w:t>4 už počtvrté</w:t>
      </w:r>
      <w:r w:rsidRPr="00B901A8">
        <w:rPr>
          <w:spacing w:val="-2"/>
        </w:rPr>
        <w:t xml:space="preserve"> v řadě došlo k poklesu počtu kalendářních dnů v</w:t>
      </w:r>
      <w:r w:rsidR="00DF128B">
        <w:rPr>
          <w:spacing w:val="-2"/>
        </w:rPr>
        <w:t xml:space="preserve"> pracovní </w:t>
      </w:r>
      <w:r w:rsidRPr="00B901A8">
        <w:rPr>
          <w:spacing w:val="-2"/>
        </w:rPr>
        <w:t>neschop</w:t>
      </w:r>
      <w:r w:rsidR="00DF128B">
        <w:rPr>
          <w:spacing w:val="-2"/>
        </w:rPr>
        <w:t>nosti během druhé poloviny roku</w:t>
      </w:r>
      <w:r w:rsidR="00B901A8" w:rsidRPr="00B901A8">
        <w:rPr>
          <w:spacing w:val="-2"/>
        </w:rPr>
        <w:t>.</w:t>
      </w:r>
      <w:r w:rsidRPr="00B901A8">
        <w:rPr>
          <w:spacing w:val="-2"/>
        </w:rPr>
        <w:t xml:space="preserve"> V</w:t>
      </w:r>
      <w:r w:rsidR="00B901A8" w:rsidRPr="00B901A8">
        <w:rPr>
          <w:spacing w:val="-2"/>
        </w:rPr>
        <w:t xml:space="preserve">e 2. pololetí roku </w:t>
      </w:r>
      <w:r w:rsidR="00B901A8" w:rsidRPr="00DF128B">
        <w:rPr>
          <w:spacing w:val="-2"/>
        </w:rPr>
        <w:t>2024</w:t>
      </w:r>
      <w:r w:rsidRPr="00DF128B">
        <w:rPr>
          <w:spacing w:val="-2"/>
        </w:rPr>
        <w:t xml:space="preserve"> </w:t>
      </w:r>
      <w:r w:rsidR="00DF128B" w:rsidRPr="00DF128B">
        <w:rPr>
          <w:spacing w:val="-2"/>
        </w:rPr>
        <w:t xml:space="preserve">se zároveň </w:t>
      </w:r>
      <w:r w:rsidRPr="00DF128B">
        <w:rPr>
          <w:spacing w:val="-2"/>
        </w:rPr>
        <w:t xml:space="preserve">počet dnů dočasné pracovní neschopnosti </w:t>
      </w:r>
      <w:r w:rsidR="00DF128B" w:rsidRPr="00DF128B">
        <w:rPr>
          <w:spacing w:val="-2"/>
        </w:rPr>
        <w:t>nejvíce přiblížil situaci z</w:t>
      </w:r>
      <w:r w:rsidR="00B901A8" w:rsidRPr="00DF128B">
        <w:rPr>
          <w:spacing w:val="-2"/>
        </w:rPr>
        <w:t> </w:t>
      </w:r>
      <w:proofErr w:type="spellStart"/>
      <w:r w:rsidR="00B901A8" w:rsidRPr="00DF128B">
        <w:rPr>
          <w:spacing w:val="-2"/>
        </w:rPr>
        <w:t>předcovidové</w:t>
      </w:r>
      <w:r w:rsidR="00DF128B" w:rsidRPr="00DF128B">
        <w:rPr>
          <w:spacing w:val="-2"/>
        </w:rPr>
        <w:t>ho</w:t>
      </w:r>
      <w:proofErr w:type="spellEnd"/>
      <w:r w:rsidR="00B901A8" w:rsidRPr="00DF128B">
        <w:rPr>
          <w:spacing w:val="-2"/>
        </w:rPr>
        <w:t xml:space="preserve"> období</w:t>
      </w:r>
      <w:r w:rsidR="00854434">
        <w:t>.</w:t>
      </w:r>
      <w:r w:rsidR="00B20FC5" w:rsidRPr="00DF128B">
        <w:t xml:space="preserve"> Podrobněji viz tabulka</w:t>
      </w:r>
      <w:r w:rsidR="002D438D">
        <w:t xml:space="preserve"> </w:t>
      </w:r>
      <w:r w:rsidR="00B20FC5">
        <w:t>2.3 a graf 2.6.</w:t>
      </w:r>
    </w:p>
    <w:p w:rsidR="00276BBF" w:rsidRDefault="00276BBF" w:rsidP="00276BBF">
      <w:pPr>
        <w:spacing w:after="0"/>
        <w:rPr>
          <w:b/>
        </w:rPr>
      </w:pPr>
      <w:r w:rsidRPr="00276BBF">
        <w:rPr>
          <w:b/>
        </w:rPr>
        <w:t xml:space="preserve">Graf 2.6: </w:t>
      </w:r>
      <w:r w:rsidR="00564BA4">
        <w:rPr>
          <w:b/>
        </w:rPr>
        <w:t>K</w:t>
      </w:r>
      <w:r w:rsidRPr="00276BBF">
        <w:rPr>
          <w:b/>
        </w:rPr>
        <w:t>alendářní dny dočasné pracovní neschopnosti, 2015–2024 (v mil.)</w:t>
      </w:r>
    </w:p>
    <w:p w:rsidR="00CD2936" w:rsidRPr="00CD2936" w:rsidRDefault="00E550E9" w:rsidP="001C1A52">
      <w:pPr>
        <w:spacing w:after="0"/>
        <w:rPr>
          <w:rFonts w:cs="Arial"/>
          <w:color w:val="000000"/>
          <w:sz w:val="16"/>
          <w:szCs w:val="16"/>
        </w:rPr>
      </w:pPr>
      <w:r>
        <w:rPr>
          <w:noProof/>
        </w:rPr>
        <w:drawing>
          <wp:inline distT="0" distB="0" distL="0" distR="0" wp14:anchorId="546D46E8" wp14:editId="40A74C44">
            <wp:extent cx="6120000" cy="2520000"/>
            <wp:effectExtent l="0" t="0" r="0" b="0"/>
            <wp:docPr id="14" name="Graf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00CD2936" w:rsidRPr="00CD2936">
        <w:rPr>
          <w:rFonts w:cs="Arial"/>
          <w:color w:val="000000"/>
          <w:sz w:val="16"/>
          <w:szCs w:val="16"/>
        </w:rPr>
        <w:t xml:space="preserve">* </w:t>
      </w:r>
      <w:r w:rsidR="00CD2936">
        <w:rPr>
          <w:rFonts w:cs="Arial"/>
          <w:color w:val="000000"/>
          <w:sz w:val="16"/>
          <w:szCs w:val="16"/>
        </w:rPr>
        <w:t xml:space="preserve">Údaje za </w:t>
      </w:r>
      <w:r w:rsidR="00CD2936" w:rsidRPr="00CD2936">
        <w:rPr>
          <w:rFonts w:cs="Arial"/>
          <w:color w:val="000000"/>
          <w:sz w:val="16"/>
          <w:szCs w:val="16"/>
        </w:rPr>
        <w:t>1. pol</w:t>
      </w:r>
      <w:r w:rsidR="00CD2936">
        <w:rPr>
          <w:rFonts w:cs="Arial"/>
          <w:color w:val="000000"/>
          <w:sz w:val="16"/>
          <w:szCs w:val="16"/>
        </w:rPr>
        <w:t>oletí roku</w:t>
      </w:r>
      <w:r w:rsidR="00046B98">
        <w:rPr>
          <w:rFonts w:cs="Arial"/>
          <w:color w:val="000000"/>
          <w:sz w:val="16"/>
          <w:szCs w:val="16"/>
        </w:rPr>
        <w:t xml:space="preserve"> 2022 nejsou</w:t>
      </w:r>
      <w:r w:rsidR="00CD2936" w:rsidRPr="00CD2936">
        <w:rPr>
          <w:rFonts w:cs="Arial"/>
          <w:color w:val="000000"/>
          <w:sz w:val="16"/>
          <w:szCs w:val="16"/>
        </w:rPr>
        <w:t xml:space="preserve"> srovnatelné s</w:t>
      </w:r>
      <w:r w:rsidR="00046B98">
        <w:rPr>
          <w:rFonts w:cs="Arial"/>
          <w:color w:val="000000"/>
          <w:sz w:val="16"/>
          <w:szCs w:val="16"/>
        </w:rPr>
        <w:t> údaji za 1. pololetí</w:t>
      </w:r>
      <w:r w:rsidR="00CD2936">
        <w:rPr>
          <w:rFonts w:cs="Arial"/>
          <w:color w:val="000000"/>
          <w:sz w:val="16"/>
          <w:szCs w:val="16"/>
        </w:rPr>
        <w:t xml:space="preserve"> ostatních let.</w:t>
      </w:r>
    </w:p>
    <w:p w:rsidR="006D2101" w:rsidRDefault="00CD2936" w:rsidP="00CD2936">
      <w:pPr>
        <w:rPr>
          <w:noProof/>
        </w:rPr>
      </w:pPr>
      <w:r w:rsidRPr="00CD2936">
        <w:rPr>
          <w:rFonts w:cs="Arial"/>
          <w:color w:val="000000"/>
          <w:sz w:val="16"/>
          <w:szCs w:val="16"/>
        </w:rPr>
        <w:t>Zdroj: ČSÚ</w:t>
      </w:r>
      <w:r>
        <w:rPr>
          <w:noProof/>
        </w:rPr>
        <w:t xml:space="preserve"> </w:t>
      </w:r>
    </w:p>
    <w:p w:rsidR="00564BA4" w:rsidRPr="00564BA4" w:rsidRDefault="00564BA4" w:rsidP="00564BA4">
      <w:r w:rsidRPr="00564BA4">
        <w:t xml:space="preserve">Zatímco během </w:t>
      </w:r>
      <w:proofErr w:type="spellStart"/>
      <w:r w:rsidR="00841674">
        <w:t>koronavirové</w:t>
      </w:r>
      <w:proofErr w:type="spellEnd"/>
      <w:r w:rsidR="00841674">
        <w:t xml:space="preserve"> pandemie</w:t>
      </w:r>
      <w:r w:rsidRPr="00564BA4">
        <w:t xml:space="preserve"> se průměrná délka trvání případu </w:t>
      </w:r>
      <w:r w:rsidR="00841674">
        <w:t>pracovní neschopnosti snižovala</w:t>
      </w:r>
      <w:r w:rsidR="00841674">
        <w:br/>
      </w:r>
      <w:r w:rsidRPr="00564BA4">
        <w:t>(z důvodu velkého množství krátkodobých pracovních neschopností pro nemo</w:t>
      </w:r>
      <w:r w:rsidR="00841674">
        <w:t>c, tedy vč. karantén), v prvním pololetí let 2023 a 2024</w:t>
      </w:r>
      <w:r w:rsidRPr="00564BA4">
        <w:t xml:space="preserve"> d</w:t>
      </w:r>
      <w:r w:rsidR="00841674">
        <w:t>ocházelo k prodlužování</w:t>
      </w:r>
      <w:r w:rsidRPr="00564BA4">
        <w:t xml:space="preserve"> neschopenky, </w:t>
      </w:r>
      <w:r w:rsidR="00841674">
        <w:t>jelikož</w:t>
      </w:r>
      <w:r w:rsidRPr="00564BA4">
        <w:t xml:space="preserve"> krátkodobých neschopenek ubylo. Nicméně</w:t>
      </w:r>
      <w:r w:rsidR="00841674">
        <w:t xml:space="preserve"> </w:t>
      </w:r>
      <w:r w:rsidRPr="00564BA4">
        <w:t xml:space="preserve">se </w:t>
      </w:r>
      <w:r w:rsidR="00841674">
        <w:t xml:space="preserve">dá </w:t>
      </w:r>
      <w:r w:rsidRPr="00564BA4">
        <w:t xml:space="preserve">předpokládat, že </w:t>
      </w:r>
      <w:r w:rsidR="00C2075C">
        <w:t xml:space="preserve">za </w:t>
      </w:r>
      <w:r w:rsidRPr="00564BA4">
        <w:t>1. pol</w:t>
      </w:r>
      <w:r w:rsidR="00C2075C">
        <w:t>oletí roku</w:t>
      </w:r>
      <w:r w:rsidRPr="00564BA4">
        <w:t xml:space="preserve"> 2022 se jedná o podhodnocený údaj z důvodu duplicitních karanténních neschopenek, které </w:t>
      </w:r>
      <w:r w:rsidR="00C2075C">
        <w:t>průměr uměle snižovaly</w:t>
      </w:r>
      <w:r w:rsidRPr="00564BA4">
        <w:t>. Před pandemií v 1. pol</w:t>
      </w:r>
      <w:r w:rsidR="00C2075C">
        <w:t>ovině roku</w:t>
      </w:r>
      <w:r w:rsidRPr="00564BA4">
        <w:t xml:space="preserve"> 2019 činila průměrná doba neschopenky 42,6 dne. O </w:t>
      </w:r>
      <w:r w:rsidR="00C2075C">
        <w:t>5</w:t>
      </w:r>
      <w:r w:rsidRPr="00564BA4">
        <w:t xml:space="preserve"> </w:t>
      </w:r>
      <w:r w:rsidR="00C2075C">
        <w:t>let</w:t>
      </w:r>
      <w:r w:rsidRPr="00564BA4">
        <w:t xml:space="preserve"> později, v 1. pol. 202</w:t>
      </w:r>
      <w:r w:rsidR="00C2075C">
        <w:t>4</w:t>
      </w:r>
      <w:r w:rsidRPr="00564BA4">
        <w:t xml:space="preserve"> </w:t>
      </w:r>
      <w:r w:rsidR="00C2075C" w:rsidRPr="001C1A52">
        <w:t>přes 32 dnů</w:t>
      </w:r>
      <w:r w:rsidR="00C2075C">
        <w:t xml:space="preserve"> (viz graf 2.7).</w:t>
      </w:r>
    </w:p>
    <w:p w:rsidR="00564BA4" w:rsidRDefault="00564BA4" w:rsidP="00841674">
      <w:pPr>
        <w:spacing w:after="0"/>
        <w:rPr>
          <w:b/>
        </w:rPr>
      </w:pPr>
      <w:r w:rsidRPr="003F5663">
        <w:rPr>
          <w:b/>
        </w:rPr>
        <w:lastRenderedPageBreak/>
        <w:t>Graf 2.</w:t>
      </w:r>
      <w:r>
        <w:rPr>
          <w:b/>
        </w:rPr>
        <w:t>7</w:t>
      </w:r>
      <w:r w:rsidRPr="003F5663">
        <w:rPr>
          <w:b/>
        </w:rPr>
        <w:t xml:space="preserve">: Průměrná délka trvání dočasné </w:t>
      </w:r>
      <w:r>
        <w:rPr>
          <w:b/>
        </w:rPr>
        <w:t>pracovní neschopnosti, 2015–2024</w:t>
      </w:r>
    </w:p>
    <w:p w:rsidR="00841674" w:rsidRPr="00CD2936" w:rsidRDefault="001C1A52" w:rsidP="001C1A52">
      <w:pPr>
        <w:spacing w:after="0"/>
        <w:rPr>
          <w:rFonts w:cs="Arial"/>
          <w:color w:val="000000"/>
          <w:sz w:val="16"/>
          <w:szCs w:val="16"/>
        </w:rPr>
      </w:pPr>
      <w:r>
        <w:rPr>
          <w:noProof/>
        </w:rPr>
        <w:drawing>
          <wp:inline distT="0" distB="0" distL="0" distR="0" wp14:anchorId="0F4F8E4A" wp14:editId="2CC86973">
            <wp:extent cx="6120000" cy="2520000"/>
            <wp:effectExtent l="0" t="0" r="0" b="0"/>
            <wp:docPr id="15" name="Graf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r w:rsidR="00841674" w:rsidRPr="00CD2936">
        <w:rPr>
          <w:rFonts w:cs="Arial"/>
          <w:color w:val="000000"/>
          <w:sz w:val="16"/>
          <w:szCs w:val="16"/>
        </w:rPr>
        <w:t xml:space="preserve">* </w:t>
      </w:r>
      <w:r w:rsidR="00841674">
        <w:rPr>
          <w:rFonts w:cs="Arial"/>
          <w:color w:val="000000"/>
          <w:sz w:val="16"/>
          <w:szCs w:val="16"/>
        </w:rPr>
        <w:t xml:space="preserve">Údaje za </w:t>
      </w:r>
      <w:r w:rsidR="00841674" w:rsidRPr="00CD2936">
        <w:rPr>
          <w:rFonts w:cs="Arial"/>
          <w:color w:val="000000"/>
          <w:sz w:val="16"/>
          <w:szCs w:val="16"/>
        </w:rPr>
        <w:t>1. pol</w:t>
      </w:r>
      <w:r w:rsidR="00841674">
        <w:rPr>
          <w:rFonts w:cs="Arial"/>
          <w:color w:val="000000"/>
          <w:sz w:val="16"/>
          <w:szCs w:val="16"/>
        </w:rPr>
        <w:t>oletí roku</w:t>
      </w:r>
      <w:r w:rsidR="00DB1E98">
        <w:rPr>
          <w:rFonts w:cs="Arial"/>
          <w:color w:val="000000"/>
          <w:sz w:val="16"/>
          <w:szCs w:val="16"/>
        </w:rPr>
        <w:t xml:space="preserve"> 2022 nejsou</w:t>
      </w:r>
      <w:r w:rsidR="00841674" w:rsidRPr="00CD2936">
        <w:rPr>
          <w:rFonts w:cs="Arial"/>
          <w:color w:val="000000"/>
          <w:sz w:val="16"/>
          <w:szCs w:val="16"/>
        </w:rPr>
        <w:t xml:space="preserve"> srovnatelné s</w:t>
      </w:r>
      <w:r w:rsidR="00DB1E98">
        <w:rPr>
          <w:rFonts w:cs="Arial"/>
          <w:color w:val="000000"/>
          <w:sz w:val="16"/>
          <w:szCs w:val="16"/>
        </w:rPr>
        <w:t> údaji za 1. pololetí</w:t>
      </w:r>
      <w:r w:rsidR="00841674">
        <w:rPr>
          <w:rFonts w:cs="Arial"/>
          <w:color w:val="000000"/>
          <w:sz w:val="16"/>
          <w:szCs w:val="16"/>
        </w:rPr>
        <w:t xml:space="preserve"> ostatních let.</w:t>
      </w:r>
    </w:p>
    <w:p w:rsidR="00841674" w:rsidRDefault="00841674" w:rsidP="00C2075C">
      <w:r w:rsidRPr="00CD2936">
        <w:rPr>
          <w:rFonts w:cs="Arial"/>
          <w:color w:val="000000"/>
          <w:sz w:val="16"/>
          <w:szCs w:val="16"/>
        </w:rPr>
        <w:t>Zdroj: ČSÚ</w:t>
      </w:r>
    </w:p>
    <w:p w:rsidR="009E6676" w:rsidRDefault="009E6676" w:rsidP="009E6676">
      <w:r w:rsidRPr="00564BA4">
        <w:t>Průměrná délka trvání jednoho případu p</w:t>
      </w:r>
      <w:r>
        <w:t>racovní neschopnosti v roce 2024</w:t>
      </w:r>
      <w:r w:rsidRPr="00564BA4">
        <w:t>, ať</w:t>
      </w:r>
      <w:r>
        <w:t xml:space="preserve"> už pro nemoc či úraz, byla </w:t>
      </w:r>
      <w:r w:rsidRPr="003F44B9">
        <w:t>31</w:t>
      </w:r>
      <w:r w:rsidR="003F44B9" w:rsidRPr="003F44B9">
        <w:t>,7</w:t>
      </w:r>
      <w:r w:rsidRPr="003F44B9">
        <w:t> dne</w:t>
      </w:r>
      <w:r w:rsidRPr="00564BA4">
        <w:t xml:space="preserve">. </w:t>
      </w:r>
      <w:r w:rsidRPr="00564BA4">
        <w:rPr>
          <w:b/>
        </w:rPr>
        <w:t>Nemoc</w:t>
      </w:r>
      <w:r w:rsidRPr="00564BA4">
        <w:t xml:space="preserve"> způsobila pracovní neschopnost </w:t>
      </w:r>
      <w:r w:rsidR="003F44B9">
        <w:t xml:space="preserve">v průměrné </w:t>
      </w:r>
      <w:r w:rsidRPr="003F44B9">
        <w:t xml:space="preserve">délce </w:t>
      </w:r>
      <w:r w:rsidR="003F44B9" w:rsidRPr="003F44B9">
        <w:t>29,5</w:t>
      </w:r>
      <w:r w:rsidR="003F44B9">
        <w:t xml:space="preserve"> dne. Pojištěnci zůstávali nejdéle na neschopenkách vydaných v důsledku </w:t>
      </w:r>
      <w:r w:rsidR="003F44B9" w:rsidRPr="003F44B9">
        <w:rPr>
          <w:b/>
        </w:rPr>
        <w:t>pracovních</w:t>
      </w:r>
      <w:r w:rsidR="003F44B9">
        <w:t xml:space="preserve"> (57 dní) a </w:t>
      </w:r>
      <w:r w:rsidR="003F44B9" w:rsidRPr="003F44B9">
        <w:rPr>
          <w:b/>
        </w:rPr>
        <w:t>mimopracovních</w:t>
      </w:r>
      <w:r w:rsidR="003F44B9">
        <w:t xml:space="preserve"> (54,7 dní) </w:t>
      </w:r>
      <w:r w:rsidR="003F44B9" w:rsidRPr="003F44B9">
        <w:rPr>
          <w:b/>
        </w:rPr>
        <w:t>úrazů</w:t>
      </w:r>
      <w:r w:rsidRPr="00564BA4">
        <w:t xml:space="preserve">. </w:t>
      </w:r>
    </w:p>
    <w:p w:rsidR="009E6676" w:rsidRDefault="009E6676" w:rsidP="009E6676">
      <w:pPr>
        <w:spacing w:after="0"/>
        <w:rPr>
          <w:b/>
          <w:spacing w:val="-2"/>
        </w:rPr>
      </w:pPr>
      <w:r w:rsidRPr="009E6676">
        <w:rPr>
          <w:b/>
          <w:spacing w:val="-2"/>
        </w:rPr>
        <w:t>Graf 2.8: Průměrná délka trvání dočasné pracovní neschopnosti podle pohlaví, 2015–2024</w:t>
      </w:r>
    </w:p>
    <w:p w:rsidR="009E6676" w:rsidRDefault="00A54770" w:rsidP="00A54770">
      <w:pPr>
        <w:spacing w:after="0"/>
        <w:rPr>
          <w:rFonts w:cs="Arial"/>
          <w:color w:val="000000"/>
          <w:sz w:val="16"/>
          <w:szCs w:val="16"/>
        </w:rPr>
      </w:pPr>
      <w:r>
        <w:rPr>
          <w:noProof/>
        </w:rPr>
        <w:drawing>
          <wp:inline distT="0" distB="0" distL="0" distR="0" wp14:anchorId="3274C4DE" wp14:editId="5E04A1A1">
            <wp:extent cx="6120000" cy="2520000"/>
            <wp:effectExtent l="0" t="0" r="0" b="0"/>
            <wp:docPr id="16" name="Graf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009E6676">
        <w:rPr>
          <w:rFonts w:cs="Arial"/>
          <w:color w:val="000000"/>
          <w:sz w:val="16"/>
          <w:szCs w:val="16"/>
        </w:rPr>
        <w:t>* Údaje za rok 2022 nejsou srovnatelné s údaji za ostatní roky.</w:t>
      </w:r>
    </w:p>
    <w:p w:rsidR="009E6676" w:rsidRDefault="009E6676" w:rsidP="00F26BA4">
      <w:pPr>
        <w:rPr>
          <w:b/>
          <w:spacing w:val="-2"/>
        </w:rPr>
      </w:pPr>
      <w:r w:rsidRPr="00554433">
        <w:rPr>
          <w:rFonts w:cs="Arial"/>
          <w:color w:val="000000"/>
          <w:sz w:val="16"/>
          <w:szCs w:val="16"/>
        </w:rPr>
        <w:t>Zdroj: ČSÚ</w:t>
      </w:r>
      <w:r>
        <w:rPr>
          <w:noProof/>
        </w:rPr>
        <w:t xml:space="preserve"> </w:t>
      </w:r>
    </w:p>
    <w:p w:rsidR="009E6676" w:rsidRDefault="00841674" w:rsidP="009E6676">
      <w:r w:rsidRPr="00F866F9">
        <w:rPr>
          <w:spacing w:val="-2"/>
        </w:rPr>
        <w:t>V</w:t>
      </w:r>
      <w:r w:rsidR="00C2075C" w:rsidRPr="00F866F9">
        <w:rPr>
          <w:spacing w:val="-2"/>
        </w:rPr>
        <w:t> roce 2024</w:t>
      </w:r>
      <w:r w:rsidRPr="00F866F9">
        <w:rPr>
          <w:spacing w:val="-2"/>
        </w:rPr>
        <w:t xml:space="preserve"> průměrná délka trvání pracovní neschopnosti mužů </w:t>
      </w:r>
      <w:r w:rsidR="00F866F9" w:rsidRPr="00F866F9">
        <w:rPr>
          <w:spacing w:val="-2"/>
        </w:rPr>
        <w:t>podruhé za sebou v poslední dekádě</w:t>
      </w:r>
      <w:r w:rsidR="00F866F9">
        <w:t xml:space="preserve"> </w:t>
      </w:r>
      <w:r w:rsidRPr="00564BA4">
        <w:t xml:space="preserve">překonala hodnotu </w:t>
      </w:r>
      <w:r w:rsidR="00F866F9">
        <w:t>u žen</w:t>
      </w:r>
      <w:r w:rsidRPr="00564BA4">
        <w:t>. Muži strá</w:t>
      </w:r>
      <w:r w:rsidR="00F866F9">
        <w:t xml:space="preserve">vili na neschopence </w:t>
      </w:r>
      <w:r w:rsidR="00F866F9" w:rsidRPr="00B361FA">
        <w:t>v </w:t>
      </w:r>
      <w:r w:rsidR="00B361FA" w:rsidRPr="00B361FA">
        <w:t>průměru 32,1</w:t>
      </w:r>
      <w:r w:rsidRPr="00B361FA">
        <w:t xml:space="preserve"> dne, zatímco ženy 31</w:t>
      </w:r>
      <w:r w:rsidR="009E6676" w:rsidRPr="00B361FA">
        <w:t>,4 dne</w:t>
      </w:r>
      <w:r w:rsidR="00411854" w:rsidRPr="00B361FA">
        <w:t>.</w:t>
      </w:r>
      <w:r w:rsidR="00411854">
        <w:t xml:space="preserve"> Podrobněji v časové řadě </w:t>
      </w:r>
      <w:r w:rsidR="009E6676">
        <w:t>viz graf 2.8</w:t>
      </w:r>
      <w:r w:rsidR="00411854">
        <w:t xml:space="preserve"> a tabulka 2.4</w:t>
      </w:r>
      <w:r w:rsidR="009E6676">
        <w:t>.</w:t>
      </w:r>
    </w:p>
    <w:p w:rsidR="00F26BA4" w:rsidRDefault="00411854" w:rsidP="00411854">
      <w:pPr>
        <w:spacing w:after="0"/>
        <w:rPr>
          <w:b/>
          <w:spacing w:val="-2"/>
        </w:rPr>
      </w:pPr>
      <w:r>
        <w:rPr>
          <w:b/>
          <w:spacing w:val="-2"/>
        </w:rPr>
        <w:t>Tab. 2.4: Průměrná délka trvání dočasné pracovní neschopnosti podle pohlaví, 2014–2024</w:t>
      </w:r>
    </w:p>
    <w:tbl>
      <w:tblPr>
        <w:tblW w:w="9526" w:type="dxa"/>
        <w:tblCellMar>
          <w:left w:w="70" w:type="dxa"/>
          <w:right w:w="70" w:type="dxa"/>
        </w:tblCellMar>
        <w:tblLook w:val="04A0" w:firstRow="1" w:lastRow="0" w:firstColumn="1" w:lastColumn="0" w:noHBand="0" w:noVBand="1"/>
      </w:tblPr>
      <w:tblGrid>
        <w:gridCol w:w="787"/>
        <w:gridCol w:w="869"/>
        <w:gridCol w:w="787"/>
        <w:gridCol w:w="787"/>
        <w:gridCol w:w="787"/>
        <w:gridCol w:w="787"/>
        <w:gridCol w:w="787"/>
        <w:gridCol w:w="787"/>
        <w:gridCol w:w="787"/>
        <w:gridCol w:w="787"/>
        <w:gridCol w:w="787"/>
        <w:gridCol w:w="787"/>
      </w:tblGrid>
      <w:tr w:rsidR="00411854" w:rsidRPr="00411854" w:rsidTr="00411854">
        <w:trPr>
          <w:trHeight w:val="300"/>
        </w:trPr>
        <w:tc>
          <w:tcPr>
            <w:tcW w:w="787" w:type="dxa"/>
            <w:tcBorders>
              <w:top w:val="single" w:sz="4" w:space="0" w:color="auto"/>
              <w:left w:val="nil"/>
              <w:bottom w:val="single" w:sz="4" w:space="0" w:color="auto"/>
              <w:right w:val="single" w:sz="4" w:space="0" w:color="auto"/>
            </w:tcBorders>
            <w:shd w:val="clear" w:color="auto" w:fill="E6C483"/>
            <w:vAlign w:val="center"/>
            <w:hideMark/>
          </w:tcPr>
          <w:p w:rsidR="00411854" w:rsidRPr="00411854" w:rsidRDefault="00411854" w:rsidP="00411854">
            <w:pPr>
              <w:spacing w:after="0" w:line="240" w:lineRule="auto"/>
              <w:jc w:val="center"/>
              <w:rPr>
                <w:rFonts w:cs="Arial"/>
                <w:sz w:val="16"/>
                <w:szCs w:val="16"/>
              </w:rPr>
            </w:pPr>
            <w:r w:rsidRPr="00411854">
              <w:rPr>
                <w:rFonts w:cs="Arial"/>
                <w:sz w:val="16"/>
                <w:szCs w:val="16"/>
              </w:rPr>
              <w:t>Rok</w:t>
            </w:r>
          </w:p>
        </w:tc>
        <w:tc>
          <w:tcPr>
            <w:tcW w:w="869" w:type="dxa"/>
            <w:tcBorders>
              <w:top w:val="single" w:sz="4" w:space="0" w:color="auto"/>
              <w:left w:val="nil"/>
              <w:bottom w:val="single" w:sz="4" w:space="0" w:color="auto"/>
              <w:right w:val="nil"/>
            </w:tcBorders>
            <w:shd w:val="clear" w:color="auto" w:fill="E6C483"/>
            <w:vAlign w:val="center"/>
            <w:hideMark/>
          </w:tcPr>
          <w:p w:rsidR="00411854" w:rsidRPr="00411854" w:rsidRDefault="00411854" w:rsidP="00411854">
            <w:pPr>
              <w:spacing w:after="0" w:line="240" w:lineRule="auto"/>
              <w:jc w:val="center"/>
              <w:rPr>
                <w:rFonts w:cs="Arial"/>
                <w:sz w:val="16"/>
                <w:szCs w:val="16"/>
              </w:rPr>
            </w:pPr>
            <w:r>
              <w:rPr>
                <w:rFonts w:cs="Arial"/>
                <w:sz w:val="16"/>
                <w:szCs w:val="16"/>
              </w:rPr>
              <w:t>2014</w:t>
            </w:r>
          </w:p>
        </w:tc>
        <w:tc>
          <w:tcPr>
            <w:tcW w:w="787" w:type="dxa"/>
            <w:tcBorders>
              <w:top w:val="single" w:sz="4" w:space="0" w:color="auto"/>
              <w:left w:val="nil"/>
              <w:bottom w:val="single" w:sz="4" w:space="0" w:color="auto"/>
              <w:right w:val="nil"/>
            </w:tcBorders>
            <w:shd w:val="clear" w:color="auto" w:fill="E6C483"/>
            <w:vAlign w:val="center"/>
            <w:hideMark/>
          </w:tcPr>
          <w:p w:rsidR="00411854" w:rsidRPr="00411854" w:rsidRDefault="00411854" w:rsidP="00411854">
            <w:pPr>
              <w:spacing w:after="0" w:line="240" w:lineRule="auto"/>
              <w:jc w:val="center"/>
              <w:rPr>
                <w:rFonts w:cs="Arial"/>
                <w:sz w:val="16"/>
                <w:szCs w:val="16"/>
              </w:rPr>
            </w:pPr>
            <w:r>
              <w:rPr>
                <w:rFonts w:cs="Arial"/>
                <w:sz w:val="16"/>
                <w:szCs w:val="16"/>
              </w:rPr>
              <w:t>2015</w:t>
            </w:r>
          </w:p>
        </w:tc>
        <w:tc>
          <w:tcPr>
            <w:tcW w:w="787" w:type="dxa"/>
            <w:tcBorders>
              <w:top w:val="single" w:sz="4" w:space="0" w:color="auto"/>
              <w:left w:val="nil"/>
              <w:bottom w:val="single" w:sz="4" w:space="0" w:color="auto"/>
              <w:right w:val="nil"/>
            </w:tcBorders>
            <w:shd w:val="clear" w:color="auto" w:fill="E6C483"/>
            <w:vAlign w:val="center"/>
            <w:hideMark/>
          </w:tcPr>
          <w:p w:rsidR="00411854" w:rsidRPr="00411854" w:rsidRDefault="00411854" w:rsidP="00411854">
            <w:pPr>
              <w:spacing w:after="0" w:line="240" w:lineRule="auto"/>
              <w:jc w:val="center"/>
              <w:rPr>
                <w:rFonts w:cs="Arial"/>
                <w:sz w:val="16"/>
                <w:szCs w:val="16"/>
              </w:rPr>
            </w:pPr>
            <w:r>
              <w:rPr>
                <w:rFonts w:cs="Arial"/>
                <w:sz w:val="16"/>
                <w:szCs w:val="16"/>
              </w:rPr>
              <w:t>2016</w:t>
            </w:r>
          </w:p>
        </w:tc>
        <w:tc>
          <w:tcPr>
            <w:tcW w:w="787" w:type="dxa"/>
            <w:tcBorders>
              <w:top w:val="single" w:sz="4" w:space="0" w:color="auto"/>
              <w:left w:val="nil"/>
              <w:bottom w:val="single" w:sz="4" w:space="0" w:color="auto"/>
              <w:right w:val="nil"/>
            </w:tcBorders>
            <w:shd w:val="clear" w:color="auto" w:fill="E6C483"/>
            <w:vAlign w:val="center"/>
            <w:hideMark/>
          </w:tcPr>
          <w:p w:rsidR="00411854" w:rsidRPr="00411854" w:rsidRDefault="00411854" w:rsidP="00411854">
            <w:pPr>
              <w:spacing w:after="0" w:line="240" w:lineRule="auto"/>
              <w:jc w:val="center"/>
              <w:rPr>
                <w:rFonts w:cs="Arial"/>
                <w:sz w:val="16"/>
                <w:szCs w:val="16"/>
              </w:rPr>
            </w:pPr>
            <w:r>
              <w:rPr>
                <w:rFonts w:cs="Arial"/>
                <w:sz w:val="16"/>
                <w:szCs w:val="16"/>
              </w:rPr>
              <w:t>2017</w:t>
            </w:r>
          </w:p>
        </w:tc>
        <w:tc>
          <w:tcPr>
            <w:tcW w:w="787" w:type="dxa"/>
            <w:tcBorders>
              <w:top w:val="single" w:sz="4" w:space="0" w:color="auto"/>
              <w:left w:val="nil"/>
              <w:bottom w:val="single" w:sz="4" w:space="0" w:color="auto"/>
              <w:right w:val="nil"/>
            </w:tcBorders>
            <w:shd w:val="clear" w:color="auto" w:fill="E6C483"/>
            <w:vAlign w:val="center"/>
            <w:hideMark/>
          </w:tcPr>
          <w:p w:rsidR="00411854" w:rsidRPr="00411854" w:rsidRDefault="00411854" w:rsidP="00411854">
            <w:pPr>
              <w:spacing w:after="0" w:line="240" w:lineRule="auto"/>
              <w:jc w:val="center"/>
              <w:rPr>
                <w:rFonts w:cs="Arial"/>
                <w:sz w:val="16"/>
                <w:szCs w:val="16"/>
              </w:rPr>
            </w:pPr>
            <w:r>
              <w:rPr>
                <w:rFonts w:cs="Arial"/>
                <w:sz w:val="16"/>
                <w:szCs w:val="16"/>
              </w:rPr>
              <w:t>2018</w:t>
            </w:r>
          </w:p>
        </w:tc>
        <w:tc>
          <w:tcPr>
            <w:tcW w:w="787" w:type="dxa"/>
            <w:tcBorders>
              <w:top w:val="single" w:sz="4" w:space="0" w:color="auto"/>
              <w:left w:val="nil"/>
              <w:bottom w:val="single" w:sz="4" w:space="0" w:color="auto"/>
              <w:right w:val="nil"/>
            </w:tcBorders>
            <w:shd w:val="clear" w:color="auto" w:fill="E6C483"/>
            <w:vAlign w:val="center"/>
            <w:hideMark/>
          </w:tcPr>
          <w:p w:rsidR="00411854" w:rsidRPr="00411854" w:rsidRDefault="00411854" w:rsidP="00411854">
            <w:pPr>
              <w:spacing w:after="0" w:line="240" w:lineRule="auto"/>
              <w:jc w:val="center"/>
              <w:rPr>
                <w:rFonts w:cs="Arial"/>
                <w:sz w:val="16"/>
                <w:szCs w:val="16"/>
              </w:rPr>
            </w:pPr>
            <w:r>
              <w:rPr>
                <w:rFonts w:cs="Arial"/>
                <w:sz w:val="16"/>
                <w:szCs w:val="16"/>
              </w:rPr>
              <w:t>2019</w:t>
            </w:r>
          </w:p>
        </w:tc>
        <w:tc>
          <w:tcPr>
            <w:tcW w:w="787" w:type="dxa"/>
            <w:tcBorders>
              <w:top w:val="single" w:sz="4" w:space="0" w:color="auto"/>
              <w:left w:val="nil"/>
              <w:bottom w:val="single" w:sz="4" w:space="0" w:color="auto"/>
              <w:right w:val="nil"/>
            </w:tcBorders>
            <w:shd w:val="clear" w:color="auto" w:fill="E6C483"/>
            <w:vAlign w:val="center"/>
            <w:hideMark/>
          </w:tcPr>
          <w:p w:rsidR="00411854" w:rsidRPr="00411854" w:rsidRDefault="00411854" w:rsidP="00411854">
            <w:pPr>
              <w:spacing w:after="0" w:line="240" w:lineRule="auto"/>
              <w:jc w:val="center"/>
              <w:rPr>
                <w:rFonts w:cs="Arial"/>
                <w:sz w:val="16"/>
                <w:szCs w:val="16"/>
              </w:rPr>
            </w:pPr>
            <w:r>
              <w:rPr>
                <w:rFonts w:cs="Arial"/>
                <w:sz w:val="16"/>
                <w:szCs w:val="16"/>
              </w:rPr>
              <w:t>2020</w:t>
            </w:r>
          </w:p>
        </w:tc>
        <w:tc>
          <w:tcPr>
            <w:tcW w:w="787" w:type="dxa"/>
            <w:tcBorders>
              <w:top w:val="single" w:sz="4" w:space="0" w:color="auto"/>
              <w:left w:val="nil"/>
              <w:bottom w:val="single" w:sz="4" w:space="0" w:color="auto"/>
              <w:right w:val="nil"/>
            </w:tcBorders>
            <w:shd w:val="clear" w:color="auto" w:fill="E6C483"/>
            <w:vAlign w:val="center"/>
            <w:hideMark/>
          </w:tcPr>
          <w:p w:rsidR="00411854" w:rsidRPr="00411854" w:rsidRDefault="00411854" w:rsidP="00411854">
            <w:pPr>
              <w:spacing w:after="0" w:line="240" w:lineRule="auto"/>
              <w:jc w:val="center"/>
              <w:rPr>
                <w:rFonts w:cs="Arial"/>
                <w:sz w:val="16"/>
                <w:szCs w:val="16"/>
              </w:rPr>
            </w:pPr>
            <w:r>
              <w:rPr>
                <w:rFonts w:cs="Arial"/>
                <w:sz w:val="16"/>
                <w:szCs w:val="16"/>
              </w:rPr>
              <w:t>2021</w:t>
            </w:r>
          </w:p>
        </w:tc>
        <w:tc>
          <w:tcPr>
            <w:tcW w:w="787" w:type="dxa"/>
            <w:tcBorders>
              <w:top w:val="single" w:sz="4" w:space="0" w:color="auto"/>
              <w:left w:val="nil"/>
              <w:bottom w:val="single" w:sz="4" w:space="0" w:color="auto"/>
              <w:right w:val="nil"/>
            </w:tcBorders>
            <w:shd w:val="clear" w:color="auto" w:fill="E6C483"/>
            <w:vAlign w:val="center"/>
            <w:hideMark/>
          </w:tcPr>
          <w:p w:rsidR="00411854" w:rsidRPr="00411854" w:rsidRDefault="00411854" w:rsidP="00411854">
            <w:pPr>
              <w:spacing w:after="0" w:line="240" w:lineRule="auto"/>
              <w:jc w:val="center"/>
              <w:rPr>
                <w:rFonts w:cs="Arial"/>
                <w:sz w:val="16"/>
                <w:szCs w:val="16"/>
              </w:rPr>
            </w:pPr>
            <w:r>
              <w:rPr>
                <w:rFonts w:cs="Arial"/>
                <w:sz w:val="16"/>
                <w:szCs w:val="16"/>
              </w:rPr>
              <w:t>2022*</w:t>
            </w:r>
          </w:p>
        </w:tc>
        <w:tc>
          <w:tcPr>
            <w:tcW w:w="787" w:type="dxa"/>
            <w:tcBorders>
              <w:top w:val="single" w:sz="4" w:space="0" w:color="auto"/>
              <w:left w:val="nil"/>
              <w:bottom w:val="single" w:sz="4" w:space="0" w:color="auto"/>
              <w:right w:val="nil"/>
            </w:tcBorders>
            <w:shd w:val="clear" w:color="auto" w:fill="E6C483"/>
            <w:vAlign w:val="center"/>
            <w:hideMark/>
          </w:tcPr>
          <w:p w:rsidR="00411854" w:rsidRPr="00411854" w:rsidRDefault="00411854" w:rsidP="00411854">
            <w:pPr>
              <w:spacing w:after="0" w:line="240" w:lineRule="auto"/>
              <w:jc w:val="center"/>
              <w:rPr>
                <w:rFonts w:cs="Arial"/>
                <w:sz w:val="16"/>
                <w:szCs w:val="16"/>
              </w:rPr>
            </w:pPr>
            <w:r>
              <w:rPr>
                <w:rFonts w:cs="Arial"/>
                <w:sz w:val="16"/>
                <w:szCs w:val="16"/>
              </w:rPr>
              <w:t>2023</w:t>
            </w:r>
          </w:p>
        </w:tc>
        <w:tc>
          <w:tcPr>
            <w:tcW w:w="787" w:type="dxa"/>
            <w:tcBorders>
              <w:top w:val="single" w:sz="4" w:space="0" w:color="auto"/>
              <w:left w:val="nil"/>
              <w:bottom w:val="single" w:sz="4" w:space="0" w:color="auto"/>
              <w:right w:val="nil"/>
            </w:tcBorders>
            <w:shd w:val="clear" w:color="auto" w:fill="E6C483"/>
            <w:vAlign w:val="center"/>
          </w:tcPr>
          <w:p w:rsidR="00411854" w:rsidRPr="00B361FA" w:rsidRDefault="00411854" w:rsidP="00411854">
            <w:pPr>
              <w:spacing w:after="0" w:line="240" w:lineRule="auto"/>
              <w:jc w:val="center"/>
              <w:rPr>
                <w:rFonts w:cs="Arial"/>
                <w:sz w:val="16"/>
                <w:szCs w:val="16"/>
              </w:rPr>
            </w:pPr>
            <w:r w:rsidRPr="00B361FA">
              <w:rPr>
                <w:rFonts w:cs="Arial"/>
                <w:sz w:val="16"/>
                <w:szCs w:val="16"/>
              </w:rPr>
              <w:t>2024</w:t>
            </w:r>
          </w:p>
        </w:tc>
      </w:tr>
      <w:tr w:rsidR="00411854" w:rsidRPr="00411854" w:rsidTr="00CD07CB">
        <w:trPr>
          <w:trHeight w:val="300"/>
        </w:trPr>
        <w:tc>
          <w:tcPr>
            <w:tcW w:w="787" w:type="dxa"/>
            <w:tcBorders>
              <w:top w:val="nil"/>
              <w:left w:val="nil"/>
              <w:bottom w:val="nil"/>
              <w:right w:val="single" w:sz="4" w:space="0" w:color="auto"/>
            </w:tcBorders>
            <w:shd w:val="clear" w:color="auto" w:fill="auto"/>
            <w:noWrap/>
            <w:vAlign w:val="center"/>
            <w:hideMark/>
          </w:tcPr>
          <w:p w:rsidR="00411854" w:rsidRPr="00411854" w:rsidRDefault="00411854" w:rsidP="00411854">
            <w:pPr>
              <w:spacing w:after="0" w:line="240" w:lineRule="auto"/>
              <w:jc w:val="left"/>
              <w:rPr>
                <w:rFonts w:cs="Arial"/>
                <w:b/>
                <w:bCs/>
                <w:color w:val="000000"/>
                <w:sz w:val="16"/>
                <w:szCs w:val="16"/>
              </w:rPr>
            </w:pPr>
            <w:r w:rsidRPr="00411854">
              <w:rPr>
                <w:rFonts w:cs="Arial"/>
                <w:b/>
                <w:bCs/>
                <w:color w:val="000000"/>
                <w:sz w:val="16"/>
                <w:szCs w:val="16"/>
              </w:rPr>
              <w:t>Celkem</w:t>
            </w:r>
          </w:p>
        </w:tc>
        <w:tc>
          <w:tcPr>
            <w:tcW w:w="869" w:type="dxa"/>
            <w:tcBorders>
              <w:top w:val="nil"/>
              <w:left w:val="nil"/>
              <w:bottom w:val="nil"/>
              <w:right w:val="nil"/>
            </w:tcBorders>
            <w:shd w:val="clear" w:color="auto" w:fill="auto"/>
            <w:noWrap/>
            <w:vAlign w:val="center"/>
            <w:hideMark/>
          </w:tcPr>
          <w:p w:rsidR="00411854" w:rsidRPr="00411854" w:rsidRDefault="00411854" w:rsidP="00411854">
            <w:pPr>
              <w:spacing w:after="0" w:line="240" w:lineRule="auto"/>
              <w:jc w:val="center"/>
              <w:rPr>
                <w:rFonts w:cs="Arial"/>
                <w:b/>
                <w:bCs/>
                <w:color w:val="000000"/>
                <w:sz w:val="16"/>
                <w:szCs w:val="16"/>
              </w:rPr>
            </w:pPr>
            <w:r w:rsidRPr="00411854">
              <w:rPr>
                <w:rFonts w:cs="Arial"/>
                <w:b/>
                <w:bCs/>
                <w:color w:val="000000"/>
                <w:sz w:val="16"/>
                <w:szCs w:val="16"/>
              </w:rPr>
              <w:t>45,8</w:t>
            </w:r>
          </w:p>
        </w:tc>
        <w:tc>
          <w:tcPr>
            <w:tcW w:w="787" w:type="dxa"/>
            <w:tcBorders>
              <w:top w:val="nil"/>
              <w:left w:val="nil"/>
              <w:bottom w:val="nil"/>
              <w:right w:val="nil"/>
            </w:tcBorders>
            <w:shd w:val="clear" w:color="auto" w:fill="auto"/>
            <w:noWrap/>
            <w:vAlign w:val="center"/>
            <w:hideMark/>
          </w:tcPr>
          <w:p w:rsidR="00411854" w:rsidRPr="00411854" w:rsidRDefault="00411854" w:rsidP="00411854">
            <w:pPr>
              <w:spacing w:after="0" w:line="240" w:lineRule="auto"/>
              <w:jc w:val="center"/>
              <w:rPr>
                <w:rFonts w:cs="Arial"/>
                <w:b/>
                <w:bCs/>
                <w:color w:val="000000"/>
                <w:sz w:val="16"/>
                <w:szCs w:val="16"/>
              </w:rPr>
            </w:pPr>
            <w:r w:rsidRPr="00411854">
              <w:rPr>
                <w:rFonts w:cs="Arial"/>
                <w:b/>
                <w:bCs/>
                <w:color w:val="000000"/>
                <w:sz w:val="16"/>
                <w:szCs w:val="16"/>
              </w:rPr>
              <w:t>42,7</w:t>
            </w:r>
          </w:p>
        </w:tc>
        <w:tc>
          <w:tcPr>
            <w:tcW w:w="787" w:type="dxa"/>
            <w:tcBorders>
              <w:top w:val="nil"/>
              <w:left w:val="nil"/>
              <w:bottom w:val="nil"/>
              <w:right w:val="nil"/>
            </w:tcBorders>
            <w:shd w:val="clear" w:color="auto" w:fill="auto"/>
            <w:noWrap/>
            <w:vAlign w:val="center"/>
            <w:hideMark/>
          </w:tcPr>
          <w:p w:rsidR="00411854" w:rsidRPr="00411854" w:rsidRDefault="00411854" w:rsidP="00411854">
            <w:pPr>
              <w:spacing w:after="0" w:line="240" w:lineRule="auto"/>
              <w:jc w:val="center"/>
              <w:rPr>
                <w:rFonts w:cs="Arial"/>
                <w:b/>
                <w:bCs/>
                <w:color w:val="000000"/>
                <w:sz w:val="16"/>
                <w:szCs w:val="16"/>
              </w:rPr>
            </w:pPr>
            <w:r w:rsidRPr="00411854">
              <w:rPr>
                <w:rFonts w:cs="Arial"/>
                <w:b/>
                <w:bCs/>
                <w:color w:val="000000"/>
                <w:sz w:val="16"/>
                <w:szCs w:val="16"/>
              </w:rPr>
              <w:t>43,0</w:t>
            </w:r>
          </w:p>
        </w:tc>
        <w:tc>
          <w:tcPr>
            <w:tcW w:w="787" w:type="dxa"/>
            <w:tcBorders>
              <w:top w:val="nil"/>
              <w:left w:val="nil"/>
              <w:bottom w:val="nil"/>
              <w:right w:val="nil"/>
            </w:tcBorders>
            <w:shd w:val="clear" w:color="auto" w:fill="auto"/>
            <w:noWrap/>
            <w:vAlign w:val="center"/>
            <w:hideMark/>
          </w:tcPr>
          <w:p w:rsidR="00411854" w:rsidRPr="00411854" w:rsidRDefault="00411854" w:rsidP="00411854">
            <w:pPr>
              <w:spacing w:after="0" w:line="240" w:lineRule="auto"/>
              <w:jc w:val="center"/>
              <w:rPr>
                <w:rFonts w:cs="Arial"/>
                <w:b/>
                <w:bCs/>
                <w:color w:val="000000"/>
                <w:sz w:val="16"/>
                <w:szCs w:val="16"/>
              </w:rPr>
            </w:pPr>
            <w:r w:rsidRPr="00411854">
              <w:rPr>
                <w:rFonts w:cs="Arial"/>
                <w:b/>
                <w:bCs/>
                <w:color w:val="000000"/>
                <w:sz w:val="16"/>
                <w:szCs w:val="16"/>
              </w:rPr>
              <w:t>42,6</w:t>
            </w:r>
          </w:p>
        </w:tc>
        <w:tc>
          <w:tcPr>
            <w:tcW w:w="787" w:type="dxa"/>
            <w:tcBorders>
              <w:top w:val="nil"/>
              <w:left w:val="nil"/>
              <w:bottom w:val="nil"/>
              <w:right w:val="nil"/>
            </w:tcBorders>
            <w:shd w:val="clear" w:color="auto" w:fill="auto"/>
            <w:noWrap/>
            <w:vAlign w:val="center"/>
            <w:hideMark/>
          </w:tcPr>
          <w:p w:rsidR="00411854" w:rsidRPr="00411854" w:rsidRDefault="00411854" w:rsidP="00411854">
            <w:pPr>
              <w:spacing w:after="0" w:line="240" w:lineRule="auto"/>
              <w:jc w:val="center"/>
              <w:rPr>
                <w:rFonts w:cs="Arial"/>
                <w:b/>
                <w:bCs/>
                <w:color w:val="000000"/>
                <w:sz w:val="16"/>
                <w:szCs w:val="16"/>
              </w:rPr>
            </w:pPr>
            <w:r w:rsidRPr="00411854">
              <w:rPr>
                <w:rFonts w:cs="Arial"/>
                <w:b/>
                <w:bCs/>
                <w:color w:val="000000"/>
                <w:sz w:val="16"/>
                <w:szCs w:val="16"/>
              </w:rPr>
              <w:t>41,7</w:t>
            </w:r>
          </w:p>
        </w:tc>
        <w:tc>
          <w:tcPr>
            <w:tcW w:w="787" w:type="dxa"/>
            <w:tcBorders>
              <w:top w:val="nil"/>
              <w:left w:val="nil"/>
              <w:bottom w:val="nil"/>
              <w:right w:val="nil"/>
            </w:tcBorders>
            <w:shd w:val="clear" w:color="auto" w:fill="auto"/>
            <w:noWrap/>
            <w:vAlign w:val="center"/>
            <w:hideMark/>
          </w:tcPr>
          <w:p w:rsidR="00411854" w:rsidRPr="00411854" w:rsidRDefault="00411854" w:rsidP="00411854">
            <w:pPr>
              <w:spacing w:after="0" w:line="240" w:lineRule="auto"/>
              <w:jc w:val="center"/>
              <w:rPr>
                <w:rFonts w:cs="Arial"/>
                <w:b/>
                <w:bCs/>
                <w:color w:val="000000"/>
                <w:sz w:val="16"/>
                <w:szCs w:val="16"/>
              </w:rPr>
            </w:pPr>
            <w:r w:rsidRPr="00411854">
              <w:rPr>
                <w:rFonts w:cs="Arial"/>
                <w:b/>
                <w:bCs/>
                <w:color w:val="000000"/>
                <w:sz w:val="16"/>
                <w:szCs w:val="16"/>
              </w:rPr>
              <w:t>42,4</w:t>
            </w:r>
          </w:p>
        </w:tc>
        <w:tc>
          <w:tcPr>
            <w:tcW w:w="787" w:type="dxa"/>
            <w:tcBorders>
              <w:top w:val="nil"/>
              <w:left w:val="nil"/>
              <w:bottom w:val="nil"/>
              <w:right w:val="nil"/>
            </w:tcBorders>
            <w:shd w:val="clear" w:color="auto" w:fill="auto"/>
            <w:noWrap/>
            <w:vAlign w:val="center"/>
            <w:hideMark/>
          </w:tcPr>
          <w:p w:rsidR="00411854" w:rsidRPr="00411854" w:rsidRDefault="00411854" w:rsidP="00411854">
            <w:pPr>
              <w:spacing w:after="0" w:line="240" w:lineRule="auto"/>
              <w:jc w:val="center"/>
              <w:rPr>
                <w:rFonts w:cs="Arial"/>
                <w:b/>
                <w:bCs/>
                <w:color w:val="000000"/>
                <w:sz w:val="16"/>
                <w:szCs w:val="16"/>
              </w:rPr>
            </w:pPr>
            <w:r w:rsidRPr="00411854">
              <w:rPr>
                <w:rFonts w:cs="Arial"/>
                <w:b/>
                <w:bCs/>
                <w:color w:val="000000"/>
                <w:sz w:val="16"/>
                <w:szCs w:val="16"/>
              </w:rPr>
              <w:t>39,4</w:t>
            </w:r>
          </w:p>
        </w:tc>
        <w:tc>
          <w:tcPr>
            <w:tcW w:w="787" w:type="dxa"/>
            <w:tcBorders>
              <w:top w:val="nil"/>
              <w:left w:val="nil"/>
              <w:bottom w:val="nil"/>
              <w:right w:val="nil"/>
            </w:tcBorders>
            <w:shd w:val="clear" w:color="auto" w:fill="auto"/>
            <w:noWrap/>
            <w:vAlign w:val="center"/>
            <w:hideMark/>
          </w:tcPr>
          <w:p w:rsidR="00411854" w:rsidRPr="00411854" w:rsidRDefault="00411854" w:rsidP="00411854">
            <w:pPr>
              <w:spacing w:after="0" w:line="240" w:lineRule="auto"/>
              <w:jc w:val="center"/>
              <w:rPr>
                <w:rFonts w:cs="Arial"/>
                <w:b/>
                <w:bCs/>
                <w:color w:val="000000"/>
                <w:sz w:val="16"/>
                <w:szCs w:val="16"/>
              </w:rPr>
            </w:pPr>
            <w:r w:rsidRPr="00411854">
              <w:rPr>
                <w:rFonts w:cs="Arial"/>
                <w:b/>
                <w:bCs/>
                <w:color w:val="000000"/>
                <w:sz w:val="16"/>
                <w:szCs w:val="16"/>
              </w:rPr>
              <w:t>34,5</w:t>
            </w:r>
          </w:p>
        </w:tc>
        <w:tc>
          <w:tcPr>
            <w:tcW w:w="787" w:type="dxa"/>
            <w:tcBorders>
              <w:top w:val="nil"/>
              <w:left w:val="nil"/>
              <w:bottom w:val="nil"/>
              <w:right w:val="nil"/>
            </w:tcBorders>
            <w:shd w:val="clear" w:color="auto" w:fill="auto"/>
            <w:noWrap/>
            <w:vAlign w:val="center"/>
            <w:hideMark/>
          </w:tcPr>
          <w:p w:rsidR="00411854" w:rsidRPr="00411854" w:rsidRDefault="00411854" w:rsidP="00411854">
            <w:pPr>
              <w:spacing w:after="0" w:line="240" w:lineRule="auto"/>
              <w:jc w:val="center"/>
              <w:rPr>
                <w:rFonts w:cs="Arial"/>
                <w:b/>
                <w:bCs/>
                <w:color w:val="000000"/>
                <w:sz w:val="16"/>
                <w:szCs w:val="16"/>
              </w:rPr>
            </w:pPr>
            <w:r w:rsidRPr="00411854">
              <w:rPr>
                <w:rFonts w:cs="Arial"/>
                <w:b/>
                <w:bCs/>
                <w:color w:val="000000"/>
                <w:sz w:val="16"/>
                <w:szCs w:val="16"/>
              </w:rPr>
              <w:t>26,3</w:t>
            </w:r>
          </w:p>
        </w:tc>
        <w:tc>
          <w:tcPr>
            <w:tcW w:w="787" w:type="dxa"/>
            <w:tcBorders>
              <w:top w:val="nil"/>
              <w:left w:val="nil"/>
              <w:bottom w:val="nil"/>
              <w:right w:val="nil"/>
            </w:tcBorders>
            <w:shd w:val="clear" w:color="auto" w:fill="auto"/>
            <w:noWrap/>
            <w:vAlign w:val="center"/>
            <w:hideMark/>
          </w:tcPr>
          <w:p w:rsidR="00411854" w:rsidRPr="00411854" w:rsidRDefault="00411854" w:rsidP="00411854">
            <w:pPr>
              <w:spacing w:after="0" w:line="240" w:lineRule="auto"/>
              <w:jc w:val="center"/>
              <w:rPr>
                <w:rFonts w:cs="Arial"/>
                <w:b/>
                <w:bCs/>
                <w:color w:val="000000"/>
                <w:sz w:val="16"/>
                <w:szCs w:val="16"/>
              </w:rPr>
            </w:pPr>
            <w:r w:rsidRPr="00411854">
              <w:rPr>
                <w:rFonts w:cs="Arial"/>
                <w:b/>
                <w:bCs/>
                <w:color w:val="000000"/>
                <w:sz w:val="16"/>
                <w:szCs w:val="16"/>
              </w:rPr>
              <w:t>31,4</w:t>
            </w:r>
          </w:p>
        </w:tc>
        <w:tc>
          <w:tcPr>
            <w:tcW w:w="787" w:type="dxa"/>
            <w:tcBorders>
              <w:top w:val="nil"/>
              <w:left w:val="nil"/>
              <w:bottom w:val="nil"/>
              <w:right w:val="nil"/>
            </w:tcBorders>
            <w:vAlign w:val="center"/>
          </w:tcPr>
          <w:p w:rsidR="00411854" w:rsidRPr="00B361FA" w:rsidRDefault="00B361FA" w:rsidP="00411854">
            <w:pPr>
              <w:spacing w:after="0" w:line="240" w:lineRule="auto"/>
              <w:jc w:val="center"/>
              <w:rPr>
                <w:rFonts w:cs="Arial"/>
                <w:b/>
                <w:bCs/>
                <w:color w:val="000000"/>
                <w:sz w:val="16"/>
                <w:szCs w:val="16"/>
              </w:rPr>
            </w:pPr>
            <w:r w:rsidRPr="00B361FA">
              <w:rPr>
                <w:rFonts w:cs="Arial"/>
                <w:b/>
                <w:bCs/>
                <w:color w:val="000000"/>
                <w:sz w:val="16"/>
                <w:szCs w:val="16"/>
              </w:rPr>
              <w:t>31,7</w:t>
            </w:r>
          </w:p>
        </w:tc>
      </w:tr>
      <w:tr w:rsidR="00411854" w:rsidRPr="00411854" w:rsidTr="00CD07CB">
        <w:trPr>
          <w:trHeight w:val="300"/>
        </w:trPr>
        <w:tc>
          <w:tcPr>
            <w:tcW w:w="787" w:type="dxa"/>
            <w:tcBorders>
              <w:top w:val="nil"/>
              <w:left w:val="nil"/>
              <w:bottom w:val="nil"/>
              <w:right w:val="single" w:sz="4" w:space="0" w:color="auto"/>
            </w:tcBorders>
            <w:shd w:val="clear" w:color="auto" w:fill="auto"/>
            <w:noWrap/>
            <w:vAlign w:val="center"/>
            <w:hideMark/>
          </w:tcPr>
          <w:p w:rsidR="00411854" w:rsidRPr="00411854" w:rsidRDefault="00411854" w:rsidP="00411854">
            <w:pPr>
              <w:spacing w:after="0" w:line="240" w:lineRule="auto"/>
              <w:ind w:firstLineChars="100" w:firstLine="160"/>
              <w:jc w:val="left"/>
              <w:rPr>
                <w:rFonts w:cs="Arial"/>
                <w:color w:val="000000"/>
                <w:sz w:val="16"/>
                <w:szCs w:val="16"/>
              </w:rPr>
            </w:pPr>
            <w:r w:rsidRPr="00411854">
              <w:rPr>
                <w:rFonts w:cs="Arial"/>
                <w:color w:val="000000"/>
                <w:sz w:val="16"/>
                <w:szCs w:val="16"/>
              </w:rPr>
              <w:t>muži</w:t>
            </w:r>
          </w:p>
        </w:tc>
        <w:tc>
          <w:tcPr>
            <w:tcW w:w="869" w:type="dxa"/>
            <w:tcBorders>
              <w:top w:val="nil"/>
              <w:left w:val="nil"/>
              <w:bottom w:val="nil"/>
              <w:right w:val="nil"/>
            </w:tcBorders>
            <w:shd w:val="clear" w:color="auto" w:fill="auto"/>
            <w:noWrap/>
            <w:vAlign w:val="center"/>
            <w:hideMark/>
          </w:tcPr>
          <w:p w:rsidR="00411854" w:rsidRPr="00411854" w:rsidRDefault="00411854" w:rsidP="00411854">
            <w:pPr>
              <w:spacing w:after="0" w:line="240" w:lineRule="auto"/>
              <w:jc w:val="center"/>
              <w:rPr>
                <w:rFonts w:cs="Arial"/>
                <w:color w:val="000000"/>
                <w:sz w:val="16"/>
                <w:szCs w:val="16"/>
              </w:rPr>
            </w:pPr>
            <w:r w:rsidRPr="00411854">
              <w:rPr>
                <w:rFonts w:cs="Arial"/>
                <w:color w:val="000000"/>
                <w:sz w:val="16"/>
                <w:szCs w:val="16"/>
              </w:rPr>
              <w:t>43,4</w:t>
            </w:r>
          </w:p>
        </w:tc>
        <w:tc>
          <w:tcPr>
            <w:tcW w:w="787" w:type="dxa"/>
            <w:tcBorders>
              <w:top w:val="nil"/>
              <w:left w:val="nil"/>
              <w:bottom w:val="nil"/>
              <w:right w:val="nil"/>
            </w:tcBorders>
            <w:shd w:val="clear" w:color="auto" w:fill="auto"/>
            <w:noWrap/>
            <w:vAlign w:val="center"/>
            <w:hideMark/>
          </w:tcPr>
          <w:p w:rsidR="00411854" w:rsidRPr="00411854" w:rsidRDefault="00411854" w:rsidP="00411854">
            <w:pPr>
              <w:spacing w:after="0" w:line="240" w:lineRule="auto"/>
              <w:jc w:val="center"/>
              <w:rPr>
                <w:rFonts w:cs="Arial"/>
                <w:color w:val="000000"/>
                <w:sz w:val="16"/>
                <w:szCs w:val="16"/>
              </w:rPr>
            </w:pPr>
            <w:r w:rsidRPr="00411854">
              <w:rPr>
                <w:rFonts w:cs="Arial"/>
                <w:color w:val="000000"/>
                <w:sz w:val="16"/>
                <w:szCs w:val="16"/>
              </w:rPr>
              <w:t>40,5</w:t>
            </w:r>
          </w:p>
        </w:tc>
        <w:tc>
          <w:tcPr>
            <w:tcW w:w="787" w:type="dxa"/>
            <w:tcBorders>
              <w:top w:val="nil"/>
              <w:left w:val="nil"/>
              <w:bottom w:val="nil"/>
              <w:right w:val="nil"/>
            </w:tcBorders>
            <w:shd w:val="clear" w:color="auto" w:fill="auto"/>
            <w:noWrap/>
            <w:vAlign w:val="center"/>
            <w:hideMark/>
          </w:tcPr>
          <w:p w:rsidR="00411854" w:rsidRPr="00411854" w:rsidRDefault="00411854" w:rsidP="00411854">
            <w:pPr>
              <w:spacing w:after="0" w:line="240" w:lineRule="auto"/>
              <w:jc w:val="center"/>
              <w:rPr>
                <w:rFonts w:cs="Arial"/>
                <w:color w:val="000000"/>
                <w:sz w:val="16"/>
                <w:szCs w:val="16"/>
              </w:rPr>
            </w:pPr>
            <w:r w:rsidRPr="00411854">
              <w:rPr>
                <w:rFonts w:cs="Arial"/>
                <w:color w:val="000000"/>
                <w:sz w:val="16"/>
                <w:szCs w:val="16"/>
              </w:rPr>
              <w:t>40,7</w:t>
            </w:r>
          </w:p>
        </w:tc>
        <w:tc>
          <w:tcPr>
            <w:tcW w:w="787" w:type="dxa"/>
            <w:tcBorders>
              <w:top w:val="nil"/>
              <w:left w:val="nil"/>
              <w:bottom w:val="nil"/>
              <w:right w:val="nil"/>
            </w:tcBorders>
            <w:shd w:val="clear" w:color="auto" w:fill="auto"/>
            <w:noWrap/>
            <w:vAlign w:val="center"/>
            <w:hideMark/>
          </w:tcPr>
          <w:p w:rsidR="00411854" w:rsidRPr="00411854" w:rsidRDefault="00411854" w:rsidP="00411854">
            <w:pPr>
              <w:spacing w:after="0" w:line="240" w:lineRule="auto"/>
              <w:jc w:val="center"/>
              <w:rPr>
                <w:rFonts w:cs="Arial"/>
                <w:color w:val="000000"/>
                <w:sz w:val="16"/>
                <w:szCs w:val="16"/>
              </w:rPr>
            </w:pPr>
            <w:r w:rsidRPr="00411854">
              <w:rPr>
                <w:rFonts w:cs="Arial"/>
                <w:color w:val="000000"/>
                <w:sz w:val="16"/>
                <w:szCs w:val="16"/>
              </w:rPr>
              <w:t>40,6</w:t>
            </w:r>
          </w:p>
        </w:tc>
        <w:tc>
          <w:tcPr>
            <w:tcW w:w="787" w:type="dxa"/>
            <w:tcBorders>
              <w:top w:val="nil"/>
              <w:left w:val="nil"/>
              <w:bottom w:val="nil"/>
              <w:right w:val="nil"/>
            </w:tcBorders>
            <w:shd w:val="clear" w:color="auto" w:fill="auto"/>
            <w:noWrap/>
            <w:vAlign w:val="center"/>
            <w:hideMark/>
          </w:tcPr>
          <w:p w:rsidR="00411854" w:rsidRPr="00411854" w:rsidRDefault="00411854" w:rsidP="00411854">
            <w:pPr>
              <w:spacing w:after="0" w:line="240" w:lineRule="auto"/>
              <w:jc w:val="center"/>
              <w:rPr>
                <w:rFonts w:cs="Arial"/>
                <w:color w:val="000000"/>
                <w:sz w:val="16"/>
                <w:szCs w:val="16"/>
              </w:rPr>
            </w:pPr>
            <w:r w:rsidRPr="00411854">
              <w:rPr>
                <w:rFonts w:cs="Arial"/>
                <w:color w:val="000000"/>
                <w:sz w:val="16"/>
                <w:szCs w:val="16"/>
              </w:rPr>
              <w:t>40,3</w:t>
            </w:r>
          </w:p>
        </w:tc>
        <w:tc>
          <w:tcPr>
            <w:tcW w:w="787" w:type="dxa"/>
            <w:tcBorders>
              <w:top w:val="nil"/>
              <w:left w:val="nil"/>
              <w:bottom w:val="nil"/>
              <w:right w:val="nil"/>
            </w:tcBorders>
            <w:shd w:val="clear" w:color="auto" w:fill="auto"/>
            <w:noWrap/>
            <w:vAlign w:val="center"/>
            <w:hideMark/>
          </w:tcPr>
          <w:p w:rsidR="00411854" w:rsidRPr="00411854" w:rsidRDefault="00411854" w:rsidP="00411854">
            <w:pPr>
              <w:spacing w:after="0" w:line="240" w:lineRule="auto"/>
              <w:jc w:val="center"/>
              <w:rPr>
                <w:rFonts w:cs="Arial"/>
                <w:color w:val="000000"/>
                <w:sz w:val="16"/>
                <w:szCs w:val="16"/>
              </w:rPr>
            </w:pPr>
            <w:r w:rsidRPr="00411854">
              <w:rPr>
                <w:rFonts w:cs="Arial"/>
                <w:color w:val="000000"/>
                <w:sz w:val="16"/>
                <w:szCs w:val="16"/>
              </w:rPr>
              <w:t>41,1</w:t>
            </w:r>
          </w:p>
        </w:tc>
        <w:tc>
          <w:tcPr>
            <w:tcW w:w="787" w:type="dxa"/>
            <w:tcBorders>
              <w:top w:val="nil"/>
              <w:left w:val="nil"/>
              <w:bottom w:val="nil"/>
              <w:right w:val="nil"/>
            </w:tcBorders>
            <w:shd w:val="clear" w:color="auto" w:fill="auto"/>
            <w:noWrap/>
            <w:vAlign w:val="center"/>
            <w:hideMark/>
          </w:tcPr>
          <w:p w:rsidR="00411854" w:rsidRPr="00411854" w:rsidRDefault="00411854" w:rsidP="00411854">
            <w:pPr>
              <w:spacing w:after="0" w:line="240" w:lineRule="auto"/>
              <w:jc w:val="center"/>
              <w:rPr>
                <w:rFonts w:cs="Arial"/>
                <w:color w:val="000000"/>
                <w:sz w:val="16"/>
                <w:szCs w:val="16"/>
              </w:rPr>
            </w:pPr>
            <w:r w:rsidRPr="00411854">
              <w:rPr>
                <w:rFonts w:cs="Arial"/>
                <w:color w:val="000000"/>
                <w:sz w:val="16"/>
                <w:szCs w:val="16"/>
              </w:rPr>
              <w:t>37,8</w:t>
            </w:r>
          </w:p>
        </w:tc>
        <w:tc>
          <w:tcPr>
            <w:tcW w:w="787" w:type="dxa"/>
            <w:tcBorders>
              <w:top w:val="nil"/>
              <w:left w:val="nil"/>
              <w:bottom w:val="nil"/>
              <w:right w:val="nil"/>
            </w:tcBorders>
            <w:shd w:val="clear" w:color="auto" w:fill="auto"/>
            <w:noWrap/>
            <w:vAlign w:val="center"/>
            <w:hideMark/>
          </w:tcPr>
          <w:p w:rsidR="00411854" w:rsidRPr="00411854" w:rsidRDefault="00411854" w:rsidP="00411854">
            <w:pPr>
              <w:spacing w:after="0" w:line="240" w:lineRule="auto"/>
              <w:jc w:val="center"/>
              <w:rPr>
                <w:rFonts w:cs="Arial"/>
                <w:color w:val="000000"/>
                <w:sz w:val="16"/>
                <w:szCs w:val="16"/>
              </w:rPr>
            </w:pPr>
            <w:r w:rsidRPr="00411854">
              <w:rPr>
                <w:rFonts w:cs="Arial"/>
                <w:color w:val="000000"/>
                <w:sz w:val="16"/>
                <w:szCs w:val="16"/>
              </w:rPr>
              <w:t>33,0</w:t>
            </w:r>
          </w:p>
        </w:tc>
        <w:tc>
          <w:tcPr>
            <w:tcW w:w="787" w:type="dxa"/>
            <w:tcBorders>
              <w:top w:val="nil"/>
              <w:left w:val="nil"/>
              <w:bottom w:val="nil"/>
              <w:right w:val="nil"/>
            </w:tcBorders>
            <w:shd w:val="clear" w:color="auto" w:fill="auto"/>
            <w:noWrap/>
            <w:vAlign w:val="center"/>
            <w:hideMark/>
          </w:tcPr>
          <w:p w:rsidR="00411854" w:rsidRPr="00411854" w:rsidRDefault="00411854" w:rsidP="00411854">
            <w:pPr>
              <w:spacing w:after="0" w:line="240" w:lineRule="auto"/>
              <w:jc w:val="center"/>
              <w:rPr>
                <w:rFonts w:cs="Arial"/>
                <w:color w:val="000000"/>
                <w:sz w:val="16"/>
                <w:szCs w:val="16"/>
              </w:rPr>
            </w:pPr>
            <w:r w:rsidRPr="00411854">
              <w:rPr>
                <w:rFonts w:cs="Arial"/>
                <w:color w:val="000000"/>
                <w:sz w:val="16"/>
                <w:szCs w:val="16"/>
              </w:rPr>
              <w:t>26,1</w:t>
            </w:r>
          </w:p>
        </w:tc>
        <w:tc>
          <w:tcPr>
            <w:tcW w:w="787" w:type="dxa"/>
            <w:tcBorders>
              <w:top w:val="nil"/>
              <w:left w:val="nil"/>
              <w:bottom w:val="nil"/>
              <w:right w:val="nil"/>
            </w:tcBorders>
            <w:shd w:val="clear" w:color="auto" w:fill="auto"/>
            <w:noWrap/>
            <w:vAlign w:val="center"/>
            <w:hideMark/>
          </w:tcPr>
          <w:p w:rsidR="00411854" w:rsidRPr="00411854" w:rsidRDefault="00411854" w:rsidP="00411854">
            <w:pPr>
              <w:spacing w:after="0" w:line="240" w:lineRule="auto"/>
              <w:jc w:val="center"/>
              <w:rPr>
                <w:rFonts w:cs="Arial"/>
                <w:color w:val="000000"/>
                <w:sz w:val="16"/>
                <w:szCs w:val="16"/>
              </w:rPr>
            </w:pPr>
            <w:r w:rsidRPr="00411854">
              <w:rPr>
                <w:rFonts w:cs="Arial"/>
                <w:color w:val="000000"/>
                <w:sz w:val="16"/>
                <w:szCs w:val="16"/>
              </w:rPr>
              <w:t>31,9</w:t>
            </w:r>
          </w:p>
        </w:tc>
        <w:tc>
          <w:tcPr>
            <w:tcW w:w="787" w:type="dxa"/>
            <w:tcBorders>
              <w:top w:val="nil"/>
              <w:left w:val="nil"/>
              <w:bottom w:val="nil"/>
              <w:right w:val="nil"/>
            </w:tcBorders>
            <w:vAlign w:val="center"/>
          </w:tcPr>
          <w:p w:rsidR="00411854" w:rsidRPr="00B361FA" w:rsidRDefault="00B361FA" w:rsidP="00411854">
            <w:pPr>
              <w:spacing w:after="0" w:line="240" w:lineRule="auto"/>
              <w:jc w:val="center"/>
              <w:rPr>
                <w:rFonts w:cs="Arial"/>
                <w:color w:val="000000"/>
                <w:sz w:val="16"/>
                <w:szCs w:val="16"/>
              </w:rPr>
            </w:pPr>
            <w:r w:rsidRPr="00B361FA">
              <w:rPr>
                <w:rFonts w:cs="Arial"/>
                <w:color w:val="000000"/>
                <w:sz w:val="16"/>
                <w:szCs w:val="16"/>
              </w:rPr>
              <w:t>32,1</w:t>
            </w:r>
          </w:p>
        </w:tc>
      </w:tr>
      <w:tr w:rsidR="00411854" w:rsidRPr="00411854" w:rsidTr="00CD07CB">
        <w:trPr>
          <w:trHeight w:val="300"/>
        </w:trPr>
        <w:tc>
          <w:tcPr>
            <w:tcW w:w="787" w:type="dxa"/>
            <w:tcBorders>
              <w:top w:val="nil"/>
              <w:left w:val="nil"/>
              <w:bottom w:val="nil"/>
              <w:right w:val="single" w:sz="4" w:space="0" w:color="auto"/>
            </w:tcBorders>
            <w:shd w:val="clear" w:color="auto" w:fill="auto"/>
            <w:noWrap/>
            <w:vAlign w:val="center"/>
            <w:hideMark/>
          </w:tcPr>
          <w:p w:rsidR="00411854" w:rsidRPr="00411854" w:rsidRDefault="00411854" w:rsidP="00411854">
            <w:pPr>
              <w:spacing w:after="0" w:line="240" w:lineRule="auto"/>
              <w:ind w:firstLineChars="100" w:firstLine="160"/>
              <w:jc w:val="left"/>
              <w:rPr>
                <w:rFonts w:cs="Arial"/>
                <w:color w:val="000000"/>
                <w:sz w:val="16"/>
                <w:szCs w:val="16"/>
              </w:rPr>
            </w:pPr>
            <w:r w:rsidRPr="00411854">
              <w:rPr>
                <w:rFonts w:cs="Arial"/>
                <w:color w:val="000000"/>
                <w:sz w:val="16"/>
                <w:szCs w:val="16"/>
              </w:rPr>
              <w:t>ženy</w:t>
            </w:r>
          </w:p>
        </w:tc>
        <w:tc>
          <w:tcPr>
            <w:tcW w:w="869" w:type="dxa"/>
            <w:tcBorders>
              <w:top w:val="nil"/>
              <w:left w:val="nil"/>
              <w:bottom w:val="nil"/>
              <w:right w:val="nil"/>
            </w:tcBorders>
            <w:shd w:val="clear" w:color="auto" w:fill="auto"/>
            <w:noWrap/>
            <w:vAlign w:val="center"/>
            <w:hideMark/>
          </w:tcPr>
          <w:p w:rsidR="00411854" w:rsidRPr="00411854" w:rsidRDefault="00411854" w:rsidP="00411854">
            <w:pPr>
              <w:spacing w:after="0" w:line="240" w:lineRule="auto"/>
              <w:jc w:val="center"/>
              <w:rPr>
                <w:rFonts w:cs="Arial"/>
                <w:color w:val="000000"/>
                <w:sz w:val="16"/>
                <w:szCs w:val="16"/>
              </w:rPr>
            </w:pPr>
            <w:r w:rsidRPr="00411854">
              <w:rPr>
                <w:rFonts w:cs="Arial"/>
                <w:color w:val="000000"/>
                <w:sz w:val="16"/>
                <w:szCs w:val="16"/>
              </w:rPr>
              <w:t>48,0</w:t>
            </w:r>
          </w:p>
        </w:tc>
        <w:tc>
          <w:tcPr>
            <w:tcW w:w="787" w:type="dxa"/>
            <w:tcBorders>
              <w:top w:val="nil"/>
              <w:left w:val="nil"/>
              <w:bottom w:val="nil"/>
              <w:right w:val="nil"/>
            </w:tcBorders>
            <w:shd w:val="clear" w:color="auto" w:fill="auto"/>
            <w:noWrap/>
            <w:vAlign w:val="center"/>
            <w:hideMark/>
          </w:tcPr>
          <w:p w:rsidR="00411854" w:rsidRPr="00411854" w:rsidRDefault="00411854" w:rsidP="00411854">
            <w:pPr>
              <w:spacing w:after="0" w:line="240" w:lineRule="auto"/>
              <w:jc w:val="center"/>
              <w:rPr>
                <w:rFonts w:cs="Arial"/>
                <w:color w:val="000000"/>
                <w:sz w:val="16"/>
                <w:szCs w:val="16"/>
              </w:rPr>
            </w:pPr>
            <w:r w:rsidRPr="00411854">
              <w:rPr>
                <w:rFonts w:cs="Arial"/>
                <w:color w:val="000000"/>
                <w:sz w:val="16"/>
                <w:szCs w:val="16"/>
              </w:rPr>
              <w:t>44,8</w:t>
            </w:r>
          </w:p>
        </w:tc>
        <w:tc>
          <w:tcPr>
            <w:tcW w:w="787" w:type="dxa"/>
            <w:tcBorders>
              <w:top w:val="nil"/>
              <w:left w:val="nil"/>
              <w:bottom w:val="nil"/>
              <w:right w:val="nil"/>
            </w:tcBorders>
            <w:shd w:val="clear" w:color="auto" w:fill="auto"/>
            <w:noWrap/>
            <w:vAlign w:val="center"/>
            <w:hideMark/>
          </w:tcPr>
          <w:p w:rsidR="00411854" w:rsidRPr="00411854" w:rsidRDefault="00411854" w:rsidP="00411854">
            <w:pPr>
              <w:spacing w:after="0" w:line="240" w:lineRule="auto"/>
              <w:jc w:val="center"/>
              <w:rPr>
                <w:rFonts w:cs="Arial"/>
                <w:color w:val="000000"/>
                <w:sz w:val="16"/>
                <w:szCs w:val="16"/>
              </w:rPr>
            </w:pPr>
            <w:r w:rsidRPr="00411854">
              <w:rPr>
                <w:rFonts w:cs="Arial"/>
                <w:color w:val="000000"/>
                <w:sz w:val="16"/>
                <w:szCs w:val="16"/>
              </w:rPr>
              <w:t>45,2</w:t>
            </w:r>
          </w:p>
        </w:tc>
        <w:tc>
          <w:tcPr>
            <w:tcW w:w="787" w:type="dxa"/>
            <w:tcBorders>
              <w:top w:val="nil"/>
              <w:left w:val="nil"/>
              <w:bottom w:val="nil"/>
              <w:right w:val="nil"/>
            </w:tcBorders>
            <w:shd w:val="clear" w:color="auto" w:fill="auto"/>
            <w:noWrap/>
            <w:vAlign w:val="center"/>
            <w:hideMark/>
          </w:tcPr>
          <w:p w:rsidR="00411854" w:rsidRPr="00411854" w:rsidRDefault="00411854" w:rsidP="00411854">
            <w:pPr>
              <w:spacing w:after="0" w:line="240" w:lineRule="auto"/>
              <w:jc w:val="center"/>
              <w:rPr>
                <w:rFonts w:cs="Arial"/>
                <w:color w:val="000000"/>
                <w:sz w:val="16"/>
                <w:szCs w:val="16"/>
              </w:rPr>
            </w:pPr>
            <w:r w:rsidRPr="00411854">
              <w:rPr>
                <w:rFonts w:cs="Arial"/>
                <w:color w:val="000000"/>
                <w:sz w:val="16"/>
                <w:szCs w:val="16"/>
              </w:rPr>
              <w:t>44,3</w:t>
            </w:r>
          </w:p>
        </w:tc>
        <w:tc>
          <w:tcPr>
            <w:tcW w:w="787" w:type="dxa"/>
            <w:tcBorders>
              <w:top w:val="nil"/>
              <w:left w:val="nil"/>
              <w:bottom w:val="nil"/>
              <w:right w:val="nil"/>
            </w:tcBorders>
            <w:shd w:val="clear" w:color="auto" w:fill="auto"/>
            <w:noWrap/>
            <w:vAlign w:val="center"/>
            <w:hideMark/>
          </w:tcPr>
          <w:p w:rsidR="00411854" w:rsidRPr="00411854" w:rsidRDefault="00411854" w:rsidP="00411854">
            <w:pPr>
              <w:spacing w:after="0" w:line="240" w:lineRule="auto"/>
              <w:jc w:val="center"/>
              <w:rPr>
                <w:rFonts w:cs="Arial"/>
                <w:color w:val="000000"/>
                <w:sz w:val="16"/>
                <w:szCs w:val="16"/>
              </w:rPr>
            </w:pPr>
            <w:r w:rsidRPr="00411854">
              <w:rPr>
                <w:rFonts w:cs="Arial"/>
                <w:color w:val="000000"/>
                <w:sz w:val="16"/>
                <w:szCs w:val="16"/>
              </w:rPr>
              <w:t>43,0</w:t>
            </w:r>
          </w:p>
        </w:tc>
        <w:tc>
          <w:tcPr>
            <w:tcW w:w="787" w:type="dxa"/>
            <w:tcBorders>
              <w:top w:val="nil"/>
              <w:left w:val="nil"/>
              <w:bottom w:val="nil"/>
              <w:right w:val="nil"/>
            </w:tcBorders>
            <w:shd w:val="clear" w:color="auto" w:fill="auto"/>
            <w:noWrap/>
            <w:vAlign w:val="center"/>
            <w:hideMark/>
          </w:tcPr>
          <w:p w:rsidR="00411854" w:rsidRPr="00411854" w:rsidRDefault="00411854" w:rsidP="00411854">
            <w:pPr>
              <w:spacing w:after="0" w:line="240" w:lineRule="auto"/>
              <w:jc w:val="center"/>
              <w:rPr>
                <w:rFonts w:cs="Arial"/>
                <w:color w:val="000000"/>
                <w:sz w:val="16"/>
                <w:szCs w:val="16"/>
              </w:rPr>
            </w:pPr>
            <w:r w:rsidRPr="00411854">
              <w:rPr>
                <w:rFonts w:cs="Arial"/>
                <w:color w:val="000000"/>
                <w:sz w:val="16"/>
                <w:szCs w:val="16"/>
              </w:rPr>
              <w:t>43,6</w:t>
            </w:r>
          </w:p>
        </w:tc>
        <w:tc>
          <w:tcPr>
            <w:tcW w:w="787" w:type="dxa"/>
            <w:tcBorders>
              <w:top w:val="nil"/>
              <w:left w:val="nil"/>
              <w:bottom w:val="nil"/>
              <w:right w:val="nil"/>
            </w:tcBorders>
            <w:shd w:val="clear" w:color="auto" w:fill="auto"/>
            <w:noWrap/>
            <w:vAlign w:val="center"/>
            <w:hideMark/>
          </w:tcPr>
          <w:p w:rsidR="00411854" w:rsidRPr="00411854" w:rsidRDefault="00411854" w:rsidP="00411854">
            <w:pPr>
              <w:spacing w:after="0" w:line="240" w:lineRule="auto"/>
              <w:jc w:val="center"/>
              <w:rPr>
                <w:rFonts w:cs="Arial"/>
                <w:color w:val="000000"/>
                <w:sz w:val="16"/>
                <w:szCs w:val="16"/>
              </w:rPr>
            </w:pPr>
            <w:r w:rsidRPr="00411854">
              <w:rPr>
                <w:rFonts w:cs="Arial"/>
                <w:color w:val="000000"/>
                <w:sz w:val="16"/>
                <w:szCs w:val="16"/>
              </w:rPr>
              <w:t>40,9</w:t>
            </w:r>
          </w:p>
        </w:tc>
        <w:tc>
          <w:tcPr>
            <w:tcW w:w="787" w:type="dxa"/>
            <w:tcBorders>
              <w:top w:val="nil"/>
              <w:left w:val="nil"/>
              <w:bottom w:val="nil"/>
              <w:right w:val="nil"/>
            </w:tcBorders>
            <w:shd w:val="clear" w:color="auto" w:fill="auto"/>
            <w:noWrap/>
            <w:vAlign w:val="center"/>
            <w:hideMark/>
          </w:tcPr>
          <w:p w:rsidR="00411854" w:rsidRPr="00411854" w:rsidRDefault="00411854" w:rsidP="00411854">
            <w:pPr>
              <w:spacing w:after="0" w:line="240" w:lineRule="auto"/>
              <w:jc w:val="center"/>
              <w:rPr>
                <w:rFonts w:cs="Arial"/>
                <w:color w:val="000000"/>
                <w:sz w:val="16"/>
                <w:szCs w:val="16"/>
              </w:rPr>
            </w:pPr>
            <w:r w:rsidRPr="00411854">
              <w:rPr>
                <w:rFonts w:cs="Arial"/>
                <w:color w:val="000000"/>
                <w:sz w:val="16"/>
                <w:szCs w:val="16"/>
              </w:rPr>
              <w:t>35,9</w:t>
            </w:r>
          </w:p>
        </w:tc>
        <w:tc>
          <w:tcPr>
            <w:tcW w:w="787" w:type="dxa"/>
            <w:tcBorders>
              <w:top w:val="nil"/>
              <w:left w:val="nil"/>
              <w:bottom w:val="nil"/>
              <w:right w:val="nil"/>
            </w:tcBorders>
            <w:shd w:val="clear" w:color="auto" w:fill="auto"/>
            <w:noWrap/>
            <w:vAlign w:val="center"/>
            <w:hideMark/>
          </w:tcPr>
          <w:p w:rsidR="00411854" w:rsidRPr="00411854" w:rsidRDefault="00411854" w:rsidP="00411854">
            <w:pPr>
              <w:spacing w:after="0" w:line="240" w:lineRule="auto"/>
              <w:jc w:val="center"/>
              <w:rPr>
                <w:rFonts w:cs="Arial"/>
                <w:color w:val="000000"/>
                <w:sz w:val="16"/>
                <w:szCs w:val="16"/>
              </w:rPr>
            </w:pPr>
            <w:r w:rsidRPr="00411854">
              <w:rPr>
                <w:rFonts w:cs="Arial"/>
                <w:color w:val="000000"/>
                <w:sz w:val="16"/>
                <w:szCs w:val="16"/>
              </w:rPr>
              <w:t>26,6</w:t>
            </w:r>
          </w:p>
        </w:tc>
        <w:tc>
          <w:tcPr>
            <w:tcW w:w="787" w:type="dxa"/>
            <w:tcBorders>
              <w:top w:val="nil"/>
              <w:left w:val="nil"/>
              <w:bottom w:val="nil"/>
              <w:right w:val="nil"/>
            </w:tcBorders>
            <w:shd w:val="clear" w:color="auto" w:fill="auto"/>
            <w:noWrap/>
            <w:vAlign w:val="center"/>
            <w:hideMark/>
          </w:tcPr>
          <w:p w:rsidR="00411854" w:rsidRPr="00411854" w:rsidRDefault="00411854" w:rsidP="00411854">
            <w:pPr>
              <w:spacing w:after="0" w:line="240" w:lineRule="auto"/>
              <w:jc w:val="center"/>
              <w:rPr>
                <w:rFonts w:cs="Arial"/>
                <w:color w:val="000000"/>
                <w:sz w:val="16"/>
                <w:szCs w:val="16"/>
              </w:rPr>
            </w:pPr>
            <w:r w:rsidRPr="00411854">
              <w:rPr>
                <w:rFonts w:cs="Arial"/>
                <w:color w:val="000000"/>
                <w:sz w:val="16"/>
                <w:szCs w:val="16"/>
              </w:rPr>
              <w:t>31,0</w:t>
            </w:r>
          </w:p>
        </w:tc>
        <w:tc>
          <w:tcPr>
            <w:tcW w:w="787" w:type="dxa"/>
            <w:tcBorders>
              <w:top w:val="nil"/>
              <w:left w:val="nil"/>
              <w:bottom w:val="nil"/>
              <w:right w:val="nil"/>
            </w:tcBorders>
            <w:vAlign w:val="center"/>
          </w:tcPr>
          <w:p w:rsidR="00411854" w:rsidRPr="00B361FA" w:rsidRDefault="00411854" w:rsidP="00411854">
            <w:pPr>
              <w:spacing w:after="0" w:line="240" w:lineRule="auto"/>
              <w:jc w:val="center"/>
              <w:rPr>
                <w:rFonts w:cs="Arial"/>
                <w:color w:val="000000"/>
                <w:sz w:val="16"/>
                <w:szCs w:val="16"/>
              </w:rPr>
            </w:pPr>
            <w:r w:rsidRPr="00B361FA">
              <w:rPr>
                <w:rFonts w:cs="Arial"/>
                <w:color w:val="000000"/>
                <w:sz w:val="16"/>
                <w:szCs w:val="16"/>
              </w:rPr>
              <w:t>31,4</w:t>
            </w:r>
          </w:p>
        </w:tc>
      </w:tr>
    </w:tbl>
    <w:p w:rsidR="00411854" w:rsidRDefault="00411854" w:rsidP="00B361FA">
      <w:pPr>
        <w:spacing w:before="120" w:after="0" w:line="240" w:lineRule="auto"/>
        <w:rPr>
          <w:rFonts w:cs="Arial"/>
          <w:color w:val="000000"/>
          <w:sz w:val="16"/>
          <w:szCs w:val="16"/>
        </w:rPr>
      </w:pPr>
      <w:r>
        <w:rPr>
          <w:rFonts w:cs="Arial"/>
          <w:color w:val="000000"/>
          <w:sz w:val="16"/>
          <w:szCs w:val="16"/>
        </w:rPr>
        <w:t>* Údaje za rok 2022 nejsou srovnatelné s údaji za ostatní roky.</w:t>
      </w:r>
    </w:p>
    <w:p w:rsidR="00411854" w:rsidRDefault="00411854" w:rsidP="00411854">
      <w:pPr>
        <w:rPr>
          <w:rFonts w:cs="Arial"/>
          <w:color w:val="000000"/>
          <w:sz w:val="16"/>
          <w:szCs w:val="16"/>
        </w:rPr>
      </w:pPr>
      <w:r w:rsidRPr="00554433">
        <w:rPr>
          <w:rFonts w:cs="Arial"/>
          <w:color w:val="000000"/>
          <w:sz w:val="16"/>
          <w:szCs w:val="16"/>
        </w:rPr>
        <w:t>Zdroj: ČSÚ</w:t>
      </w:r>
    </w:p>
    <w:p w:rsidR="00411854" w:rsidRDefault="009A0953" w:rsidP="009A0953">
      <w:r w:rsidRPr="00251BF8">
        <w:t xml:space="preserve">Nejvíce </w:t>
      </w:r>
      <w:r>
        <w:t xml:space="preserve">kalendářních </w:t>
      </w:r>
      <w:r w:rsidRPr="00251BF8">
        <w:t>dnů dočasné pracov</w:t>
      </w:r>
      <w:r>
        <w:t>ní neschopnosti bylo v roce 2024</w:t>
      </w:r>
      <w:r w:rsidRPr="00251BF8">
        <w:t xml:space="preserve"> zaznamenáno</w:t>
      </w:r>
      <w:r>
        <w:t xml:space="preserve"> v odvětvové sekci Zpracovatelský průmysl </w:t>
      </w:r>
      <w:r w:rsidR="008B5CEA" w:rsidRPr="008B5CEA">
        <w:t>(25 235</w:t>
      </w:r>
      <w:r w:rsidRPr="008B5CEA">
        <w:t xml:space="preserve"> tisíc),</w:t>
      </w:r>
      <w:r w:rsidRPr="00251BF8">
        <w:t xml:space="preserve"> kde </w:t>
      </w:r>
      <w:r>
        <w:t xml:space="preserve">se </w:t>
      </w:r>
      <w:r w:rsidR="004D40BB">
        <w:t xml:space="preserve">také </w:t>
      </w:r>
      <w:r>
        <w:t>nachází</w:t>
      </w:r>
      <w:r w:rsidRPr="00251BF8">
        <w:t xml:space="preserve"> </w:t>
      </w:r>
      <w:r w:rsidR="004D40BB">
        <w:t>nejvyšší počet pojištěnců</w:t>
      </w:r>
      <w:r w:rsidRPr="00251BF8">
        <w:t xml:space="preserve">, a tím pádem také </w:t>
      </w:r>
      <w:r w:rsidRPr="00251BF8">
        <w:lastRenderedPageBreak/>
        <w:t>nejvyšší počet případů pracovní neschopnosti. Nejméně</w:t>
      </w:r>
      <w:r w:rsidR="004D40BB">
        <w:t xml:space="preserve"> kalendářních</w:t>
      </w:r>
      <w:r w:rsidRPr="00251BF8">
        <w:t xml:space="preserve"> dnů pracovní neschopnosti </w:t>
      </w:r>
      <w:r w:rsidR="004D40BB">
        <w:t>zapříčiněných pracovním úrazem</w:t>
      </w:r>
      <w:r w:rsidRPr="00251BF8">
        <w:t xml:space="preserve"> vykazovaly odvětvové sekce</w:t>
      </w:r>
      <w:r w:rsidR="004D40BB">
        <w:t xml:space="preserve"> Peněžnictví a </w:t>
      </w:r>
      <w:r w:rsidR="004D40BB" w:rsidRPr="008B5CEA">
        <w:t xml:space="preserve">pojišťovnictví (5,3 </w:t>
      </w:r>
      <w:r w:rsidRPr="008B5CEA">
        <w:t>tis</w:t>
      </w:r>
      <w:r w:rsidR="004D40BB" w:rsidRPr="008B5CEA">
        <w:t>íc</w:t>
      </w:r>
      <w:r w:rsidRPr="008B5CEA">
        <w:t>)</w:t>
      </w:r>
      <w:r w:rsidR="004D40BB" w:rsidRPr="008B5CEA">
        <w:br/>
      </w:r>
      <w:r w:rsidRPr="008B5CEA">
        <w:t>a Info</w:t>
      </w:r>
      <w:r w:rsidR="004D40BB" w:rsidRPr="008B5CEA">
        <w:t>rmační a komunikační činnosti (necelých 6,5</w:t>
      </w:r>
      <w:r w:rsidRPr="008B5CEA">
        <w:t> tis</w:t>
      </w:r>
      <w:r w:rsidR="004D40BB" w:rsidRPr="008B5CEA">
        <w:t>íc</w:t>
      </w:r>
      <w:r w:rsidRPr="008B5CEA">
        <w:t>).</w:t>
      </w:r>
    </w:p>
    <w:p w:rsidR="00C47418" w:rsidRDefault="00BE4840" w:rsidP="00C47418">
      <w:r w:rsidRPr="00251BF8">
        <w:t>Jak již bylo zmíněno výše, dočasná pracovní neschopnost v roce 202</w:t>
      </w:r>
      <w:r>
        <w:t>4 trvala v </w:t>
      </w:r>
      <w:r w:rsidRPr="00F14A93">
        <w:t xml:space="preserve">průměru </w:t>
      </w:r>
      <w:r w:rsidR="00F14A93" w:rsidRPr="00F14A93">
        <w:t>31,7</w:t>
      </w:r>
      <w:r w:rsidRPr="00F14A93">
        <w:t xml:space="preserve"> dnů</w:t>
      </w:r>
      <w:r w:rsidRPr="00251BF8">
        <w:t xml:space="preserve">. </w:t>
      </w:r>
      <w:r w:rsidRPr="00251BF8">
        <w:rPr>
          <w:b/>
        </w:rPr>
        <w:t xml:space="preserve">Odvětvím </w:t>
      </w:r>
      <w:r w:rsidRPr="00251BF8">
        <w:t>s</w:t>
      </w:r>
      <w:r>
        <w:t> </w:t>
      </w:r>
      <w:r w:rsidR="0031497C">
        <w:t>nejdelší</w:t>
      </w:r>
      <w:r w:rsidR="0031497C" w:rsidRPr="00251BF8">
        <w:t> </w:t>
      </w:r>
      <w:r w:rsidRPr="00251BF8">
        <w:t>průměrnou délkou trvání</w:t>
      </w:r>
      <w:r>
        <w:t xml:space="preserve"> jednoho případu</w:t>
      </w:r>
      <w:r w:rsidRPr="00251BF8">
        <w:t xml:space="preserve"> bylo Zemědělství, lesnictví, </w:t>
      </w:r>
      <w:r w:rsidRPr="00F14A93">
        <w:t>rybářství (45</w:t>
      </w:r>
      <w:r w:rsidR="00F14A93" w:rsidRPr="00F14A93">
        <w:t>,1</w:t>
      </w:r>
      <w:r w:rsidRPr="00F14A93">
        <w:t xml:space="preserve"> dnů)</w:t>
      </w:r>
      <w:r w:rsidRPr="00251BF8">
        <w:t xml:space="preserve"> spolu se sekcemi </w:t>
      </w:r>
      <w:r w:rsidRPr="00F14A93">
        <w:t>Stavebnictví (42</w:t>
      </w:r>
      <w:r w:rsidR="00F14A93" w:rsidRPr="00F14A93">
        <w:t>,2</w:t>
      </w:r>
      <w:r w:rsidRPr="00F14A93">
        <w:t xml:space="preserve"> dnů) a </w:t>
      </w:r>
      <w:r w:rsidR="00354F17" w:rsidRPr="00F14A93">
        <w:t xml:space="preserve">Těžba a dobývání </w:t>
      </w:r>
      <w:r w:rsidRPr="00F14A93">
        <w:t>(4</w:t>
      </w:r>
      <w:r w:rsidR="00F14A93" w:rsidRPr="00F14A93">
        <w:t>0,7</w:t>
      </w:r>
      <w:r w:rsidRPr="00F14A93">
        <w:t xml:space="preserve"> dnů).</w:t>
      </w:r>
      <w:r>
        <w:t xml:space="preserve"> </w:t>
      </w:r>
      <w:r w:rsidRPr="00F14A93">
        <w:t>Více než 40denní neschopnost dále vy</w:t>
      </w:r>
      <w:r w:rsidR="00354F17" w:rsidRPr="00F14A93">
        <w:t>kazovala sekce Ubytování, stravování a pohostinství.</w:t>
      </w:r>
    </w:p>
    <w:p w:rsidR="00C47418" w:rsidRPr="00C47418" w:rsidRDefault="00C47418" w:rsidP="00C47418">
      <w:r w:rsidRPr="00C47418">
        <w:t xml:space="preserve">Nejkratší </w:t>
      </w:r>
      <w:r>
        <w:t>průměrná délka</w:t>
      </w:r>
      <w:r w:rsidRPr="00251BF8">
        <w:t xml:space="preserve"> trvání</w:t>
      </w:r>
      <w:r>
        <w:t xml:space="preserve"> jednoho případu ve dnech </w:t>
      </w:r>
      <w:r w:rsidRPr="00C47418">
        <w:t>připadala na pracovní neschopnost v odvětví</w:t>
      </w:r>
      <w:r>
        <w:t>ch</w:t>
      </w:r>
      <w:r w:rsidRPr="00C47418">
        <w:t xml:space="preserve"> Informační a komunikační </w:t>
      </w:r>
      <w:r w:rsidRPr="00F14A93">
        <w:t>činnosti (18</w:t>
      </w:r>
      <w:r w:rsidR="00F14A93" w:rsidRPr="00F14A93">
        <w:t>,1</w:t>
      </w:r>
      <w:r w:rsidRPr="00F14A93">
        <w:t>) a Vzdělávání (</w:t>
      </w:r>
      <w:r w:rsidR="00F14A93" w:rsidRPr="00F14A93">
        <w:t>20,9</w:t>
      </w:r>
      <w:r w:rsidRPr="00F14A93">
        <w:t>). Následujícím</w:t>
      </w:r>
      <w:r>
        <w:t xml:space="preserve"> </w:t>
      </w:r>
      <w:r w:rsidRPr="00C47418">
        <w:t>odvětvím s </w:t>
      </w:r>
      <w:r>
        <w:t>relativně</w:t>
      </w:r>
      <w:r w:rsidRPr="00C47418">
        <w:t xml:space="preserve"> nízkou průměrnou délkou pracovní neschopnosti byla sekce Peněžnictví a pojišťovnictví </w:t>
      </w:r>
      <w:r w:rsidRPr="00F14A93">
        <w:t>(</w:t>
      </w:r>
      <w:r w:rsidR="00F14A93" w:rsidRPr="00F14A93">
        <w:t>23,8 dnů</w:t>
      </w:r>
      <w:r w:rsidRPr="00F14A93">
        <w:t>).</w:t>
      </w:r>
      <w:r w:rsidRPr="00C47418">
        <w:t xml:space="preserve"> Podrobněji viz</w:t>
      </w:r>
      <w:r w:rsidR="00F14A93">
        <w:t> </w:t>
      </w:r>
      <w:r w:rsidRPr="00C47418">
        <w:t>graf 2.9 a tab</w:t>
      </w:r>
      <w:r>
        <w:t>ulka</w:t>
      </w:r>
      <w:r w:rsidRPr="00C47418">
        <w:t xml:space="preserve"> 2.</w:t>
      </w:r>
      <w:r w:rsidRPr="00F14A93">
        <w:t>5.</w:t>
      </w:r>
      <w:r w:rsidR="006172DA" w:rsidRPr="00F14A93">
        <w:t xml:space="preserve"> </w:t>
      </w:r>
      <w:r w:rsidRPr="00F14A93">
        <w:t>Oproti roku 2019 došlo k poklesu ve všech odvětvových sekcích, v průměru</w:t>
      </w:r>
      <w:r w:rsidRPr="00C47418">
        <w:t xml:space="preserve"> to bylo </w:t>
      </w:r>
      <w:r w:rsidRPr="00F14A93">
        <w:t xml:space="preserve">o </w:t>
      </w:r>
      <w:r w:rsidR="00F14A93" w:rsidRPr="00F14A93">
        <w:t xml:space="preserve">necelých </w:t>
      </w:r>
      <w:r w:rsidRPr="00F14A93">
        <w:t>11</w:t>
      </w:r>
      <w:r w:rsidRPr="00C47418">
        <w:t xml:space="preserve"> dnů (o čtvrtinu). Nejvíce v sekci </w:t>
      </w:r>
      <w:r w:rsidR="006172DA" w:rsidRPr="006172DA">
        <w:t xml:space="preserve">Ubytování, stravování a </w:t>
      </w:r>
      <w:r w:rsidR="006172DA" w:rsidRPr="00F14A93">
        <w:t>pohostinství</w:t>
      </w:r>
      <w:r w:rsidRPr="00F14A93">
        <w:t>, a </w:t>
      </w:r>
      <w:r w:rsidR="006172DA" w:rsidRPr="00F14A93">
        <w:t>to</w:t>
      </w:r>
      <w:r w:rsidRPr="00F14A93">
        <w:t xml:space="preserve"> o 14 dnů (</w:t>
      </w:r>
      <w:r w:rsidR="006172DA" w:rsidRPr="00F14A93">
        <w:t>26</w:t>
      </w:r>
      <w:r w:rsidRPr="00F14A93">
        <w:t xml:space="preserve"> %). Největší relativní pokles byl zaznamenán v sekci Vzdělávání </w:t>
      </w:r>
      <w:r w:rsidR="006172DA" w:rsidRPr="00F14A93">
        <w:t>(</w:t>
      </w:r>
      <w:r w:rsidRPr="00F14A93">
        <w:t xml:space="preserve">o </w:t>
      </w:r>
      <w:r w:rsidR="006172DA" w:rsidRPr="00F14A93">
        <w:t>33</w:t>
      </w:r>
      <w:r w:rsidRPr="00F14A93">
        <w:t> %</w:t>
      </w:r>
      <w:r w:rsidR="006172DA" w:rsidRPr="00F14A93">
        <w:t>)</w:t>
      </w:r>
      <w:r w:rsidRPr="00F14A93">
        <w:t xml:space="preserve">, což představuje zkrácení </w:t>
      </w:r>
      <w:r w:rsidR="006172DA" w:rsidRPr="00F14A93">
        <w:t>průměrné délky trvání o 10</w:t>
      </w:r>
      <w:r w:rsidRPr="00F14A93">
        <w:t xml:space="preserve"> dnů.</w:t>
      </w:r>
    </w:p>
    <w:p w:rsidR="00C47418" w:rsidRPr="00C47418" w:rsidRDefault="00C47418" w:rsidP="00C47418">
      <w:pPr>
        <w:spacing w:before="120"/>
      </w:pPr>
      <w:r w:rsidRPr="00C47418">
        <w:rPr>
          <w:b/>
        </w:rPr>
        <w:t>Osoby samostatně výdělečně činné (OSVČ)</w:t>
      </w:r>
      <w:r w:rsidRPr="00C47418">
        <w:t xml:space="preserve"> nastupují do pracovní neschopnost</w:t>
      </w:r>
      <w:r w:rsidR="002A052F">
        <w:t xml:space="preserve">i méně často než </w:t>
      </w:r>
      <w:r w:rsidR="002A052F" w:rsidRPr="00F14A93">
        <w:t>zaměstnanci (16</w:t>
      </w:r>
      <w:r w:rsidRPr="00F14A93">
        <w:t xml:space="preserve"> případů</w:t>
      </w:r>
      <w:r w:rsidRPr="00C47418">
        <w:t xml:space="preserve"> na 100</w:t>
      </w:r>
      <w:r w:rsidR="002A052F">
        <w:t xml:space="preserve"> nemocensky pojištěných OSVČ versus</w:t>
      </w:r>
      <w:r w:rsidR="00935AEF">
        <w:t xml:space="preserve"> </w:t>
      </w:r>
      <w:r w:rsidR="00605275" w:rsidRPr="00605275">
        <w:t>53</w:t>
      </w:r>
      <w:r w:rsidRPr="00605275">
        <w:t xml:space="preserve"> p</w:t>
      </w:r>
      <w:r w:rsidR="002A052F" w:rsidRPr="00605275">
        <w:t>řípadů</w:t>
      </w:r>
      <w:r w:rsidR="002A052F">
        <w:t xml:space="preserve"> u zaměstnanců v roce 2024</w:t>
      </w:r>
      <w:r w:rsidRPr="00C47418">
        <w:t xml:space="preserve">). </w:t>
      </w:r>
      <w:r w:rsidRPr="00935AEF">
        <w:t xml:space="preserve">Pokud jsou však ze zdravotních důvodů </w:t>
      </w:r>
      <w:r w:rsidR="00935AEF" w:rsidRPr="00935AEF">
        <w:t xml:space="preserve">OSVČ </w:t>
      </w:r>
      <w:r w:rsidRPr="00935AEF">
        <w:t xml:space="preserve">z výkonu práce indisponováni, průměrná délka jejich pracovní neschopnosti značně převyšuje ostatní </w:t>
      </w:r>
      <w:r w:rsidR="00935AEF">
        <w:t xml:space="preserve">sledované </w:t>
      </w:r>
      <w:r w:rsidRPr="00935AEF">
        <w:t>kategorie velikosti podniku</w:t>
      </w:r>
      <w:r w:rsidR="00935AEF">
        <w:t>, viz graf 2.10</w:t>
      </w:r>
      <w:r w:rsidRPr="00C47418">
        <w:t>.</w:t>
      </w:r>
    </w:p>
    <w:p w:rsidR="00CD07CB" w:rsidRDefault="00F14A93" w:rsidP="00CD07CB">
      <w:pPr>
        <w:spacing w:after="0"/>
        <w:rPr>
          <w:b/>
        </w:rPr>
      </w:pPr>
      <w:r>
        <w:rPr>
          <w:noProof/>
        </w:rPr>
        <w:drawing>
          <wp:anchor distT="0" distB="0" distL="114300" distR="114300" simplePos="0" relativeHeight="251685376" behindDoc="0" locked="0" layoutInCell="1" allowOverlap="1">
            <wp:simplePos x="0" y="0"/>
            <wp:positionH relativeFrom="column">
              <wp:posOffset>-635</wp:posOffset>
            </wp:positionH>
            <wp:positionV relativeFrom="paragraph">
              <wp:posOffset>162560</wp:posOffset>
            </wp:positionV>
            <wp:extent cx="6119495" cy="4968000"/>
            <wp:effectExtent l="0" t="0" r="0" b="4445"/>
            <wp:wrapTopAndBottom/>
            <wp:docPr id="17" name="Graf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14:sizeRelV relativeFrom="margin">
              <wp14:pctHeight>0</wp14:pctHeight>
            </wp14:sizeRelV>
          </wp:anchor>
        </w:drawing>
      </w:r>
      <w:r w:rsidR="00CD07CB" w:rsidRPr="00CD07CB">
        <w:rPr>
          <w:b/>
        </w:rPr>
        <w:t>Graf 2.9: Průměrná délka trvání dočasné pracovní neschopnosti podle odvětví (sekce CZ-NACE), 2024</w:t>
      </w:r>
    </w:p>
    <w:p w:rsidR="00486F05" w:rsidRDefault="008B5CEA" w:rsidP="008B5CEA">
      <w:pPr>
        <w:spacing w:after="0"/>
        <w:rPr>
          <w:rFonts w:cs="Arial"/>
          <w:color w:val="000000"/>
          <w:sz w:val="16"/>
          <w:szCs w:val="16"/>
        </w:rPr>
      </w:pPr>
      <w:r>
        <w:rPr>
          <w:rFonts w:cs="Arial"/>
          <w:color w:val="000000"/>
          <w:sz w:val="16"/>
          <w:szCs w:val="16"/>
        </w:rPr>
        <w:t>Z</w:t>
      </w:r>
      <w:r w:rsidR="00C47418" w:rsidRPr="00554433">
        <w:rPr>
          <w:rFonts w:cs="Arial"/>
          <w:color w:val="000000"/>
          <w:sz w:val="16"/>
          <w:szCs w:val="16"/>
        </w:rPr>
        <w:t>droj: ČSÚ</w:t>
      </w:r>
    </w:p>
    <w:p w:rsidR="00486F05" w:rsidRDefault="00486F05">
      <w:pPr>
        <w:spacing w:after="0" w:line="240" w:lineRule="auto"/>
        <w:jc w:val="left"/>
        <w:rPr>
          <w:rFonts w:cs="Arial"/>
          <w:color w:val="000000"/>
          <w:sz w:val="16"/>
          <w:szCs w:val="16"/>
        </w:rPr>
      </w:pPr>
      <w:r>
        <w:rPr>
          <w:rFonts w:cs="Arial"/>
          <w:color w:val="000000"/>
          <w:sz w:val="16"/>
          <w:szCs w:val="16"/>
        </w:rPr>
        <w:br w:type="page"/>
      </w:r>
    </w:p>
    <w:p w:rsidR="00787ADD" w:rsidRPr="00787ADD" w:rsidRDefault="00787ADD" w:rsidP="00787ADD">
      <w:pPr>
        <w:spacing w:before="120" w:after="0"/>
        <w:rPr>
          <w:rFonts w:cs="Arial"/>
          <w:color w:val="000000"/>
          <w:spacing w:val="-5"/>
          <w:sz w:val="16"/>
          <w:szCs w:val="16"/>
        </w:rPr>
      </w:pPr>
      <w:r w:rsidRPr="00787ADD">
        <w:rPr>
          <w:b/>
          <w:bCs/>
          <w:spacing w:val="-5"/>
        </w:rPr>
        <w:lastRenderedPageBreak/>
        <w:t>Tab. 2.5: Průměrná délka trvání dočasné pracovní neschopnosti podle odvětví (sekce CZ-NACE), 201</w:t>
      </w:r>
      <w:r>
        <w:rPr>
          <w:b/>
          <w:bCs/>
          <w:spacing w:val="-5"/>
        </w:rPr>
        <w:t>4–2024</w:t>
      </w:r>
      <w:r w:rsidRPr="00787ADD">
        <w:rPr>
          <w:rFonts w:cs="Arial"/>
          <w:color w:val="000000"/>
          <w:spacing w:val="-5"/>
          <w:sz w:val="16"/>
          <w:szCs w:val="16"/>
        </w:rPr>
        <w:t xml:space="preserve"> </w:t>
      </w:r>
    </w:p>
    <w:tbl>
      <w:tblPr>
        <w:tblW w:w="9638" w:type="dxa"/>
        <w:tblCellMar>
          <w:left w:w="70" w:type="dxa"/>
          <w:right w:w="70" w:type="dxa"/>
        </w:tblCellMar>
        <w:tblLook w:val="04A0" w:firstRow="1" w:lastRow="0" w:firstColumn="1" w:lastColumn="0" w:noHBand="0" w:noVBand="1"/>
      </w:tblPr>
      <w:tblGrid>
        <w:gridCol w:w="3401"/>
        <w:gridCol w:w="567"/>
        <w:gridCol w:w="567"/>
        <w:gridCol w:w="567"/>
        <w:gridCol w:w="567"/>
        <w:gridCol w:w="567"/>
        <w:gridCol w:w="567"/>
        <w:gridCol w:w="567"/>
        <w:gridCol w:w="567"/>
        <w:gridCol w:w="567"/>
        <w:gridCol w:w="567"/>
        <w:gridCol w:w="567"/>
      </w:tblGrid>
      <w:tr w:rsidR="00787ADD" w:rsidRPr="00787ADD" w:rsidTr="00787ADD">
        <w:trPr>
          <w:trHeight w:val="300"/>
        </w:trPr>
        <w:tc>
          <w:tcPr>
            <w:tcW w:w="3401" w:type="dxa"/>
            <w:tcBorders>
              <w:top w:val="single" w:sz="4" w:space="0" w:color="auto"/>
              <w:left w:val="nil"/>
              <w:bottom w:val="single" w:sz="4" w:space="0" w:color="auto"/>
              <w:right w:val="single" w:sz="4" w:space="0" w:color="auto"/>
            </w:tcBorders>
            <w:shd w:val="clear" w:color="auto" w:fill="E6C483"/>
            <w:vAlign w:val="center"/>
            <w:hideMark/>
          </w:tcPr>
          <w:p w:rsidR="00787ADD" w:rsidRPr="00787ADD" w:rsidRDefault="00787ADD" w:rsidP="00787ADD">
            <w:pPr>
              <w:spacing w:after="0" w:line="240" w:lineRule="auto"/>
              <w:jc w:val="center"/>
              <w:rPr>
                <w:rFonts w:cs="Arial"/>
                <w:color w:val="000000"/>
                <w:sz w:val="16"/>
                <w:szCs w:val="16"/>
              </w:rPr>
            </w:pPr>
            <w:r w:rsidRPr="00787ADD">
              <w:rPr>
                <w:rFonts w:cs="Arial"/>
                <w:color w:val="000000"/>
                <w:sz w:val="16"/>
                <w:szCs w:val="16"/>
              </w:rPr>
              <w:t>Sekce CZ-NACE</w:t>
            </w:r>
          </w:p>
        </w:tc>
        <w:tc>
          <w:tcPr>
            <w:tcW w:w="567" w:type="dxa"/>
            <w:tcBorders>
              <w:top w:val="single" w:sz="4" w:space="0" w:color="auto"/>
              <w:left w:val="nil"/>
              <w:bottom w:val="single" w:sz="4" w:space="0" w:color="auto"/>
              <w:right w:val="nil"/>
            </w:tcBorders>
            <w:shd w:val="clear" w:color="auto" w:fill="E6C483"/>
            <w:noWrap/>
            <w:vAlign w:val="center"/>
            <w:hideMark/>
          </w:tcPr>
          <w:p w:rsidR="00787ADD" w:rsidRPr="00787ADD" w:rsidRDefault="00787ADD" w:rsidP="00787ADD">
            <w:pPr>
              <w:spacing w:after="0" w:line="240" w:lineRule="auto"/>
              <w:jc w:val="center"/>
              <w:rPr>
                <w:rFonts w:cs="Arial"/>
                <w:color w:val="000000"/>
                <w:sz w:val="16"/>
                <w:szCs w:val="16"/>
              </w:rPr>
            </w:pPr>
            <w:r>
              <w:rPr>
                <w:rFonts w:cs="Arial"/>
                <w:color w:val="000000"/>
                <w:sz w:val="16"/>
                <w:szCs w:val="16"/>
              </w:rPr>
              <w:t>2014</w:t>
            </w:r>
          </w:p>
        </w:tc>
        <w:tc>
          <w:tcPr>
            <w:tcW w:w="567" w:type="dxa"/>
            <w:tcBorders>
              <w:top w:val="single" w:sz="4" w:space="0" w:color="auto"/>
              <w:left w:val="nil"/>
              <w:bottom w:val="single" w:sz="4" w:space="0" w:color="auto"/>
              <w:right w:val="nil"/>
            </w:tcBorders>
            <w:shd w:val="clear" w:color="auto" w:fill="E6C483"/>
            <w:noWrap/>
            <w:vAlign w:val="center"/>
            <w:hideMark/>
          </w:tcPr>
          <w:p w:rsidR="00787ADD" w:rsidRPr="00787ADD" w:rsidRDefault="00787ADD" w:rsidP="00787ADD">
            <w:pPr>
              <w:spacing w:after="0" w:line="240" w:lineRule="auto"/>
              <w:jc w:val="center"/>
              <w:rPr>
                <w:rFonts w:cs="Arial"/>
                <w:color w:val="000000"/>
                <w:sz w:val="16"/>
                <w:szCs w:val="16"/>
              </w:rPr>
            </w:pPr>
            <w:r>
              <w:rPr>
                <w:rFonts w:cs="Arial"/>
                <w:color w:val="000000"/>
                <w:sz w:val="16"/>
                <w:szCs w:val="16"/>
              </w:rPr>
              <w:t>2015</w:t>
            </w:r>
          </w:p>
        </w:tc>
        <w:tc>
          <w:tcPr>
            <w:tcW w:w="567" w:type="dxa"/>
            <w:tcBorders>
              <w:top w:val="single" w:sz="4" w:space="0" w:color="auto"/>
              <w:left w:val="nil"/>
              <w:bottom w:val="single" w:sz="4" w:space="0" w:color="auto"/>
              <w:right w:val="nil"/>
            </w:tcBorders>
            <w:shd w:val="clear" w:color="auto" w:fill="E6C483"/>
            <w:noWrap/>
            <w:vAlign w:val="center"/>
            <w:hideMark/>
          </w:tcPr>
          <w:p w:rsidR="00787ADD" w:rsidRPr="00787ADD" w:rsidRDefault="00787ADD" w:rsidP="00787ADD">
            <w:pPr>
              <w:spacing w:after="0" w:line="240" w:lineRule="auto"/>
              <w:jc w:val="center"/>
              <w:rPr>
                <w:rFonts w:cs="Arial"/>
                <w:color w:val="000000"/>
                <w:sz w:val="16"/>
                <w:szCs w:val="16"/>
              </w:rPr>
            </w:pPr>
            <w:r>
              <w:rPr>
                <w:rFonts w:cs="Arial"/>
                <w:color w:val="000000"/>
                <w:sz w:val="16"/>
                <w:szCs w:val="16"/>
              </w:rPr>
              <w:t>2016</w:t>
            </w:r>
          </w:p>
        </w:tc>
        <w:tc>
          <w:tcPr>
            <w:tcW w:w="567" w:type="dxa"/>
            <w:tcBorders>
              <w:top w:val="single" w:sz="4" w:space="0" w:color="auto"/>
              <w:left w:val="nil"/>
              <w:bottom w:val="single" w:sz="4" w:space="0" w:color="auto"/>
              <w:right w:val="nil"/>
            </w:tcBorders>
            <w:shd w:val="clear" w:color="auto" w:fill="E6C483"/>
            <w:noWrap/>
            <w:vAlign w:val="center"/>
            <w:hideMark/>
          </w:tcPr>
          <w:p w:rsidR="00787ADD" w:rsidRPr="00787ADD" w:rsidRDefault="00787ADD" w:rsidP="00787ADD">
            <w:pPr>
              <w:spacing w:after="0" w:line="240" w:lineRule="auto"/>
              <w:jc w:val="center"/>
              <w:rPr>
                <w:rFonts w:cs="Arial"/>
                <w:color w:val="000000"/>
                <w:sz w:val="16"/>
                <w:szCs w:val="16"/>
              </w:rPr>
            </w:pPr>
            <w:r>
              <w:rPr>
                <w:rFonts w:cs="Arial"/>
                <w:color w:val="000000"/>
                <w:sz w:val="16"/>
                <w:szCs w:val="16"/>
              </w:rPr>
              <w:t>2017</w:t>
            </w:r>
          </w:p>
        </w:tc>
        <w:tc>
          <w:tcPr>
            <w:tcW w:w="567" w:type="dxa"/>
            <w:tcBorders>
              <w:top w:val="single" w:sz="4" w:space="0" w:color="auto"/>
              <w:left w:val="nil"/>
              <w:bottom w:val="single" w:sz="4" w:space="0" w:color="auto"/>
              <w:right w:val="nil"/>
            </w:tcBorders>
            <w:shd w:val="clear" w:color="auto" w:fill="E6C483"/>
            <w:noWrap/>
            <w:vAlign w:val="center"/>
            <w:hideMark/>
          </w:tcPr>
          <w:p w:rsidR="00787ADD" w:rsidRPr="00787ADD" w:rsidRDefault="00787ADD" w:rsidP="00787ADD">
            <w:pPr>
              <w:spacing w:after="0" w:line="240" w:lineRule="auto"/>
              <w:jc w:val="center"/>
              <w:rPr>
                <w:rFonts w:cs="Arial"/>
                <w:color w:val="000000"/>
                <w:sz w:val="16"/>
                <w:szCs w:val="16"/>
              </w:rPr>
            </w:pPr>
            <w:r>
              <w:rPr>
                <w:rFonts w:cs="Arial"/>
                <w:color w:val="000000"/>
                <w:sz w:val="16"/>
                <w:szCs w:val="16"/>
              </w:rPr>
              <w:t>2018</w:t>
            </w:r>
          </w:p>
        </w:tc>
        <w:tc>
          <w:tcPr>
            <w:tcW w:w="567" w:type="dxa"/>
            <w:tcBorders>
              <w:top w:val="single" w:sz="4" w:space="0" w:color="auto"/>
              <w:left w:val="nil"/>
              <w:bottom w:val="single" w:sz="4" w:space="0" w:color="auto"/>
              <w:right w:val="nil"/>
            </w:tcBorders>
            <w:shd w:val="clear" w:color="auto" w:fill="E6C483"/>
            <w:noWrap/>
            <w:vAlign w:val="center"/>
            <w:hideMark/>
          </w:tcPr>
          <w:p w:rsidR="00787ADD" w:rsidRPr="00787ADD" w:rsidRDefault="00787ADD" w:rsidP="00787ADD">
            <w:pPr>
              <w:spacing w:after="0" w:line="240" w:lineRule="auto"/>
              <w:jc w:val="center"/>
              <w:rPr>
                <w:rFonts w:cs="Arial"/>
                <w:color w:val="000000"/>
                <w:sz w:val="16"/>
                <w:szCs w:val="16"/>
              </w:rPr>
            </w:pPr>
            <w:r>
              <w:rPr>
                <w:rFonts w:cs="Arial"/>
                <w:color w:val="000000"/>
                <w:sz w:val="16"/>
                <w:szCs w:val="16"/>
              </w:rPr>
              <w:t>2019</w:t>
            </w:r>
          </w:p>
        </w:tc>
        <w:tc>
          <w:tcPr>
            <w:tcW w:w="567" w:type="dxa"/>
            <w:tcBorders>
              <w:top w:val="single" w:sz="4" w:space="0" w:color="auto"/>
              <w:left w:val="nil"/>
              <w:bottom w:val="single" w:sz="4" w:space="0" w:color="auto"/>
              <w:right w:val="nil"/>
            </w:tcBorders>
            <w:shd w:val="clear" w:color="auto" w:fill="E6C483"/>
            <w:noWrap/>
            <w:vAlign w:val="center"/>
            <w:hideMark/>
          </w:tcPr>
          <w:p w:rsidR="00787ADD" w:rsidRPr="00787ADD" w:rsidRDefault="00787ADD" w:rsidP="00787ADD">
            <w:pPr>
              <w:spacing w:after="0" w:line="240" w:lineRule="auto"/>
              <w:jc w:val="center"/>
              <w:rPr>
                <w:rFonts w:cs="Arial"/>
                <w:color w:val="000000"/>
                <w:sz w:val="16"/>
                <w:szCs w:val="16"/>
              </w:rPr>
            </w:pPr>
            <w:r>
              <w:rPr>
                <w:rFonts w:cs="Arial"/>
                <w:color w:val="000000"/>
                <w:sz w:val="16"/>
                <w:szCs w:val="16"/>
              </w:rPr>
              <w:t>2020</w:t>
            </w:r>
          </w:p>
        </w:tc>
        <w:tc>
          <w:tcPr>
            <w:tcW w:w="567" w:type="dxa"/>
            <w:tcBorders>
              <w:top w:val="single" w:sz="4" w:space="0" w:color="auto"/>
              <w:left w:val="nil"/>
              <w:bottom w:val="single" w:sz="4" w:space="0" w:color="auto"/>
              <w:right w:val="nil"/>
            </w:tcBorders>
            <w:shd w:val="clear" w:color="auto" w:fill="E6C483"/>
            <w:noWrap/>
            <w:vAlign w:val="center"/>
            <w:hideMark/>
          </w:tcPr>
          <w:p w:rsidR="00787ADD" w:rsidRPr="00787ADD" w:rsidRDefault="00787ADD" w:rsidP="00787ADD">
            <w:pPr>
              <w:spacing w:after="0" w:line="240" w:lineRule="auto"/>
              <w:jc w:val="center"/>
              <w:rPr>
                <w:rFonts w:cs="Arial"/>
                <w:color w:val="000000"/>
                <w:sz w:val="16"/>
                <w:szCs w:val="16"/>
              </w:rPr>
            </w:pPr>
            <w:r>
              <w:rPr>
                <w:rFonts w:cs="Arial"/>
                <w:color w:val="000000"/>
                <w:sz w:val="16"/>
                <w:szCs w:val="16"/>
              </w:rPr>
              <w:t>2021</w:t>
            </w:r>
          </w:p>
        </w:tc>
        <w:tc>
          <w:tcPr>
            <w:tcW w:w="567" w:type="dxa"/>
            <w:tcBorders>
              <w:top w:val="single" w:sz="4" w:space="0" w:color="auto"/>
              <w:bottom w:val="single" w:sz="4" w:space="0" w:color="auto"/>
            </w:tcBorders>
            <w:shd w:val="clear" w:color="auto" w:fill="E6C483"/>
            <w:vAlign w:val="center"/>
          </w:tcPr>
          <w:p w:rsidR="00787ADD" w:rsidRPr="00787ADD" w:rsidRDefault="00787ADD" w:rsidP="00787ADD">
            <w:pPr>
              <w:spacing w:after="0" w:line="240" w:lineRule="auto"/>
              <w:jc w:val="center"/>
            </w:pPr>
            <w:r>
              <w:rPr>
                <w:rFonts w:cs="Arial"/>
                <w:color w:val="000000"/>
                <w:sz w:val="16"/>
                <w:szCs w:val="16"/>
              </w:rPr>
              <w:t>2022*</w:t>
            </w:r>
          </w:p>
        </w:tc>
        <w:tc>
          <w:tcPr>
            <w:tcW w:w="567" w:type="dxa"/>
            <w:tcBorders>
              <w:top w:val="single" w:sz="4" w:space="0" w:color="auto"/>
              <w:bottom w:val="single" w:sz="4" w:space="0" w:color="auto"/>
            </w:tcBorders>
            <w:shd w:val="clear" w:color="auto" w:fill="E6C483"/>
            <w:vAlign w:val="center"/>
          </w:tcPr>
          <w:p w:rsidR="00787ADD" w:rsidRPr="00787ADD" w:rsidRDefault="00787ADD" w:rsidP="00787ADD">
            <w:pPr>
              <w:spacing w:after="0" w:line="240" w:lineRule="auto"/>
              <w:jc w:val="center"/>
              <w:rPr>
                <w:rFonts w:cs="Arial"/>
                <w:color w:val="000000"/>
                <w:sz w:val="16"/>
                <w:szCs w:val="16"/>
              </w:rPr>
            </w:pPr>
            <w:r>
              <w:rPr>
                <w:rFonts w:cs="Arial"/>
                <w:color w:val="000000"/>
                <w:sz w:val="16"/>
                <w:szCs w:val="16"/>
              </w:rPr>
              <w:t>2023</w:t>
            </w:r>
          </w:p>
        </w:tc>
        <w:tc>
          <w:tcPr>
            <w:tcW w:w="567" w:type="dxa"/>
            <w:tcBorders>
              <w:top w:val="single" w:sz="4" w:space="0" w:color="auto"/>
              <w:bottom w:val="single" w:sz="4" w:space="0" w:color="auto"/>
            </w:tcBorders>
            <w:shd w:val="clear" w:color="auto" w:fill="E6C483"/>
            <w:vAlign w:val="center"/>
          </w:tcPr>
          <w:p w:rsidR="00787ADD" w:rsidRPr="00E04FBD" w:rsidRDefault="00787ADD" w:rsidP="00787ADD">
            <w:pPr>
              <w:spacing w:after="0" w:line="240" w:lineRule="auto"/>
              <w:jc w:val="center"/>
              <w:rPr>
                <w:rFonts w:cs="Arial"/>
                <w:color w:val="000000"/>
                <w:sz w:val="16"/>
                <w:szCs w:val="16"/>
              </w:rPr>
            </w:pPr>
            <w:r w:rsidRPr="00E04FBD">
              <w:rPr>
                <w:rFonts w:cs="Arial"/>
                <w:color w:val="000000"/>
                <w:sz w:val="16"/>
                <w:szCs w:val="16"/>
              </w:rPr>
              <w:t>2024</w:t>
            </w:r>
          </w:p>
        </w:tc>
      </w:tr>
      <w:tr w:rsidR="00787ADD" w:rsidRPr="00787ADD" w:rsidTr="006172DA">
        <w:trPr>
          <w:trHeight w:val="300"/>
        </w:trPr>
        <w:tc>
          <w:tcPr>
            <w:tcW w:w="3401" w:type="dxa"/>
            <w:tcBorders>
              <w:top w:val="nil"/>
              <w:left w:val="nil"/>
              <w:bottom w:val="nil"/>
              <w:right w:val="single" w:sz="4" w:space="0" w:color="auto"/>
            </w:tcBorders>
            <w:shd w:val="clear" w:color="auto" w:fill="auto"/>
            <w:vAlign w:val="center"/>
            <w:hideMark/>
          </w:tcPr>
          <w:p w:rsidR="00787ADD" w:rsidRPr="00787ADD" w:rsidRDefault="00787ADD" w:rsidP="00787ADD">
            <w:pPr>
              <w:spacing w:after="0" w:line="240" w:lineRule="auto"/>
              <w:jc w:val="left"/>
              <w:rPr>
                <w:rFonts w:cs="Arial"/>
                <w:b/>
                <w:bCs/>
                <w:color w:val="000000"/>
                <w:sz w:val="16"/>
                <w:szCs w:val="16"/>
              </w:rPr>
            </w:pPr>
            <w:r w:rsidRPr="00787ADD">
              <w:rPr>
                <w:rFonts w:cs="Arial"/>
                <w:b/>
                <w:bCs/>
                <w:color w:val="000000"/>
                <w:sz w:val="16"/>
                <w:szCs w:val="16"/>
              </w:rPr>
              <w:t>Celkem</w:t>
            </w:r>
          </w:p>
        </w:tc>
        <w:tc>
          <w:tcPr>
            <w:tcW w:w="567" w:type="dxa"/>
            <w:tcBorders>
              <w:top w:val="nil"/>
              <w:left w:val="nil"/>
              <w:bottom w:val="nil"/>
              <w:right w:val="nil"/>
            </w:tcBorders>
            <w:shd w:val="clear" w:color="auto" w:fill="auto"/>
            <w:noWrap/>
            <w:vAlign w:val="center"/>
            <w:hideMark/>
          </w:tcPr>
          <w:p w:rsidR="00787ADD" w:rsidRPr="00787ADD" w:rsidRDefault="00787ADD" w:rsidP="00787ADD">
            <w:pPr>
              <w:spacing w:after="0" w:line="240" w:lineRule="auto"/>
              <w:jc w:val="center"/>
              <w:rPr>
                <w:rFonts w:cs="Arial"/>
                <w:b/>
                <w:bCs/>
                <w:color w:val="000000"/>
                <w:sz w:val="16"/>
                <w:szCs w:val="16"/>
              </w:rPr>
            </w:pPr>
            <w:r w:rsidRPr="00787ADD">
              <w:rPr>
                <w:rFonts w:cs="Arial"/>
                <w:b/>
                <w:bCs/>
                <w:color w:val="000000"/>
                <w:sz w:val="16"/>
                <w:szCs w:val="16"/>
              </w:rPr>
              <w:t>45,8</w:t>
            </w:r>
          </w:p>
        </w:tc>
        <w:tc>
          <w:tcPr>
            <w:tcW w:w="567" w:type="dxa"/>
            <w:tcBorders>
              <w:top w:val="nil"/>
              <w:left w:val="nil"/>
              <w:bottom w:val="nil"/>
              <w:right w:val="nil"/>
            </w:tcBorders>
            <w:shd w:val="clear" w:color="auto" w:fill="auto"/>
            <w:noWrap/>
            <w:vAlign w:val="center"/>
            <w:hideMark/>
          </w:tcPr>
          <w:p w:rsidR="00787ADD" w:rsidRPr="00787ADD" w:rsidRDefault="00787ADD" w:rsidP="00787ADD">
            <w:pPr>
              <w:spacing w:after="0" w:line="240" w:lineRule="auto"/>
              <w:jc w:val="center"/>
              <w:rPr>
                <w:rFonts w:cs="Arial"/>
                <w:b/>
                <w:bCs/>
                <w:color w:val="000000"/>
                <w:sz w:val="16"/>
                <w:szCs w:val="16"/>
              </w:rPr>
            </w:pPr>
            <w:r w:rsidRPr="00787ADD">
              <w:rPr>
                <w:rFonts w:cs="Arial"/>
                <w:b/>
                <w:bCs/>
                <w:color w:val="000000"/>
                <w:sz w:val="16"/>
                <w:szCs w:val="16"/>
              </w:rPr>
              <w:t>42,7</w:t>
            </w:r>
          </w:p>
        </w:tc>
        <w:tc>
          <w:tcPr>
            <w:tcW w:w="567" w:type="dxa"/>
            <w:tcBorders>
              <w:top w:val="nil"/>
              <w:left w:val="nil"/>
              <w:bottom w:val="nil"/>
              <w:right w:val="nil"/>
            </w:tcBorders>
            <w:shd w:val="clear" w:color="auto" w:fill="auto"/>
            <w:noWrap/>
            <w:vAlign w:val="center"/>
            <w:hideMark/>
          </w:tcPr>
          <w:p w:rsidR="00787ADD" w:rsidRPr="00787ADD" w:rsidRDefault="00787ADD" w:rsidP="00787ADD">
            <w:pPr>
              <w:spacing w:after="0" w:line="240" w:lineRule="auto"/>
              <w:jc w:val="center"/>
              <w:rPr>
                <w:rFonts w:cs="Arial"/>
                <w:b/>
                <w:bCs/>
                <w:color w:val="000000"/>
                <w:sz w:val="16"/>
                <w:szCs w:val="16"/>
              </w:rPr>
            </w:pPr>
            <w:r w:rsidRPr="00787ADD">
              <w:rPr>
                <w:rFonts w:cs="Arial"/>
                <w:b/>
                <w:bCs/>
                <w:color w:val="000000"/>
                <w:sz w:val="16"/>
                <w:szCs w:val="16"/>
              </w:rPr>
              <w:t>43,0</w:t>
            </w:r>
          </w:p>
        </w:tc>
        <w:tc>
          <w:tcPr>
            <w:tcW w:w="567" w:type="dxa"/>
            <w:tcBorders>
              <w:top w:val="nil"/>
              <w:left w:val="nil"/>
              <w:bottom w:val="nil"/>
              <w:right w:val="nil"/>
            </w:tcBorders>
            <w:shd w:val="clear" w:color="auto" w:fill="auto"/>
            <w:noWrap/>
            <w:vAlign w:val="center"/>
            <w:hideMark/>
          </w:tcPr>
          <w:p w:rsidR="00787ADD" w:rsidRPr="00787ADD" w:rsidRDefault="00787ADD" w:rsidP="00787ADD">
            <w:pPr>
              <w:spacing w:after="0" w:line="240" w:lineRule="auto"/>
              <w:jc w:val="center"/>
              <w:rPr>
                <w:rFonts w:cs="Arial"/>
                <w:b/>
                <w:bCs/>
                <w:color w:val="000000"/>
                <w:sz w:val="16"/>
                <w:szCs w:val="16"/>
              </w:rPr>
            </w:pPr>
            <w:r w:rsidRPr="00787ADD">
              <w:rPr>
                <w:rFonts w:cs="Arial"/>
                <w:b/>
                <w:bCs/>
                <w:color w:val="000000"/>
                <w:sz w:val="16"/>
                <w:szCs w:val="16"/>
              </w:rPr>
              <w:t>42,6</w:t>
            </w:r>
          </w:p>
        </w:tc>
        <w:tc>
          <w:tcPr>
            <w:tcW w:w="567" w:type="dxa"/>
            <w:tcBorders>
              <w:top w:val="nil"/>
              <w:left w:val="nil"/>
              <w:bottom w:val="nil"/>
              <w:right w:val="nil"/>
            </w:tcBorders>
            <w:shd w:val="clear" w:color="auto" w:fill="auto"/>
            <w:noWrap/>
            <w:vAlign w:val="center"/>
            <w:hideMark/>
          </w:tcPr>
          <w:p w:rsidR="00787ADD" w:rsidRPr="00787ADD" w:rsidRDefault="00787ADD" w:rsidP="00787ADD">
            <w:pPr>
              <w:spacing w:after="0" w:line="240" w:lineRule="auto"/>
              <w:jc w:val="center"/>
              <w:rPr>
                <w:rFonts w:cs="Arial"/>
                <w:b/>
                <w:bCs/>
                <w:color w:val="000000"/>
                <w:sz w:val="16"/>
                <w:szCs w:val="16"/>
              </w:rPr>
            </w:pPr>
            <w:r w:rsidRPr="00787ADD">
              <w:rPr>
                <w:rFonts w:cs="Arial"/>
                <w:b/>
                <w:bCs/>
                <w:color w:val="000000"/>
                <w:sz w:val="16"/>
                <w:szCs w:val="16"/>
              </w:rPr>
              <w:t>41,7</w:t>
            </w:r>
          </w:p>
        </w:tc>
        <w:tc>
          <w:tcPr>
            <w:tcW w:w="567" w:type="dxa"/>
            <w:tcBorders>
              <w:top w:val="nil"/>
              <w:left w:val="nil"/>
              <w:bottom w:val="nil"/>
              <w:right w:val="nil"/>
            </w:tcBorders>
            <w:shd w:val="clear" w:color="auto" w:fill="auto"/>
            <w:noWrap/>
            <w:vAlign w:val="center"/>
            <w:hideMark/>
          </w:tcPr>
          <w:p w:rsidR="00787ADD" w:rsidRPr="00787ADD" w:rsidRDefault="00787ADD" w:rsidP="00787ADD">
            <w:pPr>
              <w:spacing w:after="0" w:line="240" w:lineRule="auto"/>
              <w:jc w:val="center"/>
              <w:rPr>
                <w:rFonts w:cs="Arial"/>
                <w:b/>
                <w:bCs/>
                <w:color w:val="000000"/>
                <w:sz w:val="16"/>
                <w:szCs w:val="16"/>
              </w:rPr>
            </w:pPr>
            <w:r w:rsidRPr="00787ADD">
              <w:rPr>
                <w:rFonts w:cs="Arial"/>
                <w:b/>
                <w:bCs/>
                <w:color w:val="000000"/>
                <w:sz w:val="16"/>
                <w:szCs w:val="16"/>
              </w:rPr>
              <w:t>42,4</w:t>
            </w:r>
          </w:p>
        </w:tc>
        <w:tc>
          <w:tcPr>
            <w:tcW w:w="567" w:type="dxa"/>
            <w:tcBorders>
              <w:top w:val="nil"/>
              <w:left w:val="nil"/>
              <w:bottom w:val="nil"/>
              <w:right w:val="nil"/>
            </w:tcBorders>
            <w:shd w:val="clear" w:color="auto" w:fill="auto"/>
            <w:noWrap/>
            <w:vAlign w:val="center"/>
            <w:hideMark/>
          </w:tcPr>
          <w:p w:rsidR="00787ADD" w:rsidRPr="00787ADD" w:rsidRDefault="00787ADD" w:rsidP="00787ADD">
            <w:pPr>
              <w:spacing w:after="0" w:line="240" w:lineRule="auto"/>
              <w:jc w:val="center"/>
              <w:rPr>
                <w:rFonts w:cs="Arial"/>
                <w:b/>
                <w:bCs/>
                <w:color w:val="000000"/>
                <w:sz w:val="16"/>
                <w:szCs w:val="16"/>
              </w:rPr>
            </w:pPr>
            <w:r w:rsidRPr="00787ADD">
              <w:rPr>
                <w:rFonts w:cs="Arial"/>
                <w:b/>
                <w:bCs/>
                <w:color w:val="000000"/>
                <w:sz w:val="16"/>
                <w:szCs w:val="16"/>
              </w:rPr>
              <w:t>39,4</w:t>
            </w:r>
          </w:p>
        </w:tc>
        <w:tc>
          <w:tcPr>
            <w:tcW w:w="567" w:type="dxa"/>
            <w:tcBorders>
              <w:top w:val="nil"/>
              <w:left w:val="nil"/>
              <w:bottom w:val="nil"/>
              <w:right w:val="nil"/>
            </w:tcBorders>
            <w:shd w:val="clear" w:color="auto" w:fill="auto"/>
            <w:noWrap/>
            <w:vAlign w:val="center"/>
            <w:hideMark/>
          </w:tcPr>
          <w:p w:rsidR="00787ADD" w:rsidRPr="00787ADD" w:rsidRDefault="00787ADD" w:rsidP="00787ADD">
            <w:pPr>
              <w:spacing w:after="0" w:line="240" w:lineRule="auto"/>
              <w:jc w:val="center"/>
            </w:pPr>
            <w:r w:rsidRPr="00787ADD">
              <w:rPr>
                <w:rFonts w:cs="Arial"/>
                <w:b/>
                <w:bCs/>
                <w:color w:val="000000"/>
                <w:sz w:val="16"/>
                <w:szCs w:val="16"/>
              </w:rPr>
              <w:t>34,5</w:t>
            </w:r>
          </w:p>
        </w:tc>
        <w:tc>
          <w:tcPr>
            <w:tcW w:w="567" w:type="dxa"/>
            <w:tcBorders>
              <w:top w:val="single" w:sz="4" w:space="0" w:color="auto"/>
            </w:tcBorders>
            <w:vAlign w:val="center"/>
          </w:tcPr>
          <w:p w:rsidR="00787ADD" w:rsidRPr="00787ADD" w:rsidRDefault="00787ADD" w:rsidP="00787ADD">
            <w:pPr>
              <w:spacing w:after="0" w:line="240" w:lineRule="auto"/>
              <w:jc w:val="center"/>
              <w:rPr>
                <w:rFonts w:cs="Arial"/>
                <w:b/>
                <w:bCs/>
                <w:color w:val="000000"/>
                <w:sz w:val="16"/>
                <w:szCs w:val="16"/>
              </w:rPr>
            </w:pPr>
            <w:r w:rsidRPr="00787ADD">
              <w:rPr>
                <w:rFonts w:cs="Arial"/>
                <w:b/>
                <w:bCs/>
                <w:color w:val="000000"/>
                <w:sz w:val="16"/>
                <w:szCs w:val="16"/>
              </w:rPr>
              <w:t>26,3</w:t>
            </w:r>
          </w:p>
        </w:tc>
        <w:tc>
          <w:tcPr>
            <w:tcW w:w="567" w:type="dxa"/>
            <w:tcBorders>
              <w:top w:val="single" w:sz="4" w:space="0" w:color="auto"/>
            </w:tcBorders>
            <w:vAlign w:val="center"/>
          </w:tcPr>
          <w:p w:rsidR="00787ADD" w:rsidRPr="00787ADD" w:rsidRDefault="00787ADD" w:rsidP="00787ADD">
            <w:pPr>
              <w:spacing w:after="0" w:line="240" w:lineRule="auto"/>
              <w:jc w:val="center"/>
              <w:rPr>
                <w:rFonts w:cs="Arial"/>
                <w:b/>
                <w:bCs/>
                <w:color w:val="000000"/>
                <w:sz w:val="16"/>
                <w:szCs w:val="16"/>
              </w:rPr>
            </w:pPr>
            <w:r w:rsidRPr="00787ADD">
              <w:rPr>
                <w:rFonts w:cs="Arial"/>
                <w:b/>
                <w:bCs/>
                <w:color w:val="000000"/>
                <w:sz w:val="16"/>
                <w:szCs w:val="16"/>
              </w:rPr>
              <w:t>31,4</w:t>
            </w:r>
          </w:p>
        </w:tc>
        <w:tc>
          <w:tcPr>
            <w:tcW w:w="567" w:type="dxa"/>
            <w:tcBorders>
              <w:top w:val="single" w:sz="4" w:space="0" w:color="auto"/>
            </w:tcBorders>
            <w:vAlign w:val="center"/>
          </w:tcPr>
          <w:p w:rsidR="00787ADD" w:rsidRPr="00E04FBD" w:rsidRDefault="00E04FBD" w:rsidP="00787ADD">
            <w:pPr>
              <w:spacing w:after="0" w:line="240" w:lineRule="auto"/>
              <w:jc w:val="center"/>
              <w:rPr>
                <w:rFonts w:cs="Arial"/>
                <w:b/>
                <w:bCs/>
                <w:color w:val="000000"/>
                <w:sz w:val="16"/>
                <w:szCs w:val="16"/>
              </w:rPr>
            </w:pPr>
            <w:r w:rsidRPr="00E04FBD">
              <w:rPr>
                <w:rFonts w:cs="Arial"/>
                <w:b/>
                <w:bCs/>
                <w:color w:val="000000"/>
                <w:sz w:val="16"/>
                <w:szCs w:val="16"/>
              </w:rPr>
              <w:t>31,7</w:t>
            </w:r>
          </w:p>
        </w:tc>
      </w:tr>
      <w:tr w:rsidR="00787ADD" w:rsidRPr="00787ADD" w:rsidTr="006172DA">
        <w:trPr>
          <w:trHeight w:val="300"/>
        </w:trPr>
        <w:tc>
          <w:tcPr>
            <w:tcW w:w="3401" w:type="dxa"/>
            <w:tcBorders>
              <w:top w:val="nil"/>
              <w:left w:val="nil"/>
              <w:bottom w:val="nil"/>
              <w:right w:val="single" w:sz="4" w:space="0" w:color="auto"/>
            </w:tcBorders>
            <w:shd w:val="clear" w:color="auto" w:fill="auto"/>
            <w:vAlign w:val="center"/>
            <w:hideMark/>
          </w:tcPr>
          <w:p w:rsidR="00787ADD" w:rsidRPr="00787ADD" w:rsidRDefault="00787ADD" w:rsidP="00787ADD">
            <w:pPr>
              <w:spacing w:after="0" w:line="240" w:lineRule="auto"/>
              <w:ind w:firstLineChars="100" w:firstLine="160"/>
              <w:jc w:val="left"/>
              <w:rPr>
                <w:rFonts w:cs="Arial"/>
                <w:color w:val="000000"/>
                <w:sz w:val="16"/>
                <w:szCs w:val="16"/>
              </w:rPr>
            </w:pPr>
            <w:r w:rsidRPr="00787ADD">
              <w:rPr>
                <w:rFonts w:cs="Arial"/>
                <w:color w:val="000000"/>
                <w:sz w:val="16"/>
                <w:szCs w:val="16"/>
              </w:rPr>
              <w:t>A – Zemědělství, lesnictví a rybářství</w:t>
            </w:r>
          </w:p>
        </w:tc>
        <w:tc>
          <w:tcPr>
            <w:tcW w:w="567" w:type="dxa"/>
            <w:tcBorders>
              <w:top w:val="nil"/>
              <w:left w:val="nil"/>
              <w:bottom w:val="nil"/>
              <w:right w:val="nil"/>
            </w:tcBorders>
            <w:shd w:val="clear" w:color="auto" w:fill="auto"/>
            <w:noWrap/>
            <w:vAlign w:val="center"/>
            <w:hideMark/>
          </w:tcPr>
          <w:p w:rsidR="00787ADD" w:rsidRPr="00787ADD" w:rsidRDefault="00787ADD" w:rsidP="00787ADD">
            <w:pPr>
              <w:spacing w:after="0" w:line="240" w:lineRule="auto"/>
              <w:jc w:val="center"/>
              <w:rPr>
                <w:rFonts w:cs="Arial"/>
                <w:color w:val="000000"/>
                <w:sz w:val="16"/>
                <w:szCs w:val="16"/>
              </w:rPr>
            </w:pPr>
            <w:r w:rsidRPr="00787ADD">
              <w:rPr>
                <w:rFonts w:cs="Arial"/>
                <w:color w:val="000000"/>
                <w:sz w:val="16"/>
                <w:szCs w:val="16"/>
              </w:rPr>
              <w:t>60,6</w:t>
            </w:r>
          </w:p>
        </w:tc>
        <w:tc>
          <w:tcPr>
            <w:tcW w:w="567" w:type="dxa"/>
            <w:tcBorders>
              <w:top w:val="nil"/>
              <w:left w:val="nil"/>
              <w:bottom w:val="nil"/>
              <w:right w:val="nil"/>
            </w:tcBorders>
            <w:shd w:val="clear" w:color="auto" w:fill="auto"/>
            <w:noWrap/>
            <w:vAlign w:val="center"/>
            <w:hideMark/>
          </w:tcPr>
          <w:p w:rsidR="00787ADD" w:rsidRPr="00787ADD" w:rsidRDefault="00787ADD" w:rsidP="00787ADD">
            <w:pPr>
              <w:spacing w:after="0" w:line="240" w:lineRule="auto"/>
              <w:jc w:val="center"/>
              <w:rPr>
                <w:rFonts w:cs="Arial"/>
                <w:color w:val="000000"/>
                <w:sz w:val="16"/>
                <w:szCs w:val="16"/>
              </w:rPr>
            </w:pPr>
            <w:r w:rsidRPr="00787ADD">
              <w:rPr>
                <w:rFonts w:cs="Arial"/>
                <w:color w:val="000000"/>
                <w:sz w:val="16"/>
                <w:szCs w:val="16"/>
              </w:rPr>
              <w:t>57,4</w:t>
            </w:r>
          </w:p>
        </w:tc>
        <w:tc>
          <w:tcPr>
            <w:tcW w:w="567" w:type="dxa"/>
            <w:tcBorders>
              <w:top w:val="nil"/>
              <w:left w:val="nil"/>
              <w:bottom w:val="nil"/>
              <w:right w:val="nil"/>
            </w:tcBorders>
            <w:shd w:val="clear" w:color="auto" w:fill="auto"/>
            <w:noWrap/>
            <w:vAlign w:val="center"/>
            <w:hideMark/>
          </w:tcPr>
          <w:p w:rsidR="00787ADD" w:rsidRPr="00787ADD" w:rsidRDefault="00787ADD" w:rsidP="00787ADD">
            <w:pPr>
              <w:spacing w:after="0" w:line="240" w:lineRule="auto"/>
              <w:jc w:val="center"/>
              <w:rPr>
                <w:rFonts w:cs="Arial"/>
                <w:color w:val="000000"/>
                <w:sz w:val="16"/>
                <w:szCs w:val="16"/>
              </w:rPr>
            </w:pPr>
            <w:r w:rsidRPr="00787ADD">
              <w:rPr>
                <w:rFonts w:cs="Arial"/>
                <w:color w:val="000000"/>
                <w:sz w:val="16"/>
                <w:szCs w:val="16"/>
              </w:rPr>
              <w:t>59,0</w:t>
            </w:r>
          </w:p>
        </w:tc>
        <w:tc>
          <w:tcPr>
            <w:tcW w:w="567" w:type="dxa"/>
            <w:tcBorders>
              <w:top w:val="nil"/>
              <w:left w:val="nil"/>
              <w:bottom w:val="nil"/>
              <w:right w:val="nil"/>
            </w:tcBorders>
            <w:shd w:val="clear" w:color="auto" w:fill="auto"/>
            <w:noWrap/>
            <w:vAlign w:val="center"/>
            <w:hideMark/>
          </w:tcPr>
          <w:p w:rsidR="00787ADD" w:rsidRPr="00787ADD" w:rsidRDefault="00787ADD" w:rsidP="00787ADD">
            <w:pPr>
              <w:spacing w:after="0" w:line="240" w:lineRule="auto"/>
              <w:jc w:val="center"/>
              <w:rPr>
                <w:rFonts w:cs="Arial"/>
                <w:color w:val="000000"/>
                <w:sz w:val="16"/>
                <w:szCs w:val="16"/>
              </w:rPr>
            </w:pPr>
            <w:r w:rsidRPr="00787ADD">
              <w:rPr>
                <w:rFonts w:cs="Arial"/>
                <w:color w:val="000000"/>
                <w:sz w:val="16"/>
                <w:szCs w:val="16"/>
              </w:rPr>
              <w:t>57,6</w:t>
            </w:r>
          </w:p>
        </w:tc>
        <w:tc>
          <w:tcPr>
            <w:tcW w:w="567" w:type="dxa"/>
            <w:tcBorders>
              <w:top w:val="nil"/>
              <w:left w:val="nil"/>
              <w:bottom w:val="nil"/>
              <w:right w:val="nil"/>
            </w:tcBorders>
            <w:shd w:val="clear" w:color="auto" w:fill="auto"/>
            <w:noWrap/>
            <w:vAlign w:val="center"/>
            <w:hideMark/>
          </w:tcPr>
          <w:p w:rsidR="00787ADD" w:rsidRPr="00787ADD" w:rsidRDefault="00787ADD" w:rsidP="00787ADD">
            <w:pPr>
              <w:spacing w:after="0" w:line="240" w:lineRule="auto"/>
              <w:jc w:val="center"/>
              <w:rPr>
                <w:rFonts w:cs="Arial"/>
                <w:color w:val="000000"/>
                <w:sz w:val="16"/>
                <w:szCs w:val="16"/>
              </w:rPr>
            </w:pPr>
            <w:r w:rsidRPr="00787ADD">
              <w:rPr>
                <w:rFonts w:cs="Arial"/>
                <w:color w:val="000000"/>
                <w:sz w:val="16"/>
                <w:szCs w:val="16"/>
              </w:rPr>
              <w:t>55,9</w:t>
            </w:r>
          </w:p>
        </w:tc>
        <w:tc>
          <w:tcPr>
            <w:tcW w:w="567" w:type="dxa"/>
            <w:tcBorders>
              <w:top w:val="nil"/>
              <w:left w:val="nil"/>
              <w:bottom w:val="nil"/>
              <w:right w:val="nil"/>
            </w:tcBorders>
            <w:shd w:val="clear" w:color="auto" w:fill="auto"/>
            <w:noWrap/>
            <w:vAlign w:val="center"/>
            <w:hideMark/>
          </w:tcPr>
          <w:p w:rsidR="00787ADD" w:rsidRPr="00787ADD" w:rsidRDefault="00787ADD" w:rsidP="00787ADD">
            <w:pPr>
              <w:spacing w:after="0" w:line="240" w:lineRule="auto"/>
              <w:jc w:val="center"/>
              <w:rPr>
                <w:rFonts w:cs="Arial"/>
                <w:color w:val="000000"/>
                <w:sz w:val="16"/>
                <w:szCs w:val="16"/>
              </w:rPr>
            </w:pPr>
            <w:r w:rsidRPr="00787ADD">
              <w:rPr>
                <w:rFonts w:cs="Arial"/>
                <w:color w:val="000000"/>
                <w:sz w:val="16"/>
                <w:szCs w:val="16"/>
              </w:rPr>
              <w:t>56,8</w:t>
            </w:r>
          </w:p>
        </w:tc>
        <w:tc>
          <w:tcPr>
            <w:tcW w:w="567" w:type="dxa"/>
            <w:tcBorders>
              <w:top w:val="nil"/>
              <w:left w:val="nil"/>
              <w:bottom w:val="nil"/>
              <w:right w:val="nil"/>
            </w:tcBorders>
            <w:shd w:val="clear" w:color="auto" w:fill="auto"/>
            <w:noWrap/>
            <w:vAlign w:val="center"/>
            <w:hideMark/>
          </w:tcPr>
          <w:p w:rsidR="00787ADD" w:rsidRPr="00787ADD" w:rsidRDefault="00787ADD" w:rsidP="00787ADD">
            <w:pPr>
              <w:spacing w:after="0" w:line="240" w:lineRule="auto"/>
              <w:jc w:val="center"/>
              <w:rPr>
                <w:rFonts w:cs="Arial"/>
                <w:color w:val="000000"/>
                <w:sz w:val="16"/>
                <w:szCs w:val="16"/>
              </w:rPr>
            </w:pPr>
            <w:r w:rsidRPr="00787ADD">
              <w:rPr>
                <w:rFonts w:cs="Arial"/>
                <w:color w:val="000000"/>
                <w:sz w:val="16"/>
                <w:szCs w:val="16"/>
              </w:rPr>
              <w:t>49,7</w:t>
            </w:r>
          </w:p>
        </w:tc>
        <w:tc>
          <w:tcPr>
            <w:tcW w:w="567" w:type="dxa"/>
            <w:tcBorders>
              <w:top w:val="nil"/>
              <w:left w:val="nil"/>
              <w:bottom w:val="nil"/>
              <w:right w:val="nil"/>
            </w:tcBorders>
            <w:shd w:val="clear" w:color="auto" w:fill="auto"/>
            <w:noWrap/>
            <w:vAlign w:val="center"/>
            <w:hideMark/>
          </w:tcPr>
          <w:p w:rsidR="00787ADD" w:rsidRPr="00787ADD" w:rsidRDefault="00787ADD" w:rsidP="00787ADD">
            <w:pPr>
              <w:spacing w:after="0" w:line="240" w:lineRule="auto"/>
              <w:jc w:val="center"/>
            </w:pPr>
            <w:r w:rsidRPr="00787ADD">
              <w:rPr>
                <w:rFonts w:cs="Arial"/>
                <w:color w:val="000000"/>
                <w:sz w:val="16"/>
                <w:szCs w:val="16"/>
              </w:rPr>
              <w:t>43,4</w:t>
            </w:r>
          </w:p>
        </w:tc>
        <w:tc>
          <w:tcPr>
            <w:tcW w:w="567" w:type="dxa"/>
            <w:vAlign w:val="center"/>
          </w:tcPr>
          <w:p w:rsidR="00787ADD" w:rsidRPr="00787ADD" w:rsidRDefault="00787ADD" w:rsidP="00787ADD">
            <w:pPr>
              <w:spacing w:after="0" w:line="240" w:lineRule="auto"/>
              <w:jc w:val="center"/>
              <w:rPr>
                <w:rFonts w:cs="Arial"/>
                <w:color w:val="000000"/>
                <w:sz w:val="16"/>
                <w:szCs w:val="16"/>
              </w:rPr>
            </w:pPr>
            <w:r w:rsidRPr="00787ADD">
              <w:rPr>
                <w:rFonts w:cs="Arial"/>
                <w:color w:val="000000"/>
                <w:sz w:val="16"/>
                <w:szCs w:val="16"/>
              </w:rPr>
              <w:t>37,0</w:t>
            </w:r>
          </w:p>
        </w:tc>
        <w:tc>
          <w:tcPr>
            <w:tcW w:w="567" w:type="dxa"/>
            <w:vAlign w:val="center"/>
          </w:tcPr>
          <w:p w:rsidR="00787ADD" w:rsidRPr="00787ADD" w:rsidRDefault="00787ADD" w:rsidP="00787ADD">
            <w:pPr>
              <w:spacing w:after="0" w:line="240" w:lineRule="auto"/>
              <w:jc w:val="center"/>
              <w:rPr>
                <w:rFonts w:cs="Arial"/>
                <w:color w:val="000000"/>
                <w:sz w:val="16"/>
                <w:szCs w:val="16"/>
              </w:rPr>
            </w:pPr>
            <w:r w:rsidRPr="00787ADD">
              <w:rPr>
                <w:rFonts w:cs="Arial"/>
                <w:color w:val="000000"/>
                <w:sz w:val="16"/>
                <w:szCs w:val="16"/>
              </w:rPr>
              <w:t>45,4</w:t>
            </w:r>
          </w:p>
        </w:tc>
        <w:tc>
          <w:tcPr>
            <w:tcW w:w="567" w:type="dxa"/>
            <w:vAlign w:val="center"/>
          </w:tcPr>
          <w:p w:rsidR="00787ADD" w:rsidRPr="00E04FBD" w:rsidRDefault="004B6FEF" w:rsidP="00787ADD">
            <w:pPr>
              <w:spacing w:after="0" w:line="240" w:lineRule="auto"/>
              <w:jc w:val="center"/>
              <w:rPr>
                <w:rFonts w:cs="Arial"/>
                <w:color w:val="000000"/>
                <w:sz w:val="16"/>
                <w:szCs w:val="16"/>
              </w:rPr>
            </w:pPr>
            <w:r w:rsidRPr="00E04FBD">
              <w:rPr>
                <w:rFonts w:cs="Arial"/>
                <w:color w:val="000000"/>
                <w:sz w:val="16"/>
                <w:szCs w:val="16"/>
              </w:rPr>
              <w:t>45,1</w:t>
            </w:r>
          </w:p>
        </w:tc>
      </w:tr>
      <w:tr w:rsidR="00787ADD" w:rsidRPr="00787ADD" w:rsidTr="006172DA">
        <w:trPr>
          <w:trHeight w:val="300"/>
        </w:trPr>
        <w:tc>
          <w:tcPr>
            <w:tcW w:w="3401" w:type="dxa"/>
            <w:tcBorders>
              <w:top w:val="nil"/>
              <w:left w:val="nil"/>
              <w:bottom w:val="nil"/>
              <w:right w:val="single" w:sz="4" w:space="0" w:color="auto"/>
            </w:tcBorders>
            <w:shd w:val="clear" w:color="auto" w:fill="auto"/>
            <w:vAlign w:val="center"/>
            <w:hideMark/>
          </w:tcPr>
          <w:p w:rsidR="00787ADD" w:rsidRPr="00787ADD" w:rsidRDefault="00787ADD" w:rsidP="00787ADD">
            <w:pPr>
              <w:spacing w:after="0" w:line="240" w:lineRule="auto"/>
              <w:ind w:firstLineChars="100" w:firstLine="160"/>
              <w:jc w:val="left"/>
              <w:rPr>
                <w:rFonts w:cs="Arial"/>
                <w:color w:val="000000"/>
                <w:sz w:val="16"/>
                <w:szCs w:val="16"/>
              </w:rPr>
            </w:pPr>
            <w:r w:rsidRPr="00787ADD">
              <w:rPr>
                <w:rFonts w:cs="Arial"/>
                <w:color w:val="000000"/>
                <w:sz w:val="16"/>
                <w:szCs w:val="16"/>
              </w:rPr>
              <w:t>B – Těžba a dobývání</w:t>
            </w:r>
          </w:p>
        </w:tc>
        <w:tc>
          <w:tcPr>
            <w:tcW w:w="567" w:type="dxa"/>
            <w:tcBorders>
              <w:top w:val="nil"/>
              <w:left w:val="nil"/>
              <w:bottom w:val="nil"/>
              <w:right w:val="nil"/>
            </w:tcBorders>
            <w:shd w:val="clear" w:color="auto" w:fill="auto"/>
            <w:noWrap/>
            <w:vAlign w:val="center"/>
            <w:hideMark/>
          </w:tcPr>
          <w:p w:rsidR="00787ADD" w:rsidRPr="00787ADD" w:rsidRDefault="00787ADD" w:rsidP="00787ADD">
            <w:pPr>
              <w:spacing w:after="0" w:line="240" w:lineRule="auto"/>
              <w:jc w:val="center"/>
              <w:rPr>
                <w:rFonts w:cs="Arial"/>
                <w:color w:val="000000"/>
                <w:sz w:val="16"/>
                <w:szCs w:val="16"/>
              </w:rPr>
            </w:pPr>
            <w:r w:rsidRPr="00787ADD">
              <w:rPr>
                <w:rFonts w:cs="Arial"/>
                <w:color w:val="000000"/>
                <w:sz w:val="16"/>
                <w:szCs w:val="16"/>
              </w:rPr>
              <w:t>48,0</w:t>
            </w:r>
          </w:p>
        </w:tc>
        <w:tc>
          <w:tcPr>
            <w:tcW w:w="567" w:type="dxa"/>
            <w:tcBorders>
              <w:top w:val="nil"/>
              <w:left w:val="nil"/>
              <w:bottom w:val="nil"/>
              <w:right w:val="nil"/>
            </w:tcBorders>
            <w:shd w:val="clear" w:color="auto" w:fill="auto"/>
            <w:noWrap/>
            <w:vAlign w:val="center"/>
            <w:hideMark/>
          </w:tcPr>
          <w:p w:rsidR="00787ADD" w:rsidRPr="00787ADD" w:rsidRDefault="00787ADD" w:rsidP="00787ADD">
            <w:pPr>
              <w:spacing w:after="0" w:line="240" w:lineRule="auto"/>
              <w:jc w:val="center"/>
              <w:rPr>
                <w:rFonts w:cs="Arial"/>
                <w:color w:val="000000"/>
                <w:sz w:val="16"/>
                <w:szCs w:val="16"/>
              </w:rPr>
            </w:pPr>
            <w:r w:rsidRPr="00787ADD">
              <w:rPr>
                <w:rFonts w:cs="Arial"/>
                <w:color w:val="000000"/>
                <w:sz w:val="16"/>
                <w:szCs w:val="16"/>
              </w:rPr>
              <w:t>45,4</w:t>
            </w:r>
          </w:p>
        </w:tc>
        <w:tc>
          <w:tcPr>
            <w:tcW w:w="567" w:type="dxa"/>
            <w:tcBorders>
              <w:top w:val="nil"/>
              <w:left w:val="nil"/>
              <w:bottom w:val="nil"/>
              <w:right w:val="nil"/>
            </w:tcBorders>
            <w:shd w:val="clear" w:color="auto" w:fill="auto"/>
            <w:noWrap/>
            <w:vAlign w:val="center"/>
            <w:hideMark/>
          </w:tcPr>
          <w:p w:rsidR="00787ADD" w:rsidRPr="00787ADD" w:rsidRDefault="00787ADD" w:rsidP="00787ADD">
            <w:pPr>
              <w:spacing w:after="0" w:line="240" w:lineRule="auto"/>
              <w:jc w:val="center"/>
              <w:rPr>
                <w:rFonts w:cs="Arial"/>
                <w:color w:val="000000"/>
                <w:sz w:val="16"/>
                <w:szCs w:val="16"/>
              </w:rPr>
            </w:pPr>
            <w:r w:rsidRPr="00787ADD">
              <w:rPr>
                <w:rFonts w:cs="Arial"/>
                <w:color w:val="000000"/>
                <w:sz w:val="16"/>
                <w:szCs w:val="16"/>
              </w:rPr>
              <w:t>53,8</w:t>
            </w:r>
          </w:p>
        </w:tc>
        <w:tc>
          <w:tcPr>
            <w:tcW w:w="567" w:type="dxa"/>
            <w:tcBorders>
              <w:top w:val="nil"/>
              <w:left w:val="nil"/>
              <w:bottom w:val="nil"/>
              <w:right w:val="nil"/>
            </w:tcBorders>
            <w:shd w:val="clear" w:color="auto" w:fill="auto"/>
            <w:noWrap/>
            <w:vAlign w:val="center"/>
            <w:hideMark/>
          </w:tcPr>
          <w:p w:rsidR="00787ADD" w:rsidRPr="00787ADD" w:rsidRDefault="00787ADD" w:rsidP="00787ADD">
            <w:pPr>
              <w:spacing w:after="0" w:line="240" w:lineRule="auto"/>
              <w:jc w:val="center"/>
              <w:rPr>
                <w:rFonts w:cs="Arial"/>
                <w:color w:val="000000"/>
                <w:sz w:val="16"/>
                <w:szCs w:val="16"/>
              </w:rPr>
            </w:pPr>
            <w:r w:rsidRPr="00787ADD">
              <w:rPr>
                <w:rFonts w:cs="Arial"/>
                <w:color w:val="000000"/>
                <w:sz w:val="16"/>
                <w:szCs w:val="16"/>
              </w:rPr>
              <w:t>55,6</w:t>
            </w:r>
          </w:p>
        </w:tc>
        <w:tc>
          <w:tcPr>
            <w:tcW w:w="567" w:type="dxa"/>
            <w:tcBorders>
              <w:top w:val="nil"/>
              <w:left w:val="nil"/>
              <w:bottom w:val="nil"/>
              <w:right w:val="nil"/>
            </w:tcBorders>
            <w:shd w:val="clear" w:color="auto" w:fill="auto"/>
            <w:noWrap/>
            <w:vAlign w:val="center"/>
            <w:hideMark/>
          </w:tcPr>
          <w:p w:rsidR="00787ADD" w:rsidRPr="00787ADD" w:rsidRDefault="00787ADD" w:rsidP="00787ADD">
            <w:pPr>
              <w:spacing w:after="0" w:line="240" w:lineRule="auto"/>
              <w:jc w:val="center"/>
              <w:rPr>
                <w:rFonts w:cs="Arial"/>
                <w:color w:val="000000"/>
                <w:sz w:val="16"/>
                <w:szCs w:val="16"/>
              </w:rPr>
            </w:pPr>
            <w:r w:rsidRPr="00787ADD">
              <w:rPr>
                <w:rFonts w:cs="Arial"/>
                <w:color w:val="000000"/>
                <w:sz w:val="16"/>
                <w:szCs w:val="16"/>
              </w:rPr>
              <w:t>47,9</w:t>
            </w:r>
          </w:p>
        </w:tc>
        <w:tc>
          <w:tcPr>
            <w:tcW w:w="567" w:type="dxa"/>
            <w:tcBorders>
              <w:top w:val="nil"/>
              <w:left w:val="nil"/>
              <w:bottom w:val="nil"/>
              <w:right w:val="nil"/>
            </w:tcBorders>
            <w:shd w:val="clear" w:color="auto" w:fill="auto"/>
            <w:noWrap/>
            <w:vAlign w:val="center"/>
            <w:hideMark/>
          </w:tcPr>
          <w:p w:rsidR="00787ADD" w:rsidRPr="00787ADD" w:rsidRDefault="00787ADD" w:rsidP="00787ADD">
            <w:pPr>
              <w:spacing w:after="0" w:line="240" w:lineRule="auto"/>
              <w:jc w:val="center"/>
              <w:rPr>
                <w:rFonts w:cs="Arial"/>
                <w:color w:val="000000"/>
                <w:sz w:val="16"/>
                <w:szCs w:val="16"/>
              </w:rPr>
            </w:pPr>
            <w:r w:rsidRPr="00787ADD">
              <w:rPr>
                <w:rFonts w:cs="Arial"/>
                <w:color w:val="000000"/>
                <w:sz w:val="16"/>
                <w:szCs w:val="16"/>
              </w:rPr>
              <w:t>49,4</w:t>
            </w:r>
          </w:p>
        </w:tc>
        <w:tc>
          <w:tcPr>
            <w:tcW w:w="567" w:type="dxa"/>
            <w:tcBorders>
              <w:top w:val="nil"/>
              <w:left w:val="nil"/>
              <w:bottom w:val="nil"/>
              <w:right w:val="nil"/>
            </w:tcBorders>
            <w:shd w:val="clear" w:color="auto" w:fill="auto"/>
            <w:noWrap/>
            <w:vAlign w:val="center"/>
            <w:hideMark/>
          </w:tcPr>
          <w:p w:rsidR="00787ADD" w:rsidRPr="00787ADD" w:rsidRDefault="00787ADD" w:rsidP="00787ADD">
            <w:pPr>
              <w:spacing w:after="0" w:line="240" w:lineRule="auto"/>
              <w:jc w:val="center"/>
              <w:rPr>
                <w:rFonts w:cs="Arial"/>
                <w:color w:val="000000"/>
                <w:sz w:val="16"/>
                <w:szCs w:val="16"/>
              </w:rPr>
            </w:pPr>
            <w:r w:rsidRPr="00787ADD">
              <w:rPr>
                <w:rFonts w:cs="Arial"/>
                <w:color w:val="000000"/>
                <w:sz w:val="16"/>
                <w:szCs w:val="16"/>
              </w:rPr>
              <w:t>40,5</w:t>
            </w:r>
          </w:p>
        </w:tc>
        <w:tc>
          <w:tcPr>
            <w:tcW w:w="567" w:type="dxa"/>
            <w:tcBorders>
              <w:top w:val="nil"/>
              <w:left w:val="nil"/>
              <w:bottom w:val="nil"/>
              <w:right w:val="nil"/>
            </w:tcBorders>
            <w:shd w:val="clear" w:color="auto" w:fill="auto"/>
            <w:noWrap/>
            <w:vAlign w:val="center"/>
            <w:hideMark/>
          </w:tcPr>
          <w:p w:rsidR="00787ADD" w:rsidRPr="00787ADD" w:rsidRDefault="00787ADD" w:rsidP="00787ADD">
            <w:pPr>
              <w:spacing w:after="0" w:line="240" w:lineRule="auto"/>
              <w:jc w:val="center"/>
            </w:pPr>
            <w:r w:rsidRPr="00787ADD">
              <w:rPr>
                <w:rFonts w:cs="Arial"/>
                <w:color w:val="000000"/>
                <w:sz w:val="16"/>
                <w:szCs w:val="16"/>
              </w:rPr>
              <w:t>41,3</w:t>
            </w:r>
          </w:p>
        </w:tc>
        <w:tc>
          <w:tcPr>
            <w:tcW w:w="567" w:type="dxa"/>
            <w:vAlign w:val="center"/>
          </w:tcPr>
          <w:p w:rsidR="00787ADD" w:rsidRPr="00787ADD" w:rsidRDefault="00787ADD" w:rsidP="00787ADD">
            <w:pPr>
              <w:spacing w:after="0" w:line="240" w:lineRule="auto"/>
              <w:jc w:val="center"/>
              <w:rPr>
                <w:rFonts w:cs="Arial"/>
                <w:color w:val="000000"/>
                <w:sz w:val="16"/>
                <w:szCs w:val="16"/>
              </w:rPr>
            </w:pPr>
            <w:r w:rsidRPr="00787ADD">
              <w:rPr>
                <w:rFonts w:cs="Arial"/>
                <w:color w:val="000000"/>
                <w:sz w:val="16"/>
                <w:szCs w:val="16"/>
              </w:rPr>
              <w:t>32,2</w:t>
            </w:r>
          </w:p>
        </w:tc>
        <w:tc>
          <w:tcPr>
            <w:tcW w:w="567" w:type="dxa"/>
            <w:vAlign w:val="center"/>
          </w:tcPr>
          <w:p w:rsidR="00787ADD" w:rsidRPr="00787ADD" w:rsidRDefault="00787ADD" w:rsidP="00787ADD">
            <w:pPr>
              <w:spacing w:after="0" w:line="240" w:lineRule="auto"/>
              <w:jc w:val="center"/>
              <w:rPr>
                <w:rFonts w:cs="Arial"/>
                <w:color w:val="000000"/>
                <w:sz w:val="16"/>
                <w:szCs w:val="16"/>
              </w:rPr>
            </w:pPr>
            <w:r w:rsidRPr="00787ADD">
              <w:rPr>
                <w:rFonts w:cs="Arial"/>
                <w:color w:val="000000"/>
                <w:sz w:val="16"/>
                <w:szCs w:val="16"/>
              </w:rPr>
              <w:t>40,0</w:t>
            </w:r>
          </w:p>
        </w:tc>
        <w:tc>
          <w:tcPr>
            <w:tcW w:w="567" w:type="dxa"/>
            <w:vAlign w:val="center"/>
          </w:tcPr>
          <w:p w:rsidR="00787ADD" w:rsidRPr="00E04FBD" w:rsidRDefault="004B6FEF" w:rsidP="00787ADD">
            <w:pPr>
              <w:spacing w:after="0" w:line="240" w:lineRule="auto"/>
              <w:jc w:val="center"/>
              <w:rPr>
                <w:rFonts w:cs="Arial"/>
                <w:color w:val="000000"/>
                <w:sz w:val="16"/>
                <w:szCs w:val="16"/>
              </w:rPr>
            </w:pPr>
            <w:r w:rsidRPr="00E04FBD">
              <w:rPr>
                <w:rFonts w:cs="Arial"/>
                <w:color w:val="000000"/>
                <w:sz w:val="16"/>
                <w:szCs w:val="16"/>
              </w:rPr>
              <w:t>40,7</w:t>
            </w:r>
          </w:p>
        </w:tc>
      </w:tr>
      <w:tr w:rsidR="00787ADD" w:rsidRPr="00787ADD" w:rsidTr="006172DA">
        <w:trPr>
          <w:trHeight w:val="300"/>
        </w:trPr>
        <w:tc>
          <w:tcPr>
            <w:tcW w:w="3401" w:type="dxa"/>
            <w:tcBorders>
              <w:top w:val="nil"/>
              <w:left w:val="nil"/>
              <w:bottom w:val="nil"/>
              <w:right w:val="single" w:sz="4" w:space="0" w:color="auto"/>
            </w:tcBorders>
            <w:shd w:val="clear" w:color="auto" w:fill="auto"/>
            <w:vAlign w:val="center"/>
            <w:hideMark/>
          </w:tcPr>
          <w:p w:rsidR="00787ADD" w:rsidRPr="00787ADD" w:rsidRDefault="00787ADD" w:rsidP="00787ADD">
            <w:pPr>
              <w:spacing w:after="0" w:line="240" w:lineRule="auto"/>
              <w:ind w:firstLineChars="100" w:firstLine="160"/>
              <w:jc w:val="left"/>
              <w:rPr>
                <w:rFonts w:cs="Arial"/>
                <w:color w:val="000000"/>
                <w:sz w:val="16"/>
                <w:szCs w:val="16"/>
              </w:rPr>
            </w:pPr>
            <w:r w:rsidRPr="00787ADD">
              <w:rPr>
                <w:rFonts w:cs="Arial"/>
                <w:color w:val="000000"/>
                <w:sz w:val="16"/>
                <w:szCs w:val="16"/>
              </w:rPr>
              <w:t>C – Zpracovatelský průmysl</w:t>
            </w:r>
          </w:p>
        </w:tc>
        <w:tc>
          <w:tcPr>
            <w:tcW w:w="567" w:type="dxa"/>
            <w:tcBorders>
              <w:top w:val="nil"/>
              <w:left w:val="nil"/>
              <w:bottom w:val="nil"/>
              <w:right w:val="nil"/>
            </w:tcBorders>
            <w:shd w:val="clear" w:color="auto" w:fill="auto"/>
            <w:noWrap/>
            <w:vAlign w:val="center"/>
            <w:hideMark/>
          </w:tcPr>
          <w:p w:rsidR="00787ADD" w:rsidRPr="00787ADD" w:rsidRDefault="00787ADD" w:rsidP="00787ADD">
            <w:pPr>
              <w:spacing w:after="0" w:line="240" w:lineRule="auto"/>
              <w:jc w:val="center"/>
              <w:rPr>
                <w:rFonts w:cs="Arial"/>
                <w:color w:val="000000"/>
                <w:sz w:val="16"/>
                <w:szCs w:val="16"/>
              </w:rPr>
            </w:pPr>
            <w:r w:rsidRPr="00787ADD">
              <w:rPr>
                <w:rFonts w:cs="Arial"/>
                <w:color w:val="000000"/>
                <w:sz w:val="16"/>
                <w:szCs w:val="16"/>
              </w:rPr>
              <w:t>44,8</w:t>
            </w:r>
          </w:p>
        </w:tc>
        <w:tc>
          <w:tcPr>
            <w:tcW w:w="567" w:type="dxa"/>
            <w:tcBorders>
              <w:top w:val="nil"/>
              <w:left w:val="nil"/>
              <w:bottom w:val="nil"/>
              <w:right w:val="nil"/>
            </w:tcBorders>
            <w:shd w:val="clear" w:color="auto" w:fill="auto"/>
            <w:noWrap/>
            <w:vAlign w:val="center"/>
            <w:hideMark/>
          </w:tcPr>
          <w:p w:rsidR="00787ADD" w:rsidRPr="00787ADD" w:rsidRDefault="00787ADD" w:rsidP="00787ADD">
            <w:pPr>
              <w:spacing w:after="0" w:line="240" w:lineRule="auto"/>
              <w:jc w:val="center"/>
              <w:rPr>
                <w:rFonts w:cs="Arial"/>
                <w:color w:val="000000"/>
                <w:sz w:val="16"/>
                <w:szCs w:val="16"/>
              </w:rPr>
            </w:pPr>
            <w:r w:rsidRPr="00787ADD">
              <w:rPr>
                <w:rFonts w:cs="Arial"/>
                <w:color w:val="000000"/>
                <w:sz w:val="16"/>
                <w:szCs w:val="16"/>
              </w:rPr>
              <w:t>41,6</w:t>
            </w:r>
          </w:p>
        </w:tc>
        <w:tc>
          <w:tcPr>
            <w:tcW w:w="567" w:type="dxa"/>
            <w:tcBorders>
              <w:top w:val="nil"/>
              <w:left w:val="nil"/>
              <w:bottom w:val="nil"/>
              <w:right w:val="nil"/>
            </w:tcBorders>
            <w:shd w:val="clear" w:color="auto" w:fill="auto"/>
            <w:noWrap/>
            <w:vAlign w:val="center"/>
            <w:hideMark/>
          </w:tcPr>
          <w:p w:rsidR="00787ADD" w:rsidRPr="00787ADD" w:rsidRDefault="00787ADD" w:rsidP="00787ADD">
            <w:pPr>
              <w:spacing w:after="0" w:line="240" w:lineRule="auto"/>
              <w:jc w:val="center"/>
              <w:rPr>
                <w:rFonts w:cs="Arial"/>
                <w:color w:val="000000"/>
                <w:sz w:val="16"/>
                <w:szCs w:val="16"/>
              </w:rPr>
            </w:pPr>
            <w:r w:rsidRPr="00787ADD">
              <w:rPr>
                <w:rFonts w:cs="Arial"/>
                <w:color w:val="000000"/>
                <w:sz w:val="16"/>
                <w:szCs w:val="16"/>
              </w:rPr>
              <w:t>42,4</w:t>
            </w:r>
          </w:p>
        </w:tc>
        <w:tc>
          <w:tcPr>
            <w:tcW w:w="567" w:type="dxa"/>
            <w:tcBorders>
              <w:top w:val="nil"/>
              <w:left w:val="nil"/>
              <w:bottom w:val="nil"/>
              <w:right w:val="nil"/>
            </w:tcBorders>
            <w:shd w:val="clear" w:color="auto" w:fill="auto"/>
            <w:noWrap/>
            <w:vAlign w:val="center"/>
            <w:hideMark/>
          </w:tcPr>
          <w:p w:rsidR="00787ADD" w:rsidRPr="00787ADD" w:rsidRDefault="00787ADD" w:rsidP="00787ADD">
            <w:pPr>
              <w:spacing w:after="0" w:line="240" w:lineRule="auto"/>
              <w:jc w:val="center"/>
              <w:rPr>
                <w:rFonts w:cs="Arial"/>
                <w:color w:val="000000"/>
                <w:sz w:val="16"/>
                <w:szCs w:val="16"/>
              </w:rPr>
            </w:pPr>
            <w:r w:rsidRPr="00787ADD">
              <w:rPr>
                <w:rFonts w:cs="Arial"/>
                <w:color w:val="000000"/>
                <w:sz w:val="16"/>
                <w:szCs w:val="16"/>
              </w:rPr>
              <w:t>41,9</w:t>
            </w:r>
          </w:p>
        </w:tc>
        <w:tc>
          <w:tcPr>
            <w:tcW w:w="567" w:type="dxa"/>
            <w:tcBorders>
              <w:top w:val="nil"/>
              <w:left w:val="nil"/>
              <w:bottom w:val="nil"/>
              <w:right w:val="nil"/>
            </w:tcBorders>
            <w:shd w:val="clear" w:color="auto" w:fill="auto"/>
            <w:noWrap/>
            <w:vAlign w:val="center"/>
            <w:hideMark/>
          </w:tcPr>
          <w:p w:rsidR="00787ADD" w:rsidRPr="00787ADD" w:rsidRDefault="00787ADD" w:rsidP="00787ADD">
            <w:pPr>
              <w:spacing w:after="0" w:line="240" w:lineRule="auto"/>
              <w:jc w:val="center"/>
              <w:rPr>
                <w:rFonts w:cs="Arial"/>
                <w:color w:val="000000"/>
                <w:sz w:val="16"/>
                <w:szCs w:val="16"/>
              </w:rPr>
            </w:pPr>
            <w:r w:rsidRPr="00787ADD">
              <w:rPr>
                <w:rFonts w:cs="Arial"/>
                <w:color w:val="000000"/>
                <w:sz w:val="16"/>
                <w:szCs w:val="16"/>
              </w:rPr>
              <w:t>41,2</w:t>
            </w:r>
          </w:p>
        </w:tc>
        <w:tc>
          <w:tcPr>
            <w:tcW w:w="567" w:type="dxa"/>
            <w:tcBorders>
              <w:top w:val="nil"/>
              <w:left w:val="nil"/>
              <w:bottom w:val="nil"/>
              <w:right w:val="nil"/>
            </w:tcBorders>
            <w:shd w:val="clear" w:color="auto" w:fill="auto"/>
            <w:noWrap/>
            <w:vAlign w:val="center"/>
            <w:hideMark/>
          </w:tcPr>
          <w:p w:rsidR="00787ADD" w:rsidRPr="00787ADD" w:rsidRDefault="00787ADD" w:rsidP="00787ADD">
            <w:pPr>
              <w:spacing w:after="0" w:line="240" w:lineRule="auto"/>
              <w:jc w:val="center"/>
              <w:rPr>
                <w:rFonts w:cs="Arial"/>
                <w:color w:val="000000"/>
                <w:sz w:val="16"/>
                <w:szCs w:val="16"/>
              </w:rPr>
            </w:pPr>
            <w:r w:rsidRPr="00787ADD">
              <w:rPr>
                <w:rFonts w:cs="Arial"/>
                <w:color w:val="000000"/>
                <w:sz w:val="16"/>
                <w:szCs w:val="16"/>
              </w:rPr>
              <w:t>42,2</w:t>
            </w:r>
          </w:p>
        </w:tc>
        <w:tc>
          <w:tcPr>
            <w:tcW w:w="567" w:type="dxa"/>
            <w:tcBorders>
              <w:top w:val="nil"/>
              <w:left w:val="nil"/>
              <w:bottom w:val="nil"/>
              <w:right w:val="nil"/>
            </w:tcBorders>
            <w:shd w:val="clear" w:color="auto" w:fill="auto"/>
            <w:noWrap/>
            <w:vAlign w:val="center"/>
            <w:hideMark/>
          </w:tcPr>
          <w:p w:rsidR="00787ADD" w:rsidRPr="00787ADD" w:rsidRDefault="00787ADD" w:rsidP="00787ADD">
            <w:pPr>
              <w:spacing w:after="0" w:line="240" w:lineRule="auto"/>
              <w:jc w:val="center"/>
              <w:rPr>
                <w:rFonts w:cs="Arial"/>
                <w:color w:val="000000"/>
                <w:sz w:val="16"/>
                <w:szCs w:val="16"/>
              </w:rPr>
            </w:pPr>
            <w:r w:rsidRPr="00787ADD">
              <w:rPr>
                <w:rFonts w:cs="Arial"/>
                <w:color w:val="000000"/>
                <w:sz w:val="16"/>
                <w:szCs w:val="16"/>
              </w:rPr>
              <w:t>39,8</w:t>
            </w:r>
          </w:p>
        </w:tc>
        <w:tc>
          <w:tcPr>
            <w:tcW w:w="567" w:type="dxa"/>
            <w:tcBorders>
              <w:top w:val="nil"/>
              <w:left w:val="nil"/>
              <w:bottom w:val="nil"/>
              <w:right w:val="nil"/>
            </w:tcBorders>
            <w:shd w:val="clear" w:color="auto" w:fill="auto"/>
            <w:noWrap/>
            <w:vAlign w:val="center"/>
            <w:hideMark/>
          </w:tcPr>
          <w:p w:rsidR="00787ADD" w:rsidRPr="00787ADD" w:rsidRDefault="00787ADD" w:rsidP="00787ADD">
            <w:pPr>
              <w:spacing w:after="0" w:line="240" w:lineRule="auto"/>
              <w:jc w:val="center"/>
            </w:pPr>
            <w:r w:rsidRPr="00787ADD">
              <w:rPr>
                <w:rFonts w:cs="Arial"/>
                <w:color w:val="000000"/>
                <w:sz w:val="16"/>
                <w:szCs w:val="16"/>
              </w:rPr>
              <w:t>33,8</w:t>
            </w:r>
          </w:p>
        </w:tc>
        <w:tc>
          <w:tcPr>
            <w:tcW w:w="567" w:type="dxa"/>
            <w:vAlign w:val="center"/>
          </w:tcPr>
          <w:p w:rsidR="00787ADD" w:rsidRPr="00787ADD" w:rsidRDefault="00787ADD" w:rsidP="00787ADD">
            <w:pPr>
              <w:spacing w:after="0" w:line="240" w:lineRule="auto"/>
              <w:jc w:val="center"/>
              <w:rPr>
                <w:rFonts w:cs="Arial"/>
                <w:color w:val="000000"/>
                <w:sz w:val="16"/>
                <w:szCs w:val="16"/>
              </w:rPr>
            </w:pPr>
            <w:r w:rsidRPr="00787ADD">
              <w:rPr>
                <w:rFonts w:cs="Arial"/>
                <w:color w:val="000000"/>
                <w:sz w:val="16"/>
                <w:szCs w:val="16"/>
              </w:rPr>
              <w:t>26,8</w:t>
            </w:r>
          </w:p>
        </w:tc>
        <w:tc>
          <w:tcPr>
            <w:tcW w:w="567" w:type="dxa"/>
            <w:vAlign w:val="center"/>
          </w:tcPr>
          <w:p w:rsidR="00787ADD" w:rsidRPr="00787ADD" w:rsidRDefault="00787ADD" w:rsidP="00787ADD">
            <w:pPr>
              <w:spacing w:after="0" w:line="240" w:lineRule="auto"/>
              <w:jc w:val="center"/>
              <w:rPr>
                <w:rFonts w:cs="Arial"/>
                <w:color w:val="000000"/>
                <w:sz w:val="16"/>
                <w:szCs w:val="16"/>
              </w:rPr>
            </w:pPr>
            <w:r w:rsidRPr="00787ADD">
              <w:rPr>
                <w:rFonts w:cs="Arial"/>
                <w:color w:val="000000"/>
                <w:sz w:val="16"/>
                <w:szCs w:val="16"/>
              </w:rPr>
              <w:t>31,9</w:t>
            </w:r>
          </w:p>
        </w:tc>
        <w:tc>
          <w:tcPr>
            <w:tcW w:w="567" w:type="dxa"/>
            <w:vAlign w:val="center"/>
          </w:tcPr>
          <w:p w:rsidR="00787ADD" w:rsidRPr="00E04FBD" w:rsidRDefault="004B6FEF" w:rsidP="00787ADD">
            <w:pPr>
              <w:spacing w:after="0" w:line="240" w:lineRule="auto"/>
              <w:jc w:val="center"/>
              <w:rPr>
                <w:rFonts w:cs="Arial"/>
                <w:color w:val="000000"/>
                <w:sz w:val="16"/>
                <w:szCs w:val="16"/>
              </w:rPr>
            </w:pPr>
            <w:r w:rsidRPr="00E04FBD">
              <w:rPr>
                <w:rFonts w:cs="Arial"/>
                <w:color w:val="000000"/>
                <w:sz w:val="16"/>
                <w:szCs w:val="16"/>
              </w:rPr>
              <w:t>32,5</w:t>
            </w:r>
          </w:p>
        </w:tc>
      </w:tr>
      <w:tr w:rsidR="00787ADD" w:rsidRPr="00787ADD" w:rsidTr="006172DA">
        <w:trPr>
          <w:trHeight w:val="480"/>
        </w:trPr>
        <w:tc>
          <w:tcPr>
            <w:tcW w:w="3401" w:type="dxa"/>
            <w:tcBorders>
              <w:top w:val="nil"/>
              <w:left w:val="nil"/>
              <w:bottom w:val="nil"/>
              <w:right w:val="single" w:sz="4" w:space="0" w:color="auto"/>
            </w:tcBorders>
            <w:shd w:val="clear" w:color="auto" w:fill="auto"/>
            <w:vAlign w:val="center"/>
            <w:hideMark/>
          </w:tcPr>
          <w:p w:rsidR="00787ADD" w:rsidRPr="00787ADD" w:rsidRDefault="00787ADD" w:rsidP="00787ADD">
            <w:pPr>
              <w:spacing w:after="0" w:line="240" w:lineRule="auto"/>
              <w:ind w:firstLineChars="100" w:firstLine="160"/>
              <w:jc w:val="left"/>
              <w:rPr>
                <w:rFonts w:cs="Arial"/>
                <w:color w:val="000000"/>
                <w:sz w:val="16"/>
                <w:szCs w:val="16"/>
              </w:rPr>
            </w:pPr>
            <w:r w:rsidRPr="00787ADD">
              <w:rPr>
                <w:rFonts w:cs="Arial"/>
                <w:color w:val="000000"/>
                <w:sz w:val="16"/>
                <w:szCs w:val="16"/>
              </w:rPr>
              <w:t xml:space="preserve">D – Výroba a rozvod elektřiny, plynu, </w:t>
            </w:r>
            <w:r w:rsidRPr="00787ADD">
              <w:rPr>
                <w:rFonts w:cs="Arial"/>
                <w:color w:val="000000"/>
                <w:sz w:val="16"/>
                <w:szCs w:val="16"/>
              </w:rPr>
              <w:br/>
              <w:t xml:space="preserve">          tepla a klimatizovaného vzduchu</w:t>
            </w:r>
          </w:p>
        </w:tc>
        <w:tc>
          <w:tcPr>
            <w:tcW w:w="567" w:type="dxa"/>
            <w:tcBorders>
              <w:top w:val="nil"/>
              <w:left w:val="nil"/>
              <w:bottom w:val="nil"/>
              <w:right w:val="nil"/>
            </w:tcBorders>
            <w:shd w:val="clear" w:color="auto" w:fill="auto"/>
            <w:noWrap/>
            <w:vAlign w:val="center"/>
            <w:hideMark/>
          </w:tcPr>
          <w:p w:rsidR="00787ADD" w:rsidRPr="00787ADD" w:rsidRDefault="00787ADD" w:rsidP="00787ADD">
            <w:pPr>
              <w:spacing w:after="0" w:line="240" w:lineRule="auto"/>
              <w:jc w:val="center"/>
              <w:rPr>
                <w:rFonts w:cs="Arial"/>
                <w:color w:val="000000"/>
                <w:sz w:val="16"/>
                <w:szCs w:val="16"/>
              </w:rPr>
            </w:pPr>
            <w:r w:rsidRPr="00787ADD">
              <w:rPr>
                <w:rFonts w:cs="Arial"/>
                <w:color w:val="000000"/>
                <w:sz w:val="16"/>
                <w:szCs w:val="16"/>
              </w:rPr>
              <w:t>40,8</w:t>
            </w:r>
          </w:p>
        </w:tc>
        <w:tc>
          <w:tcPr>
            <w:tcW w:w="567" w:type="dxa"/>
            <w:tcBorders>
              <w:top w:val="nil"/>
              <w:left w:val="nil"/>
              <w:bottom w:val="nil"/>
              <w:right w:val="nil"/>
            </w:tcBorders>
            <w:shd w:val="clear" w:color="auto" w:fill="auto"/>
            <w:noWrap/>
            <w:vAlign w:val="center"/>
            <w:hideMark/>
          </w:tcPr>
          <w:p w:rsidR="00787ADD" w:rsidRPr="00787ADD" w:rsidRDefault="00787ADD" w:rsidP="00787ADD">
            <w:pPr>
              <w:spacing w:after="0" w:line="240" w:lineRule="auto"/>
              <w:jc w:val="center"/>
              <w:rPr>
                <w:rFonts w:cs="Arial"/>
                <w:color w:val="000000"/>
                <w:sz w:val="16"/>
                <w:szCs w:val="16"/>
              </w:rPr>
            </w:pPr>
            <w:r w:rsidRPr="00787ADD">
              <w:rPr>
                <w:rFonts w:cs="Arial"/>
                <w:color w:val="000000"/>
                <w:sz w:val="16"/>
                <w:szCs w:val="16"/>
              </w:rPr>
              <w:t>40,3</w:t>
            </w:r>
          </w:p>
        </w:tc>
        <w:tc>
          <w:tcPr>
            <w:tcW w:w="567" w:type="dxa"/>
            <w:tcBorders>
              <w:top w:val="nil"/>
              <w:left w:val="nil"/>
              <w:bottom w:val="nil"/>
              <w:right w:val="nil"/>
            </w:tcBorders>
            <w:shd w:val="clear" w:color="auto" w:fill="auto"/>
            <w:noWrap/>
            <w:vAlign w:val="center"/>
            <w:hideMark/>
          </w:tcPr>
          <w:p w:rsidR="00787ADD" w:rsidRPr="00787ADD" w:rsidRDefault="00787ADD" w:rsidP="00787ADD">
            <w:pPr>
              <w:spacing w:after="0" w:line="240" w:lineRule="auto"/>
              <w:jc w:val="center"/>
              <w:rPr>
                <w:rFonts w:cs="Arial"/>
                <w:color w:val="000000"/>
                <w:sz w:val="16"/>
                <w:szCs w:val="16"/>
              </w:rPr>
            </w:pPr>
            <w:r w:rsidRPr="00787ADD">
              <w:rPr>
                <w:rFonts w:cs="Arial"/>
                <w:color w:val="000000"/>
                <w:sz w:val="16"/>
                <w:szCs w:val="16"/>
              </w:rPr>
              <w:t>41,4</w:t>
            </w:r>
          </w:p>
        </w:tc>
        <w:tc>
          <w:tcPr>
            <w:tcW w:w="567" w:type="dxa"/>
            <w:tcBorders>
              <w:top w:val="nil"/>
              <w:left w:val="nil"/>
              <w:bottom w:val="nil"/>
              <w:right w:val="nil"/>
            </w:tcBorders>
            <w:shd w:val="clear" w:color="auto" w:fill="auto"/>
            <w:noWrap/>
            <w:vAlign w:val="center"/>
            <w:hideMark/>
          </w:tcPr>
          <w:p w:rsidR="00787ADD" w:rsidRPr="00787ADD" w:rsidRDefault="00787ADD" w:rsidP="00787ADD">
            <w:pPr>
              <w:spacing w:after="0" w:line="240" w:lineRule="auto"/>
              <w:jc w:val="center"/>
              <w:rPr>
                <w:rFonts w:cs="Arial"/>
                <w:color w:val="000000"/>
                <w:sz w:val="16"/>
                <w:szCs w:val="16"/>
              </w:rPr>
            </w:pPr>
            <w:r w:rsidRPr="00787ADD">
              <w:rPr>
                <w:rFonts w:cs="Arial"/>
                <w:color w:val="000000"/>
                <w:sz w:val="16"/>
                <w:szCs w:val="16"/>
              </w:rPr>
              <w:t>40,3</w:t>
            </w:r>
          </w:p>
        </w:tc>
        <w:tc>
          <w:tcPr>
            <w:tcW w:w="567" w:type="dxa"/>
            <w:tcBorders>
              <w:top w:val="nil"/>
              <w:left w:val="nil"/>
              <w:bottom w:val="nil"/>
              <w:right w:val="nil"/>
            </w:tcBorders>
            <w:shd w:val="clear" w:color="auto" w:fill="auto"/>
            <w:noWrap/>
            <w:vAlign w:val="center"/>
            <w:hideMark/>
          </w:tcPr>
          <w:p w:rsidR="00787ADD" w:rsidRPr="00787ADD" w:rsidRDefault="00787ADD" w:rsidP="00787ADD">
            <w:pPr>
              <w:spacing w:after="0" w:line="240" w:lineRule="auto"/>
              <w:jc w:val="center"/>
              <w:rPr>
                <w:rFonts w:cs="Arial"/>
                <w:color w:val="000000"/>
                <w:sz w:val="16"/>
                <w:szCs w:val="16"/>
              </w:rPr>
            </w:pPr>
            <w:r w:rsidRPr="00787ADD">
              <w:rPr>
                <w:rFonts w:cs="Arial"/>
                <w:color w:val="000000"/>
                <w:sz w:val="16"/>
                <w:szCs w:val="16"/>
              </w:rPr>
              <w:t>36,9</w:t>
            </w:r>
          </w:p>
        </w:tc>
        <w:tc>
          <w:tcPr>
            <w:tcW w:w="567" w:type="dxa"/>
            <w:tcBorders>
              <w:top w:val="nil"/>
              <w:left w:val="nil"/>
              <w:bottom w:val="nil"/>
              <w:right w:val="nil"/>
            </w:tcBorders>
            <w:shd w:val="clear" w:color="auto" w:fill="auto"/>
            <w:noWrap/>
            <w:vAlign w:val="center"/>
            <w:hideMark/>
          </w:tcPr>
          <w:p w:rsidR="00787ADD" w:rsidRPr="00787ADD" w:rsidRDefault="00787ADD" w:rsidP="00787ADD">
            <w:pPr>
              <w:spacing w:after="0" w:line="240" w:lineRule="auto"/>
              <w:jc w:val="center"/>
              <w:rPr>
                <w:rFonts w:cs="Arial"/>
                <w:color w:val="000000"/>
                <w:sz w:val="16"/>
                <w:szCs w:val="16"/>
              </w:rPr>
            </w:pPr>
            <w:r w:rsidRPr="00787ADD">
              <w:rPr>
                <w:rFonts w:cs="Arial"/>
                <w:color w:val="000000"/>
                <w:sz w:val="16"/>
                <w:szCs w:val="16"/>
              </w:rPr>
              <w:t>38,1</w:t>
            </w:r>
          </w:p>
        </w:tc>
        <w:tc>
          <w:tcPr>
            <w:tcW w:w="567" w:type="dxa"/>
            <w:tcBorders>
              <w:top w:val="nil"/>
              <w:left w:val="nil"/>
              <w:bottom w:val="nil"/>
              <w:right w:val="nil"/>
            </w:tcBorders>
            <w:shd w:val="clear" w:color="auto" w:fill="auto"/>
            <w:noWrap/>
            <w:vAlign w:val="center"/>
            <w:hideMark/>
          </w:tcPr>
          <w:p w:rsidR="00787ADD" w:rsidRPr="00787ADD" w:rsidRDefault="00787ADD" w:rsidP="00787ADD">
            <w:pPr>
              <w:spacing w:after="0" w:line="240" w:lineRule="auto"/>
              <w:jc w:val="center"/>
              <w:rPr>
                <w:rFonts w:cs="Arial"/>
                <w:color w:val="000000"/>
                <w:sz w:val="16"/>
                <w:szCs w:val="16"/>
              </w:rPr>
            </w:pPr>
            <w:r w:rsidRPr="00787ADD">
              <w:rPr>
                <w:rFonts w:cs="Arial"/>
                <w:color w:val="000000"/>
                <w:sz w:val="16"/>
                <w:szCs w:val="16"/>
              </w:rPr>
              <w:t>33,2</w:t>
            </w:r>
          </w:p>
        </w:tc>
        <w:tc>
          <w:tcPr>
            <w:tcW w:w="567" w:type="dxa"/>
            <w:tcBorders>
              <w:top w:val="nil"/>
              <w:left w:val="nil"/>
              <w:bottom w:val="nil"/>
              <w:right w:val="nil"/>
            </w:tcBorders>
            <w:shd w:val="clear" w:color="auto" w:fill="auto"/>
            <w:noWrap/>
            <w:vAlign w:val="center"/>
            <w:hideMark/>
          </w:tcPr>
          <w:p w:rsidR="00787ADD" w:rsidRPr="00787ADD" w:rsidRDefault="00787ADD" w:rsidP="00787ADD">
            <w:pPr>
              <w:spacing w:after="0" w:line="240" w:lineRule="auto"/>
              <w:jc w:val="center"/>
            </w:pPr>
            <w:r w:rsidRPr="00787ADD">
              <w:rPr>
                <w:rFonts w:cs="Arial"/>
                <w:color w:val="000000"/>
                <w:sz w:val="16"/>
                <w:szCs w:val="16"/>
              </w:rPr>
              <w:t>31,6</w:t>
            </w:r>
          </w:p>
        </w:tc>
        <w:tc>
          <w:tcPr>
            <w:tcW w:w="567" w:type="dxa"/>
            <w:vAlign w:val="center"/>
          </w:tcPr>
          <w:p w:rsidR="00787ADD" w:rsidRPr="00787ADD" w:rsidRDefault="00787ADD" w:rsidP="00787ADD">
            <w:pPr>
              <w:spacing w:after="0" w:line="240" w:lineRule="auto"/>
              <w:jc w:val="center"/>
              <w:rPr>
                <w:rFonts w:cs="Arial"/>
                <w:color w:val="000000"/>
                <w:sz w:val="16"/>
                <w:szCs w:val="16"/>
              </w:rPr>
            </w:pPr>
            <w:r w:rsidRPr="00787ADD">
              <w:rPr>
                <w:rFonts w:cs="Arial"/>
                <w:color w:val="000000"/>
                <w:sz w:val="16"/>
                <w:szCs w:val="16"/>
              </w:rPr>
              <w:t>24,2</w:t>
            </w:r>
          </w:p>
        </w:tc>
        <w:tc>
          <w:tcPr>
            <w:tcW w:w="567" w:type="dxa"/>
            <w:vAlign w:val="center"/>
          </w:tcPr>
          <w:p w:rsidR="00787ADD" w:rsidRPr="00787ADD" w:rsidRDefault="00787ADD" w:rsidP="00787ADD">
            <w:pPr>
              <w:spacing w:after="0" w:line="240" w:lineRule="auto"/>
              <w:jc w:val="center"/>
              <w:rPr>
                <w:rFonts w:cs="Arial"/>
                <w:color w:val="000000"/>
                <w:sz w:val="16"/>
                <w:szCs w:val="16"/>
              </w:rPr>
            </w:pPr>
            <w:r w:rsidRPr="00787ADD">
              <w:rPr>
                <w:rFonts w:cs="Arial"/>
                <w:color w:val="000000"/>
                <w:sz w:val="16"/>
                <w:szCs w:val="16"/>
              </w:rPr>
              <w:t>28,5</w:t>
            </w:r>
          </w:p>
        </w:tc>
        <w:tc>
          <w:tcPr>
            <w:tcW w:w="567" w:type="dxa"/>
            <w:vAlign w:val="center"/>
          </w:tcPr>
          <w:p w:rsidR="00787ADD" w:rsidRPr="00E04FBD" w:rsidRDefault="004B6FEF" w:rsidP="00787ADD">
            <w:pPr>
              <w:spacing w:after="0" w:line="240" w:lineRule="auto"/>
              <w:jc w:val="center"/>
              <w:rPr>
                <w:rFonts w:cs="Arial"/>
                <w:color w:val="000000"/>
                <w:sz w:val="16"/>
                <w:szCs w:val="16"/>
              </w:rPr>
            </w:pPr>
            <w:r w:rsidRPr="00E04FBD">
              <w:rPr>
                <w:rFonts w:cs="Arial"/>
                <w:color w:val="000000"/>
                <w:sz w:val="16"/>
                <w:szCs w:val="16"/>
              </w:rPr>
              <w:t>28,9</w:t>
            </w:r>
          </w:p>
        </w:tc>
      </w:tr>
      <w:tr w:rsidR="00787ADD" w:rsidRPr="00787ADD" w:rsidTr="006172DA">
        <w:trPr>
          <w:trHeight w:val="480"/>
        </w:trPr>
        <w:tc>
          <w:tcPr>
            <w:tcW w:w="3401" w:type="dxa"/>
            <w:tcBorders>
              <w:top w:val="nil"/>
              <w:left w:val="nil"/>
              <w:bottom w:val="nil"/>
              <w:right w:val="single" w:sz="4" w:space="0" w:color="auto"/>
            </w:tcBorders>
            <w:shd w:val="clear" w:color="auto" w:fill="auto"/>
            <w:vAlign w:val="center"/>
            <w:hideMark/>
          </w:tcPr>
          <w:p w:rsidR="00787ADD" w:rsidRPr="00787ADD" w:rsidRDefault="00787ADD" w:rsidP="00787ADD">
            <w:pPr>
              <w:spacing w:after="0" w:line="240" w:lineRule="auto"/>
              <w:ind w:firstLineChars="100" w:firstLine="160"/>
              <w:jc w:val="left"/>
              <w:rPr>
                <w:rFonts w:cs="Arial"/>
                <w:color w:val="000000"/>
                <w:sz w:val="16"/>
                <w:szCs w:val="16"/>
              </w:rPr>
            </w:pPr>
            <w:r w:rsidRPr="00787ADD">
              <w:rPr>
                <w:rFonts w:cs="Arial"/>
                <w:color w:val="000000"/>
                <w:sz w:val="16"/>
                <w:szCs w:val="16"/>
              </w:rPr>
              <w:t xml:space="preserve">E – Zásobování vodou; činnosti </w:t>
            </w:r>
            <w:r w:rsidRPr="00787ADD">
              <w:rPr>
                <w:rFonts w:cs="Arial"/>
                <w:color w:val="000000"/>
                <w:sz w:val="16"/>
                <w:szCs w:val="16"/>
              </w:rPr>
              <w:br/>
              <w:t xml:space="preserve">          související s odpady a sanacemi</w:t>
            </w:r>
          </w:p>
        </w:tc>
        <w:tc>
          <w:tcPr>
            <w:tcW w:w="567" w:type="dxa"/>
            <w:tcBorders>
              <w:top w:val="nil"/>
              <w:left w:val="nil"/>
              <w:bottom w:val="nil"/>
              <w:right w:val="nil"/>
            </w:tcBorders>
            <w:shd w:val="clear" w:color="auto" w:fill="auto"/>
            <w:noWrap/>
            <w:vAlign w:val="center"/>
            <w:hideMark/>
          </w:tcPr>
          <w:p w:rsidR="00787ADD" w:rsidRPr="00787ADD" w:rsidRDefault="00787ADD" w:rsidP="00787ADD">
            <w:pPr>
              <w:spacing w:after="0" w:line="240" w:lineRule="auto"/>
              <w:jc w:val="center"/>
              <w:rPr>
                <w:rFonts w:cs="Arial"/>
                <w:color w:val="000000"/>
                <w:sz w:val="16"/>
                <w:szCs w:val="16"/>
              </w:rPr>
            </w:pPr>
            <w:r w:rsidRPr="00787ADD">
              <w:rPr>
                <w:rFonts w:cs="Arial"/>
                <w:color w:val="000000"/>
                <w:sz w:val="16"/>
                <w:szCs w:val="16"/>
              </w:rPr>
              <w:t>48,1</w:t>
            </w:r>
          </w:p>
        </w:tc>
        <w:tc>
          <w:tcPr>
            <w:tcW w:w="567" w:type="dxa"/>
            <w:tcBorders>
              <w:top w:val="nil"/>
              <w:left w:val="nil"/>
              <w:bottom w:val="nil"/>
              <w:right w:val="nil"/>
            </w:tcBorders>
            <w:shd w:val="clear" w:color="auto" w:fill="auto"/>
            <w:noWrap/>
            <w:vAlign w:val="center"/>
            <w:hideMark/>
          </w:tcPr>
          <w:p w:rsidR="00787ADD" w:rsidRPr="00787ADD" w:rsidRDefault="00787ADD" w:rsidP="00787ADD">
            <w:pPr>
              <w:spacing w:after="0" w:line="240" w:lineRule="auto"/>
              <w:jc w:val="center"/>
              <w:rPr>
                <w:rFonts w:cs="Arial"/>
                <w:color w:val="000000"/>
                <w:sz w:val="16"/>
                <w:szCs w:val="16"/>
              </w:rPr>
            </w:pPr>
            <w:r w:rsidRPr="00787ADD">
              <w:rPr>
                <w:rFonts w:cs="Arial"/>
                <w:color w:val="000000"/>
                <w:sz w:val="16"/>
                <w:szCs w:val="16"/>
              </w:rPr>
              <w:t>45,0</w:t>
            </w:r>
          </w:p>
        </w:tc>
        <w:tc>
          <w:tcPr>
            <w:tcW w:w="567" w:type="dxa"/>
            <w:tcBorders>
              <w:top w:val="nil"/>
              <w:left w:val="nil"/>
              <w:bottom w:val="nil"/>
              <w:right w:val="nil"/>
            </w:tcBorders>
            <w:shd w:val="clear" w:color="auto" w:fill="auto"/>
            <w:noWrap/>
            <w:vAlign w:val="center"/>
            <w:hideMark/>
          </w:tcPr>
          <w:p w:rsidR="00787ADD" w:rsidRPr="00787ADD" w:rsidRDefault="00787ADD" w:rsidP="00787ADD">
            <w:pPr>
              <w:spacing w:after="0" w:line="240" w:lineRule="auto"/>
              <w:jc w:val="center"/>
              <w:rPr>
                <w:rFonts w:cs="Arial"/>
                <w:color w:val="000000"/>
                <w:sz w:val="16"/>
                <w:szCs w:val="16"/>
              </w:rPr>
            </w:pPr>
            <w:r w:rsidRPr="00787ADD">
              <w:rPr>
                <w:rFonts w:cs="Arial"/>
                <w:color w:val="000000"/>
                <w:sz w:val="16"/>
                <w:szCs w:val="16"/>
              </w:rPr>
              <w:t>45,0</w:t>
            </w:r>
          </w:p>
        </w:tc>
        <w:tc>
          <w:tcPr>
            <w:tcW w:w="567" w:type="dxa"/>
            <w:tcBorders>
              <w:top w:val="nil"/>
              <w:left w:val="nil"/>
              <w:bottom w:val="nil"/>
              <w:right w:val="nil"/>
            </w:tcBorders>
            <w:shd w:val="clear" w:color="auto" w:fill="auto"/>
            <w:noWrap/>
            <w:vAlign w:val="center"/>
            <w:hideMark/>
          </w:tcPr>
          <w:p w:rsidR="00787ADD" w:rsidRPr="00787ADD" w:rsidRDefault="00787ADD" w:rsidP="00787ADD">
            <w:pPr>
              <w:spacing w:after="0" w:line="240" w:lineRule="auto"/>
              <w:jc w:val="center"/>
              <w:rPr>
                <w:rFonts w:cs="Arial"/>
                <w:color w:val="000000"/>
                <w:sz w:val="16"/>
                <w:szCs w:val="16"/>
              </w:rPr>
            </w:pPr>
            <w:r w:rsidRPr="00787ADD">
              <w:rPr>
                <w:rFonts w:cs="Arial"/>
                <w:color w:val="000000"/>
                <w:sz w:val="16"/>
                <w:szCs w:val="16"/>
              </w:rPr>
              <w:t>44,6</w:t>
            </w:r>
          </w:p>
        </w:tc>
        <w:tc>
          <w:tcPr>
            <w:tcW w:w="567" w:type="dxa"/>
            <w:tcBorders>
              <w:top w:val="nil"/>
              <w:left w:val="nil"/>
              <w:bottom w:val="nil"/>
              <w:right w:val="nil"/>
            </w:tcBorders>
            <w:shd w:val="clear" w:color="auto" w:fill="auto"/>
            <w:noWrap/>
            <w:vAlign w:val="center"/>
            <w:hideMark/>
          </w:tcPr>
          <w:p w:rsidR="00787ADD" w:rsidRPr="00787ADD" w:rsidRDefault="00787ADD" w:rsidP="00787ADD">
            <w:pPr>
              <w:spacing w:after="0" w:line="240" w:lineRule="auto"/>
              <w:jc w:val="center"/>
              <w:rPr>
                <w:rFonts w:cs="Arial"/>
                <w:color w:val="000000"/>
                <w:sz w:val="16"/>
                <w:szCs w:val="16"/>
              </w:rPr>
            </w:pPr>
            <w:r w:rsidRPr="00787ADD">
              <w:rPr>
                <w:rFonts w:cs="Arial"/>
                <w:color w:val="000000"/>
                <w:sz w:val="16"/>
                <w:szCs w:val="16"/>
              </w:rPr>
              <w:t>44,0</w:t>
            </w:r>
          </w:p>
        </w:tc>
        <w:tc>
          <w:tcPr>
            <w:tcW w:w="567" w:type="dxa"/>
            <w:tcBorders>
              <w:top w:val="nil"/>
              <w:left w:val="nil"/>
              <w:bottom w:val="nil"/>
              <w:right w:val="nil"/>
            </w:tcBorders>
            <w:shd w:val="clear" w:color="auto" w:fill="auto"/>
            <w:noWrap/>
            <w:vAlign w:val="center"/>
            <w:hideMark/>
          </w:tcPr>
          <w:p w:rsidR="00787ADD" w:rsidRPr="00787ADD" w:rsidRDefault="00787ADD" w:rsidP="00787ADD">
            <w:pPr>
              <w:spacing w:after="0" w:line="240" w:lineRule="auto"/>
              <w:jc w:val="center"/>
              <w:rPr>
                <w:rFonts w:cs="Arial"/>
                <w:color w:val="000000"/>
                <w:sz w:val="16"/>
                <w:szCs w:val="16"/>
              </w:rPr>
            </w:pPr>
            <w:r w:rsidRPr="00787ADD">
              <w:rPr>
                <w:rFonts w:cs="Arial"/>
                <w:color w:val="000000"/>
                <w:sz w:val="16"/>
                <w:szCs w:val="16"/>
              </w:rPr>
              <w:t>44,9</w:t>
            </w:r>
          </w:p>
        </w:tc>
        <w:tc>
          <w:tcPr>
            <w:tcW w:w="567" w:type="dxa"/>
            <w:tcBorders>
              <w:top w:val="nil"/>
              <w:left w:val="nil"/>
              <w:bottom w:val="nil"/>
              <w:right w:val="nil"/>
            </w:tcBorders>
            <w:shd w:val="clear" w:color="auto" w:fill="auto"/>
            <w:noWrap/>
            <w:vAlign w:val="center"/>
            <w:hideMark/>
          </w:tcPr>
          <w:p w:rsidR="00787ADD" w:rsidRPr="00787ADD" w:rsidRDefault="00787ADD" w:rsidP="00787ADD">
            <w:pPr>
              <w:spacing w:after="0" w:line="240" w:lineRule="auto"/>
              <w:jc w:val="center"/>
              <w:rPr>
                <w:rFonts w:cs="Arial"/>
                <w:color w:val="000000"/>
                <w:sz w:val="16"/>
                <w:szCs w:val="16"/>
              </w:rPr>
            </w:pPr>
            <w:r w:rsidRPr="00787ADD">
              <w:rPr>
                <w:rFonts w:cs="Arial"/>
                <w:color w:val="000000"/>
                <w:sz w:val="16"/>
                <w:szCs w:val="16"/>
              </w:rPr>
              <w:t>41,4</w:t>
            </w:r>
          </w:p>
        </w:tc>
        <w:tc>
          <w:tcPr>
            <w:tcW w:w="567" w:type="dxa"/>
            <w:tcBorders>
              <w:top w:val="nil"/>
              <w:left w:val="nil"/>
              <w:bottom w:val="nil"/>
              <w:right w:val="nil"/>
            </w:tcBorders>
            <w:shd w:val="clear" w:color="auto" w:fill="auto"/>
            <w:noWrap/>
            <w:vAlign w:val="center"/>
            <w:hideMark/>
          </w:tcPr>
          <w:p w:rsidR="00787ADD" w:rsidRPr="00787ADD" w:rsidRDefault="00787ADD" w:rsidP="00787ADD">
            <w:pPr>
              <w:spacing w:after="0" w:line="240" w:lineRule="auto"/>
              <w:jc w:val="center"/>
            </w:pPr>
            <w:r w:rsidRPr="00787ADD">
              <w:rPr>
                <w:rFonts w:cs="Arial"/>
                <w:color w:val="000000"/>
                <w:sz w:val="16"/>
                <w:szCs w:val="16"/>
              </w:rPr>
              <w:t>36,0</w:t>
            </w:r>
          </w:p>
        </w:tc>
        <w:tc>
          <w:tcPr>
            <w:tcW w:w="567" w:type="dxa"/>
            <w:vAlign w:val="center"/>
          </w:tcPr>
          <w:p w:rsidR="00787ADD" w:rsidRPr="00787ADD" w:rsidRDefault="00787ADD" w:rsidP="00787ADD">
            <w:pPr>
              <w:spacing w:after="0" w:line="240" w:lineRule="auto"/>
              <w:jc w:val="center"/>
              <w:rPr>
                <w:rFonts w:cs="Arial"/>
                <w:color w:val="000000"/>
                <w:sz w:val="16"/>
                <w:szCs w:val="16"/>
              </w:rPr>
            </w:pPr>
            <w:r w:rsidRPr="00787ADD">
              <w:rPr>
                <w:rFonts w:cs="Arial"/>
                <w:color w:val="000000"/>
                <w:sz w:val="16"/>
                <w:szCs w:val="16"/>
              </w:rPr>
              <w:t>29,3</w:t>
            </w:r>
          </w:p>
        </w:tc>
        <w:tc>
          <w:tcPr>
            <w:tcW w:w="567" w:type="dxa"/>
            <w:vAlign w:val="center"/>
          </w:tcPr>
          <w:p w:rsidR="00787ADD" w:rsidRPr="00787ADD" w:rsidRDefault="00787ADD" w:rsidP="00787ADD">
            <w:pPr>
              <w:spacing w:after="0" w:line="240" w:lineRule="auto"/>
              <w:jc w:val="center"/>
              <w:rPr>
                <w:rFonts w:cs="Arial"/>
                <w:color w:val="000000"/>
                <w:sz w:val="16"/>
                <w:szCs w:val="16"/>
              </w:rPr>
            </w:pPr>
            <w:r w:rsidRPr="00787ADD">
              <w:rPr>
                <w:rFonts w:cs="Arial"/>
                <w:color w:val="000000"/>
                <w:sz w:val="16"/>
                <w:szCs w:val="16"/>
              </w:rPr>
              <w:t>34,9</w:t>
            </w:r>
          </w:p>
        </w:tc>
        <w:tc>
          <w:tcPr>
            <w:tcW w:w="567" w:type="dxa"/>
            <w:vAlign w:val="center"/>
          </w:tcPr>
          <w:p w:rsidR="00787ADD" w:rsidRPr="00E04FBD" w:rsidRDefault="004B6FEF" w:rsidP="00787ADD">
            <w:pPr>
              <w:spacing w:after="0" w:line="240" w:lineRule="auto"/>
              <w:jc w:val="center"/>
              <w:rPr>
                <w:rFonts w:cs="Arial"/>
                <w:color w:val="000000"/>
                <w:sz w:val="16"/>
                <w:szCs w:val="16"/>
              </w:rPr>
            </w:pPr>
            <w:r w:rsidRPr="00E04FBD">
              <w:rPr>
                <w:rFonts w:cs="Arial"/>
                <w:color w:val="000000"/>
                <w:sz w:val="16"/>
                <w:szCs w:val="16"/>
              </w:rPr>
              <w:t>35,1</w:t>
            </w:r>
          </w:p>
        </w:tc>
      </w:tr>
      <w:tr w:rsidR="00787ADD" w:rsidRPr="00787ADD" w:rsidTr="006172DA">
        <w:trPr>
          <w:trHeight w:val="300"/>
        </w:trPr>
        <w:tc>
          <w:tcPr>
            <w:tcW w:w="3401" w:type="dxa"/>
            <w:tcBorders>
              <w:top w:val="nil"/>
              <w:left w:val="nil"/>
              <w:bottom w:val="nil"/>
              <w:right w:val="single" w:sz="4" w:space="0" w:color="auto"/>
            </w:tcBorders>
            <w:shd w:val="clear" w:color="auto" w:fill="auto"/>
            <w:vAlign w:val="center"/>
            <w:hideMark/>
          </w:tcPr>
          <w:p w:rsidR="00787ADD" w:rsidRPr="00787ADD" w:rsidRDefault="00787ADD" w:rsidP="00787ADD">
            <w:pPr>
              <w:spacing w:after="0" w:line="240" w:lineRule="auto"/>
              <w:ind w:firstLineChars="100" w:firstLine="160"/>
              <w:jc w:val="left"/>
              <w:rPr>
                <w:rFonts w:cs="Arial"/>
                <w:color w:val="000000"/>
                <w:sz w:val="16"/>
                <w:szCs w:val="16"/>
              </w:rPr>
            </w:pPr>
            <w:r w:rsidRPr="00787ADD">
              <w:rPr>
                <w:rFonts w:cs="Arial"/>
                <w:color w:val="000000"/>
                <w:sz w:val="16"/>
                <w:szCs w:val="16"/>
              </w:rPr>
              <w:t>F – Stavebnictví</w:t>
            </w:r>
          </w:p>
        </w:tc>
        <w:tc>
          <w:tcPr>
            <w:tcW w:w="567" w:type="dxa"/>
            <w:tcBorders>
              <w:top w:val="nil"/>
              <w:left w:val="nil"/>
              <w:bottom w:val="nil"/>
              <w:right w:val="nil"/>
            </w:tcBorders>
            <w:shd w:val="clear" w:color="auto" w:fill="auto"/>
            <w:noWrap/>
            <w:vAlign w:val="center"/>
            <w:hideMark/>
          </w:tcPr>
          <w:p w:rsidR="00787ADD" w:rsidRPr="00787ADD" w:rsidRDefault="00787ADD" w:rsidP="00787ADD">
            <w:pPr>
              <w:spacing w:after="0" w:line="240" w:lineRule="auto"/>
              <w:jc w:val="center"/>
              <w:rPr>
                <w:rFonts w:cs="Arial"/>
                <w:color w:val="000000"/>
                <w:sz w:val="16"/>
                <w:szCs w:val="16"/>
              </w:rPr>
            </w:pPr>
            <w:r w:rsidRPr="00787ADD">
              <w:rPr>
                <w:rFonts w:cs="Arial"/>
                <w:color w:val="000000"/>
                <w:sz w:val="16"/>
                <w:szCs w:val="16"/>
              </w:rPr>
              <w:t>59,3</w:t>
            </w:r>
          </w:p>
        </w:tc>
        <w:tc>
          <w:tcPr>
            <w:tcW w:w="567" w:type="dxa"/>
            <w:tcBorders>
              <w:top w:val="nil"/>
              <w:left w:val="nil"/>
              <w:bottom w:val="nil"/>
              <w:right w:val="nil"/>
            </w:tcBorders>
            <w:shd w:val="clear" w:color="auto" w:fill="auto"/>
            <w:noWrap/>
            <w:vAlign w:val="center"/>
            <w:hideMark/>
          </w:tcPr>
          <w:p w:rsidR="00787ADD" w:rsidRPr="00787ADD" w:rsidRDefault="00787ADD" w:rsidP="00787ADD">
            <w:pPr>
              <w:spacing w:after="0" w:line="240" w:lineRule="auto"/>
              <w:jc w:val="center"/>
              <w:rPr>
                <w:rFonts w:cs="Arial"/>
                <w:color w:val="000000"/>
                <w:sz w:val="16"/>
                <w:szCs w:val="16"/>
              </w:rPr>
            </w:pPr>
            <w:r w:rsidRPr="00787ADD">
              <w:rPr>
                <w:rFonts w:cs="Arial"/>
                <w:color w:val="000000"/>
                <w:sz w:val="16"/>
                <w:szCs w:val="16"/>
              </w:rPr>
              <w:t>53,8</w:t>
            </w:r>
          </w:p>
        </w:tc>
        <w:tc>
          <w:tcPr>
            <w:tcW w:w="567" w:type="dxa"/>
            <w:tcBorders>
              <w:top w:val="nil"/>
              <w:left w:val="nil"/>
              <w:bottom w:val="nil"/>
              <w:right w:val="nil"/>
            </w:tcBorders>
            <w:shd w:val="clear" w:color="auto" w:fill="auto"/>
            <w:noWrap/>
            <w:vAlign w:val="center"/>
            <w:hideMark/>
          </w:tcPr>
          <w:p w:rsidR="00787ADD" w:rsidRPr="00787ADD" w:rsidRDefault="00787ADD" w:rsidP="00787ADD">
            <w:pPr>
              <w:spacing w:after="0" w:line="240" w:lineRule="auto"/>
              <w:jc w:val="center"/>
              <w:rPr>
                <w:rFonts w:cs="Arial"/>
                <w:color w:val="000000"/>
                <w:sz w:val="16"/>
                <w:szCs w:val="16"/>
              </w:rPr>
            </w:pPr>
            <w:r w:rsidRPr="00787ADD">
              <w:rPr>
                <w:rFonts w:cs="Arial"/>
                <w:color w:val="000000"/>
                <w:sz w:val="16"/>
                <w:szCs w:val="16"/>
              </w:rPr>
              <w:t>54,6</w:t>
            </w:r>
          </w:p>
        </w:tc>
        <w:tc>
          <w:tcPr>
            <w:tcW w:w="567" w:type="dxa"/>
            <w:tcBorders>
              <w:top w:val="nil"/>
              <w:left w:val="nil"/>
              <w:bottom w:val="nil"/>
              <w:right w:val="nil"/>
            </w:tcBorders>
            <w:shd w:val="clear" w:color="auto" w:fill="auto"/>
            <w:noWrap/>
            <w:vAlign w:val="center"/>
            <w:hideMark/>
          </w:tcPr>
          <w:p w:rsidR="00787ADD" w:rsidRPr="00787ADD" w:rsidRDefault="00787ADD" w:rsidP="00787ADD">
            <w:pPr>
              <w:spacing w:after="0" w:line="240" w:lineRule="auto"/>
              <w:jc w:val="center"/>
              <w:rPr>
                <w:rFonts w:cs="Arial"/>
                <w:color w:val="000000"/>
                <w:sz w:val="16"/>
                <w:szCs w:val="16"/>
              </w:rPr>
            </w:pPr>
            <w:r w:rsidRPr="00787ADD">
              <w:rPr>
                <w:rFonts w:cs="Arial"/>
                <w:color w:val="000000"/>
                <w:sz w:val="16"/>
                <w:szCs w:val="16"/>
              </w:rPr>
              <w:t>53,9</w:t>
            </w:r>
          </w:p>
        </w:tc>
        <w:tc>
          <w:tcPr>
            <w:tcW w:w="567" w:type="dxa"/>
            <w:tcBorders>
              <w:top w:val="nil"/>
              <w:left w:val="nil"/>
              <w:bottom w:val="nil"/>
              <w:right w:val="nil"/>
            </w:tcBorders>
            <w:shd w:val="clear" w:color="auto" w:fill="auto"/>
            <w:noWrap/>
            <w:vAlign w:val="center"/>
            <w:hideMark/>
          </w:tcPr>
          <w:p w:rsidR="00787ADD" w:rsidRPr="00787ADD" w:rsidRDefault="00787ADD" w:rsidP="00787ADD">
            <w:pPr>
              <w:spacing w:after="0" w:line="240" w:lineRule="auto"/>
              <w:jc w:val="center"/>
              <w:rPr>
                <w:rFonts w:cs="Arial"/>
                <w:color w:val="000000"/>
                <w:sz w:val="16"/>
                <w:szCs w:val="16"/>
              </w:rPr>
            </w:pPr>
            <w:r w:rsidRPr="00787ADD">
              <w:rPr>
                <w:rFonts w:cs="Arial"/>
                <w:color w:val="000000"/>
                <w:sz w:val="16"/>
                <w:szCs w:val="16"/>
              </w:rPr>
              <w:t>52,1</w:t>
            </w:r>
          </w:p>
        </w:tc>
        <w:tc>
          <w:tcPr>
            <w:tcW w:w="567" w:type="dxa"/>
            <w:tcBorders>
              <w:top w:val="nil"/>
              <w:left w:val="nil"/>
              <w:bottom w:val="nil"/>
              <w:right w:val="nil"/>
            </w:tcBorders>
            <w:shd w:val="clear" w:color="auto" w:fill="auto"/>
            <w:noWrap/>
            <w:vAlign w:val="center"/>
            <w:hideMark/>
          </w:tcPr>
          <w:p w:rsidR="00787ADD" w:rsidRPr="00787ADD" w:rsidRDefault="00787ADD" w:rsidP="00787ADD">
            <w:pPr>
              <w:spacing w:after="0" w:line="240" w:lineRule="auto"/>
              <w:jc w:val="center"/>
              <w:rPr>
                <w:rFonts w:cs="Arial"/>
                <w:color w:val="000000"/>
                <w:sz w:val="16"/>
                <w:szCs w:val="16"/>
              </w:rPr>
            </w:pPr>
            <w:r w:rsidRPr="00787ADD">
              <w:rPr>
                <w:rFonts w:cs="Arial"/>
                <w:color w:val="000000"/>
                <w:sz w:val="16"/>
                <w:szCs w:val="16"/>
              </w:rPr>
              <w:t>52,0</w:t>
            </w:r>
          </w:p>
        </w:tc>
        <w:tc>
          <w:tcPr>
            <w:tcW w:w="567" w:type="dxa"/>
            <w:tcBorders>
              <w:top w:val="nil"/>
              <w:left w:val="nil"/>
              <w:bottom w:val="nil"/>
              <w:right w:val="nil"/>
            </w:tcBorders>
            <w:shd w:val="clear" w:color="auto" w:fill="auto"/>
            <w:noWrap/>
            <w:vAlign w:val="center"/>
            <w:hideMark/>
          </w:tcPr>
          <w:p w:rsidR="00787ADD" w:rsidRPr="00787ADD" w:rsidRDefault="00787ADD" w:rsidP="00787ADD">
            <w:pPr>
              <w:spacing w:after="0" w:line="240" w:lineRule="auto"/>
              <w:jc w:val="center"/>
              <w:rPr>
                <w:rFonts w:cs="Arial"/>
                <w:color w:val="000000"/>
                <w:sz w:val="16"/>
                <w:szCs w:val="16"/>
              </w:rPr>
            </w:pPr>
            <w:r w:rsidRPr="00787ADD">
              <w:rPr>
                <w:rFonts w:cs="Arial"/>
                <w:color w:val="000000"/>
                <w:sz w:val="16"/>
                <w:szCs w:val="16"/>
              </w:rPr>
              <w:t>45,9</w:t>
            </w:r>
          </w:p>
        </w:tc>
        <w:tc>
          <w:tcPr>
            <w:tcW w:w="567" w:type="dxa"/>
            <w:tcBorders>
              <w:top w:val="nil"/>
              <w:left w:val="nil"/>
              <w:bottom w:val="nil"/>
              <w:right w:val="nil"/>
            </w:tcBorders>
            <w:shd w:val="clear" w:color="auto" w:fill="auto"/>
            <w:noWrap/>
            <w:vAlign w:val="center"/>
            <w:hideMark/>
          </w:tcPr>
          <w:p w:rsidR="00787ADD" w:rsidRPr="00787ADD" w:rsidRDefault="00787ADD" w:rsidP="00787ADD">
            <w:pPr>
              <w:spacing w:after="0" w:line="240" w:lineRule="auto"/>
              <w:jc w:val="center"/>
            </w:pPr>
            <w:r w:rsidRPr="00787ADD">
              <w:rPr>
                <w:rFonts w:cs="Arial"/>
                <w:color w:val="000000"/>
                <w:sz w:val="16"/>
                <w:szCs w:val="16"/>
              </w:rPr>
              <w:t>39,7</w:t>
            </w:r>
          </w:p>
        </w:tc>
        <w:tc>
          <w:tcPr>
            <w:tcW w:w="567" w:type="dxa"/>
            <w:vAlign w:val="center"/>
          </w:tcPr>
          <w:p w:rsidR="00787ADD" w:rsidRPr="00787ADD" w:rsidRDefault="00787ADD" w:rsidP="00787ADD">
            <w:pPr>
              <w:spacing w:after="0" w:line="240" w:lineRule="auto"/>
              <w:jc w:val="center"/>
              <w:rPr>
                <w:rFonts w:cs="Arial"/>
                <w:color w:val="000000"/>
                <w:sz w:val="16"/>
                <w:szCs w:val="16"/>
              </w:rPr>
            </w:pPr>
            <w:r w:rsidRPr="00787ADD">
              <w:rPr>
                <w:rFonts w:cs="Arial"/>
                <w:color w:val="000000"/>
                <w:sz w:val="16"/>
                <w:szCs w:val="16"/>
              </w:rPr>
              <w:t>33,9</w:t>
            </w:r>
          </w:p>
        </w:tc>
        <w:tc>
          <w:tcPr>
            <w:tcW w:w="567" w:type="dxa"/>
            <w:vAlign w:val="center"/>
          </w:tcPr>
          <w:p w:rsidR="00787ADD" w:rsidRPr="00787ADD" w:rsidRDefault="00787ADD" w:rsidP="00787ADD">
            <w:pPr>
              <w:spacing w:after="0" w:line="240" w:lineRule="auto"/>
              <w:jc w:val="center"/>
              <w:rPr>
                <w:rFonts w:cs="Arial"/>
                <w:color w:val="000000"/>
                <w:sz w:val="16"/>
                <w:szCs w:val="16"/>
              </w:rPr>
            </w:pPr>
            <w:r w:rsidRPr="00787ADD">
              <w:rPr>
                <w:rFonts w:cs="Arial"/>
                <w:color w:val="000000"/>
                <w:sz w:val="16"/>
                <w:szCs w:val="16"/>
              </w:rPr>
              <w:t>41,7</w:t>
            </w:r>
          </w:p>
        </w:tc>
        <w:tc>
          <w:tcPr>
            <w:tcW w:w="567" w:type="dxa"/>
            <w:vAlign w:val="center"/>
          </w:tcPr>
          <w:p w:rsidR="00787ADD" w:rsidRPr="00E04FBD" w:rsidRDefault="004B6FEF" w:rsidP="00787ADD">
            <w:pPr>
              <w:spacing w:after="0" w:line="240" w:lineRule="auto"/>
              <w:jc w:val="center"/>
              <w:rPr>
                <w:rFonts w:cs="Arial"/>
                <w:color w:val="000000"/>
                <w:sz w:val="16"/>
                <w:szCs w:val="16"/>
              </w:rPr>
            </w:pPr>
            <w:r w:rsidRPr="00E04FBD">
              <w:rPr>
                <w:rFonts w:cs="Arial"/>
                <w:color w:val="000000"/>
                <w:sz w:val="16"/>
                <w:szCs w:val="16"/>
              </w:rPr>
              <w:t>42,2</w:t>
            </w:r>
          </w:p>
        </w:tc>
      </w:tr>
      <w:tr w:rsidR="00787ADD" w:rsidRPr="00787ADD" w:rsidTr="006172DA">
        <w:trPr>
          <w:trHeight w:val="480"/>
        </w:trPr>
        <w:tc>
          <w:tcPr>
            <w:tcW w:w="3401" w:type="dxa"/>
            <w:tcBorders>
              <w:top w:val="nil"/>
              <w:left w:val="nil"/>
              <w:bottom w:val="nil"/>
              <w:right w:val="single" w:sz="4" w:space="0" w:color="auto"/>
            </w:tcBorders>
            <w:shd w:val="clear" w:color="auto" w:fill="auto"/>
            <w:vAlign w:val="center"/>
            <w:hideMark/>
          </w:tcPr>
          <w:p w:rsidR="00787ADD" w:rsidRPr="00787ADD" w:rsidRDefault="00787ADD" w:rsidP="00787ADD">
            <w:pPr>
              <w:spacing w:after="0" w:line="240" w:lineRule="auto"/>
              <w:ind w:firstLineChars="100" w:firstLine="160"/>
              <w:jc w:val="left"/>
              <w:rPr>
                <w:rFonts w:cs="Arial"/>
                <w:color w:val="000000"/>
                <w:sz w:val="16"/>
                <w:szCs w:val="16"/>
              </w:rPr>
            </w:pPr>
            <w:r w:rsidRPr="00787ADD">
              <w:rPr>
                <w:rFonts w:cs="Arial"/>
                <w:color w:val="000000"/>
                <w:sz w:val="16"/>
                <w:szCs w:val="16"/>
              </w:rPr>
              <w:t xml:space="preserve">G – Velkoobchod a maloobchod; </w:t>
            </w:r>
            <w:r w:rsidRPr="00787ADD">
              <w:rPr>
                <w:rFonts w:cs="Arial"/>
                <w:color w:val="000000"/>
                <w:sz w:val="16"/>
                <w:szCs w:val="16"/>
              </w:rPr>
              <w:br/>
              <w:t xml:space="preserve">          opravy a údržba motorových vozidel</w:t>
            </w:r>
          </w:p>
        </w:tc>
        <w:tc>
          <w:tcPr>
            <w:tcW w:w="567" w:type="dxa"/>
            <w:tcBorders>
              <w:top w:val="nil"/>
              <w:left w:val="nil"/>
              <w:bottom w:val="nil"/>
              <w:right w:val="nil"/>
            </w:tcBorders>
            <w:shd w:val="clear" w:color="auto" w:fill="auto"/>
            <w:noWrap/>
            <w:vAlign w:val="center"/>
            <w:hideMark/>
          </w:tcPr>
          <w:p w:rsidR="00787ADD" w:rsidRPr="00787ADD" w:rsidRDefault="00787ADD" w:rsidP="00787ADD">
            <w:pPr>
              <w:spacing w:after="0" w:line="240" w:lineRule="auto"/>
              <w:jc w:val="center"/>
              <w:rPr>
                <w:rFonts w:cs="Arial"/>
                <w:color w:val="000000"/>
                <w:sz w:val="16"/>
                <w:szCs w:val="16"/>
              </w:rPr>
            </w:pPr>
            <w:r w:rsidRPr="00787ADD">
              <w:rPr>
                <w:rFonts w:cs="Arial"/>
                <w:color w:val="000000"/>
                <w:sz w:val="16"/>
                <w:szCs w:val="16"/>
              </w:rPr>
              <w:t>50,3</w:t>
            </w:r>
          </w:p>
        </w:tc>
        <w:tc>
          <w:tcPr>
            <w:tcW w:w="567" w:type="dxa"/>
            <w:tcBorders>
              <w:top w:val="nil"/>
              <w:left w:val="nil"/>
              <w:bottom w:val="nil"/>
              <w:right w:val="nil"/>
            </w:tcBorders>
            <w:shd w:val="clear" w:color="auto" w:fill="auto"/>
            <w:noWrap/>
            <w:vAlign w:val="center"/>
            <w:hideMark/>
          </w:tcPr>
          <w:p w:rsidR="00787ADD" w:rsidRPr="00787ADD" w:rsidRDefault="00787ADD" w:rsidP="00787ADD">
            <w:pPr>
              <w:spacing w:after="0" w:line="240" w:lineRule="auto"/>
              <w:jc w:val="center"/>
              <w:rPr>
                <w:rFonts w:cs="Arial"/>
                <w:color w:val="000000"/>
                <w:sz w:val="16"/>
                <w:szCs w:val="16"/>
              </w:rPr>
            </w:pPr>
            <w:r w:rsidRPr="00787ADD">
              <w:rPr>
                <w:rFonts w:cs="Arial"/>
                <w:color w:val="000000"/>
                <w:sz w:val="16"/>
                <w:szCs w:val="16"/>
              </w:rPr>
              <w:t>46,7</w:t>
            </w:r>
          </w:p>
        </w:tc>
        <w:tc>
          <w:tcPr>
            <w:tcW w:w="567" w:type="dxa"/>
            <w:tcBorders>
              <w:top w:val="nil"/>
              <w:left w:val="nil"/>
              <w:bottom w:val="nil"/>
              <w:right w:val="nil"/>
            </w:tcBorders>
            <w:shd w:val="clear" w:color="auto" w:fill="auto"/>
            <w:noWrap/>
            <w:vAlign w:val="center"/>
            <w:hideMark/>
          </w:tcPr>
          <w:p w:rsidR="00787ADD" w:rsidRPr="00787ADD" w:rsidRDefault="00787ADD" w:rsidP="00787ADD">
            <w:pPr>
              <w:spacing w:after="0" w:line="240" w:lineRule="auto"/>
              <w:jc w:val="center"/>
              <w:rPr>
                <w:rFonts w:cs="Arial"/>
                <w:color w:val="000000"/>
                <w:sz w:val="16"/>
                <w:szCs w:val="16"/>
              </w:rPr>
            </w:pPr>
            <w:r w:rsidRPr="00787ADD">
              <w:rPr>
                <w:rFonts w:cs="Arial"/>
                <w:color w:val="000000"/>
                <w:sz w:val="16"/>
                <w:szCs w:val="16"/>
              </w:rPr>
              <w:t>44,9</w:t>
            </w:r>
          </w:p>
        </w:tc>
        <w:tc>
          <w:tcPr>
            <w:tcW w:w="567" w:type="dxa"/>
            <w:tcBorders>
              <w:top w:val="nil"/>
              <w:left w:val="nil"/>
              <w:bottom w:val="nil"/>
              <w:right w:val="nil"/>
            </w:tcBorders>
            <w:shd w:val="clear" w:color="auto" w:fill="auto"/>
            <w:noWrap/>
            <w:vAlign w:val="center"/>
            <w:hideMark/>
          </w:tcPr>
          <w:p w:rsidR="00787ADD" w:rsidRPr="00787ADD" w:rsidRDefault="00787ADD" w:rsidP="00787ADD">
            <w:pPr>
              <w:spacing w:after="0" w:line="240" w:lineRule="auto"/>
              <w:jc w:val="center"/>
              <w:rPr>
                <w:rFonts w:cs="Arial"/>
                <w:color w:val="000000"/>
                <w:sz w:val="16"/>
                <w:szCs w:val="16"/>
              </w:rPr>
            </w:pPr>
            <w:r w:rsidRPr="00787ADD">
              <w:rPr>
                <w:rFonts w:cs="Arial"/>
                <w:color w:val="000000"/>
                <w:sz w:val="16"/>
                <w:szCs w:val="16"/>
              </w:rPr>
              <w:t>44,8</w:t>
            </w:r>
          </w:p>
        </w:tc>
        <w:tc>
          <w:tcPr>
            <w:tcW w:w="567" w:type="dxa"/>
            <w:tcBorders>
              <w:top w:val="nil"/>
              <w:left w:val="nil"/>
              <w:bottom w:val="nil"/>
              <w:right w:val="nil"/>
            </w:tcBorders>
            <w:shd w:val="clear" w:color="auto" w:fill="auto"/>
            <w:noWrap/>
            <w:vAlign w:val="center"/>
            <w:hideMark/>
          </w:tcPr>
          <w:p w:rsidR="00787ADD" w:rsidRPr="00787ADD" w:rsidRDefault="00787ADD" w:rsidP="00787ADD">
            <w:pPr>
              <w:spacing w:after="0" w:line="240" w:lineRule="auto"/>
              <w:jc w:val="center"/>
              <w:rPr>
                <w:rFonts w:cs="Arial"/>
                <w:color w:val="000000"/>
                <w:sz w:val="16"/>
                <w:szCs w:val="16"/>
              </w:rPr>
            </w:pPr>
            <w:r w:rsidRPr="00787ADD">
              <w:rPr>
                <w:rFonts w:cs="Arial"/>
                <w:color w:val="000000"/>
                <w:sz w:val="16"/>
                <w:szCs w:val="16"/>
              </w:rPr>
              <w:t>44,2</w:t>
            </w:r>
          </w:p>
        </w:tc>
        <w:tc>
          <w:tcPr>
            <w:tcW w:w="567" w:type="dxa"/>
            <w:tcBorders>
              <w:top w:val="nil"/>
              <w:left w:val="nil"/>
              <w:bottom w:val="nil"/>
              <w:right w:val="nil"/>
            </w:tcBorders>
            <w:shd w:val="clear" w:color="auto" w:fill="auto"/>
            <w:noWrap/>
            <w:vAlign w:val="center"/>
            <w:hideMark/>
          </w:tcPr>
          <w:p w:rsidR="00787ADD" w:rsidRPr="00787ADD" w:rsidRDefault="00787ADD" w:rsidP="00787ADD">
            <w:pPr>
              <w:spacing w:after="0" w:line="240" w:lineRule="auto"/>
              <w:jc w:val="center"/>
              <w:rPr>
                <w:rFonts w:cs="Arial"/>
                <w:color w:val="000000"/>
                <w:sz w:val="16"/>
                <w:szCs w:val="16"/>
              </w:rPr>
            </w:pPr>
            <w:r w:rsidRPr="00787ADD">
              <w:rPr>
                <w:rFonts w:cs="Arial"/>
                <w:color w:val="000000"/>
                <w:sz w:val="16"/>
                <w:szCs w:val="16"/>
              </w:rPr>
              <w:t>44,6</w:t>
            </w:r>
          </w:p>
        </w:tc>
        <w:tc>
          <w:tcPr>
            <w:tcW w:w="567" w:type="dxa"/>
            <w:tcBorders>
              <w:top w:val="nil"/>
              <w:left w:val="nil"/>
              <w:bottom w:val="nil"/>
              <w:right w:val="nil"/>
            </w:tcBorders>
            <w:shd w:val="clear" w:color="auto" w:fill="auto"/>
            <w:noWrap/>
            <w:vAlign w:val="center"/>
            <w:hideMark/>
          </w:tcPr>
          <w:p w:rsidR="00787ADD" w:rsidRPr="00787ADD" w:rsidRDefault="00787ADD" w:rsidP="00787ADD">
            <w:pPr>
              <w:spacing w:after="0" w:line="240" w:lineRule="auto"/>
              <w:jc w:val="center"/>
              <w:rPr>
                <w:rFonts w:cs="Arial"/>
                <w:color w:val="000000"/>
                <w:sz w:val="16"/>
                <w:szCs w:val="16"/>
              </w:rPr>
            </w:pPr>
            <w:r w:rsidRPr="00787ADD">
              <w:rPr>
                <w:rFonts w:cs="Arial"/>
                <w:color w:val="000000"/>
                <w:sz w:val="16"/>
                <w:szCs w:val="16"/>
              </w:rPr>
              <w:t>41,8</w:t>
            </w:r>
          </w:p>
        </w:tc>
        <w:tc>
          <w:tcPr>
            <w:tcW w:w="567" w:type="dxa"/>
            <w:tcBorders>
              <w:top w:val="nil"/>
              <w:left w:val="nil"/>
              <w:bottom w:val="nil"/>
              <w:right w:val="nil"/>
            </w:tcBorders>
            <w:shd w:val="clear" w:color="auto" w:fill="auto"/>
            <w:noWrap/>
            <w:vAlign w:val="center"/>
            <w:hideMark/>
          </w:tcPr>
          <w:p w:rsidR="00787ADD" w:rsidRPr="00787ADD" w:rsidRDefault="00787ADD" w:rsidP="00787ADD">
            <w:pPr>
              <w:spacing w:after="0" w:line="240" w:lineRule="auto"/>
              <w:jc w:val="center"/>
            </w:pPr>
            <w:r w:rsidRPr="00787ADD">
              <w:rPr>
                <w:rFonts w:cs="Arial"/>
                <w:color w:val="000000"/>
                <w:sz w:val="16"/>
                <w:szCs w:val="16"/>
              </w:rPr>
              <w:t>36,5</w:t>
            </w:r>
          </w:p>
        </w:tc>
        <w:tc>
          <w:tcPr>
            <w:tcW w:w="567" w:type="dxa"/>
            <w:vAlign w:val="center"/>
          </w:tcPr>
          <w:p w:rsidR="00787ADD" w:rsidRPr="00787ADD" w:rsidRDefault="00787ADD" w:rsidP="00787ADD">
            <w:pPr>
              <w:spacing w:after="0" w:line="240" w:lineRule="auto"/>
              <w:jc w:val="center"/>
              <w:rPr>
                <w:rFonts w:cs="Arial"/>
                <w:color w:val="000000"/>
                <w:sz w:val="16"/>
                <w:szCs w:val="16"/>
              </w:rPr>
            </w:pPr>
            <w:r w:rsidRPr="00787ADD">
              <w:rPr>
                <w:rFonts w:cs="Arial"/>
                <w:color w:val="000000"/>
                <w:sz w:val="16"/>
                <w:szCs w:val="16"/>
              </w:rPr>
              <w:t>27,4</w:t>
            </w:r>
          </w:p>
        </w:tc>
        <w:tc>
          <w:tcPr>
            <w:tcW w:w="567" w:type="dxa"/>
            <w:vAlign w:val="center"/>
          </w:tcPr>
          <w:p w:rsidR="00787ADD" w:rsidRPr="00787ADD" w:rsidRDefault="00787ADD" w:rsidP="00787ADD">
            <w:pPr>
              <w:spacing w:after="0" w:line="240" w:lineRule="auto"/>
              <w:jc w:val="center"/>
              <w:rPr>
                <w:rFonts w:cs="Arial"/>
                <w:color w:val="000000"/>
                <w:sz w:val="16"/>
                <w:szCs w:val="16"/>
              </w:rPr>
            </w:pPr>
            <w:r w:rsidRPr="00787ADD">
              <w:rPr>
                <w:rFonts w:cs="Arial"/>
                <w:color w:val="000000"/>
                <w:sz w:val="16"/>
                <w:szCs w:val="16"/>
              </w:rPr>
              <w:t>33,5</w:t>
            </w:r>
          </w:p>
        </w:tc>
        <w:tc>
          <w:tcPr>
            <w:tcW w:w="567" w:type="dxa"/>
            <w:vAlign w:val="center"/>
          </w:tcPr>
          <w:p w:rsidR="00787ADD" w:rsidRPr="00E04FBD" w:rsidRDefault="00E04FBD" w:rsidP="00787ADD">
            <w:pPr>
              <w:spacing w:after="0" w:line="240" w:lineRule="auto"/>
              <w:jc w:val="center"/>
              <w:rPr>
                <w:rFonts w:cs="Arial"/>
                <w:color w:val="000000"/>
                <w:sz w:val="16"/>
                <w:szCs w:val="16"/>
              </w:rPr>
            </w:pPr>
            <w:r w:rsidRPr="00E04FBD">
              <w:rPr>
                <w:rFonts w:cs="Arial"/>
                <w:color w:val="000000"/>
                <w:sz w:val="16"/>
                <w:szCs w:val="16"/>
              </w:rPr>
              <w:t>32,6</w:t>
            </w:r>
          </w:p>
        </w:tc>
      </w:tr>
      <w:tr w:rsidR="00787ADD" w:rsidRPr="00787ADD" w:rsidTr="006172DA">
        <w:trPr>
          <w:trHeight w:val="300"/>
        </w:trPr>
        <w:tc>
          <w:tcPr>
            <w:tcW w:w="3401" w:type="dxa"/>
            <w:tcBorders>
              <w:top w:val="nil"/>
              <w:left w:val="nil"/>
              <w:bottom w:val="nil"/>
              <w:right w:val="single" w:sz="4" w:space="0" w:color="auto"/>
            </w:tcBorders>
            <w:shd w:val="clear" w:color="auto" w:fill="auto"/>
            <w:vAlign w:val="center"/>
            <w:hideMark/>
          </w:tcPr>
          <w:p w:rsidR="00787ADD" w:rsidRPr="00787ADD" w:rsidRDefault="00787ADD" w:rsidP="00787ADD">
            <w:pPr>
              <w:spacing w:after="0" w:line="240" w:lineRule="auto"/>
              <w:ind w:firstLineChars="100" w:firstLine="160"/>
              <w:jc w:val="left"/>
              <w:rPr>
                <w:rFonts w:cs="Arial"/>
                <w:color w:val="000000"/>
                <w:sz w:val="16"/>
                <w:szCs w:val="16"/>
              </w:rPr>
            </w:pPr>
            <w:r w:rsidRPr="00787ADD">
              <w:rPr>
                <w:rFonts w:cs="Arial"/>
                <w:color w:val="000000"/>
                <w:sz w:val="16"/>
                <w:szCs w:val="16"/>
              </w:rPr>
              <w:t>H – Doprava a skladování</w:t>
            </w:r>
          </w:p>
        </w:tc>
        <w:tc>
          <w:tcPr>
            <w:tcW w:w="567" w:type="dxa"/>
            <w:tcBorders>
              <w:top w:val="nil"/>
              <w:left w:val="nil"/>
              <w:bottom w:val="nil"/>
              <w:right w:val="nil"/>
            </w:tcBorders>
            <w:shd w:val="clear" w:color="auto" w:fill="auto"/>
            <w:noWrap/>
            <w:vAlign w:val="center"/>
            <w:hideMark/>
          </w:tcPr>
          <w:p w:rsidR="00787ADD" w:rsidRPr="00787ADD" w:rsidRDefault="00787ADD" w:rsidP="00787ADD">
            <w:pPr>
              <w:spacing w:after="0" w:line="240" w:lineRule="auto"/>
              <w:jc w:val="center"/>
              <w:rPr>
                <w:rFonts w:cs="Arial"/>
                <w:color w:val="000000"/>
                <w:sz w:val="16"/>
                <w:szCs w:val="16"/>
              </w:rPr>
            </w:pPr>
            <w:r w:rsidRPr="00787ADD">
              <w:rPr>
                <w:rFonts w:cs="Arial"/>
                <w:color w:val="000000"/>
                <w:sz w:val="16"/>
                <w:szCs w:val="16"/>
              </w:rPr>
              <w:t>50,9</w:t>
            </w:r>
          </w:p>
        </w:tc>
        <w:tc>
          <w:tcPr>
            <w:tcW w:w="567" w:type="dxa"/>
            <w:tcBorders>
              <w:top w:val="nil"/>
              <w:left w:val="nil"/>
              <w:bottom w:val="nil"/>
              <w:right w:val="nil"/>
            </w:tcBorders>
            <w:shd w:val="clear" w:color="auto" w:fill="auto"/>
            <w:noWrap/>
            <w:vAlign w:val="center"/>
            <w:hideMark/>
          </w:tcPr>
          <w:p w:rsidR="00787ADD" w:rsidRPr="00787ADD" w:rsidRDefault="00787ADD" w:rsidP="00787ADD">
            <w:pPr>
              <w:spacing w:after="0" w:line="240" w:lineRule="auto"/>
              <w:jc w:val="center"/>
              <w:rPr>
                <w:rFonts w:cs="Arial"/>
                <w:color w:val="000000"/>
                <w:sz w:val="16"/>
                <w:szCs w:val="16"/>
              </w:rPr>
            </w:pPr>
            <w:r w:rsidRPr="00787ADD">
              <w:rPr>
                <w:rFonts w:cs="Arial"/>
                <w:color w:val="000000"/>
                <w:sz w:val="16"/>
                <w:szCs w:val="16"/>
              </w:rPr>
              <w:t>45,8</w:t>
            </w:r>
          </w:p>
        </w:tc>
        <w:tc>
          <w:tcPr>
            <w:tcW w:w="567" w:type="dxa"/>
            <w:tcBorders>
              <w:top w:val="nil"/>
              <w:left w:val="nil"/>
              <w:bottom w:val="nil"/>
              <w:right w:val="nil"/>
            </w:tcBorders>
            <w:shd w:val="clear" w:color="auto" w:fill="auto"/>
            <w:noWrap/>
            <w:vAlign w:val="center"/>
            <w:hideMark/>
          </w:tcPr>
          <w:p w:rsidR="00787ADD" w:rsidRPr="00787ADD" w:rsidRDefault="00787ADD" w:rsidP="00787ADD">
            <w:pPr>
              <w:spacing w:after="0" w:line="240" w:lineRule="auto"/>
              <w:jc w:val="center"/>
              <w:rPr>
                <w:rFonts w:cs="Arial"/>
                <w:color w:val="000000"/>
                <w:sz w:val="16"/>
                <w:szCs w:val="16"/>
              </w:rPr>
            </w:pPr>
            <w:r w:rsidRPr="00787ADD">
              <w:rPr>
                <w:rFonts w:cs="Arial"/>
                <w:color w:val="000000"/>
                <w:sz w:val="16"/>
                <w:szCs w:val="16"/>
              </w:rPr>
              <w:t>45,9</w:t>
            </w:r>
          </w:p>
        </w:tc>
        <w:tc>
          <w:tcPr>
            <w:tcW w:w="567" w:type="dxa"/>
            <w:tcBorders>
              <w:top w:val="nil"/>
              <w:left w:val="nil"/>
              <w:bottom w:val="nil"/>
              <w:right w:val="nil"/>
            </w:tcBorders>
            <w:shd w:val="clear" w:color="auto" w:fill="auto"/>
            <w:noWrap/>
            <w:vAlign w:val="center"/>
            <w:hideMark/>
          </w:tcPr>
          <w:p w:rsidR="00787ADD" w:rsidRPr="00787ADD" w:rsidRDefault="00787ADD" w:rsidP="00787ADD">
            <w:pPr>
              <w:spacing w:after="0" w:line="240" w:lineRule="auto"/>
              <w:jc w:val="center"/>
              <w:rPr>
                <w:rFonts w:cs="Arial"/>
                <w:color w:val="000000"/>
                <w:sz w:val="16"/>
                <w:szCs w:val="16"/>
              </w:rPr>
            </w:pPr>
            <w:r w:rsidRPr="00787ADD">
              <w:rPr>
                <w:rFonts w:cs="Arial"/>
                <w:color w:val="000000"/>
                <w:sz w:val="16"/>
                <w:szCs w:val="16"/>
              </w:rPr>
              <w:t>44,2</w:t>
            </w:r>
          </w:p>
        </w:tc>
        <w:tc>
          <w:tcPr>
            <w:tcW w:w="567" w:type="dxa"/>
            <w:tcBorders>
              <w:top w:val="nil"/>
              <w:left w:val="nil"/>
              <w:bottom w:val="nil"/>
              <w:right w:val="nil"/>
            </w:tcBorders>
            <w:shd w:val="clear" w:color="auto" w:fill="auto"/>
            <w:noWrap/>
            <w:vAlign w:val="center"/>
            <w:hideMark/>
          </w:tcPr>
          <w:p w:rsidR="00787ADD" w:rsidRPr="00787ADD" w:rsidRDefault="00787ADD" w:rsidP="00787ADD">
            <w:pPr>
              <w:spacing w:after="0" w:line="240" w:lineRule="auto"/>
              <w:jc w:val="center"/>
              <w:rPr>
                <w:rFonts w:cs="Arial"/>
                <w:color w:val="000000"/>
                <w:sz w:val="16"/>
                <w:szCs w:val="16"/>
              </w:rPr>
            </w:pPr>
            <w:r w:rsidRPr="00787ADD">
              <w:rPr>
                <w:rFonts w:cs="Arial"/>
                <w:color w:val="000000"/>
                <w:sz w:val="16"/>
                <w:szCs w:val="16"/>
              </w:rPr>
              <w:t>44,2</w:t>
            </w:r>
          </w:p>
        </w:tc>
        <w:tc>
          <w:tcPr>
            <w:tcW w:w="567" w:type="dxa"/>
            <w:tcBorders>
              <w:top w:val="nil"/>
              <w:left w:val="nil"/>
              <w:bottom w:val="nil"/>
              <w:right w:val="nil"/>
            </w:tcBorders>
            <w:shd w:val="clear" w:color="auto" w:fill="auto"/>
            <w:noWrap/>
            <w:vAlign w:val="center"/>
            <w:hideMark/>
          </w:tcPr>
          <w:p w:rsidR="00787ADD" w:rsidRPr="00787ADD" w:rsidRDefault="00787ADD" w:rsidP="00787ADD">
            <w:pPr>
              <w:spacing w:after="0" w:line="240" w:lineRule="auto"/>
              <w:jc w:val="center"/>
              <w:rPr>
                <w:rFonts w:cs="Arial"/>
                <w:color w:val="000000"/>
                <w:sz w:val="16"/>
                <w:szCs w:val="16"/>
              </w:rPr>
            </w:pPr>
            <w:r w:rsidRPr="00787ADD">
              <w:rPr>
                <w:rFonts w:cs="Arial"/>
                <w:color w:val="000000"/>
                <w:sz w:val="16"/>
                <w:szCs w:val="16"/>
              </w:rPr>
              <w:t>44,7</w:t>
            </w:r>
          </w:p>
        </w:tc>
        <w:tc>
          <w:tcPr>
            <w:tcW w:w="567" w:type="dxa"/>
            <w:tcBorders>
              <w:top w:val="nil"/>
              <w:left w:val="nil"/>
              <w:bottom w:val="nil"/>
              <w:right w:val="nil"/>
            </w:tcBorders>
            <w:shd w:val="clear" w:color="auto" w:fill="auto"/>
            <w:noWrap/>
            <w:vAlign w:val="center"/>
            <w:hideMark/>
          </w:tcPr>
          <w:p w:rsidR="00787ADD" w:rsidRPr="00787ADD" w:rsidRDefault="00787ADD" w:rsidP="00787ADD">
            <w:pPr>
              <w:spacing w:after="0" w:line="240" w:lineRule="auto"/>
              <w:jc w:val="center"/>
              <w:rPr>
                <w:rFonts w:cs="Arial"/>
                <w:color w:val="000000"/>
                <w:sz w:val="16"/>
                <w:szCs w:val="16"/>
              </w:rPr>
            </w:pPr>
            <w:r w:rsidRPr="00787ADD">
              <w:rPr>
                <w:rFonts w:cs="Arial"/>
                <w:color w:val="000000"/>
                <w:sz w:val="16"/>
                <w:szCs w:val="16"/>
              </w:rPr>
              <w:t>42,6</w:t>
            </w:r>
          </w:p>
        </w:tc>
        <w:tc>
          <w:tcPr>
            <w:tcW w:w="567" w:type="dxa"/>
            <w:tcBorders>
              <w:top w:val="nil"/>
              <w:left w:val="nil"/>
              <w:bottom w:val="nil"/>
              <w:right w:val="nil"/>
            </w:tcBorders>
            <w:shd w:val="clear" w:color="auto" w:fill="auto"/>
            <w:noWrap/>
            <w:vAlign w:val="center"/>
            <w:hideMark/>
          </w:tcPr>
          <w:p w:rsidR="00787ADD" w:rsidRPr="00787ADD" w:rsidRDefault="00787ADD" w:rsidP="00787ADD">
            <w:pPr>
              <w:spacing w:after="0" w:line="240" w:lineRule="auto"/>
              <w:jc w:val="center"/>
            </w:pPr>
            <w:r w:rsidRPr="00787ADD">
              <w:rPr>
                <w:rFonts w:cs="Arial"/>
                <w:color w:val="000000"/>
                <w:sz w:val="16"/>
                <w:szCs w:val="16"/>
              </w:rPr>
              <w:t>36,7</w:t>
            </w:r>
          </w:p>
        </w:tc>
        <w:tc>
          <w:tcPr>
            <w:tcW w:w="567" w:type="dxa"/>
            <w:vAlign w:val="center"/>
          </w:tcPr>
          <w:p w:rsidR="00787ADD" w:rsidRPr="00787ADD" w:rsidRDefault="00787ADD" w:rsidP="00787ADD">
            <w:pPr>
              <w:spacing w:after="0" w:line="240" w:lineRule="auto"/>
              <w:jc w:val="center"/>
              <w:rPr>
                <w:rFonts w:cs="Arial"/>
                <w:color w:val="000000"/>
                <w:sz w:val="16"/>
                <w:szCs w:val="16"/>
              </w:rPr>
            </w:pPr>
            <w:r w:rsidRPr="00787ADD">
              <w:rPr>
                <w:rFonts w:cs="Arial"/>
                <w:color w:val="000000"/>
                <w:sz w:val="16"/>
                <w:szCs w:val="16"/>
              </w:rPr>
              <w:t>29,5</w:t>
            </w:r>
          </w:p>
        </w:tc>
        <w:tc>
          <w:tcPr>
            <w:tcW w:w="567" w:type="dxa"/>
            <w:vAlign w:val="center"/>
          </w:tcPr>
          <w:p w:rsidR="00787ADD" w:rsidRPr="00787ADD" w:rsidRDefault="00787ADD" w:rsidP="00787ADD">
            <w:pPr>
              <w:spacing w:after="0" w:line="240" w:lineRule="auto"/>
              <w:jc w:val="center"/>
              <w:rPr>
                <w:rFonts w:cs="Arial"/>
                <w:color w:val="000000"/>
                <w:sz w:val="16"/>
                <w:szCs w:val="16"/>
              </w:rPr>
            </w:pPr>
            <w:r w:rsidRPr="00787ADD">
              <w:rPr>
                <w:rFonts w:cs="Arial"/>
                <w:color w:val="000000"/>
                <w:sz w:val="16"/>
                <w:szCs w:val="16"/>
              </w:rPr>
              <w:t>35,2</w:t>
            </w:r>
          </w:p>
        </w:tc>
        <w:tc>
          <w:tcPr>
            <w:tcW w:w="567" w:type="dxa"/>
            <w:vAlign w:val="center"/>
          </w:tcPr>
          <w:p w:rsidR="00787ADD" w:rsidRPr="00E04FBD" w:rsidRDefault="004B6FEF" w:rsidP="00787ADD">
            <w:pPr>
              <w:spacing w:after="0" w:line="240" w:lineRule="auto"/>
              <w:jc w:val="center"/>
              <w:rPr>
                <w:rFonts w:cs="Arial"/>
                <w:color w:val="000000"/>
                <w:sz w:val="16"/>
                <w:szCs w:val="16"/>
              </w:rPr>
            </w:pPr>
            <w:r w:rsidRPr="00E04FBD">
              <w:rPr>
                <w:rFonts w:cs="Arial"/>
                <w:color w:val="000000"/>
                <w:sz w:val="16"/>
                <w:szCs w:val="16"/>
              </w:rPr>
              <w:t>34,8</w:t>
            </w:r>
          </w:p>
        </w:tc>
      </w:tr>
      <w:tr w:rsidR="00787ADD" w:rsidRPr="00787ADD" w:rsidTr="006172DA">
        <w:trPr>
          <w:trHeight w:val="300"/>
        </w:trPr>
        <w:tc>
          <w:tcPr>
            <w:tcW w:w="3401" w:type="dxa"/>
            <w:tcBorders>
              <w:top w:val="nil"/>
              <w:left w:val="nil"/>
              <w:bottom w:val="nil"/>
              <w:right w:val="single" w:sz="4" w:space="0" w:color="auto"/>
            </w:tcBorders>
            <w:shd w:val="clear" w:color="auto" w:fill="auto"/>
            <w:vAlign w:val="center"/>
            <w:hideMark/>
          </w:tcPr>
          <w:p w:rsidR="00787ADD" w:rsidRPr="00787ADD" w:rsidRDefault="00787ADD" w:rsidP="00787ADD">
            <w:pPr>
              <w:spacing w:after="0" w:line="240" w:lineRule="auto"/>
              <w:ind w:firstLineChars="100" w:firstLine="160"/>
              <w:jc w:val="left"/>
              <w:rPr>
                <w:rFonts w:cs="Arial"/>
                <w:color w:val="000000"/>
                <w:sz w:val="16"/>
                <w:szCs w:val="16"/>
              </w:rPr>
            </w:pPr>
            <w:r w:rsidRPr="00787ADD">
              <w:rPr>
                <w:rFonts w:cs="Arial"/>
                <w:color w:val="000000"/>
                <w:sz w:val="16"/>
                <w:szCs w:val="16"/>
              </w:rPr>
              <w:t>I – Ubytování, stravování a pohostinství</w:t>
            </w:r>
          </w:p>
        </w:tc>
        <w:tc>
          <w:tcPr>
            <w:tcW w:w="567" w:type="dxa"/>
            <w:tcBorders>
              <w:top w:val="nil"/>
              <w:left w:val="nil"/>
              <w:bottom w:val="nil"/>
              <w:right w:val="nil"/>
            </w:tcBorders>
            <w:shd w:val="clear" w:color="auto" w:fill="auto"/>
            <w:noWrap/>
            <w:vAlign w:val="center"/>
            <w:hideMark/>
          </w:tcPr>
          <w:p w:rsidR="00787ADD" w:rsidRPr="00787ADD" w:rsidRDefault="00787ADD" w:rsidP="00787ADD">
            <w:pPr>
              <w:spacing w:after="0" w:line="240" w:lineRule="auto"/>
              <w:jc w:val="center"/>
              <w:rPr>
                <w:rFonts w:cs="Arial"/>
                <w:color w:val="000000"/>
                <w:sz w:val="16"/>
                <w:szCs w:val="16"/>
              </w:rPr>
            </w:pPr>
            <w:r w:rsidRPr="00787ADD">
              <w:rPr>
                <w:rFonts w:cs="Arial"/>
                <w:color w:val="000000"/>
                <w:sz w:val="16"/>
                <w:szCs w:val="16"/>
              </w:rPr>
              <w:t>58,7</w:t>
            </w:r>
          </w:p>
        </w:tc>
        <w:tc>
          <w:tcPr>
            <w:tcW w:w="567" w:type="dxa"/>
            <w:tcBorders>
              <w:top w:val="nil"/>
              <w:left w:val="nil"/>
              <w:bottom w:val="nil"/>
              <w:right w:val="nil"/>
            </w:tcBorders>
            <w:shd w:val="clear" w:color="auto" w:fill="auto"/>
            <w:noWrap/>
            <w:vAlign w:val="center"/>
            <w:hideMark/>
          </w:tcPr>
          <w:p w:rsidR="00787ADD" w:rsidRPr="00787ADD" w:rsidRDefault="00787ADD" w:rsidP="00787ADD">
            <w:pPr>
              <w:spacing w:after="0" w:line="240" w:lineRule="auto"/>
              <w:jc w:val="center"/>
              <w:rPr>
                <w:rFonts w:cs="Arial"/>
                <w:color w:val="000000"/>
                <w:sz w:val="16"/>
                <w:szCs w:val="16"/>
              </w:rPr>
            </w:pPr>
            <w:r w:rsidRPr="00787ADD">
              <w:rPr>
                <w:rFonts w:cs="Arial"/>
                <w:color w:val="000000"/>
                <w:sz w:val="16"/>
                <w:szCs w:val="16"/>
              </w:rPr>
              <w:t>55,0</w:t>
            </w:r>
          </w:p>
        </w:tc>
        <w:tc>
          <w:tcPr>
            <w:tcW w:w="567" w:type="dxa"/>
            <w:tcBorders>
              <w:top w:val="nil"/>
              <w:left w:val="nil"/>
              <w:bottom w:val="nil"/>
              <w:right w:val="nil"/>
            </w:tcBorders>
            <w:shd w:val="clear" w:color="auto" w:fill="auto"/>
            <w:noWrap/>
            <w:vAlign w:val="center"/>
            <w:hideMark/>
          </w:tcPr>
          <w:p w:rsidR="00787ADD" w:rsidRPr="00787ADD" w:rsidRDefault="00787ADD" w:rsidP="00787ADD">
            <w:pPr>
              <w:spacing w:after="0" w:line="240" w:lineRule="auto"/>
              <w:jc w:val="center"/>
              <w:rPr>
                <w:rFonts w:cs="Arial"/>
                <w:color w:val="000000"/>
                <w:sz w:val="16"/>
                <w:szCs w:val="16"/>
              </w:rPr>
            </w:pPr>
            <w:r w:rsidRPr="00787ADD">
              <w:rPr>
                <w:rFonts w:cs="Arial"/>
                <w:color w:val="000000"/>
                <w:sz w:val="16"/>
                <w:szCs w:val="16"/>
              </w:rPr>
              <w:t>54,5</w:t>
            </w:r>
          </w:p>
        </w:tc>
        <w:tc>
          <w:tcPr>
            <w:tcW w:w="567" w:type="dxa"/>
            <w:tcBorders>
              <w:top w:val="nil"/>
              <w:left w:val="nil"/>
              <w:bottom w:val="nil"/>
              <w:right w:val="nil"/>
            </w:tcBorders>
            <w:shd w:val="clear" w:color="auto" w:fill="auto"/>
            <w:noWrap/>
            <w:vAlign w:val="center"/>
            <w:hideMark/>
          </w:tcPr>
          <w:p w:rsidR="00787ADD" w:rsidRPr="00787ADD" w:rsidRDefault="00787ADD" w:rsidP="00787ADD">
            <w:pPr>
              <w:spacing w:after="0" w:line="240" w:lineRule="auto"/>
              <w:jc w:val="center"/>
              <w:rPr>
                <w:rFonts w:cs="Arial"/>
                <w:color w:val="000000"/>
                <w:sz w:val="16"/>
                <w:szCs w:val="16"/>
              </w:rPr>
            </w:pPr>
            <w:r w:rsidRPr="00787ADD">
              <w:rPr>
                <w:rFonts w:cs="Arial"/>
                <w:color w:val="000000"/>
                <w:sz w:val="16"/>
                <w:szCs w:val="16"/>
              </w:rPr>
              <w:t>54,7</w:t>
            </w:r>
          </w:p>
        </w:tc>
        <w:tc>
          <w:tcPr>
            <w:tcW w:w="567" w:type="dxa"/>
            <w:tcBorders>
              <w:top w:val="nil"/>
              <w:left w:val="nil"/>
              <w:bottom w:val="nil"/>
              <w:right w:val="nil"/>
            </w:tcBorders>
            <w:shd w:val="clear" w:color="auto" w:fill="auto"/>
            <w:noWrap/>
            <w:vAlign w:val="center"/>
            <w:hideMark/>
          </w:tcPr>
          <w:p w:rsidR="00787ADD" w:rsidRPr="00787ADD" w:rsidRDefault="00787ADD" w:rsidP="00787ADD">
            <w:pPr>
              <w:spacing w:after="0" w:line="240" w:lineRule="auto"/>
              <w:jc w:val="center"/>
              <w:rPr>
                <w:rFonts w:cs="Arial"/>
                <w:color w:val="000000"/>
                <w:sz w:val="16"/>
                <w:szCs w:val="16"/>
              </w:rPr>
            </w:pPr>
            <w:r w:rsidRPr="00787ADD">
              <w:rPr>
                <w:rFonts w:cs="Arial"/>
                <w:color w:val="000000"/>
                <w:sz w:val="16"/>
                <w:szCs w:val="16"/>
              </w:rPr>
              <w:t>53,8</w:t>
            </w:r>
          </w:p>
        </w:tc>
        <w:tc>
          <w:tcPr>
            <w:tcW w:w="567" w:type="dxa"/>
            <w:tcBorders>
              <w:top w:val="nil"/>
              <w:left w:val="nil"/>
              <w:bottom w:val="nil"/>
              <w:right w:val="nil"/>
            </w:tcBorders>
            <w:shd w:val="clear" w:color="auto" w:fill="auto"/>
            <w:noWrap/>
            <w:vAlign w:val="center"/>
            <w:hideMark/>
          </w:tcPr>
          <w:p w:rsidR="00787ADD" w:rsidRPr="00787ADD" w:rsidRDefault="00787ADD" w:rsidP="00787ADD">
            <w:pPr>
              <w:spacing w:after="0" w:line="240" w:lineRule="auto"/>
              <w:jc w:val="center"/>
              <w:rPr>
                <w:rFonts w:cs="Arial"/>
                <w:color w:val="000000"/>
                <w:sz w:val="16"/>
                <w:szCs w:val="16"/>
              </w:rPr>
            </w:pPr>
            <w:r w:rsidRPr="00787ADD">
              <w:rPr>
                <w:rFonts w:cs="Arial"/>
                <w:color w:val="000000"/>
                <w:sz w:val="16"/>
                <w:szCs w:val="16"/>
              </w:rPr>
              <w:t>54,4</w:t>
            </w:r>
          </w:p>
        </w:tc>
        <w:tc>
          <w:tcPr>
            <w:tcW w:w="567" w:type="dxa"/>
            <w:tcBorders>
              <w:top w:val="nil"/>
              <w:left w:val="nil"/>
              <w:bottom w:val="nil"/>
              <w:right w:val="nil"/>
            </w:tcBorders>
            <w:shd w:val="clear" w:color="auto" w:fill="auto"/>
            <w:noWrap/>
            <w:vAlign w:val="center"/>
            <w:hideMark/>
          </w:tcPr>
          <w:p w:rsidR="00787ADD" w:rsidRPr="00787ADD" w:rsidRDefault="00787ADD" w:rsidP="00787ADD">
            <w:pPr>
              <w:spacing w:after="0" w:line="240" w:lineRule="auto"/>
              <w:jc w:val="center"/>
              <w:rPr>
                <w:rFonts w:cs="Arial"/>
                <w:color w:val="000000"/>
                <w:sz w:val="16"/>
                <w:szCs w:val="16"/>
              </w:rPr>
            </w:pPr>
            <w:r w:rsidRPr="00787ADD">
              <w:rPr>
                <w:rFonts w:cs="Arial"/>
                <w:color w:val="000000"/>
                <w:sz w:val="16"/>
                <w:szCs w:val="16"/>
              </w:rPr>
              <w:t>57,1</w:t>
            </w:r>
          </w:p>
        </w:tc>
        <w:tc>
          <w:tcPr>
            <w:tcW w:w="567" w:type="dxa"/>
            <w:tcBorders>
              <w:top w:val="nil"/>
              <w:left w:val="nil"/>
              <w:bottom w:val="nil"/>
              <w:right w:val="nil"/>
            </w:tcBorders>
            <w:shd w:val="clear" w:color="auto" w:fill="auto"/>
            <w:noWrap/>
            <w:vAlign w:val="center"/>
            <w:hideMark/>
          </w:tcPr>
          <w:p w:rsidR="00787ADD" w:rsidRPr="00787ADD" w:rsidRDefault="00787ADD" w:rsidP="00787ADD">
            <w:pPr>
              <w:spacing w:after="0" w:line="240" w:lineRule="auto"/>
              <w:jc w:val="center"/>
            </w:pPr>
            <w:r w:rsidRPr="00787ADD">
              <w:rPr>
                <w:rFonts w:cs="Arial"/>
                <w:color w:val="000000"/>
                <w:sz w:val="16"/>
                <w:szCs w:val="16"/>
              </w:rPr>
              <w:t>48,1</w:t>
            </w:r>
          </w:p>
        </w:tc>
        <w:tc>
          <w:tcPr>
            <w:tcW w:w="567" w:type="dxa"/>
            <w:vAlign w:val="center"/>
          </w:tcPr>
          <w:p w:rsidR="00787ADD" w:rsidRPr="00787ADD" w:rsidRDefault="00787ADD" w:rsidP="00787ADD">
            <w:pPr>
              <w:spacing w:after="0" w:line="240" w:lineRule="auto"/>
              <w:jc w:val="center"/>
              <w:rPr>
                <w:rFonts w:cs="Arial"/>
                <w:color w:val="000000"/>
                <w:sz w:val="16"/>
                <w:szCs w:val="16"/>
              </w:rPr>
            </w:pPr>
            <w:r w:rsidRPr="00787ADD">
              <w:rPr>
                <w:rFonts w:cs="Arial"/>
                <w:color w:val="000000"/>
                <w:sz w:val="16"/>
                <w:szCs w:val="16"/>
              </w:rPr>
              <w:t>36,0</w:t>
            </w:r>
          </w:p>
        </w:tc>
        <w:tc>
          <w:tcPr>
            <w:tcW w:w="567" w:type="dxa"/>
            <w:vAlign w:val="center"/>
          </w:tcPr>
          <w:p w:rsidR="00787ADD" w:rsidRPr="00787ADD" w:rsidRDefault="00787ADD" w:rsidP="00787ADD">
            <w:pPr>
              <w:spacing w:after="0" w:line="240" w:lineRule="auto"/>
              <w:jc w:val="center"/>
              <w:rPr>
                <w:rFonts w:cs="Arial"/>
                <w:color w:val="000000"/>
                <w:sz w:val="16"/>
                <w:szCs w:val="16"/>
              </w:rPr>
            </w:pPr>
            <w:r w:rsidRPr="00787ADD">
              <w:rPr>
                <w:rFonts w:cs="Arial"/>
                <w:color w:val="000000"/>
                <w:sz w:val="16"/>
                <w:szCs w:val="16"/>
              </w:rPr>
              <w:t>42,8</w:t>
            </w:r>
          </w:p>
        </w:tc>
        <w:tc>
          <w:tcPr>
            <w:tcW w:w="567" w:type="dxa"/>
            <w:vAlign w:val="center"/>
          </w:tcPr>
          <w:p w:rsidR="00787ADD" w:rsidRPr="00E04FBD" w:rsidRDefault="00E04FBD" w:rsidP="00787ADD">
            <w:pPr>
              <w:spacing w:after="0" w:line="240" w:lineRule="auto"/>
              <w:jc w:val="center"/>
              <w:rPr>
                <w:rFonts w:cs="Arial"/>
                <w:color w:val="000000"/>
                <w:sz w:val="16"/>
                <w:szCs w:val="16"/>
              </w:rPr>
            </w:pPr>
            <w:r w:rsidRPr="00E04FBD">
              <w:rPr>
                <w:rFonts w:cs="Arial"/>
                <w:color w:val="000000"/>
                <w:sz w:val="16"/>
                <w:szCs w:val="16"/>
              </w:rPr>
              <w:t>40,2</w:t>
            </w:r>
          </w:p>
        </w:tc>
      </w:tr>
      <w:tr w:rsidR="00787ADD" w:rsidRPr="00787ADD" w:rsidTr="006172DA">
        <w:trPr>
          <w:trHeight w:val="300"/>
        </w:trPr>
        <w:tc>
          <w:tcPr>
            <w:tcW w:w="3401" w:type="dxa"/>
            <w:tcBorders>
              <w:top w:val="nil"/>
              <w:left w:val="nil"/>
              <w:bottom w:val="nil"/>
              <w:right w:val="single" w:sz="4" w:space="0" w:color="auto"/>
            </w:tcBorders>
            <w:shd w:val="clear" w:color="auto" w:fill="auto"/>
            <w:vAlign w:val="center"/>
            <w:hideMark/>
          </w:tcPr>
          <w:p w:rsidR="00787ADD" w:rsidRPr="00787ADD" w:rsidRDefault="00787ADD" w:rsidP="00787ADD">
            <w:pPr>
              <w:spacing w:after="0" w:line="240" w:lineRule="auto"/>
              <w:ind w:firstLineChars="100" w:firstLine="160"/>
              <w:jc w:val="left"/>
              <w:rPr>
                <w:rFonts w:cs="Arial"/>
                <w:color w:val="000000"/>
                <w:sz w:val="16"/>
                <w:szCs w:val="16"/>
              </w:rPr>
            </w:pPr>
            <w:r w:rsidRPr="00787ADD">
              <w:rPr>
                <w:rFonts w:cs="Arial"/>
                <w:color w:val="000000"/>
                <w:sz w:val="16"/>
                <w:szCs w:val="16"/>
              </w:rPr>
              <w:t>J – Informační a komunikační činnosti</w:t>
            </w:r>
          </w:p>
        </w:tc>
        <w:tc>
          <w:tcPr>
            <w:tcW w:w="567" w:type="dxa"/>
            <w:tcBorders>
              <w:top w:val="nil"/>
              <w:left w:val="nil"/>
              <w:bottom w:val="nil"/>
              <w:right w:val="nil"/>
            </w:tcBorders>
            <w:shd w:val="clear" w:color="auto" w:fill="auto"/>
            <w:noWrap/>
            <w:vAlign w:val="center"/>
            <w:hideMark/>
          </w:tcPr>
          <w:p w:rsidR="00787ADD" w:rsidRPr="00787ADD" w:rsidRDefault="00787ADD" w:rsidP="00787ADD">
            <w:pPr>
              <w:spacing w:after="0" w:line="240" w:lineRule="auto"/>
              <w:jc w:val="center"/>
              <w:rPr>
                <w:rFonts w:cs="Arial"/>
                <w:color w:val="000000"/>
                <w:sz w:val="16"/>
                <w:szCs w:val="16"/>
              </w:rPr>
            </w:pPr>
            <w:r w:rsidRPr="00787ADD">
              <w:rPr>
                <w:rFonts w:cs="Arial"/>
                <w:color w:val="000000"/>
                <w:sz w:val="16"/>
                <w:szCs w:val="16"/>
              </w:rPr>
              <w:t>27,8</w:t>
            </w:r>
          </w:p>
        </w:tc>
        <w:tc>
          <w:tcPr>
            <w:tcW w:w="567" w:type="dxa"/>
            <w:tcBorders>
              <w:top w:val="nil"/>
              <w:left w:val="nil"/>
              <w:bottom w:val="nil"/>
              <w:right w:val="nil"/>
            </w:tcBorders>
            <w:shd w:val="clear" w:color="auto" w:fill="auto"/>
            <w:noWrap/>
            <w:vAlign w:val="center"/>
            <w:hideMark/>
          </w:tcPr>
          <w:p w:rsidR="00787ADD" w:rsidRPr="00787ADD" w:rsidRDefault="00787ADD" w:rsidP="00787ADD">
            <w:pPr>
              <w:spacing w:after="0" w:line="240" w:lineRule="auto"/>
              <w:jc w:val="center"/>
              <w:rPr>
                <w:rFonts w:cs="Arial"/>
                <w:color w:val="000000"/>
                <w:sz w:val="16"/>
                <w:szCs w:val="16"/>
              </w:rPr>
            </w:pPr>
            <w:r w:rsidRPr="00787ADD">
              <w:rPr>
                <w:rFonts w:cs="Arial"/>
                <w:color w:val="000000"/>
                <w:sz w:val="16"/>
                <w:szCs w:val="16"/>
              </w:rPr>
              <w:t>27,5</w:t>
            </w:r>
          </w:p>
        </w:tc>
        <w:tc>
          <w:tcPr>
            <w:tcW w:w="567" w:type="dxa"/>
            <w:tcBorders>
              <w:top w:val="nil"/>
              <w:left w:val="nil"/>
              <w:bottom w:val="nil"/>
              <w:right w:val="nil"/>
            </w:tcBorders>
            <w:shd w:val="clear" w:color="auto" w:fill="auto"/>
            <w:noWrap/>
            <w:vAlign w:val="center"/>
            <w:hideMark/>
          </w:tcPr>
          <w:p w:rsidR="00787ADD" w:rsidRPr="00787ADD" w:rsidRDefault="00787ADD" w:rsidP="00787ADD">
            <w:pPr>
              <w:spacing w:after="0" w:line="240" w:lineRule="auto"/>
              <w:jc w:val="center"/>
              <w:rPr>
                <w:rFonts w:cs="Arial"/>
                <w:color w:val="000000"/>
                <w:sz w:val="16"/>
                <w:szCs w:val="16"/>
              </w:rPr>
            </w:pPr>
            <w:r w:rsidRPr="00787ADD">
              <w:rPr>
                <w:rFonts w:cs="Arial"/>
                <w:color w:val="000000"/>
                <w:sz w:val="16"/>
                <w:szCs w:val="16"/>
              </w:rPr>
              <w:t>26,0</w:t>
            </w:r>
          </w:p>
        </w:tc>
        <w:tc>
          <w:tcPr>
            <w:tcW w:w="567" w:type="dxa"/>
            <w:tcBorders>
              <w:top w:val="nil"/>
              <w:left w:val="nil"/>
              <w:bottom w:val="nil"/>
              <w:right w:val="nil"/>
            </w:tcBorders>
            <w:shd w:val="clear" w:color="auto" w:fill="auto"/>
            <w:noWrap/>
            <w:vAlign w:val="center"/>
            <w:hideMark/>
          </w:tcPr>
          <w:p w:rsidR="00787ADD" w:rsidRPr="00787ADD" w:rsidRDefault="00787ADD" w:rsidP="00787ADD">
            <w:pPr>
              <w:spacing w:after="0" w:line="240" w:lineRule="auto"/>
              <w:jc w:val="center"/>
              <w:rPr>
                <w:rFonts w:cs="Arial"/>
                <w:color w:val="000000"/>
                <w:sz w:val="16"/>
                <w:szCs w:val="16"/>
              </w:rPr>
            </w:pPr>
            <w:r w:rsidRPr="00787ADD">
              <w:rPr>
                <w:rFonts w:cs="Arial"/>
                <w:color w:val="000000"/>
                <w:sz w:val="16"/>
                <w:szCs w:val="16"/>
              </w:rPr>
              <w:t>26,2</w:t>
            </w:r>
          </w:p>
        </w:tc>
        <w:tc>
          <w:tcPr>
            <w:tcW w:w="567" w:type="dxa"/>
            <w:tcBorders>
              <w:top w:val="nil"/>
              <w:left w:val="nil"/>
              <w:bottom w:val="nil"/>
              <w:right w:val="nil"/>
            </w:tcBorders>
            <w:shd w:val="clear" w:color="auto" w:fill="auto"/>
            <w:noWrap/>
            <w:vAlign w:val="center"/>
            <w:hideMark/>
          </w:tcPr>
          <w:p w:rsidR="00787ADD" w:rsidRPr="00787ADD" w:rsidRDefault="00787ADD" w:rsidP="00787ADD">
            <w:pPr>
              <w:spacing w:after="0" w:line="240" w:lineRule="auto"/>
              <w:jc w:val="center"/>
              <w:rPr>
                <w:rFonts w:cs="Arial"/>
                <w:color w:val="000000"/>
                <w:sz w:val="16"/>
                <w:szCs w:val="16"/>
              </w:rPr>
            </w:pPr>
            <w:r w:rsidRPr="00787ADD">
              <w:rPr>
                <w:rFonts w:cs="Arial"/>
                <w:color w:val="000000"/>
                <w:sz w:val="16"/>
                <w:szCs w:val="16"/>
              </w:rPr>
              <w:t>26,4</w:t>
            </w:r>
          </w:p>
        </w:tc>
        <w:tc>
          <w:tcPr>
            <w:tcW w:w="567" w:type="dxa"/>
            <w:tcBorders>
              <w:top w:val="nil"/>
              <w:left w:val="nil"/>
              <w:bottom w:val="nil"/>
              <w:right w:val="nil"/>
            </w:tcBorders>
            <w:shd w:val="clear" w:color="auto" w:fill="auto"/>
            <w:noWrap/>
            <w:vAlign w:val="center"/>
            <w:hideMark/>
          </w:tcPr>
          <w:p w:rsidR="00787ADD" w:rsidRPr="00787ADD" w:rsidRDefault="00787ADD" w:rsidP="00787ADD">
            <w:pPr>
              <w:spacing w:after="0" w:line="240" w:lineRule="auto"/>
              <w:jc w:val="center"/>
              <w:rPr>
                <w:rFonts w:cs="Arial"/>
                <w:color w:val="000000"/>
                <w:sz w:val="16"/>
                <w:szCs w:val="16"/>
              </w:rPr>
            </w:pPr>
            <w:r w:rsidRPr="00787ADD">
              <w:rPr>
                <w:rFonts w:cs="Arial"/>
                <w:color w:val="000000"/>
                <w:sz w:val="16"/>
                <w:szCs w:val="16"/>
              </w:rPr>
              <w:t>25,4</w:t>
            </w:r>
          </w:p>
        </w:tc>
        <w:tc>
          <w:tcPr>
            <w:tcW w:w="567" w:type="dxa"/>
            <w:tcBorders>
              <w:top w:val="nil"/>
              <w:left w:val="nil"/>
              <w:bottom w:val="nil"/>
              <w:right w:val="nil"/>
            </w:tcBorders>
            <w:shd w:val="clear" w:color="auto" w:fill="auto"/>
            <w:noWrap/>
            <w:vAlign w:val="center"/>
            <w:hideMark/>
          </w:tcPr>
          <w:p w:rsidR="00787ADD" w:rsidRPr="00787ADD" w:rsidRDefault="00787ADD" w:rsidP="00787ADD">
            <w:pPr>
              <w:spacing w:after="0" w:line="240" w:lineRule="auto"/>
              <w:jc w:val="center"/>
              <w:rPr>
                <w:rFonts w:cs="Arial"/>
                <w:color w:val="000000"/>
                <w:sz w:val="16"/>
                <w:szCs w:val="16"/>
              </w:rPr>
            </w:pPr>
            <w:r w:rsidRPr="00787ADD">
              <w:rPr>
                <w:rFonts w:cs="Arial"/>
                <w:color w:val="000000"/>
                <w:sz w:val="16"/>
                <w:szCs w:val="16"/>
              </w:rPr>
              <w:t>26,3</w:t>
            </w:r>
          </w:p>
        </w:tc>
        <w:tc>
          <w:tcPr>
            <w:tcW w:w="567" w:type="dxa"/>
            <w:tcBorders>
              <w:top w:val="nil"/>
              <w:left w:val="nil"/>
              <w:bottom w:val="nil"/>
              <w:right w:val="nil"/>
            </w:tcBorders>
            <w:shd w:val="clear" w:color="auto" w:fill="auto"/>
            <w:noWrap/>
            <w:vAlign w:val="center"/>
            <w:hideMark/>
          </w:tcPr>
          <w:p w:rsidR="00787ADD" w:rsidRPr="00787ADD" w:rsidRDefault="00787ADD" w:rsidP="00787ADD">
            <w:pPr>
              <w:spacing w:after="0" w:line="240" w:lineRule="auto"/>
              <w:jc w:val="center"/>
            </w:pPr>
            <w:r w:rsidRPr="00787ADD">
              <w:rPr>
                <w:rFonts w:cs="Arial"/>
                <w:color w:val="000000"/>
                <w:sz w:val="16"/>
                <w:szCs w:val="16"/>
              </w:rPr>
              <w:t>23,3</w:t>
            </w:r>
          </w:p>
        </w:tc>
        <w:tc>
          <w:tcPr>
            <w:tcW w:w="567" w:type="dxa"/>
            <w:vAlign w:val="center"/>
          </w:tcPr>
          <w:p w:rsidR="00787ADD" w:rsidRPr="00787ADD" w:rsidRDefault="00787ADD" w:rsidP="00787ADD">
            <w:pPr>
              <w:spacing w:after="0" w:line="240" w:lineRule="auto"/>
              <w:jc w:val="center"/>
              <w:rPr>
                <w:rFonts w:cs="Arial"/>
                <w:color w:val="000000"/>
                <w:sz w:val="16"/>
                <w:szCs w:val="16"/>
              </w:rPr>
            </w:pPr>
            <w:r w:rsidRPr="00787ADD">
              <w:rPr>
                <w:rFonts w:cs="Arial"/>
                <w:color w:val="000000"/>
                <w:sz w:val="16"/>
                <w:szCs w:val="16"/>
              </w:rPr>
              <w:t>16,8</w:t>
            </w:r>
          </w:p>
        </w:tc>
        <w:tc>
          <w:tcPr>
            <w:tcW w:w="567" w:type="dxa"/>
            <w:vAlign w:val="center"/>
          </w:tcPr>
          <w:p w:rsidR="00787ADD" w:rsidRPr="00787ADD" w:rsidRDefault="00787ADD" w:rsidP="00787ADD">
            <w:pPr>
              <w:spacing w:after="0" w:line="240" w:lineRule="auto"/>
              <w:jc w:val="center"/>
              <w:rPr>
                <w:rFonts w:cs="Arial"/>
                <w:color w:val="000000"/>
                <w:sz w:val="16"/>
                <w:szCs w:val="16"/>
              </w:rPr>
            </w:pPr>
            <w:r w:rsidRPr="00787ADD">
              <w:rPr>
                <w:rFonts w:cs="Arial"/>
                <w:color w:val="000000"/>
                <w:sz w:val="16"/>
                <w:szCs w:val="16"/>
              </w:rPr>
              <w:t>18,3</w:t>
            </w:r>
          </w:p>
        </w:tc>
        <w:tc>
          <w:tcPr>
            <w:tcW w:w="567" w:type="dxa"/>
            <w:vAlign w:val="center"/>
          </w:tcPr>
          <w:p w:rsidR="00787ADD" w:rsidRPr="00E04FBD" w:rsidRDefault="00E04FBD" w:rsidP="00787ADD">
            <w:pPr>
              <w:spacing w:after="0" w:line="240" w:lineRule="auto"/>
              <w:jc w:val="center"/>
              <w:rPr>
                <w:rFonts w:cs="Arial"/>
                <w:color w:val="000000"/>
                <w:sz w:val="16"/>
                <w:szCs w:val="16"/>
              </w:rPr>
            </w:pPr>
            <w:r w:rsidRPr="00E04FBD">
              <w:rPr>
                <w:rFonts w:cs="Arial"/>
                <w:color w:val="000000"/>
                <w:sz w:val="16"/>
                <w:szCs w:val="16"/>
              </w:rPr>
              <w:t>18,1</w:t>
            </w:r>
          </w:p>
        </w:tc>
      </w:tr>
      <w:tr w:rsidR="00787ADD" w:rsidRPr="00787ADD" w:rsidTr="006172DA">
        <w:trPr>
          <w:trHeight w:val="300"/>
        </w:trPr>
        <w:tc>
          <w:tcPr>
            <w:tcW w:w="3401" w:type="dxa"/>
            <w:tcBorders>
              <w:top w:val="nil"/>
              <w:left w:val="nil"/>
              <w:bottom w:val="nil"/>
              <w:right w:val="single" w:sz="4" w:space="0" w:color="auto"/>
            </w:tcBorders>
            <w:shd w:val="clear" w:color="auto" w:fill="auto"/>
            <w:vAlign w:val="center"/>
            <w:hideMark/>
          </w:tcPr>
          <w:p w:rsidR="00787ADD" w:rsidRPr="00787ADD" w:rsidRDefault="00787ADD" w:rsidP="00787ADD">
            <w:pPr>
              <w:spacing w:after="0" w:line="240" w:lineRule="auto"/>
              <w:ind w:firstLineChars="100" w:firstLine="160"/>
              <w:jc w:val="left"/>
              <w:rPr>
                <w:rFonts w:cs="Arial"/>
                <w:color w:val="000000"/>
                <w:sz w:val="16"/>
                <w:szCs w:val="16"/>
              </w:rPr>
            </w:pPr>
            <w:r w:rsidRPr="00787ADD">
              <w:rPr>
                <w:rFonts w:cs="Arial"/>
                <w:color w:val="000000"/>
                <w:sz w:val="16"/>
                <w:szCs w:val="16"/>
              </w:rPr>
              <w:t>K – Peněžnictví a pojišťovnictví</w:t>
            </w:r>
          </w:p>
        </w:tc>
        <w:tc>
          <w:tcPr>
            <w:tcW w:w="567" w:type="dxa"/>
            <w:tcBorders>
              <w:top w:val="nil"/>
              <w:left w:val="nil"/>
              <w:bottom w:val="nil"/>
              <w:right w:val="nil"/>
            </w:tcBorders>
            <w:shd w:val="clear" w:color="auto" w:fill="auto"/>
            <w:noWrap/>
            <w:vAlign w:val="center"/>
            <w:hideMark/>
          </w:tcPr>
          <w:p w:rsidR="00787ADD" w:rsidRPr="00787ADD" w:rsidRDefault="00787ADD" w:rsidP="00787ADD">
            <w:pPr>
              <w:spacing w:after="0" w:line="240" w:lineRule="auto"/>
              <w:jc w:val="center"/>
              <w:rPr>
                <w:rFonts w:cs="Arial"/>
                <w:color w:val="000000"/>
                <w:sz w:val="16"/>
                <w:szCs w:val="16"/>
              </w:rPr>
            </w:pPr>
            <w:r w:rsidRPr="00787ADD">
              <w:rPr>
                <w:rFonts w:cs="Arial"/>
                <w:color w:val="000000"/>
                <w:sz w:val="16"/>
                <w:szCs w:val="16"/>
              </w:rPr>
              <w:t>34,3</w:t>
            </w:r>
          </w:p>
        </w:tc>
        <w:tc>
          <w:tcPr>
            <w:tcW w:w="567" w:type="dxa"/>
            <w:tcBorders>
              <w:top w:val="nil"/>
              <w:left w:val="nil"/>
              <w:bottom w:val="nil"/>
              <w:right w:val="nil"/>
            </w:tcBorders>
            <w:shd w:val="clear" w:color="auto" w:fill="auto"/>
            <w:noWrap/>
            <w:vAlign w:val="center"/>
            <w:hideMark/>
          </w:tcPr>
          <w:p w:rsidR="00787ADD" w:rsidRPr="00787ADD" w:rsidRDefault="00787ADD" w:rsidP="00787ADD">
            <w:pPr>
              <w:spacing w:after="0" w:line="240" w:lineRule="auto"/>
              <w:jc w:val="center"/>
              <w:rPr>
                <w:rFonts w:cs="Arial"/>
                <w:color w:val="000000"/>
                <w:sz w:val="16"/>
                <w:szCs w:val="16"/>
              </w:rPr>
            </w:pPr>
            <w:r w:rsidRPr="00787ADD">
              <w:rPr>
                <w:rFonts w:cs="Arial"/>
                <w:color w:val="000000"/>
                <w:sz w:val="16"/>
                <w:szCs w:val="16"/>
              </w:rPr>
              <w:t>33,1</w:t>
            </w:r>
          </w:p>
        </w:tc>
        <w:tc>
          <w:tcPr>
            <w:tcW w:w="567" w:type="dxa"/>
            <w:tcBorders>
              <w:top w:val="nil"/>
              <w:left w:val="nil"/>
              <w:bottom w:val="nil"/>
              <w:right w:val="nil"/>
            </w:tcBorders>
            <w:shd w:val="clear" w:color="auto" w:fill="auto"/>
            <w:noWrap/>
            <w:vAlign w:val="center"/>
            <w:hideMark/>
          </w:tcPr>
          <w:p w:rsidR="00787ADD" w:rsidRPr="00787ADD" w:rsidRDefault="00787ADD" w:rsidP="00787ADD">
            <w:pPr>
              <w:spacing w:after="0" w:line="240" w:lineRule="auto"/>
              <w:jc w:val="center"/>
              <w:rPr>
                <w:rFonts w:cs="Arial"/>
                <w:color w:val="000000"/>
                <w:sz w:val="16"/>
                <w:szCs w:val="16"/>
              </w:rPr>
            </w:pPr>
            <w:r w:rsidRPr="00787ADD">
              <w:rPr>
                <w:rFonts w:cs="Arial"/>
                <w:color w:val="000000"/>
                <w:sz w:val="16"/>
                <w:szCs w:val="16"/>
              </w:rPr>
              <w:t>32,4</w:t>
            </w:r>
          </w:p>
        </w:tc>
        <w:tc>
          <w:tcPr>
            <w:tcW w:w="567" w:type="dxa"/>
            <w:tcBorders>
              <w:top w:val="nil"/>
              <w:left w:val="nil"/>
              <w:bottom w:val="nil"/>
              <w:right w:val="nil"/>
            </w:tcBorders>
            <w:shd w:val="clear" w:color="auto" w:fill="auto"/>
            <w:noWrap/>
            <w:vAlign w:val="center"/>
            <w:hideMark/>
          </w:tcPr>
          <w:p w:rsidR="00787ADD" w:rsidRPr="00787ADD" w:rsidRDefault="00787ADD" w:rsidP="00787ADD">
            <w:pPr>
              <w:spacing w:after="0" w:line="240" w:lineRule="auto"/>
              <w:jc w:val="center"/>
              <w:rPr>
                <w:rFonts w:cs="Arial"/>
                <w:color w:val="000000"/>
                <w:sz w:val="16"/>
                <w:szCs w:val="16"/>
              </w:rPr>
            </w:pPr>
            <w:r w:rsidRPr="00787ADD">
              <w:rPr>
                <w:rFonts w:cs="Arial"/>
                <w:color w:val="000000"/>
                <w:sz w:val="16"/>
                <w:szCs w:val="16"/>
              </w:rPr>
              <w:t>33,8</w:t>
            </w:r>
          </w:p>
        </w:tc>
        <w:tc>
          <w:tcPr>
            <w:tcW w:w="567" w:type="dxa"/>
            <w:tcBorders>
              <w:top w:val="nil"/>
              <w:left w:val="nil"/>
              <w:bottom w:val="nil"/>
              <w:right w:val="nil"/>
            </w:tcBorders>
            <w:shd w:val="clear" w:color="auto" w:fill="auto"/>
            <w:noWrap/>
            <w:vAlign w:val="center"/>
            <w:hideMark/>
          </w:tcPr>
          <w:p w:rsidR="00787ADD" w:rsidRPr="00787ADD" w:rsidRDefault="00787ADD" w:rsidP="00787ADD">
            <w:pPr>
              <w:spacing w:after="0" w:line="240" w:lineRule="auto"/>
              <w:jc w:val="center"/>
              <w:rPr>
                <w:rFonts w:cs="Arial"/>
                <w:color w:val="000000"/>
                <w:sz w:val="16"/>
                <w:szCs w:val="16"/>
              </w:rPr>
            </w:pPr>
            <w:r w:rsidRPr="00787ADD">
              <w:rPr>
                <w:rFonts w:cs="Arial"/>
                <w:color w:val="000000"/>
                <w:sz w:val="16"/>
                <w:szCs w:val="16"/>
              </w:rPr>
              <w:t>31,8</w:t>
            </w:r>
          </w:p>
        </w:tc>
        <w:tc>
          <w:tcPr>
            <w:tcW w:w="567" w:type="dxa"/>
            <w:tcBorders>
              <w:top w:val="nil"/>
              <w:left w:val="nil"/>
              <w:bottom w:val="nil"/>
              <w:right w:val="nil"/>
            </w:tcBorders>
            <w:shd w:val="clear" w:color="auto" w:fill="auto"/>
            <w:noWrap/>
            <w:vAlign w:val="center"/>
            <w:hideMark/>
          </w:tcPr>
          <w:p w:rsidR="00787ADD" w:rsidRPr="00787ADD" w:rsidRDefault="00787ADD" w:rsidP="00787ADD">
            <w:pPr>
              <w:spacing w:after="0" w:line="240" w:lineRule="auto"/>
              <w:jc w:val="center"/>
              <w:rPr>
                <w:rFonts w:cs="Arial"/>
                <w:color w:val="000000"/>
                <w:sz w:val="16"/>
                <w:szCs w:val="16"/>
              </w:rPr>
            </w:pPr>
            <w:r w:rsidRPr="00787ADD">
              <w:rPr>
                <w:rFonts w:cs="Arial"/>
                <w:color w:val="000000"/>
                <w:sz w:val="16"/>
                <w:szCs w:val="16"/>
              </w:rPr>
              <w:t>31,7</w:t>
            </w:r>
          </w:p>
        </w:tc>
        <w:tc>
          <w:tcPr>
            <w:tcW w:w="567" w:type="dxa"/>
            <w:tcBorders>
              <w:top w:val="nil"/>
              <w:left w:val="nil"/>
              <w:bottom w:val="nil"/>
              <w:right w:val="nil"/>
            </w:tcBorders>
            <w:shd w:val="clear" w:color="auto" w:fill="auto"/>
            <w:noWrap/>
            <w:vAlign w:val="center"/>
            <w:hideMark/>
          </w:tcPr>
          <w:p w:rsidR="00787ADD" w:rsidRPr="00787ADD" w:rsidRDefault="00787ADD" w:rsidP="00787ADD">
            <w:pPr>
              <w:spacing w:after="0" w:line="240" w:lineRule="auto"/>
              <w:jc w:val="center"/>
              <w:rPr>
                <w:rFonts w:cs="Arial"/>
                <w:color w:val="000000"/>
                <w:sz w:val="16"/>
                <w:szCs w:val="16"/>
              </w:rPr>
            </w:pPr>
            <w:r w:rsidRPr="00787ADD">
              <w:rPr>
                <w:rFonts w:cs="Arial"/>
                <w:color w:val="000000"/>
                <w:sz w:val="16"/>
                <w:szCs w:val="16"/>
              </w:rPr>
              <w:t>33,0</w:t>
            </w:r>
          </w:p>
        </w:tc>
        <w:tc>
          <w:tcPr>
            <w:tcW w:w="567" w:type="dxa"/>
            <w:tcBorders>
              <w:top w:val="nil"/>
              <w:left w:val="nil"/>
              <w:bottom w:val="nil"/>
              <w:right w:val="nil"/>
            </w:tcBorders>
            <w:shd w:val="clear" w:color="auto" w:fill="auto"/>
            <w:noWrap/>
            <w:vAlign w:val="center"/>
            <w:hideMark/>
          </w:tcPr>
          <w:p w:rsidR="00787ADD" w:rsidRPr="00787ADD" w:rsidRDefault="00787ADD" w:rsidP="00787ADD">
            <w:pPr>
              <w:spacing w:after="0" w:line="240" w:lineRule="auto"/>
              <w:jc w:val="center"/>
            </w:pPr>
            <w:r w:rsidRPr="00787ADD">
              <w:rPr>
                <w:rFonts w:cs="Arial"/>
                <w:color w:val="000000"/>
                <w:sz w:val="16"/>
                <w:szCs w:val="16"/>
              </w:rPr>
              <w:t>30,3</w:t>
            </w:r>
          </w:p>
        </w:tc>
        <w:tc>
          <w:tcPr>
            <w:tcW w:w="567" w:type="dxa"/>
            <w:vAlign w:val="center"/>
          </w:tcPr>
          <w:p w:rsidR="00787ADD" w:rsidRPr="00787ADD" w:rsidRDefault="00787ADD" w:rsidP="00787ADD">
            <w:pPr>
              <w:spacing w:after="0" w:line="240" w:lineRule="auto"/>
              <w:jc w:val="center"/>
              <w:rPr>
                <w:rFonts w:cs="Arial"/>
                <w:color w:val="000000"/>
                <w:sz w:val="16"/>
                <w:szCs w:val="16"/>
              </w:rPr>
            </w:pPr>
            <w:r w:rsidRPr="00787ADD">
              <w:rPr>
                <w:rFonts w:cs="Arial"/>
                <w:color w:val="000000"/>
                <w:sz w:val="16"/>
                <w:szCs w:val="16"/>
              </w:rPr>
              <w:t>21,0</w:t>
            </w:r>
          </w:p>
        </w:tc>
        <w:tc>
          <w:tcPr>
            <w:tcW w:w="567" w:type="dxa"/>
            <w:vAlign w:val="center"/>
          </w:tcPr>
          <w:p w:rsidR="00787ADD" w:rsidRPr="00787ADD" w:rsidRDefault="00787ADD" w:rsidP="00787ADD">
            <w:pPr>
              <w:spacing w:after="0" w:line="240" w:lineRule="auto"/>
              <w:jc w:val="center"/>
              <w:rPr>
                <w:rFonts w:cs="Arial"/>
                <w:color w:val="000000"/>
                <w:sz w:val="16"/>
                <w:szCs w:val="16"/>
              </w:rPr>
            </w:pPr>
            <w:r w:rsidRPr="00787ADD">
              <w:rPr>
                <w:rFonts w:cs="Arial"/>
                <w:color w:val="000000"/>
                <w:sz w:val="16"/>
                <w:szCs w:val="16"/>
              </w:rPr>
              <w:t>22,4</w:t>
            </w:r>
          </w:p>
        </w:tc>
        <w:tc>
          <w:tcPr>
            <w:tcW w:w="567" w:type="dxa"/>
            <w:vAlign w:val="center"/>
          </w:tcPr>
          <w:p w:rsidR="00787ADD" w:rsidRPr="00E04FBD" w:rsidRDefault="004B6FEF" w:rsidP="00787ADD">
            <w:pPr>
              <w:spacing w:after="0" w:line="240" w:lineRule="auto"/>
              <w:jc w:val="center"/>
              <w:rPr>
                <w:rFonts w:cs="Arial"/>
                <w:color w:val="000000"/>
                <w:sz w:val="16"/>
                <w:szCs w:val="16"/>
              </w:rPr>
            </w:pPr>
            <w:r w:rsidRPr="00E04FBD">
              <w:rPr>
                <w:rFonts w:cs="Arial"/>
                <w:color w:val="000000"/>
                <w:sz w:val="16"/>
                <w:szCs w:val="16"/>
              </w:rPr>
              <w:t>23,8</w:t>
            </w:r>
          </w:p>
        </w:tc>
      </w:tr>
      <w:tr w:rsidR="00787ADD" w:rsidRPr="00787ADD" w:rsidTr="006172DA">
        <w:trPr>
          <w:trHeight w:val="300"/>
        </w:trPr>
        <w:tc>
          <w:tcPr>
            <w:tcW w:w="3401" w:type="dxa"/>
            <w:tcBorders>
              <w:top w:val="nil"/>
              <w:left w:val="nil"/>
              <w:bottom w:val="nil"/>
              <w:right w:val="single" w:sz="4" w:space="0" w:color="auto"/>
            </w:tcBorders>
            <w:shd w:val="clear" w:color="auto" w:fill="auto"/>
            <w:vAlign w:val="center"/>
            <w:hideMark/>
          </w:tcPr>
          <w:p w:rsidR="00787ADD" w:rsidRPr="00787ADD" w:rsidRDefault="00787ADD" w:rsidP="00787ADD">
            <w:pPr>
              <w:spacing w:after="0" w:line="240" w:lineRule="auto"/>
              <w:ind w:firstLineChars="100" w:firstLine="160"/>
              <w:jc w:val="left"/>
              <w:rPr>
                <w:rFonts w:cs="Arial"/>
                <w:color w:val="000000"/>
                <w:sz w:val="16"/>
                <w:szCs w:val="16"/>
              </w:rPr>
            </w:pPr>
            <w:r w:rsidRPr="00787ADD">
              <w:rPr>
                <w:rFonts w:cs="Arial"/>
                <w:color w:val="000000"/>
                <w:sz w:val="16"/>
                <w:szCs w:val="16"/>
              </w:rPr>
              <w:t>L – Činnosti v oblasti nemovitostí</w:t>
            </w:r>
          </w:p>
        </w:tc>
        <w:tc>
          <w:tcPr>
            <w:tcW w:w="567" w:type="dxa"/>
            <w:tcBorders>
              <w:top w:val="nil"/>
              <w:left w:val="nil"/>
              <w:bottom w:val="nil"/>
              <w:right w:val="nil"/>
            </w:tcBorders>
            <w:shd w:val="clear" w:color="auto" w:fill="auto"/>
            <w:noWrap/>
            <w:vAlign w:val="center"/>
            <w:hideMark/>
          </w:tcPr>
          <w:p w:rsidR="00787ADD" w:rsidRPr="00787ADD" w:rsidRDefault="00787ADD" w:rsidP="00787ADD">
            <w:pPr>
              <w:spacing w:after="0" w:line="240" w:lineRule="auto"/>
              <w:jc w:val="center"/>
              <w:rPr>
                <w:rFonts w:cs="Arial"/>
                <w:color w:val="000000"/>
                <w:sz w:val="16"/>
                <w:szCs w:val="16"/>
              </w:rPr>
            </w:pPr>
            <w:r w:rsidRPr="00787ADD">
              <w:rPr>
                <w:rFonts w:cs="Arial"/>
                <w:color w:val="000000"/>
                <w:sz w:val="16"/>
                <w:szCs w:val="16"/>
              </w:rPr>
              <w:t>56,3</w:t>
            </w:r>
          </w:p>
        </w:tc>
        <w:tc>
          <w:tcPr>
            <w:tcW w:w="567" w:type="dxa"/>
            <w:tcBorders>
              <w:top w:val="nil"/>
              <w:left w:val="nil"/>
              <w:bottom w:val="nil"/>
              <w:right w:val="nil"/>
            </w:tcBorders>
            <w:shd w:val="clear" w:color="auto" w:fill="auto"/>
            <w:noWrap/>
            <w:vAlign w:val="center"/>
            <w:hideMark/>
          </w:tcPr>
          <w:p w:rsidR="00787ADD" w:rsidRPr="00787ADD" w:rsidRDefault="00787ADD" w:rsidP="00787ADD">
            <w:pPr>
              <w:spacing w:after="0" w:line="240" w:lineRule="auto"/>
              <w:jc w:val="center"/>
              <w:rPr>
                <w:rFonts w:cs="Arial"/>
                <w:color w:val="000000"/>
                <w:sz w:val="16"/>
                <w:szCs w:val="16"/>
              </w:rPr>
            </w:pPr>
            <w:r w:rsidRPr="00787ADD">
              <w:rPr>
                <w:rFonts w:cs="Arial"/>
                <w:color w:val="000000"/>
                <w:sz w:val="16"/>
                <w:szCs w:val="16"/>
              </w:rPr>
              <w:t>52,0</w:t>
            </w:r>
          </w:p>
        </w:tc>
        <w:tc>
          <w:tcPr>
            <w:tcW w:w="567" w:type="dxa"/>
            <w:tcBorders>
              <w:top w:val="nil"/>
              <w:left w:val="nil"/>
              <w:bottom w:val="nil"/>
              <w:right w:val="nil"/>
            </w:tcBorders>
            <w:shd w:val="clear" w:color="auto" w:fill="auto"/>
            <w:noWrap/>
            <w:vAlign w:val="center"/>
            <w:hideMark/>
          </w:tcPr>
          <w:p w:rsidR="00787ADD" w:rsidRPr="00787ADD" w:rsidRDefault="00787ADD" w:rsidP="00787ADD">
            <w:pPr>
              <w:spacing w:after="0" w:line="240" w:lineRule="auto"/>
              <w:jc w:val="center"/>
              <w:rPr>
                <w:rFonts w:cs="Arial"/>
                <w:color w:val="000000"/>
                <w:sz w:val="16"/>
                <w:szCs w:val="16"/>
              </w:rPr>
            </w:pPr>
            <w:r w:rsidRPr="00787ADD">
              <w:rPr>
                <w:rFonts w:cs="Arial"/>
                <w:color w:val="000000"/>
                <w:sz w:val="16"/>
                <w:szCs w:val="16"/>
              </w:rPr>
              <w:t>52,5</w:t>
            </w:r>
          </w:p>
        </w:tc>
        <w:tc>
          <w:tcPr>
            <w:tcW w:w="567" w:type="dxa"/>
            <w:tcBorders>
              <w:top w:val="nil"/>
              <w:left w:val="nil"/>
              <w:bottom w:val="nil"/>
              <w:right w:val="nil"/>
            </w:tcBorders>
            <w:shd w:val="clear" w:color="auto" w:fill="auto"/>
            <w:noWrap/>
            <w:vAlign w:val="center"/>
            <w:hideMark/>
          </w:tcPr>
          <w:p w:rsidR="00787ADD" w:rsidRPr="00787ADD" w:rsidRDefault="00787ADD" w:rsidP="00787ADD">
            <w:pPr>
              <w:spacing w:after="0" w:line="240" w:lineRule="auto"/>
              <w:jc w:val="center"/>
              <w:rPr>
                <w:rFonts w:cs="Arial"/>
                <w:color w:val="000000"/>
                <w:sz w:val="16"/>
                <w:szCs w:val="16"/>
              </w:rPr>
            </w:pPr>
            <w:r w:rsidRPr="00787ADD">
              <w:rPr>
                <w:rFonts w:cs="Arial"/>
                <w:color w:val="000000"/>
                <w:sz w:val="16"/>
                <w:szCs w:val="16"/>
              </w:rPr>
              <w:t>53,6</w:t>
            </w:r>
          </w:p>
        </w:tc>
        <w:tc>
          <w:tcPr>
            <w:tcW w:w="567" w:type="dxa"/>
            <w:tcBorders>
              <w:top w:val="nil"/>
              <w:left w:val="nil"/>
              <w:bottom w:val="nil"/>
              <w:right w:val="nil"/>
            </w:tcBorders>
            <w:shd w:val="clear" w:color="auto" w:fill="auto"/>
            <w:noWrap/>
            <w:vAlign w:val="center"/>
            <w:hideMark/>
          </w:tcPr>
          <w:p w:rsidR="00787ADD" w:rsidRPr="00787ADD" w:rsidRDefault="00787ADD" w:rsidP="00787ADD">
            <w:pPr>
              <w:spacing w:after="0" w:line="240" w:lineRule="auto"/>
              <w:jc w:val="center"/>
              <w:rPr>
                <w:rFonts w:cs="Arial"/>
                <w:color w:val="000000"/>
                <w:sz w:val="16"/>
                <w:szCs w:val="16"/>
              </w:rPr>
            </w:pPr>
            <w:r w:rsidRPr="00787ADD">
              <w:rPr>
                <w:rFonts w:cs="Arial"/>
                <w:color w:val="000000"/>
                <w:sz w:val="16"/>
                <w:szCs w:val="16"/>
              </w:rPr>
              <w:t>51,1</w:t>
            </w:r>
          </w:p>
        </w:tc>
        <w:tc>
          <w:tcPr>
            <w:tcW w:w="567" w:type="dxa"/>
            <w:tcBorders>
              <w:top w:val="nil"/>
              <w:left w:val="nil"/>
              <w:bottom w:val="nil"/>
              <w:right w:val="nil"/>
            </w:tcBorders>
            <w:shd w:val="clear" w:color="auto" w:fill="auto"/>
            <w:noWrap/>
            <w:vAlign w:val="center"/>
            <w:hideMark/>
          </w:tcPr>
          <w:p w:rsidR="00787ADD" w:rsidRPr="00787ADD" w:rsidRDefault="00787ADD" w:rsidP="00787ADD">
            <w:pPr>
              <w:spacing w:after="0" w:line="240" w:lineRule="auto"/>
              <w:jc w:val="center"/>
              <w:rPr>
                <w:rFonts w:cs="Arial"/>
                <w:color w:val="000000"/>
                <w:sz w:val="16"/>
                <w:szCs w:val="16"/>
              </w:rPr>
            </w:pPr>
            <w:r w:rsidRPr="00787ADD">
              <w:rPr>
                <w:rFonts w:cs="Arial"/>
                <w:color w:val="000000"/>
                <w:sz w:val="16"/>
                <w:szCs w:val="16"/>
              </w:rPr>
              <w:t>50,8</w:t>
            </w:r>
          </w:p>
        </w:tc>
        <w:tc>
          <w:tcPr>
            <w:tcW w:w="567" w:type="dxa"/>
            <w:tcBorders>
              <w:top w:val="nil"/>
              <w:left w:val="nil"/>
              <w:bottom w:val="nil"/>
              <w:right w:val="nil"/>
            </w:tcBorders>
            <w:shd w:val="clear" w:color="auto" w:fill="auto"/>
            <w:noWrap/>
            <w:vAlign w:val="center"/>
            <w:hideMark/>
          </w:tcPr>
          <w:p w:rsidR="00787ADD" w:rsidRPr="00787ADD" w:rsidRDefault="00787ADD" w:rsidP="00787ADD">
            <w:pPr>
              <w:spacing w:after="0" w:line="240" w:lineRule="auto"/>
              <w:jc w:val="center"/>
              <w:rPr>
                <w:rFonts w:cs="Arial"/>
                <w:color w:val="000000"/>
                <w:sz w:val="16"/>
                <w:szCs w:val="16"/>
              </w:rPr>
            </w:pPr>
            <w:r w:rsidRPr="00787ADD">
              <w:rPr>
                <w:rFonts w:cs="Arial"/>
                <w:color w:val="000000"/>
                <w:sz w:val="16"/>
                <w:szCs w:val="16"/>
              </w:rPr>
              <w:t>46,7</w:t>
            </w:r>
          </w:p>
        </w:tc>
        <w:tc>
          <w:tcPr>
            <w:tcW w:w="567" w:type="dxa"/>
            <w:tcBorders>
              <w:top w:val="nil"/>
              <w:left w:val="nil"/>
              <w:bottom w:val="nil"/>
              <w:right w:val="nil"/>
            </w:tcBorders>
            <w:shd w:val="clear" w:color="auto" w:fill="auto"/>
            <w:noWrap/>
            <w:vAlign w:val="center"/>
            <w:hideMark/>
          </w:tcPr>
          <w:p w:rsidR="00787ADD" w:rsidRPr="00787ADD" w:rsidRDefault="00787ADD" w:rsidP="00787ADD">
            <w:pPr>
              <w:spacing w:after="0" w:line="240" w:lineRule="auto"/>
              <w:jc w:val="center"/>
            </w:pPr>
            <w:r w:rsidRPr="00787ADD">
              <w:rPr>
                <w:rFonts w:cs="Arial"/>
                <w:color w:val="000000"/>
                <w:sz w:val="16"/>
                <w:szCs w:val="16"/>
              </w:rPr>
              <w:t>39,4</w:t>
            </w:r>
          </w:p>
        </w:tc>
        <w:tc>
          <w:tcPr>
            <w:tcW w:w="567" w:type="dxa"/>
            <w:vAlign w:val="center"/>
          </w:tcPr>
          <w:p w:rsidR="00787ADD" w:rsidRPr="00787ADD" w:rsidRDefault="00787ADD" w:rsidP="00787ADD">
            <w:pPr>
              <w:spacing w:after="0" w:line="240" w:lineRule="auto"/>
              <w:jc w:val="center"/>
              <w:rPr>
                <w:rFonts w:cs="Arial"/>
                <w:color w:val="000000"/>
                <w:sz w:val="16"/>
                <w:szCs w:val="16"/>
              </w:rPr>
            </w:pPr>
            <w:r w:rsidRPr="00787ADD">
              <w:rPr>
                <w:rFonts w:cs="Arial"/>
                <w:color w:val="000000"/>
                <w:sz w:val="16"/>
                <w:szCs w:val="16"/>
              </w:rPr>
              <w:t>31,3</w:t>
            </w:r>
          </w:p>
        </w:tc>
        <w:tc>
          <w:tcPr>
            <w:tcW w:w="567" w:type="dxa"/>
            <w:vAlign w:val="center"/>
          </w:tcPr>
          <w:p w:rsidR="00787ADD" w:rsidRPr="00787ADD" w:rsidRDefault="00787ADD" w:rsidP="00787ADD">
            <w:pPr>
              <w:spacing w:after="0" w:line="240" w:lineRule="auto"/>
              <w:jc w:val="center"/>
              <w:rPr>
                <w:rFonts w:cs="Arial"/>
                <w:color w:val="000000"/>
                <w:sz w:val="16"/>
                <w:szCs w:val="16"/>
              </w:rPr>
            </w:pPr>
            <w:r w:rsidRPr="00787ADD">
              <w:rPr>
                <w:rFonts w:cs="Arial"/>
                <w:color w:val="000000"/>
                <w:sz w:val="16"/>
                <w:szCs w:val="16"/>
              </w:rPr>
              <w:t>37,8</w:t>
            </w:r>
          </w:p>
        </w:tc>
        <w:tc>
          <w:tcPr>
            <w:tcW w:w="567" w:type="dxa"/>
            <w:vAlign w:val="center"/>
          </w:tcPr>
          <w:p w:rsidR="00787ADD" w:rsidRPr="00E04FBD" w:rsidRDefault="00E04FBD" w:rsidP="00787ADD">
            <w:pPr>
              <w:spacing w:after="0" w:line="240" w:lineRule="auto"/>
              <w:jc w:val="center"/>
              <w:rPr>
                <w:rFonts w:cs="Arial"/>
                <w:color w:val="000000"/>
                <w:sz w:val="16"/>
                <w:szCs w:val="16"/>
              </w:rPr>
            </w:pPr>
            <w:r w:rsidRPr="00E04FBD">
              <w:rPr>
                <w:rFonts w:cs="Arial"/>
                <w:color w:val="000000"/>
                <w:sz w:val="16"/>
                <w:szCs w:val="16"/>
              </w:rPr>
              <w:t>39,0</w:t>
            </w:r>
          </w:p>
        </w:tc>
      </w:tr>
      <w:tr w:rsidR="00787ADD" w:rsidRPr="00787ADD" w:rsidTr="006172DA">
        <w:trPr>
          <w:trHeight w:val="300"/>
        </w:trPr>
        <w:tc>
          <w:tcPr>
            <w:tcW w:w="3401" w:type="dxa"/>
            <w:tcBorders>
              <w:top w:val="nil"/>
              <w:left w:val="nil"/>
              <w:bottom w:val="nil"/>
              <w:right w:val="single" w:sz="4" w:space="0" w:color="auto"/>
            </w:tcBorders>
            <w:shd w:val="clear" w:color="auto" w:fill="auto"/>
            <w:vAlign w:val="center"/>
            <w:hideMark/>
          </w:tcPr>
          <w:p w:rsidR="00787ADD" w:rsidRPr="00787ADD" w:rsidRDefault="00787ADD" w:rsidP="00787ADD">
            <w:pPr>
              <w:spacing w:after="0" w:line="240" w:lineRule="auto"/>
              <w:ind w:firstLineChars="100" w:firstLine="160"/>
              <w:jc w:val="left"/>
              <w:rPr>
                <w:rFonts w:cs="Arial"/>
                <w:color w:val="000000"/>
                <w:sz w:val="16"/>
                <w:szCs w:val="16"/>
              </w:rPr>
            </w:pPr>
            <w:r w:rsidRPr="00787ADD">
              <w:rPr>
                <w:rFonts w:cs="Arial"/>
                <w:color w:val="000000"/>
                <w:sz w:val="16"/>
                <w:szCs w:val="16"/>
              </w:rPr>
              <w:t>M – Profesní, vědecké a technické činnosti</w:t>
            </w:r>
          </w:p>
        </w:tc>
        <w:tc>
          <w:tcPr>
            <w:tcW w:w="567" w:type="dxa"/>
            <w:tcBorders>
              <w:top w:val="nil"/>
              <w:left w:val="nil"/>
              <w:bottom w:val="nil"/>
              <w:right w:val="nil"/>
            </w:tcBorders>
            <w:shd w:val="clear" w:color="auto" w:fill="auto"/>
            <w:noWrap/>
            <w:vAlign w:val="center"/>
            <w:hideMark/>
          </w:tcPr>
          <w:p w:rsidR="00787ADD" w:rsidRPr="00787ADD" w:rsidRDefault="00787ADD" w:rsidP="00787ADD">
            <w:pPr>
              <w:spacing w:after="0" w:line="240" w:lineRule="auto"/>
              <w:jc w:val="center"/>
              <w:rPr>
                <w:rFonts w:cs="Arial"/>
                <w:color w:val="000000"/>
                <w:sz w:val="16"/>
                <w:szCs w:val="16"/>
              </w:rPr>
            </w:pPr>
            <w:r w:rsidRPr="00787ADD">
              <w:rPr>
                <w:rFonts w:cs="Arial"/>
                <w:color w:val="000000"/>
                <w:sz w:val="16"/>
                <w:szCs w:val="16"/>
              </w:rPr>
              <w:t>40,9</w:t>
            </w:r>
          </w:p>
        </w:tc>
        <w:tc>
          <w:tcPr>
            <w:tcW w:w="567" w:type="dxa"/>
            <w:tcBorders>
              <w:top w:val="nil"/>
              <w:left w:val="nil"/>
              <w:bottom w:val="nil"/>
              <w:right w:val="nil"/>
            </w:tcBorders>
            <w:shd w:val="clear" w:color="auto" w:fill="auto"/>
            <w:noWrap/>
            <w:vAlign w:val="center"/>
            <w:hideMark/>
          </w:tcPr>
          <w:p w:rsidR="00787ADD" w:rsidRPr="00787ADD" w:rsidRDefault="00787ADD" w:rsidP="00787ADD">
            <w:pPr>
              <w:spacing w:after="0" w:line="240" w:lineRule="auto"/>
              <w:jc w:val="center"/>
              <w:rPr>
                <w:rFonts w:cs="Arial"/>
                <w:color w:val="000000"/>
                <w:sz w:val="16"/>
                <w:szCs w:val="16"/>
              </w:rPr>
            </w:pPr>
            <w:r w:rsidRPr="00787ADD">
              <w:rPr>
                <w:rFonts w:cs="Arial"/>
                <w:color w:val="000000"/>
                <w:sz w:val="16"/>
                <w:szCs w:val="16"/>
              </w:rPr>
              <w:t>38,8</w:t>
            </w:r>
          </w:p>
        </w:tc>
        <w:tc>
          <w:tcPr>
            <w:tcW w:w="567" w:type="dxa"/>
            <w:tcBorders>
              <w:top w:val="nil"/>
              <w:left w:val="nil"/>
              <w:bottom w:val="nil"/>
              <w:right w:val="nil"/>
            </w:tcBorders>
            <w:shd w:val="clear" w:color="auto" w:fill="auto"/>
            <w:noWrap/>
            <w:vAlign w:val="center"/>
            <w:hideMark/>
          </w:tcPr>
          <w:p w:rsidR="00787ADD" w:rsidRPr="00787ADD" w:rsidRDefault="00787ADD" w:rsidP="00787ADD">
            <w:pPr>
              <w:spacing w:after="0" w:line="240" w:lineRule="auto"/>
              <w:jc w:val="center"/>
              <w:rPr>
                <w:rFonts w:cs="Arial"/>
                <w:color w:val="000000"/>
                <w:sz w:val="16"/>
                <w:szCs w:val="16"/>
              </w:rPr>
            </w:pPr>
            <w:r w:rsidRPr="00787ADD">
              <w:rPr>
                <w:rFonts w:cs="Arial"/>
                <w:color w:val="000000"/>
                <w:sz w:val="16"/>
                <w:szCs w:val="16"/>
              </w:rPr>
              <w:t>38,7</w:t>
            </w:r>
          </w:p>
        </w:tc>
        <w:tc>
          <w:tcPr>
            <w:tcW w:w="567" w:type="dxa"/>
            <w:tcBorders>
              <w:top w:val="nil"/>
              <w:left w:val="nil"/>
              <w:bottom w:val="nil"/>
              <w:right w:val="nil"/>
            </w:tcBorders>
            <w:shd w:val="clear" w:color="auto" w:fill="auto"/>
            <w:noWrap/>
            <w:vAlign w:val="center"/>
            <w:hideMark/>
          </w:tcPr>
          <w:p w:rsidR="00787ADD" w:rsidRPr="00787ADD" w:rsidRDefault="00787ADD" w:rsidP="00787ADD">
            <w:pPr>
              <w:spacing w:after="0" w:line="240" w:lineRule="auto"/>
              <w:jc w:val="center"/>
              <w:rPr>
                <w:rFonts w:cs="Arial"/>
                <w:color w:val="000000"/>
                <w:sz w:val="16"/>
                <w:szCs w:val="16"/>
              </w:rPr>
            </w:pPr>
            <w:r w:rsidRPr="00787ADD">
              <w:rPr>
                <w:rFonts w:cs="Arial"/>
                <w:color w:val="000000"/>
                <w:sz w:val="16"/>
                <w:szCs w:val="16"/>
              </w:rPr>
              <w:t>39,2</w:t>
            </w:r>
          </w:p>
        </w:tc>
        <w:tc>
          <w:tcPr>
            <w:tcW w:w="567" w:type="dxa"/>
            <w:tcBorders>
              <w:top w:val="nil"/>
              <w:left w:val="nil"/>
              <w:bottom w:val="nil"/>
              <w:right w:val="nil"/>
            </w:tcBorders>
            <w:shd w:val="clear" w:color="auto" w:fill="auto"/>
            <w:noWrap/>
            <w:vAlign w:val="center"/>
            <w:hideMark/>
          </w:tcPr>
          <w:p w:rsidR="00787ADD" w:rsidRPr="00787ADD" w:rsidRDefault="00787ADD" w:rsidP="00787ADD">
            <w:pPr>
              <w:spacing w:after="0" w:line="240" w:lineRule="auto"/>
              <w:jc w:val="center"/>
              <w:rPr>
                <w:rFonts w:cs="Arial"/>
                <w:color w:val="000000"/>
                <w:sz w:val="16"/>
                <w:szCs w:val="16"/>
              </w:rPr>
            </w:pPr>
            <w:r w:rsidRPr="00787ADD">
              <w:rPr>
                <w:rFonts w:cs="Arial"/>
                <w:color w:val="000000"/>
                <w:sz w:val="16"/>
                <w:szCs w:val="16"/>
              </w:rPr>
              <w:t>39,6</w:t>
            </w:r>
          </w:p>
        </w:tc>
        <w:tc>
          <w:tcPr>
            <w:tcW w:w="567" w:type="dxa"/>
            <w:tcBorders>
              <w:top w:val="nil"/>
              <w:left w:val="nil"/>
              <w:bottom w:val="nil"/>
              <w:right w:val="nil"/>
            </w:tcBorders>
            <w:shd w:val="clear" w:color="auto" w:fill="auto"/>
            <w:noWrap/>
            <w:vAlign w:val="center"/>
            <w:hideMark/>
          </w:tcPr>
          <w:p w:rsidR="00787ADD" w:rsidRPr="00787ADD" w:rsidRDefault="00787ADD" w:rsidP="00787ADD">
            <w:pPr>
              <w:spacing w:after="0" w:line="240" w:lineRule="auto"/>
              <w:jc w:val="center"/>
              <w:rPr>
                <w:rFonts w:cs="Arial"/>
                <w:color w:val="000000"/>
                <w:sz w:val="16"/>
                <w:szCs w:val="16"/>
              </w:rPr>
            </w:pPr>
            <w:r w:rsidRPr="00787ADD">
              <w:rPr>
                <w:rFonts w:cs="Arial"/>
                <w:color w:val="000000"/>
                <w:sz w:val="16"/>
                <w:szCs w:val="16"/>
              </w:rPr>
              <w:t>39,2</w:t>
            </w:r>
          </w:p>
        </w:tc>
        <w:tc>
          <w:tcPr>
            <w:tcW w:w="567" w:type="dxa"/>
            <w:tcBorders>
              <w:top w:val="nil"/>
              <w:left w:val="nil"/>
              <w:bottom w:val="nil"/>
              <w:right w:val="nil"/>
            </w:tcBorders>
            <w:shd w:val="clear" w:color="auto" w:fill="auto"/>
            <w:noWrap/>
            <w:vAlign w:val="center"/>
            <w:hideMark/>
          </w:tcPr>
          <w:p w:rsidR="00787ADD" w:rsidRPr="00787ADD" w:rsidRDefault="00787ADD" w:rsidP="00787ADD">
            <w:pPr>
              <w:spacing w:after="0" w:line="240" w:lineRule="auto"/>
              <w:jc w:val="center"/>
              <w:rPr>
                <w:rFonts w:cs="Arial"/>
                <w:color w:val="000000"/>
                <w:sz w:val="16"/>
                <w:szCs w:val="16"/>
              </w:rPr>
            </w:pPr>
            <w:r w:rsidRPr="00787ADD">
              <w:rPr>
                <w:rFonts w:cs="Arial"/>
                <w:color w:val="000000"/>
                <w:sz w:val="16"/>
                <w:szCs w:val="16"/>
              </w:rPr>
              <w:t>36,9</w:t>
            </w:r>
          </w:p>
        </w:tc>
        <w:tc>
          <w:tcPr>
            <w:tcW w:w="567" w:type="dxa"/>
            <w:tcBorders>
              <w:top w:val="nil"/>
              <w:left w:val="nil"/>
              <w:bottom w:val="nil"/>
              <w:right w:val="nil"/>
            </w:tcBorders>
            <w:shd w:val="clear" w:color="auto" w:fill="auto"/>
            <w:noWrap/>
            <w:vAlign w:val="center"/>
            <w:hideMark/>
          </w:tcPr>
          <w:p w:rsidR="00787ADD" w:rsidRPr="00787ADD" w:rsidRDefault="00787ADD" w:rsidP="00787ADD">
            <w:pPr>
              <w:spacing w:after="0" w:line="240" w:lineRule="auto"/>
              <w:jc w:val="center"/>
            </w:pPr>
            <w:r w:rsidRPr="00787ADD">
              <w:rPr>
                <w:rFonts w:cs="Arial"/>
                <w:color w:val="000000"/>
                <w:sz w:val="16"/>
                <w:szCs w:val="16"/>
              </w:rPr>
              <w:t>32,1</w:t>
            </w:r>
          </w:p>
        </w:tc>
        <w:tc>
          <w:tcPr>
            <w:tcW w:w="567" w:type="dxa"/>
            <w:vAlign w:val="center"/>
          </w:tcPr>
          <w:p w:rsidR="00787ADD" w:rsidRPr="00787ADD" w:rsidRDefault="00787ADD" w:rsidP="00787ADD">
            <w:pPr>
              <w:spacing w:after="0" w:line="240" w:lineRule="auto"/>
              <w:jc w:val="center"/>
              <w:rPr>
                <w:rFonts w:cs="Arial"/>
                <w:color w:val="000000"/>
                <w:sz w:val="16"/>
                <w:szCs w:val="16"/>
              </w:rPr>
            </w:pPr>
            <w:r w:rsidRPr="00787ADD">
              <w:rPr>
                <w:rFonts w:cs="Arial"/>
                <w:color w:val="000000"/>
                <w:sz w:val="16"/>
                <w:szCs w:val="16"/>
              </w:rPr>
              <w:t>23,2</w:t>
            </w:r>
          </w:p>
        </w:tc>
        <w:tc>
          <w:tcPr>
            <w:tcW w:w="567" w:type="dxa"/>
            <w:vAlign w:val="center"/>
          </w:tcPr>
          <w:p w:rsidR="00787ADD" w:rsidRPr="00787ADD" w:rsidRDefault="00787ADD" w:rsidP="00787ADD">
            <w:pPr>
              <w:spacing w:after="0" w:line="240" w:lineRule="auto"/>
              <w:jc w:val="center"/>
              <w:rPr>
                <w:rFonts w:cs="Arial"/>
                <w:color w:val="000000"/>
                <w:sz w:val="16"/>
                <w:szCs w:val="16"/>
              </w:rPr>
            </w:pPr>
            <w:r w:rsidRPr="00787ADD">
              <w:rPr>
                <w:rFonts w:cs="Arial"/>
                <w:color w:val="000000"/>
                <w:sz w:val="16"/>
                <w:szCs w:val="16"/>
              </w:rPr>
              <w:t>27,7</w:t>
            </w:r>
          </w:p>
        </w:tc>
        <w:tc>
          <w:tcPr>
            <w:tcW w:w="567" w:type="dxa"/>
            <w:vAlign w:val="center"/>
          </w:tcPr>
          <w:p w:rsidR="00787ADD" w:rsidRPr="00E04FBD" w:rsidRDefault="004B6FEF" w:rsidP="00787ADD">
            <w:pPr>
              <w:spacing w:after="0" w:line="240" w:lineRule="auto"/>
              <w:jc w:val="center"/>
              <w:rPr>
                <w:rFonts w:cs="Arial"/>
                <w:color w:val="000000"/>
                <w:sz w:val="16"/>
                <w:szCs w:val="16"/>
              </w:rPr>
            </w:pPr>
            <w:r w:rsidRPr="00E04FBD">
              <w:rPr>
                <w:rFonts w:cs="Arial"/>
                <w:color w:val="000000"/>
                <w:sz w:val="16"/>
                <w:szCs w:val="16"/>
              </w:rPr>
              <w:t>27</w:t>
            </w:r>
            <w:r w:rsidR="00E04FBD" w:rsidRPr="00E04FBD">
              <w:rPr>
                <w:rFonts w:cs="Arial"/>
                <w:color w:val="000000"/>
                <w:sz w:val="16"/>
                <w:szCs w:val="16"/>
              </w:rPr>
              <w:t>,6</w:t>
            </w:r>
          </w:p>
        </w:tc>
      </w:tr>
      <w:tr w:rsidR="00787ADD" w:rsidRPr="00787ADD" w:rsidTr="006172DA">
        <w:trPr>
          <w:trHeight w:val="300"/>
        </w:trPr>
        <w:tc>
          <w:tcPr>
            <w:tcW w:w="3401" w:type="dxa"/>
            <w:tcBorders>
              <w:top w:val="nil"/>
              <w:left w:val="nil"/>
              <w:bottom w:val="nil"/>
              <w:right w:val="single" w:sz="4" w:space="0" w:color="auto"/>
            </w:tcBorders>
            <w:shd w:val="clear" w:color="auto" w:fill="auto"/>
            <w:vAlign w:val="center"/>
            <w:hideMark/>
          </w:tcPr>
          <w:p w:rsidR="00787ADD" w:rsidRPr="00787ADD" w:rsidRDefault="00787ADD" w:rsidP="00787ADD">
            <w:pPr>
              <w:spacing w:after="0" w:line="240" w:lineRule="auto"/>
              <w:ind w:firstLineChars="100" w:firstLine="160"/>
              <w:jc w:val="left"/>
              <w:rPr>
                <w:rFonts w:cs="Arial"/>
                <w:color w:val="000000"/>
                <w:sz w:val="16"/>
                <w:szCs w:val="16"/>
              </w:rPr>
            </w:pPr>
            <w:r w:rsidRPr="00787ADD">
              <w:rPr>
                <w:rFonts w:cs="Arial"/>
                <w:color w:val="000000"/>
                <w:sz w:val="16"/>
                <w:szCs w:val="16"/>
              </w:rPr>
              <w:t>N – Administrativní a podpůrné činnosti</w:t>
            </w:r>
          </w:p>
        </w:tc>
        <w:tc>
          <w:tcPr>
            <w:tcW w:w="567" w:type="dxa"/>
            <w:tcBorders>
              <w:top w:val="nil"/>
              <w:left w:val="nil"/>
              <w:bottom w:val="nil"/>
              <w:right w:val="nil"/>
            </w:tcBorders>
            <w:shd w:val="clear" w:color="auto" w:fill="auto"/>
            <w:noWrap/>
            <w:vAlign w:val="center"/>
            <w:hideMark/>
          </w:tcPr>
          <w:p w:rsidR="00787ADD" w:rsidRPr="00787ADD" w:rsidRDefault="00787ADD" w:rsidP="00787ADD">
            <w:pPr>
              <w:spacing w:after="0" w:line="240" w:lineRule="auto"/>
              <w:jc w:val="center"/>
              <w:rPr>
                <w:rFonts w:cs="Arial"/>
                <w:color w:val="000000"/>
                <w:sz w:val="16"/>
                <w:szCs w:val="16"/>
              </w:rPr>
            </w:pPr>
            <w:r w:rsidRPr="00787ADD">
              <w:rPr>
                <w:rFonts w:cs="Arial"/>
                <w:color w:val="000000"/>
                <w:sz w:val="16"/>
                <w:szCs w:val="16"/>
              </w:rPr>
              <w:t>41,3</w:t>
            </w:r>
          </w:p>
        </w:tc>
        <w:tc>
          <w:tcPr>
            <w:tcW w:w="567" w:type="dxa"/>
            <w:tcBorders>
              <w:top w:val="nil"/>
              <w:left w:val="nil"/>
              <w:bottom w:val="nil"/>
              <w:right w:val="nil"/>
            </w:tcBorders>
            <w:shd w:val="clear" w:color="auto" w:fill="auto"/>
            <w:noWrap/>
            <w:vAlign w:val="center"/>
            <w:hideMark/>
          </w:tcPr>
          <w:p w:rsidR="00787ADD" w:rsidRPr="00787ADD" w:rsidRDefault="00787ADD" w:rsidP="00787ADD">
            <w:pPr>
              <w:spacing w:after="0" w:line="240" w:lineRule="auto"/>
              <w:jc w:val="center"/>
              <w:rPr>
                <w:rFonts w:cs="Arial"/>
                <w:color w:val="000000"/>
                <w:sz w:val="16"/>
                <w:szCs w:val="16"/>
              </w:rPr>
            </w:pPr>
            <w:r w:rsidRPr="00787ADD">
              <w:rPr>
                <w:rFonts w:cs="Arial"/>
                <w:color w:val="000000"/>
                <w:sz w:val="16"/>
                <w:szCs w:val="16"/>
              </w:rPr>
              <w:t>38,5</w:t>
            </w:r>
          </w:p>
        </w:tc>
        <w:tc>
          <w:tcPr>
            <w:tcW w:w="567" w:type="dxa"/>
            <w:tcBorders>
              <w:top w:val="nil"/>
              <w:left w:val="nil"/>
              <w:bottom w:val="nil"/>
              <w:right w:val="nil"/>
            </w:tcBorders>
            <w:shd w:val="clear" w:color="auto" w:fill="auto"/>
            <w:noWrap/>
            <w:vAlign w:val="center"/>
            <w:hideMark/>
          </w:tcPr>
          <w:p w:rsidR="00787ADD" w:rsidRPr="00787ADD" w:rsidRDefault="00787ADD" w:rsidP="00787ADD">
            <w:pPr>
              <w:spacing w:after="0" w:line="240" w:lineRule="auto"/>
              <w:jc w:val="center"/>
              <w:rPr>
                <w:rFonts w:cs="Arial"/>
                <w:color w:val="000000"/>
                <w:sz w:val="16"/>
                <w:szCs w:val="16"/>
              </w:rPr>
            </w:pPr>
            <w:r w:rsidRPr="00787ADD">
              <w:rPr>
                <w:rFonts w:cs="Arial"/>
                <w:color w:val="000000"/>
                <w:sz w:val="16"/>
                <w:szCs w:val="16"/>
              </w:rPr>
              <w:t>38,2</w:t>
            </w:r>
          </w:p>
        </w:tc>
        <w:tc>
          <w:tcPr>
            <w:tcW w:w="567" w:type="dxa"/>
            <w:tcBorders>
              <w:top w:val="nil"/>
              <w:left w:val="nil"/>
              <w:bottom w:val="nil"/>
              <w:right w:val="nil"/>
            </w:tcBorders>
            <w:shd w:val="clear" w:color="auto" w:fill="auto"/>
            <w:noWrap/>
            <w:vAlign w:val="center"/>
            <w:hideMark/>
          </w:tcPr>
          <w:p w:rsidR="00787ADD" w:rsidRPr="00787ADD" w:rsidRDefault="00787ADD" w:rsidP="00787ADD">
            <w:pPr>
              <w:spacing w:after="0" w:line="240" w:lineRule="auto"/>
              <w:jc w:val="center"/>
              <w:rPr>
                <w:rFonts w:cs="Arial"/>
                <w:color w:val="000000"/>
                <w:sz w:val="16"/>
                <w:szCs w:val="16"/>
              </w:rPr>
            </w:pPr>
            <w:r w:rsidRPr="00787ADD">
              <w:rPr>
                <w:rFonts w:cs="Arial"/>
                <w:color w:val="000000"/>
                <w:sz w:val="16"/>
                <w:szCs w:val="16"/>
              </w:rPr>
              <w:t>39,2</w:t>
            </w:r>
          </w:p>
        </w:tc>
        <w:tc>
          <w:tcPr>
            <w:tcW w:w="567" w:type="dxa"/>
            <w:tcBorders>
              <w:top w:val="nil"/>
              <w:left w:val="nil"/>
              <w:bottom w:val="nil"/>
              <w:right w:val="nil"/>
            </w:tcBorders>
            <w:shd w:val="clear" w:color="auto" w:fill="auto"/>
            <w:noWrap/>
            <w:vAlign w:val="center"/>
            <w:hideMark/>
          </w:tcPr>
          <w:p w:rsidR="00787ADD" w:rsidRPr="00787ADD" w:rsidRDefault="00787ADD" w:rsidP="00787ADD">
            <w:pPr>
              <w:spacing w:after="0" w:line="240" w:lineRule="auto"/>
              <w:jc w:val="center"/>
              <w:rPr>
                <w:rFonts w:cs="Arial"/>
                <w:color w:val="000000"/>
                <w:sz w:val="16"/>
                <w:szCs w:val="16"/>
              </w:rPr>
            </w:pPr>
            <w:r w:rsidRPr="00787ADD">
              <w:rPr>
                <w:rFonts w:cs="Arial"/>
                <w:color w:val="000000"/>
                <w:sz w:val="16"/>
                <w:szCs w:val="16"/>
              </w:rPr>
              <w:t>40,5</w:t>
            </w:r>
          </w:p>
        </w:tc>
        <w:tc>
          <w:tcPr>
            <w:tcW w:w="567" w:type="dxa"/>
            <w:tcBorders>
              <w:top w:val="nil"/>
              <w:left w:val="nil"/>
              <w:bottom w:val="nil"/>
              <w:right w:val="nil"/>
            </w:tcBorders>
            <w:shd w:val="clear" w:color="auto" w:fill="auto"/>
            <w:noWrap/>
            <w:vAlign w:val="center"/>
            <w:hideMark/>
          </w:tcPr>
          <w:p w:rsidR="00787ADD" w:rsidRPr="00787ADD" w:rsidRDefault="00787ADD" w:rsidP="00787ADD">
            <w:pPr>
              <w:spacing w:after="0" w:line="240" w:lineRule="auto"/>
              <w:jc w:val="center"/>
              <w:rPr>
                <w:rFonts w:cs="Arial"/>
                <w:color w:val="000000"/>
                <w:sz w:val="16"/>
                <w:szCs w:val="16"/>
              </w:rPr>
            </w:pPr>
            <w:r w:rsidRPr="00787ADD">
              <w:rPr>
                <w:rFonts w:cs="Arial"/>
                <w:color w:val="000000"/>
                <w:sz w:val="16"/>
                <w:szCs w:val="16"/>
              </w:rPr>
              <w:t>42,8</w:t>
            </w:r>
          </w:p>
        </w:tc>
        <w:tc>
          <w:tcPr>
            <w:tcW w:w="567" w:type="dxa"/>
            <w:tcBorders>
              <w:top w:val="nil"/>
              <w:left w:val="nil"/>
              <w:bottom w:val="nil"/>
              <w:right w:val="nil"/>
            </w:tcBorders>
            <w:shd w:val="clear" w:color="auto" w:fill="auto"/>
            <w:noWrap/>
            <w:vAlign w:val="center"/>
            <w:hideMark/>
          </w:tcPr>
          <w:p w:rsidR="00787ADD" w:rsidRPr="00787ADD" w:rsidRDefault="00787ADD" w:rsidP="00787ADD">
            <w:pPr>
              <w:spacing w:after="0" w:line="240" w:lineRule="auto"/>
              <w:jc w:val="center"/>
              <w:rPr>
                <w:rFonts w:cs="Arial"/>
                <w:color w:val="000000"/>
                <w:sz w:val="16"/>
                <w:szCs w:val="16"/>
              </w:rPr>
            </w:pPr>
            <w:r w:rsidRPr="00787ADD">
              <w:rPr>
                <w:rFonts w:cs="Arial"/>
                <w:color w:val="000000"/>
                <w:sz w:val="16"/>
                <w:szCs w:val="16"/>
              </w:rPr>
              <w:t>43,6</w:t>
            </w:r>
          </w:p>
        </w:tc>
        <w:tc>
          <w:tcPr>
            <w:tcW w:w="567" w:type="dxa"/>
            <w:tcBorders>
              <w:top w:val="nil"/>
              <w:left w:val="nil"/>
              <w:bottom w:val="nil"/>
              <w:right w:val="nil"/>
            </w:tcBorders>
            <w:shd w:val="clear" w:color="auto" w:fill="auto"/>
            <w:noWrap/>
            <w:vAlign w:val="center"/>
            <w:hideMark/>
          </w:tcPr>
          <w:p w:rsidR="00787ADD" w:rsidRPr="00787ADD" w:rsidRDefault="00787ADD" w:rsidP="00787ADD">
            <w:pPr>
              <w:spacing w:after="0" w:line="240" w:lineRule="auto"/>
              <w:jc w:val="center"/>
            </w:pPr>
            <w:r w:rsidRPr="00787ADD">
              <w:rPr>
                <w:rFonts w:cs="Arial"/>
                <w:color w:val="000000"/>
                <w:sz w:val="16"/>
                <w:szCs w:val="16"/>
              </w:rPr>
              <w:t>38,0</w:t>
            </w:r>
          </w:p>
        </w:tc>
        <w:tc>
          <w:tcPr>
            <w:tcW w:w="567" w:type="dxa"/>
            <w:vAlign w:val="center"/>
          </w:tcPr>
          <w:p w:rsidR="00787ADD" w:rsidRPr="00787ADD" w:rsidRDefault="00787ADD" w:rsidP="00787ADD">
            <w:pPr>
              <w:spacing w:after="0" w:line="240" w:lineRule="auto"/>
              <w:jc w:val="center"/>
              <w:rPr>
                <w:rFonts w:cs="Arial"/>
                <w:color w:val="000000"/>
                <w:sz w:val="16"/>
                <w:szCs w:val="16"/>
              </w:rPr>
            </w:pPr>
            <w:r w:rsidRPr="00787ADD">
              <w:rPr>
                <w:rFonts w:cs="Arial"/>
                <w:color w:val="000000"/>
                <w:sz w:val="16"/>
                <w:szCs w:val="16"/>
              </w:rPr>
              <w:t>32,1</w:t>
            </w:r>
          </w:p>
        </w:tc>
        <w:tc>
          <w:tcPr>
            <w:tcW w:w="567" w:type="dxa"/>
            <w:vAlign w:val="center"/>
          </w:tcPr>
          <w:p w:rsidR="00787ADD" w:rsidRPr="00787ADD" w:rsidRDefault="00787ADD" w:rsidP="00787ADD">
            <w:pPr>
              <w:spacing w:after="0" w:line="240" w:lineRule="auto"/>
              <w:jc w:val="center"/>
              <w:rPr>
                <w:rFonts w:cs="Arial"/>
                <w:color w:val="000000"/>
                <w:sz w:val="16"/>
                <w:szCs w:val="16"/>
              </w:rPr>
            </w:pPr>
            <w:r w:rsidRPr="00787ADD">
              <w:rPr>
                <w:rFonts w:cs="Arial"/>
                <w:color w:val="000000"/>
                <w:sz w:val="16"/>
                <w:szCs w:val="16"/>
              </w:rPr>
              <w:t>35,0</w:t>
            </w:r>
          </w:p>
        </w:tc>
        <w:tc>
          <w:tcPr>
            <w:tcW w:w="567" w:type="dxa"/>
            <w:vAlign w:val="center"/>
          </w:tcPr>
          <w:p w:rsidR="00787ADD" w:rsidRPr="00E04FBD" w:rsidRDefault="004B6FEF" w:rsidP="00787ADD">
            <w:pPr>
              <w:spacing w:after="0" w:line="240" w:lineRule="auto"/>
              <w:jc w:val="center"/>
              <w:rPr>
                <w:rFonts w:cs="Arial"/>
                <w:color w:val="000000"/>
                <w:sz w:val="16"/>
                <w:szCs w:val="16"/>
              </w:rPr>
            </w:pPr>
            <w:r w:rsidRPr="00E04FBD">
              <w:rPr>
                <w:rFonts w:cs="Arial"/>
                <w:color w:val="000000"/>
                <w:sz w:val="16"/>
                <w:szCs w:val="16"/>
              </w:rPr>
              <w:t>35,5</w:t>
            </w:r>
          </w:p>
        </w:tc>
      </w:tr>
      <w:tr w:rsidR="00787ADD" w:rsidRPr="00787ADD" w:rsidTr="006172DA">
        <w:trPr>
          <w:trHeight w:val="480"/>
        </w:trPr>
        <w:tc>
          <w:tcPr>
            <w:tcW w:w="3401" w:type="dxa"/>
            <w:tcBorders>
              <w:top w:val="nil"/>
              <w:left w:val="nil"/>
              <w:bottom w:val="nil"/>
              <w:right w:val="single" w:sz="4" w:space="0" w:color="auto"/>
            </w:tcBorders>
            <w:shd w:val="clear" w:color="auto" w:fill="auto"/>
            <w:vAlign w:val="center"/>
            <w:hideMark/>
          </w:tcPr>
          <w:p w:rsidR="00787ADD" w:rsidRPr="00787ADD" w:rsidRDefault="00787ADD" w:rsidP="00787ADD">
            <w:pPr>
              <w:spacing w:after="0" w:line="240" w:lineRule="auto"/>
              <w:ind w:firstLineChars="100" w:firstLine="160"/>
              <w:jc w:val="left"/>
              <w:rPr>
                <w:rFonts w:cs="Arial"/>
                <w:color w:val="000000"/>
                <w:sz w:val="16"/>
                <w:szCs w:val="16"/>
              </w:rPr>
            </w:pPr>
            <w:r w:rsidRPr="00787ADD">
              <w:rPr>
                <w:rFonts w:cs="Arial"/>
                <w:color w:val="000000"/>
                <w:sz w:val="16"/>
                <w:szCs w:val="16"/>
              </w:rPr>
              <w:t xml:space="preserve">O – Veřejná správa a obrana; </w:t>
            </w:r>
            <w:r w:rsidRPr="00787ADD">
              <w:rPr>
                <w:rFonts w:cs="Arial"/>
                <w:color w:val="000000"/>
                <w:sz w:val="16"/>
                <w:szCs w:val="16"/>
              </w:rPr>
              <w:br/>
              <w:t xml:space="preserve">           povinné sociální zabezpečení</w:t>
            </w:r>
          </w:p>
        </w:tc>
        <w:tc>
          <w:tcPr>
            <w:tcW w:w="567" w:type="dxa"/>
            <w:tcBorders>
              <w:top w:val="nil"/>
              <w:left w:val="nil"/>
              <w:bottom w:val="nil"/>
              <w:right w:val="nil"/>
            </w:tcBorders>
            <w:shd w:val="clear" w:color="auto" w:fill="auto"/>
            <w:noWrap/>
            <w:vAlign w:val="center"/>
            <w:hideMark/>
          </w:tcPr>
          <w:p w:rsidR="00787ADD" w:rsidRPr="00787ADD" w:rsidRDefault="00787ADD" w:rsidP="00787ADD">
            <w:pPr>
              <w:spacing w:after="0" w:line="240" w:lineRule="auto"/>
              <w:jc w:val="center"/>
              <w:rPr>
                <w:rFonts w:cs="Arial"/>
                <w:color w:val="000000"/>
                <w:sz w:val="16"/>
                <w:szCs w:val="16"/>
              </w:rPr>
            </w:pPr>
            <w:r w:rsidRPr="00787ADD">
              <w:rPr>
                <w:rFonts w:cs="Arial"/>
                <w:color w:val="000000"/>
                <w:sz w:val="16"/>
                <w:szCs w:val="16"/>
              </w:rPr>
              <w:t>38,0</w:t>
            </w:r>
          </w:p>
        </w:tc>
        <w:tc>
          <w:tcPr>
            <w:tcW w:w="567" w:type="dxa"/>
            <w:tcBorders>
              <w:top w:val="nil"/>
              <w:left w:val="nil"/>
              <w:bottom w:val="nil"/>
              <w:right w:val="nil"/>
            </w:tcBorders>
            <w:shd w:val="clear" w:color="auto" w:fill="auto"/>
            <w:noWrap/>
            <w:vAlign w:val="center"/>
            <w:hideMark/>
          </w:tcPr>
          <w:p w:rsidR="00787ADD" w:rsidRPr="00787ADD" w:rsidRDefault="00787ADD" w:rsidP="00787ADD">
            <w:pPr>
              <w:spacing w:after="0" w:line="240" w:lineRule="auto"/>
              <w:jc w:val="center"/>
              <w:rPr>
                <w:rFonts w:cs="Arial"/>
                <w:color w:val="000000"/>
                <w:sz w:val="16"/>
                <w:szCs w:val="16"/>
              </w:rPr>
            </w:pPr>
            <w:r w:rsidRPr="00787ADD">
              <w:rPr>
                <w:rFonts w:cs="Arial"/>
                <w:color w:val="000000"/>
                <w:sz w:val="16"/>
                <w:szCs w:val="16"/>
              </w:rPr>
              <w:t>35,9</w:t>
            </w:r>
          </w:p>
        </w:tc>
        <w:tc>
          <w:tcPr>
            <w:tcW w:w="567" w:type="dxa"/>
            <w:tcBorders>
              <w:top w:val="nil"/>
              <w:left w:val="nil"/>
              <w:bottom w:val="nil"/>
              <w:right w:val="nil"/>
            </w:tcBorders>
            <w:shd w:val="clear" w:color="auto" w:fill="auto"/>
            <w:noWrap/>
            <w:vAlign w:val="center"/>
            <w:hideMark/>
          </w:tcPr>
          <w:p w:rsidR="00787ADD" w:rsidRPr="00787ADD" w:rsidRDefault="00787ADD" w:rsidP="00787ADD">
            <w:pPr>
              <w:spacing w:after="0" w:line="240" w:lineRule="auto"/>
              <w:jc w:val="center"/>
              <w:rPr>
                <w:rFonts w:cs="Arial"/>
                <w:color w:val="000000"/>
                <w:sz w:val="16"/>
                <w:szCs w:val="16"/>
              </w:rPr>
            </w:pPr>
            <w:r w:rsidRPr="00787ADD">
              <w:rPr>
                <w:rFonts w:cs="Arial"/>
                <w:color w:val="000000"/>
                <w:sz w:val="16"/>
                <w:szCs w:val="16"/>
              </w:rPr>
              <w:t>37,2</w:t>
            </w:r>
          </w:p>
        </w:tc>
        <w:tc>
          <w:tcPr>
            <w:tcW w:w="567" w:type="dxa"/>
            <w:tcBorders>
              <w:top w:val="nil"/>
              <w:left w:val="nil"/>
              <w:bottom w:val="nil"/>
              <w:right w:val="nil"/>
            </w:tcBorders>
            <w:shd w:val="clear" w:color="auto" w:fill="auto"/>
            <w:noWrap/>
            <w:vAlign w:val="center"/>
            <w:hideMark/>
          </w:tcPr>
          <w:p w:rsidR="00787ADD" w:rsidRPr="00787ADD" w:rsidRDefault="00787ADD" w:rsidP="00787ADD">
            <w:pPr>
              <w:spacing w:after="0" w:line="240" w:lineRule="auto"/>
              <w:jc w:val="center"/>
              <w:rPr>
                <w:rFonts w:cs="Arial"/>
                <w:color w:val="000000"/>
                <w:sz w:val="16"/>
                <w:szCs w:val="16"/>
              </w:rPr>
            </w:pPr>
            <w:r w:rsidRPr="00787ADD">
              <w:rPr>
                <w:rFonts w:cs="Arial"/>
                <w:color w:val="000000"/>
                <w:sz w:val="16"/>
                <w:szCs w:val="16"/>
              </w:rPr>
              <w:t>36,2</w:t>
            </w:r>
          </w:p>
        </w:tc>
        <w:tc>
          <w:tcPr>
            <w:tcW w:w="567" w:type="dxa"/>
            <w:tcBorders>
              <w:top w:val="nil"/>
              <w:left w:val="nil"/>
              <w:bottom w:val="nil"/>
              <w:right w:val="nil"/>
            </w:tcBorders>
            <w:shd w:val="clear" w:color="auto" w:fill="auto"/>
            <w:noWrap/>
            <w:vAlign w:val="center"/>
            <w:hideMark/>
          </w:tcPr>
          <w:p w:rsidR="00787ADD" w:rsidRPr="00787ADD" w:rsidRDefault="00787ADD" w:rsidP="00787ADD">
            <w:pPr>
              <w:spacing w:after="0" w:line="240" w:lineRule="auto"/>
              <w:jc w:val="center"/>
              <w:rPr>
                <w:rFonts w:cs="Arial"/>
                <w:color w:val="000000"/>
                <w:sz w:val="16"/>
                <w:szCs w:val="16"/>
              </w:rPr>
            </w:pPr>
            <w:r w:rsidRPr="00787ADD">
              <w:rPr>
                <w:rFonts w:cs="Arial"/>
                <w:color w:val="000000"/>
                <w:sz w:val="16"/>
                <w:szCs w:val="16"/>
              </w:rPr>
              <w:t>34,9</w:t>
            </w:r>
          </w:p>
        </w:tc>
        <w:tc>
          <w:tcPr>
            <w:tcW w:w="567" w:type="dxa"/>
            <w:tcBorders>
              <w:top w:val="nil"/>
              <w:left w:val="nil"/>
              <w:bottom w:val="nil"/>
              <w:right w:val="nil"/>
            </w:tcBorders>
            <w:shd w:val="clear" w:color="auto" w:fill="auto"/>
            <w:noWrap/>
            <w:vAlign w:val="center"/>
            <w:hideMark/>
          </w:tcPr>
          <w:p w:rsidR="00787ADD" w:rsidRPr="00787ADD" w:rsidRDefault="00787ADD" w:rsidP="00787ADD">
            <w:pPr>
              <w:spacing w:after="0" w:line="240" w:lineRule="auto"/>
              <w:jc w:val="center"/>
              <w:rPr>
                <w:rFonts w:cs="Arial"/>
                <w:color w:val="000000"/>
                <w:sz w:val="16"/>
                <w:szCs w:val="16"/>
              </w:rPr>
            </w:pPr>
            <w:r w:rsidRPr="00787ADD">
              <w:rPr>
                <w:rFonts w:cs="Arial"/>
                <w:color w:val="000000"/>
                <w:sz w:val="16"/>
                <w:szCs w:val="16"/>
              </w:rPr>
              <w:t>35,1</w:t>
            </w:r>
          </w:p>
        </w:tc>
        <w:tc>
          <w:tcPr>
            <w:tcW w:w="567" w:type="dxa"/>
            <w:tcBorders>
              <w:top w:val="nil"/>
              <w:left w:val="nil"/>
              <w:bottom w:val="nil"/>
              <w:right w:val="nil"/>
            </w:tcBorders>
            <w:shd w:val="clear" w:color="auto" w:fill="auto"/>
            <w:noWrap/>
            <w:vAlign w:val="center"/>
            <w:hideMark/>
          </w:tcPr>
          <w:p w:rsidR="00787ADD" w:rsidRPr="00787ADD" w:rsidRDefault="00787ADD" w:rsidP="00787ADD">
            <w:pPr>
              <w:spacing w:after="0" w:line="240" w:lineRule="auto"/>
              <w:jc w:val="center"/>
              <w:rPr>
                <w:rFonts w:cs="Arial"/>
                <w:color w:val="000000"/>
                <w:sz w:val="16"/>
                <w:szCs w:val="16"/>
              </w:rPr>
            </w:pPr>
            <w:r w:rsidRPr="00787ADD">
              <w:rPr>
                <w:rFonts w:cs="Arial"/>
                <w:color w:val="000000"/>
                <w:sz w:val="16"/>
                <w:szCs w:val="16"/>
              </w:rPr>
              <w:t>31,5</w:t>
            </w:r>
          </w:p>
        </w:tc>
        <w:tc>
          <w:tcPr>
            <w:tcW w:w="567" w:type="dxa"/>
            <w:tcBorders>
              <w:top w:val="nil"/>
              <w:left w:val="nil"/>
              <w:bottom w:val="nil"/>
              <w:right w:val="nil"/>
            </w:tcBorders>
            <w:shd w:val="clear" w:color="auto" w:fill="auto"/>
            <w:noWrap/>
            <w:vAlign w:val="center"/>
            <w:hideMark/>
          </w:tcPr>
          <w:p w:rsidR="00787ADD" w:rsidRPr="00787ADD" w:rsidRDefault="00787ADD" w:rsidP="00787ADD">
            <w:pPr>
              <w:spacing w:after="0" w:line="240" w:lineRule="auto"/>
              <w:jc w:val="center"/>
            </w:pPr>
            <w:r w:rsidRPr="00787ADD">
              <w:rPr>
                <w:rFonts w:cs="Arial"/>
                <w:color w:val="000000"/>
                <w:sz w:val="16"/>
                <w:szCs w:val="16"/>
              </w:rPr>
              <w:t>28,7</w:t>
            </w:r>
          </w:p>
        </w:tc>
        <w:tc>
          <w:tcPr>
            <w:tcW w:w="567" w:type="dxa"/>
            <w:vAlign w:val="center"/>
          </w:tcPr>
          <w:p w:rsidR="00787ADD" w:rsidRPr="00787ADD" w:rsidRDefault="00787ADD" w:rsidP="00787ADD">
            <w:pPr>
              <w:spacing w:after="0" w:line="240" w:lineRule="auto"/>
              <w:jc w:val="center"/>
              <w:rPr>
                <w:rFonts w:cs="Arial"/>
                <w:color w:val="000000"/>
                <w:sz w:val="16"/>
                <w:szCs w:val="16"/>
              </w:rPr>
            </w:pPr>
            <w:r w:rsidRPr="00787ADD">
              <w:rPr>
                <w:rFonts w:cs="Arial"/>
                <w:color w:val="000000"/>
                <w:sz w:val="16"/>
                <w:szCs w:val="16"/>
              </w:rPr>
              <w:t>20,7</w:t>
            </w:r>
          </w:p>
        </w:tc>
        <w:tc>
          <w:tcPr>
            <w:tcW w:w="567" w:type="dxa"/>
            <w:vAlign w:val="center"/>
          </w:tcPr>
          <w:p w:rsidR="00787ADD" w:rsidRPr="00787ADD" w:rsidRDefault="00787ADD" w:rsidP="00787ADD">
            <w:pPr>
              <w:spacing w:after="0" w:line="240" w:lineRule="auto"/>
              <w:jc w:val="center"/>
              <w:rPr>
                <w:rFonts w:cs="Arial"/>
                <w:color w:val="000000"/>
                <w:sz w:val="16"/>
                <w:szCs w:val="16"/>
              </w:rPr>
            </w:pPr>
            <w:r w:rsidRPr="00787ADD">
              <w:rPr>
                <w:rFonts w:cs="Arial"/>
                <w:color w:val="000000"/>
                <w:sz w:val="16"/>
                <w:szCs w:val="16"/>
              </w:rPr>
              <w:t>24,8</w:t>
            </w:r>
          </w:p>
        </w:tc>
        <w:tc>
          <w:tcPr>
            <w:tcW w:w="567" w:type="dxa"/>
            <w:vAlign w:val="center"/>
          </w:tcPr>
          <w:p w:rsidR="00787ADD" w:rsidRPr="00E04FBD" w:rsidRDefault="004B6FEF" w:rsidP="00787ADD">
            <w:pPr>
              <w:spacing w:after="0" w:line="240" w:lineRule="auto"/>
              <w:jc w:val="center"/>
              <w:rPr>
                <w:rFonts w:cs="Arial"/>
                <w:color w:val="000000"/>
                <w:sz w:val="16"/>
                <w:szCs w:val="16"/>
              </w:rPr>
            </w:pPr>
            <w:r w:rsidRPr="00E04FBD">
              <w:rPr>
                <w:rFonts w:cs="Arial"/>
                <w:color w:val="000000"/>
                <w:sz w:val="16"/>
                <w:szCs w:val="16"/>
              </w:rPr>
              <w:t>26,1</w:t>
            </w:r>
          </w:p>
        </w:tc>
      </w:tr>
      <w:tr w:rsidR="00787ADD" w:rsidRPr="00787ADD" w:rsidTr="006172DA">
        <w:trPr>
          <w:trHeight w:val="300"/>
        </w:trPr>
        <w:tc>
          <w:tcPr>
            <w:tcW w:w="3401" w:type="dxa"/>
            <w:tcBorders>
              <w:top w:val="nil"/>
              <w:left w:val="nil"/>
              <w:bottom w:val="nil"/>
              <w:right w:val="single" w:sz="4" w:space="0" w:color="auto"/>
            </w:tcBorders>
            <w:shd w:val="clear" w:color="auto" w:fill="auto"/>
            <w:vAlign w:val="center"/>
            <w:hideMark/>
          </w:tcPr>
          <w:p w:rsidR="00787ADD" w:rsidRPr="00787ADD" w:rsidRDefault="00787ADD" w:rsidP="00787ADD">
            <w:pPr>
              <w:spacing w:after="0" w:line="240" w:lineRule="auto"/>
              <w:ind w:firstLineChars="100" w:firstLine="160"/>
              <w:jc w:val="left"/>
              <w:rPr>
                <w:rFonts w:cs="Arial"/>
                <w:color w:val="000000"/>
                <w:sz w:val="16"/>
                <w:szCs w:val="16"/>
              </w:rPr>
            </w:pPr>
            <w:r w:rsidRPr="00787ADD">
              <w:rPr>
                <w:rFonts w:cs="Arial"/>
                <w:color w:val="000000"/>
                <w:sz w:val="16"/>
                <w:szCs w:val="16"/>
              </w:rPr>
              <w:t>P – Vzdělávání</w:t>
            </w:r>
          </w:p>
        </w:tc>
        <w:tc>
          <w:tcPr>
            <w:tcW w:w="567" w:type="dxa"/>
            <w:tcBorders>
              <w:top w:val="nil"/>
              <w:left w:val="nil"/>
              <w:bottom w:val="nil"/>
              <w:right w:val="nil"/>
            </w:tcBorders>
            <w:shd w:val="clear" w:color="auto" w:fill="auto"/>
            <w:noWrap/>
            <w:vAlign w:val="center"/>
            <w:hideMark/>
          </w:tcPr>
          <w:p w:rsidR="00787ADD" w:rsidRPr="00787ADD" w:rsidRDefault="00787ADD" w:rsidP="00787ADD">
            <w:pPr>
              <w:spacing w:after="0" w:line="240" w:lineRule="auto"/>
              <w:jc w:val="center"/>
              <w:rPr>
                <w:rFonts w:cs="Arial"/>
                <w:color w:val="000000"/>
                <w:sz w:val="16"/>
                <w:szCs w:val="16"/>
              </w:rPr>
            </w:pPr>
            <w:r w:rsidRPr="00787ADD">
              <w:rPr>
                <w:rFonts w:cs="Arial"/>
                <w:color w:val="000000"/>
                <w:sz w:val="16"/>
                <w:szCs w:val="16"/>
              </w:rPr>
              <w:t>35,6</w:t>
            </w:r>
          </w:p>
        </w:tc>
        <w:tc>
          <w:tcPr>
            <w:tcW w:w="567" w:type="dxa"/>
            <w:tcBorders>
              <w:top w:val="nil"/>
              <w:left w:val="nil"/>
              <w:bottom w:val="nil"/>
              <w:right w:val="nil"/>
            </w:tcBorders>
            <w:shd w:val="clear" w:color="auto" w:fill="auto"/>
            <w:noWrap/>
            <w:vAlign w:val="center"/>
            <w:hideMark/>
          </w:tcPr>
          <w:p w:rsidR="00787ADD" w:rsidRPr="00787ADD" w:rsidRDefault="00787ADD" w:rsidP="00787ADD">
            <w:pPr>
              <w:spacing w:after="0" w:line="240" w:lineRule="auto"/>
              <w:jc w:val="center"/>
              <w:rPr>
                <w:rFonts w:cs="Arial"/>
                <w:color w:val="000000"/>
                <w:sz w:val="16"/>
                <w:szCs w:val="16"/>
              </w:rPr>
            </w:pPr>
            <w:r w:rsidRPr="00787ADD">
              <w:rPr>
                <w:rFonts w:cs="Arial"/>
                <w:color w:val="000000"/>
                <w:sz w:val="16"/>
                <w:szCs w:val="16"/>
              </w:rPr>
              <w:t>32,6</w:t>
            </w:r>
          </w:p>
        </w:tc>
        <w:tc>
          <w:tcPr>
            <w:tcW w:w="567" w:type="dxa"/>
            <w:tcBorders>
              <w:top w:val="nil"/>
              <w:left w:val="nil"/>
              <w:bottom w:val="nil"/>
              <w:right w:val="nil"/>
            </w:tcBorders>
            <w:shd w:val="clear" w:color="auto" w:fill="auto"/>
            <w:noWrap/>
            <w:vAlign w:val="center"/>
            <w:hideMark/>
          </w:tcPr>
          <w:p w:rsidR="00787ADD" w:rsidRPr="00787ADD" w:rsidRDefault="00787ADD" w:rsidP="00787ADD">
            <w:pPr>
              <w:spacing w:after="0" w:line="240" w:lineRule="auto"/>
              <w:jc w:val="center"/>
              <w:rPr>
                <w:rFonts w:cs="Arial"/>
                <w:color w:val="000000"/>
                <w:sz w:val="16"/>
                <w:szCs w:val="16"/>
              </w:rPr>
            </w:pPr>
            <w:r w:rsidRPr="00787ADD">
              <w:rPr>
                <w:rFonts w:cs="Arial"/>
                <w:color w:val="000000"/>
                <w:sz w:val="16"/>
                <w:szCs w:val="16"/>
              </w:rPr>
              <w:t>33,3</w:t>
            </w:r>
          </w:p>
        </w:tc>
        <w:tc>
          <w:tcPr>
            <w:tcW w:w="567" w:type="dxa"/>
            <w:tcBorders>
              <w:top w:val="nil"/>
              <w:left w:val="nil"/>
              <w:bottom w:val="nil"/>
              <w:right w:val="nil"/>
            </w:tcBorders>
            <w:shd w:val="clear" w:color="auto" w:fill="auto"/>
            <w:noWrap/>
            <w:vAlign w:val="center"/>
            <w:hideMark/>
          </w:tcPr>
          <w:p w:rsidR="00787ADD" w:rsidRPr="00787ADD" w:rsidRDefault="00787ADD" w:rsidP="00787ADD">
            <w:pPr>
              <w:spacing w:after="0" w:line="240" w:lineRule="auto"/>
              <w:jc w:val="center"/>
              <w:rPr>
                <w:rFonts w:cs="Arial"/>
                <w:color w:val="000000"/>
                <w:sz w:val="16"/>
                <w:szCs w:val="16"/>
              </w:rPr>
            </w:pPr>
            <w:r w:rsidRPr="00787ADD">
              <w:rPr>
                <w:rFonts w:cs="Arial"/>
                <w:color w:val="000000"/>
                <w:sz w:val="16"/>
                <w:szCs w:val="16"/>
              </w:rPr>
              <w:t>32,2</w:t>
            </w:r>
          </w:p>
        </w:tc>
        <w:tc>
          <w:tcPr>
            <w:tcW w:w="567" w:type="dxa"/>
            <w:tcBorders>
              <w:top w:val="nil"/>
              <w:left w:val="nil"/>
              <w:bottom w:val="nil"/>
              <w:right w:val="nil"/>
            </w:tcBorders>
            <w:shd w:val="clear" w:color="auto" w:fill="auto"/>
            <w:noWrap/>
            <w:vAlign w:val="center"/>
            <w:hideMark/>
          </w:tcPr>
          <w:p w:rsidR="00787ADD" w:rsidRPr="00787ADD" w:rsidRDefault="00787ADD" w:rsidP="00787ADD">
            <w:pPr>
              <w:spacing w:after="0" w:line="240" w:lineRule="auto"/>
              <w:jc w:val="center"/>
              <w:rPr>
                <w:rFonts w:cs="Arial"/>
                <w:color w:val="000000"/>
                <w:sz w:val="16"/>
                <w:szCs w:val="16"/>
              </w:rPr>
            </w:pPr>
            <w:r w:rsidRPr="00787ADD">
              <w:rPr>
                <w:rFonts w:cs="Arial"/>
                <w:color w:val="000000"/>
                <w:sz w:val="16"/>
                <w:szCs w:val="16"/>
              </w:rPr>
              <w:t>30,5</w:t>
            </w:r>
          </w:p>
        </w:tc>
        <w:tc>
          <w:tcPr>
            <w:tcW w:w="567" w:type="dxa"/>
            <w:tcBorders>
              <w:top w:val="nil"/>
              <w:left w:val="nil"/>
              <w:bottom w:val="nil"/>
              <w:right w:val="nil"/>
            </w:tcBorders>
            <w:shd w:val="clear" w:color="auto" w:fill="auto"/>
            <w:noWrap/>
            <w:vAlign w:val="center"/>
            <w:hideMark/>
          </w:tcPr>
          <w:p w:rsidR="00787ADD" w:rsidRPr="00787ADD" w:rsidRDefault="00787ADD" w:rsidP="00787ADD">
            <w:pPr>
              <w:spacing w:after="0" w:line="240" w:lineRule="auto"/>
              <w:jc w:val="center"/>
              <w:rPr>
                <w:rFonts w:cs="Arial"/>
                <w:color w:val="000000"/>
                <w:sz w:val="16"/>
                <w:szCs w:val="16"/>
              </w:rPr>
            </w:pPr>
            <w:r w:rsidRPr="00787ADD">
              <w:rPr>
                <w:rFonts w:cs="Arial"/>
                <w:color w:val="000000"/>
                <w:sz w:val="16"/>
                <w:szCs w:val="16"/>
              </w:rPr>
              <w:t>31,2</w:t>
            </w:r>
          </w:p>
        </w:tc>
        <w:tc>
          <w:tcPr>
            <w:tcW w:w="567" w:type="dxa"/>
            <w:tcBorders>
              <w:top w:val="nil"/>
              <w:left w:val="nil"/>
              <w:bottom w:val="nil"/>
              <w:right w:val="nil"/>
            </w:tcBorders>
            <w:shd w:val="clear" w:color="auto" w:fill="auto"/>
            <w:noWrap/>
            <w:vAlign w:val="center"/>
            <w:hideMark/>
          </w:tcPr>
          <w:p w:rsidR="00787ADD" w:rsidRPr="00787ADD" w:rsidRDefault="00787ADD" w:rsidP="00787ADD">
            <w:pPr>
              <w:spacing w:after="0" w:line="240" w:lineRule="auto"/>
              <w:jc w:val="center"/>
              <w:rPr>
                <w:rFonts w:cs="Arial"/>
                <w:color w:val="000000"/>
                <w:sz w:val="16"/>
                <w:szCs w:val="16"/>
              </w:rPr>
            </w:pPr>
            <w:r w:rsidRPr="00787ADD">
              <w:rPr>
                <w:rFonts w:cs="Arial"/>
                <w:color w:val="000000"/>
                <w:sz w:val="16"/>
                <w:szCs w:val="16"/>
              </w:rPr>
              <w:t>27,9</w:t>
            </w:r>
          </w:p>
        </w:tc>
        <w:tc>
          <w:tcPr>
            <w:tcW w:w="567" w:type="dxa"/>
            <w:tcBorders>
              <w:top w:val="nil"/>
              <w:left w:val="nil"/>
              <w:bottom w:val="nil"/>
              <w:right w:val="nil"/>
            </w:tcBorders>
            <w:shd w:val="clear" w:color="auto" w:fill="auto"/>
            <w:noWrap/>
            <w:vAlign w:val="center"/>
            <w:hideMark/>
          </w:tcPr>
          <w:p w:rsidR="00787ADD" w:rsidRPr="00787ADD" w:rsidRDefault="00787ADD" w:rsidP="00787ADD">
            <w:pPr>
              <w:spacing w:after="0" w:line="240" w:lineRule="auto"/>
              <w:jc w:val="center"/>
            </w:pPr>
            <w:r w:rsidRPr="00787ADD">
              <w:rPr>
                <w:rFonts w:cs="Arial"/>
                <w:color w:val="000000"/>
                <w:sz w:val="16"/>
                <w:szCs w:val="16"/>
              </w:rPr>
              <w:t>24,0</w:t>
            </w:r>
          </w:p>
        </w:tc>
        <w:tc>
          <w:tcPr>
            <w:tcW w:w="567" w:type="dxa"/>
            <w:vAlign w:val="center"/>
          </w:tcPr>
          <w:p w:rsidR="00787ADD" w:rsidRPr="00787ADD" w:rsidRDefault="00787ADD" w:rsidP="00787ADD">
            <w:pPr>
              <w:spacing w:after="0" w:line="240" w:lineRule="auto"/>
              <w:jc w:val="center"/>
              <w:rPr>
                <w:rFonts w:cs="Arial"/>
                <w:color w:val="000000"/>
                <w:sz w:val="16"/>
                <w:szCs w:val="16"/>
              </w:rPr>
            </w:pPr>
            <w:r w:rsidRPr="00787ADD">
              <w:rPr>
                <w:rFonts w:cs="Arial"/>
                <w:color w:val="000000"/>
                <w:sz w:val="16"/>
                <w:szCs w:val="16"/>
              </w:rPr>
              <w:t>16,9</w:t>
            </w:r>
          </w:p>
        </w:tc>
        <w:tc>
          <w:tcPr>
            <w:tcW w:w="567" w:type="dxa"/>
            <w:vAlign w:val="center"/>
          </w:tcPr>
          <w:p w:rsidR="00787ADD" w:rsidRPr="00787ADD" w:rsidRDefault="00787ADD" w:rsidP="00787ADD">
            <w:pPr>
              <w:spacing w:after="0" w:line="240" w:lineRule="auto"/>
              <w:jc w:val="center"/>
              <w:rPr>
                <w:rFonts w:cs="Arial"/>
                <w:color w:val="000000"/>
                <w:sz w:val="16"/>
                <w:szCs w:val="16"/>
              </w:rPr>
            </w:pPr>
            <w:r w:rsidRPr="00787ADD">
              <w:rPr>
                <w:rFonts w:cs="Arial"/>
                <w:color w:val="000000"/>
                <w:sz w:val="16"/>
                <w:szCs w:val="16"/>
              </w:rPr>
              <w:t>19,9</w:t>
            </w:r>
          </w:p>
        </w:tc>
        <w:tc>
          <w:tcPr>
            <w:tcW w:w="567" w:type="dxa"/>
            <w:vAlign w:val="center"/>
          </w:tcPr>
          <w:p w:rsidR="00787ADD" w:rsidRPr="00E04FBD" w:rsidRDefault="004B6FEF" w:rsidP="00787ADD">
            <w:pPr>
              <w:spacing w:after="0" w:line="240" w:lineRule="auto"/>
              <w:jc w:val="center"/>
              <w:rPr>
                <w:rFonts w:cs="Arial"/>
                <w:color w:val="000000"/>
                <w:sz w:val="16"/>
                <w:szCs w:val="16"/>
              </w:rPr>
            </w:pPr>
            <w:r w:rsidRPr="00E04FBD">
              <w:rPr>
                <w:rFonts w:cs="Arial"/>
                <w:color w:val="000000"/>
                <w:sz w:val="16"/>
                <w:szCs w:val="16"/>
              </w:rPr>
              <w:t>20,9</w:t>
            </w:r>
          </w:p>
        </w:tc>
      </w:tr>
      <w:tr w:rsidR="00787ADD" w:rsidRPr="00787ADD" w:rsidTr="006172DA">
        <w:trPr>
          <w:trHeight w:val="300"/>
        </w:trPr>
        <w:tc>
          <w:tcPr>
            <w:tcW w:w="3401" w:type="dxa"/>
            <w:tcBorders>
              <w:top w:val="nil"/>
              <w:left w:val="nil"/>
              <w:bottom w:val="nil"/>
              <w:right w:val="single" w:sz="4" w:space="0" w:color="auto"/>
            </w:tcBorders>
            <w:shd w:val="clear" w:color="auto" w:fill="auto"/>
            <w:vAlign w:val="center"/>
            <w:hideMark/>
          </w:tcPr>
          <w:p w:rsidR="00787ADD" w:rsidRPr="00787ADD" w:rsidRDefault="00787ADD" w:rsidP="00787ADD">
            <w:pPr>
              <w:spacing w:after="0" w:line="240" w:lineRule="auto"/>
              <w:ind w:firstLineChars="100" w:firstLine="160"/>
              <w:jc w:val="left"/>
              <w:rPr>
                <w:rFonts w:cs="Arial"/>
                <w:color w:val="000000"/>
                <w:sz w:val="16"/>
                <w:szCs w:val="16"/>
              </w:rPr>
            </w:pPr>
            <w:r w:rsidRPr="00787ADD">
              <w:rPr>
                <w:rFonts w:cs="Arial"/>
                <w:color w:val="000000"/>
                <w:sz w:val="16"/>
                <w:szCs w:val="16"/>
              </w:rPr>
              <w:t>Q – Zdravotní a sociální péče</w:t>
            </w:r>
          </w:p>
        </w:tc>
        <w:tc>
          <w:tcPr>
            <w:tcW w:w="567" w:type="dxa"/>
            <w:tcBorders>
              <w:top w:val="nil"/>
              <w:left w:val="nil"/>
              <w:bottom w:val="nil"/>
              <w:right w:val="nil"/>
            </w:tcBorders>
            <w:shd w:val="clear" w:color="auto" w:fill="auto"/>
            <w:noWrap/>
            <w:vAlign w:val="center"/>
            <w:hideMark/>
          </w:tcPr>
          <w:p w:rsidR="00787ADD" w:rsidRPr="00787ADD" w:rsidRDefault="00787ADD" w:rsidP="00787ADD">
            <w:pPr>
              <w:spacing w:after="0" w:line="240" w:lineRule="auto"/>
              <w:jc w:val="center"/>
              <w:rPr>
                <w:rFonts w:cs="Arial"/>
                <w:color w:val="000000"/>
                <w:sz w:val="16"/>
                <w:szCs w:val="16"/>
              </w:rPr>
            </w:pPr>
            <w:r w:rsidRPr="00787ADD">
              <w:rPr>
                <w:rFonts w:cs="Arial"/>
                <w:color w:val="000000"/>
                <w:sz w:val="16"/>
                <w:szCs w:val="16"/>
              </w:rPr>
              <w:t>51,7</w:t>
            </w:r>
          </w:p>
        </w:tc>
        <w:tc>
          <w:tcPr>
            <w:tcW w:w="567" w:type="dxa"/>
            <w:tcBorders>
              <w:top w:val="nil"/>
              <w:left w:val="nil"/>
              <w:bottom w:val="nil"/>
              <w:right w:val="nil"/>
            </w:tcBorders>
            <w:shd w:val="clear" w:color="auto" w:fill="auto"/>
            <w:noWrap/>
            <w:vAlign w:val="center"/>
            <w:hideMark/>
          </w:tcPr>
          <w:p w:rsidR="00787ADD" w:rsidRPr="00787ADD" w:rsidRDefault="00787ADD" w:rsidP="00787ADD">
            <w:pPr>
              <w:spacing w:after="0" w:line="240" w:lineRule="auto"/>
              <w:jc w:val="center"/>
              <w:rPr>
                <w:rFonts w:cs="Arial"/>
                <w:color w:val="000000"/>
                <w:sz w:val="16"/>
                <w:szCs w:val="16"/>
              </w:rPr>
            </w:pPr>
            <w:r w:rsidRPr="00787ADD">
              <w:rPr>
                <w:rFonts w:cs="Arial"/>
                <w:color w:val="000000"/>
                <w:sz w:val="16"/>
                <w:szCs w:val="16"/>
              </w:rPr>
              <w:t>48,1</w:t>
            </w:r>
          </w:p>
        </w:tc>
        <w:tc>
          <w:tcPr>
            <w:tcW w:w="567" w:type="dxa"/>
            <w:tcBorders>
              <w:top w:val="nil"/>
              <w:left w:val="nil"/>
              <w:bottom w:val="nil"/>
              <w:right w:val="nil"/>
            </w:tcBorders>
            <w:shd w:val="clear" w:color="auto" w:fill="auto"/>
            <w:noWrap/>
            <w:vAlign w:val="center"/>
            <w:hideMark/>
          </w:tcPr>
          <w:p w:rsidR="00787ADD" w:rsidRPr="00787ADD" w:rsidRDefault="00787ADD" w:rsidP="00787ADD">
            <w:pPr>
              <w:spacing w:after="0" w:line="240" w:lineRule="auto"/>
              <w:jc w:val="center"/>
              <w:rPr>
                <w:rFonts w:cs="Arial"/>
                <w:color w:val="000000"/>
                <w:sz w:val="16"/>
                <w:szCs w:val="16"/>
              </w:rPr>
            </w:pPr>
            <w:r w:rsidRPr="00787ADD">
              <w:rPr>
                <w:rFonts w:cs="Arial"/>
                <w:color w:val="000000"/>
                <w:sz w:val="16"/>
                <w:szCs w:val="16"/>
              </w:rPr>
              <w:t>48,8</w:t>
            </w:r>
          </w:p>
        </w:tc>
        <w:tc>
          <w:tcPr>
            <w:tcW w:w="567" w:type="dxa"/>
            <w:tcBorders>
              <w:top w:val="nil"/>
              <w:left w:val="nil"/>
              <w:bottom w:val="nil"/>
              <w:right w:val="nil"/>
            </w:tcBorders>
            <w:shd w:val="clear" w:color="auto" w:fill="auto"/>
            <w:noWrap/>
            <w:vAlign w:val="center"/>
            <w:hideMark/>
          </w:tcPr>
          <w:p w:rsidR="00787ADD" w:rsidRPr="00787ADD" w:rsidRDefault="00787ADD" w:rsidP="00787ADD">
            <w:pPr>
              <w:spacing w:after="0" w:line="240" w:lineRule="auto"/>
              <w:jc w:val="center"/>
              <w:rPr>
                <w:rFonts w:cs="Arial"/>
                <w:color w:val="000000"/>
                <w:sz w:val="16"/>
                <w:szCs w:val="16"/>
              </w:rPr>
            </w:pPr>
            <w:r w:rsidRPr="00787ADD">
              <w:rPr>
                <w:rFonts w:cs="Arial"/>
                <w:color w:val="000000"/>
                <w:sz w:val="16"/>
                <w:szCs w:val="16"/>
              </w:rPr>
              <w:t>48,0</w:t>
            </w:r>
          </w:p>
        </w:tc>
        <w:tc>
          <w:tcPr>
            <w:tcW w:w="567" w:type="dxa"/>
            <w:tcBorders>
              <w:top w:val="nil"/>
              <w:left w:val="nil"/>
              <w:bottom w:val="nil"/>
              <w:right w:val="nil"/>
            </w:tcBorders>
            <w:shd w:val="clear" w:color="auto" w:fill="auto"/>
            <w:noWrap/>
            <w:vAlign w:val="center"/>
            <w:hideMark/>
          </w:tcPr>
          <w:p w:rsidR="00787ADD" w:rsidRPr="00787ADD" w:rsidRDefault="00787ADD" w:rsidP="00787ADD">
            <w:pPr>
              <w:spacing w:after="0" w:line="240" w:lineRule="auto"/>
              <w:jc w:val="center"/>
              <w:rPr>
                <w:rFonts w:cs="Arial"/>
                <w:color w:val="000000"/>
                <w:sz w:val="16"/>
                <w:szCs w:val="16"/>
              </w:rPr>
            </w:pPr>
            <w:r w:rsidRPr="00787ADD">
              <w:rPr>
                <w:rFonts w:cs="Arial"/>
                <w:color w:val="000000"/>
                <w:sz w:val="16"/>
                <w:szCs w:val="16"/>
              </w:rPr>
              <w:t>46,0</w:t>
            </w:r>
          </w:p>
        </w:tc>
        <w:tc>
          <w:tcPr>
            <w:tcW w:w="567" w:type="dxa"/>
            <w:tcBorders>
              <w:top w:val="nil"/>
              <w:left w:val="nil"/>
              <w:bottom w:val="nil"/>
              <w:right w:val="nil"/>
            </w:tcBorders>
            <w:shd w:val="clear" w:color="auto" w:fill="auto"/>
            <w:noWrap/>
            <w:vAlign w:val="center"/>
            <w:hideMark/>
          </w:tcPr>
          <w:p w:rsidR="00787ADD" w:rsidRPr="00787ADD" w:rsidRDefault="00787ADD" w:rsidP="00787ADD">
            <w:pPr>
              <w:spacing w:after="0" w:line="240" w:lineRule="auto"/>
              <w:jc w:val="center"/>
              <w:rPr>
                <w:rFonts w:cs="Arial"/>
                <w:color w:val="000000"/>
                <w:sz w:val="16"/>
                <w:szCs w:val="16"/>
              </w:rPr>
            </w:pPr>
            <w:r w:rsidRPr="00787ADD">
              <w:rPr>
                <w:rFonts w:cs="Arial"/>
                <w:color w:val="000000"/>
                <w:sz w:val="16"/>
                <w:szCs w:val="16"/>
              </w:rPr>
              <w:t>46,3</w:t>
            </w:r>
          </w:p>
        </w:tc>
        <w:tc>
          <w:tcPr>
            <w:tcW w:w="567" w:type="dxa"/>
            <w:tcBorders>
              <w:top w:val="nil"/>
              <w:left w:val="nil"/>
              <w:bottom w:val="nil"/>
              <w:right w:val="nil"/>
            </w:tcBorders>
            <w:shd w:val="clear" w:color="auto" w:fill="auto"/>
            <w:noWrap/>
            <w:vAlign w:val="center"/>
            <w:hideMark/>
          </w:tcPr>
          <w:p w:rsidR="00787ADD" w:rsidRPr="00787ADD" w:rsidRDefault="00787ADD" w:rsidP="00787ADD">
            <w:pPr>
              <w:spacing w:after="0" w:line="240" w:lineRule="auto"/>
              <w:jc w:val="center"/>
              <w:rPr>
                <w:rFonts w:cs="Arial"/>
                <w:color w:val="000000"/>
                <w:sz w:val="16"/>
                <w:szCs w:val="16"/>
              </w:rPr>
            </w:pPr>
            <w:r w:rsidRPr="00787ADD">
              <w:rPr>
                <w:rFonts w:cs="Arial"/>
                <w:color w:val="000000"/>
                <w:sz w:val="16"/>
                <w:szCs w:val="16"/>
              </w:rPr>
              <w:t>36,0</w:t>
            </w:r>
          </w:p>
        </w:tc>
        <w:tc>
          <w:tcPr>
            <w:tcW w:w="567" w:type="dxa"/>
            <w:tcBorders>
              <w:top w:val="nil"/>
              <w:left w:val="nil"/>
              <w:bottom w:val="nil"/>
              <w:right w:val="nil"/>
            </w:tcBorders>
            <w:shd w:val="clear" w:color="auto" w:fill="auto"/>
            <w:noWrap/>
            <w:vAlign w:val="center"/>
            <w:hideMark/>
          </w:tcPr>
          <w:p w:rsidR="00787ADD" w:rsidRPr="00787ADD" w:rsidRDefault="00787ADD" w:rsidP="00787ADD">
            <w:pPr>
              <w:spacing w:after="0" w:line="240" w:lineRule="auto"/>
              <w:jc w:val="center"/>
            </w:pPr>
            <w:r w:rsidRPr="00787ADD">
              <w:rPr>
                <w:rFonts w:cs="Arial"/>
                <w:color w:val="000000"/>
                <w:sz w:val="16"/>
                <w:szCs w:val="16"/>
              </w:rPr>
              <w:t>37,5</w:t>
            </w:r>
          </w:p>
        </w:tc>
        <w:tc>
          <w:tcPr>
            <w:tcW w:w="567" w:type="dxa"/>
            <w:vAlign w:val="center"/>
          </w:tcPr>
          <w:p w:rsidR="00787ADD" w:rsidRPr="00787ADD" w:rsidRDefault="00787ADD" w:rsidP="00787ADD">
            <w:pPr>
              <w:spacing w:after="0" w:line="240" w:lineRule="auto"/>
              <w:jc w:val="center"/>
              <w:rPr>
                <w:rFonts w:cs="Arial"/>
                <w:color w:val="000000"/>
                <w:sz w:val="16"/>
                <w:szCs w:val="16"/>
              </w:rPr>
            </w:pPr>
            <w:r w:rsidRPr="00787ADD">
              <w:rPr>
                <w:rFonts w:cs="Arial"/>
                <w:color w:val="000000"/>
                <w:sz w:val="16"/>
                <w:szCs w:val="16"/>
              </w:rPr>
              <w:t>27,0</w:t>
            </w:r>
          </w:p>
        </w:tc>
        <w:tc>
          <w:tcPr>
            <w:tcW w:w="567" w:type="dxa"/>
            <w:vAlign w:val="center"/>
          </w:tcPr>
          <w:p w:rsidR="00787ADD" w:rsidRPr="00787ADD" w:rsidRDefault="00787ADD" w:rsidP="00787ADD">
            <w:pPr>
              <w:spacing w:after="0" w:line="240" w:lineRule="auto"/>
              <w:jc w:val="center"/>
              <w:rPr>
                <w:rFonts w:cs="Arial"/>
                <w:color w:val="000000"/>
                <w:sz w:val="16"/>
                <w:szCs w:val="16"/>
              </w:rPr>
            </w:pPr>
            <w:r w:rsidRPr="00787ADD">
              <w:rPr>
                <w:rFonts w:cs="Arial"/>
                <w:color w:val="000000"/>
                <w:sz w:val="16"/>
                <w:szCs w:val="16"/>
              </w:rPr>
              <w:t>32,2</w:t>
            </w:r>
          </w:p>
        </w:tc>
        <w:tc>
          <w:tcPr>
            <w:tcW w:w="567" w:type="dxa"/>
            <w:vAlign w:val="center"/>
          </w:tcPr>
          <w:p w:rsidR="00787ADD" w:rsidRPr="00E04FBD" w:rsidRDefault="004B6FEF" w:rsidP="00787ADD">
            <w:pPr>
              <w:spacing w:after="0" w:line="240" w:lineRule="auto"/>
              <w:jc w:val="center"/>
              <w:rPr>
                <w:rFonts w:cs="Arial"/>
                <w:color w:val="000000"/>
                <w:sz w:val="16"/>
                <w:szCs w:val="16"/>
              </w:rPr>
            </w:pPr>
            <w:r w:rsidRPr="00E04FBD">
              <w:rPr>
                <w:rFonts w:cs="Arial"/>
                <w:color w:val="000000"/>
                <w:sz w:val="16"/>
                <w:szCs w:val="16"/>
              </w:rPr>
              <w:t>32,7</w:t>
            </w:r>
          </w:p>
        </w:tc>
      </w:tr>
      <w:tr w:rsidR="00787ADD" w:rsidRPr="00787ADD" w:rsidTr="006172DA">
        <w:trPr>
          <w:trHeight w:val="300"/>
        </w:trPr>
        <w:tc>
          <w:tcPr>
            <w:tcW w:w="3401" w:type="dxa"/>
            <w:tcBorders>
              <w:top w:val="nil"/>
              <w:left w:val="nil"/>
              <w:bottom w:val="nil"/>
              <w:right w:val="single" w:sz="4" w:space="0" w:color="auto"/>
            </w:tcBorders>
            <w:shd w:val="clear" w:color="auto" w:fill="auto"/>
            <w:vAlign w:val="center"/>
            <w:hideMark/>
          </w:tcPr>
          <w:p w:rsidR="00787ADD" w:rsidRPr="00787ADD" w:rsidRDefault="00787ADD" w:rsidP="00787ADD">
            <w:pPr>
              <w:spacing w:after="0" w:line="240" w:lineRule="auto"/>
              <w:ind w:firstLineChars="100" w:firstLine="160"/>
              <w:jc w:val="left"/>
              <w:rPr>
                <w:rFonts w:cs="Arial"/>
                <w:color w:val="000000"/>
                <w:sz w:val="16"/>
                <w:szCs w:val="16"/>
              </w:rPr>
            </w:pPr>
            <w:r w:rsidRPr="00787ADD">
              <w:rPr>
                <w:rFonts w:cs="Arial"/>
                <w:color w:val="000000"/>
                <w:sz w:val="16"/>
                <w:szCs w:val="16"/>
              </w:rPr>
              <w:t>R – Kulturní, zábavní a rekreační činnosti</w:t>
            </w:r>
          </w:p>
        </w:tc>
        <w:tc>
          <w:tcPr>
            <w:tcW w:w="567" w:type="dxa"/>
            <w:tcBorders>
              <w:top w:val="nil"/>
              <w:left w:val="nil"/>
              <w:bottom w:val="nil"/>
              <w:right w:val="nil"/>
            </w:tcBorders>
            <w:shd w:val="clear" w:color="auto" w:fill="auto"/>
            <w:noWrap/>
            <w:vAlign w:val="center"/>
            <w:hideMark/>
          </w:tcPr>
          <w:p w:rsidR="00787ADD" w:rsidRPr="00787ADD" w:rsidRDefault="00787ADD" w:rsidP="00787ADD">
            <w:pPr>
              <w:spacing w:after="0" w:line="240" w:lineRule="auto"/>
              <w:jc w:val="center"/>
              <w:rPr>
                <w:rFonts w:cs="Arial"/>
                <w:color w:val="000000"/>
                <w:sz w:val="16"/>
                <w:szCs w:val="16"/>
              </w:rPr>
            </w:pPr>
            <w:r w:rsidRPr="00787ADD">
              <w:rPr>
                <w:rFonts w:cs="Arial"/>
                <w:color w:val="000000"/>
                <w:sz w:val="16"/>
                <w:szCs w:val="16"/>
              </w:rPr>
              <w:t>44,2</w:t>
            </w:r>
          </w:p>
        </w:tc>
        <w:tc>
          <w:tcPr>
            <w:tcW w:w="567" w:type="dxa"/>
            <w:tcBorders>
              <w:top w:val="nil"/>
              <w:left w:val="nil"/>
              <w:bottom w:val="nil"/>
              <w:right w:val="nil"/>
            </w:tcBorders>
            <w:shd w:val="clear" w:color="auto" w:fill="auto"/>
            <w:noWrap/>
            <w:vAlign w:val="center"/>
            <w:hideMark/>
          </w:tcPr>
          <w:p w:rsidR="00787ADD" w:rsidRPr="00787ADD" w:rsidRDefault="00787ADD" w:rsidP="00787ADD">
            <w:pPr>
              <w:spacing w:after="0" w:line="240" w:lineRule="auto"/>
              <w:jc w:val="center"/>
              <w:rPr>
                <w:rFonts w:cs="Arial"/>
                <w:color w:val="000000"/>
                <w:sz w:val="16"/>
                <w:szCs w:val="16"/>
              </w:rPr>
            </w:pPr>
            <w:r w:rsidRPr="00787ADD">
              <w:rPr>
                <w:rFonts w:cs="Arial"/>
                <w:color w:val="000000"/>
                <w:sz w:val="16"/>
                <w:szCs w:val="16"/>
              </w:rPr>
              <w:t>41,3</w:t>
            </w:r>
          </w:p>
        </w:tc>
        <w:tc>
          <w:tcPr>
            <w:tcW w:w="567" w:type="dxa"/>
            <w:tcBorders>
              <w:top w:val="nil"/>
              <w:left w:val="nil"/>
              <w:bottom w:val="nil"/>
              <w:right w:val="nil"/>
            </w:tcBorders>
            <w:shd w:val="clear" w:color="auto" w:fill="auto"/>
            <w:noWrap/>
            <w:vAlign w:val="center"/>
            <w:hideMark/>
          </w:tcPr>
          <w:p w:rsidR="00787ADD" w:rsidRPr="00787ADD" w:rsidRDefault="00787ADD" w:rsidP="00787ADD">
            <w:pPr>
              <w:spacing w:after="0" w:line="240" w:lineRule="auto"/>
              <w:jc w:val="center"/>
              <w:rPr>
                <w:rFonts w:cs="Arial"/>
                <w:color w:val="000000"/>
                <w:sz w:val="16"/>
                <w:szCs w:val="16"/>
              </w:rPr>
            </w:pPr>
            <w:r w:rsidRPr="00787ADD">
              <w:rPr>
                <w:rFonts w:cs="Arial"/>
                <w:color w:val="000000"/>
                <w:sz w:val="16"/>
                <w:szCs w:val="16"/>
              </w:rPr>
              <w:t>41,9</w:t>
            </w:r>
          </w:p>
        </w:tc>
        <w:tc>
          <w:tcPr>
            <w:tcW w:w="567" w:type="dxa"/>
            <w:tcBorders>
              <w:top w:val="nil"/>
              <w:left w:val="nil"/>
              <w:bottom w:val="nil"/>
              <w:right w:val="nil"/>
            </w:tcBorders>
            <w:shd w:val="clear" w:color="auto" w:fill="auto"/>
            <w:noWrap/>
            <w:vAlign w:val="center"/>
            <w:hideMark/>
          </w:tcPr>
          <w:p w:rsidR="00787ADD" w:rsidRPr="00787ADD" w:rsidRDefault="00787ADD" w:rsidP="00787ADD">
            <w:pPr>
              <w:spacing w:after="0" w:line="240" w:lineRule="auto"/>
              <w:jc w:val="center"/>
              <w:rPr>
                <w:rFonts w:cs="Arial"/>
                <w:color w:val="000000"/>
                <w:sz w:val="16"/>
                <w:szCs w:val="16"/>
              </w:rPr>
            </w:pPr>
            <w:r w:rsidRPr="00787ADD">
              <w:rPr>
                <w:rFonts w:cs="Arial"/>
                <w:color w:val="000000"/>
                <w:sz w:val="16"/>
                <w:szCs w:val="16"/>
              </w:rPr>
              <w:t>42,8</w:t>
            </w:r>
          </w:p>
        </w:tc>
        <w:tc>
          <w:tcPr>
            <w:tcW w:w="567" w:type="dxa"/>
            <w:tcBorders>
              <w:top w:val="nil"/>
              <w:left w:val="nil"/>
              <w:bottom w:val="nil"/>
              <w:right w:val="nil"/>
            </w:tcBorders>
            <w:shd w:val="clear" w:color="auto" w:fill="auto"/>
            <w:noWrap/>
            <w:vAlign w:val="center"/>
            <w:hideMark/>
          </w:tcPr>
          <w:p w:rsidR="00787ADD" w:rsidRPr="00787ADD" w:rsidRDefault="00787ADD" w:rsidP="00787ADD">
            <w:pPr>
              <w:spacing w:after="0" w:line="240" w:lineRule="auto"/>
              <w:jc w:val="center"/>
              <w:rPr>
                <w:rFonts w:cs="Arial"/>
                <w:color w:val="000000"/>
                <w:sz w:val="16"/>
                <w:szCs w:val="16"/>
              </w:rPr>
            </w:pPr>
            <w:r w:rsidRPr="00787ADD">
              <w:rPr>
                <w:rFonts w:cs="Arial"/>
                <w:color w:val="000000"/>
                <w:sz w:val="16"/>
                <w:szCs w:val="16"/>
              </w:rPr>
              <w:t>41,1</w:t>
            </w:r>
          </w:p>
        </w:tc>
        <w:tc>
          <w:tcPr>
            <w:tcW w:w="567" w:type="dxa"/>
            <w:tcBorders>
              <w:top w:val="nil"/>
              <w:left w:val="nil"/>
              <w:bottom w:val="nil"/>
              <w:right w:val="nil"/>
            </w:tcBorders>
            <w:shd w:val="clear" w:color="auto" w:fill="auto"/>
            <w:noWrap/>
            <w:vAlign w:val="center"/>
            <w:hideMark/>
          </w:tcPr>
          <w:p w:rsidR="00787ADD" w:rsidRPr="00787ADD" w:rsidRDefault="00787ADD" w:rsidP="00787ADD">
            <w:pPr>
              <w:spacing w:after="0" w:line="240" w:lineRule="auto"/>
              <w:jc w:val="center"/>
              <w:rPr>
                <w:rFonts w:cs="Arial"/>
                <w:color w:val="000000"/>
                <w:sz w:val="16"/>
                <w:szCs w:val="16"/>
              </w:rPr>
            </w:pPr>
            <w:r w:rsidRPr="00787ADD">
              <w:rPr>
                <w:rFonts w:cs="Arial"/>
                <w:color w:val="000000"/>
                <w:sz w:val="16"/>
                <w:szCs w:val="16"/>
              </w:rPr>
              <w:t>40,3</w:t>
            </w:r>
          </w:p>
        </w:tc>
        <w:tc>
          <w:tcPr>
            <w:tcW w:w="567" w:type="dxa"/>
            <w:tcBorders>
              <w:top w:val="nil"/>
              <w:left w:val="nil"/>
              <w:bottom w:val="nil"/>
              <w:right w:val="nil"/>
            </w:tcBorders>
            <w:shd w:val="clear" w:color="auto" w:fill="auto"/>
            <w:noWrap/>
            <w:vAlign w:val="center"/>
            <w:hideMark/>
          </w:tcPr>
          <w:p w:rsidR="00787ADD" w:rsidRPr="00787ADD" w:rsidRDefault="00787ADD" w:rsidP="00787ADD">
            <w:pPr>
              <w:spacing w:after="0" w:line="240" w:lineRule="auto"/>
              <w:jc w:val="center"/>
              <w:rPr>
                <w:rFonts w:cs="Arial"/>
                <w:color w:val="000000"/>
                <w:sz w:val="16"/>
                <w:szCs w:val="16"/>
              </w:rPr>
            </w:pPr>
            <w:r w:rsidRPr="00787ADD">
              <w:rPr>
                <w:rFonts w:cs="Arial"/>
                <w:color w:val="000000"/>
                <w:sz w:val="16"/>
                <w:szCs w:val="16"/>
              </w:rPr>
              <w:t>39,5</w:t>
            </w:r>
          </w:p>
        </w:tc>
        <w:tc>
          <w:tcPr>
            <w:tcW w:w="567" w:type="dxa"/>
            <w:tcBorders>
              <w:top w:val="nil"/>
              <w:left w:val="nil"/>
              <w:bottom w:val="nil"/>
              <w:right w:val="nil"/>
            </w:tcBorders>
            <w:shd w:val="clear" w:color="auto" w:fill="auto"/>
            <w:noWrap/>
            <w:vAlign w:val="center"/>
            <w:hideMark/>
          </w:tcPr>
          <w:p w:rsidR="00787ADD" w:rsidRPr="00787ADD" w:rsidRDefault="00787ADD" w:rsidP="00787ADD">
            <w:pPr>
              <w:spacing w:after="0" w:line="240" w:lineRule="auto"/>
              <w:jc w:val="center"/>
            </w:pPr>
            <w:r w:rsidRPr="00787ADD">
              <w:rPr>
                <w:rFonts w:cs="Arial"/>
                <w:color w:val="000000"/>
                <w:sz w:val="16"/>
                <w:szCs w:val="16"/>
              </w:rPr>
              <w:t>33,9</w:t>
            </w:r>
          </w:p>
        </w:tc>
        <w:tc>
          <w:tcPr>
            <w:tcW w:w="567" w:type="dxa"/>
            <w:vAlign w:val="center"/>
          </w:tcPr>
          <w:p w:rsidR="00787ADD" w:rsidRPr="00787ADD" w:rsidRDefault="00787ADD" w:rsidP="00787ADD">
            <w:pPr>
              <w:spacing w:after="0" w:line="240" w:lineRule="auto"/>
              <w:jc w:val="center"/>
              <w:rPr>
                <w:rFonts w:cs="Arial"/>
                <w:color w:val="000000"/>
                <w:sz w:val="16"/>
                <w:szCs w:val="16"/>
              </w:rPr>
            </w:pPr>
            <w:r w:rsidRPr="00787ADD">
              <w:rPr>
                <w:rFonts w:cs="Arial"/>
                <w:color w:val="000000"/>
                <w:sz w:val="16"/>
                <w:szCs w:val="16"/>
              </w:rPr>
              <w:t>23,9</w:t>
            </w:r>
          </w:p>
        </w:tc>
        <w:tc>
          <w:tcPr>
            <w:tcW w:w="567" w:type="dxa"/>
            <w:vAlign w:val="center"/>
          </w:tcPr>
          <w:p w:rsidR="00787ADD" w:rsidRPr="00787ADD" w:rsidRDefault="00787ADD" w:rsidP="00787ADD">
            <w:pPr>
              <w:spacing w:after="0" w:line="240" w:lineRule="auto"/>
              <w:jc w:val="center"/>
              <w:rPr>
                <w:rFonts w:cs="Arial"/>
                <w:color w:val="000000"/>
                <w:sz w:val="16"/>
                <w:szCs w:val="16"/>
              </w:rPr>
            </w:pPr>
            <w:r w:rsidRPr="00787ADD">
              <w:rPr>
                <w:rFonts w:cs="Arial"/>
                <w:color w:val="000000"/>
                <w:sz w:val="16"/>
                <w:szCs w:val="16"/>
              </w:rPr>
              <w:t>29,6</w:t>
            </w:r>
          </w:p>
        </w:tc>
        <w:tc>
          <w:tcPr>
            <w:tcW w:w="567" w:type="dxa"/>
            <w:vAlign w:val="center"/>
          </w:tcPr>
          <w:p w:rsidR="00787ADD" w:rsidRPr="00E04FBD" w:rsidRDefault="00E04FBD" w:rsidP="00787ADD">
            <w:pPr>
              <w:spacing w:after="0" w:line="240" w:lineRule="auto"/>
              <w:jc w:val="center"/>
              <w:rPr>
                <w:rFonts w:cs="Arial"/>
                <w:color w:val="000000"/>
                <w:sz w:val="16"/>
                <w:szCs w:val="16"/>
              </w:rPr>
            </w:pPr>
            <w:r w:rsidRPr="00E04FBD">
              <w:rPr>
                <w:rFonts w:cs="Arial"/>
                <w:color w:val="000000"/>
                <w:sz w:val="16"/>
                <w:szCs w:val="16"/>
              </w:rPr>
              <w:t>29,5</w:t>
            </w:r>
          </w:p>
        </w:tc>
      </w:tr>
      <w:tr w:rsidR="00787ADD" w:rsidRPr="00787ADD" w:rsidTr="006172DA">
        <w:trPr>
          <w:trHeight w:val="300"/>
        </w:trPr>
        <w:tc>
          <w:tcPr>
            <w:tcW w:w="3401" w:type="dxa"/>
            <w:tcBorders>
              <w:top w:val="nil"/>
              <w:left w:val="nil"/>
              <w:bottom w:val="nil"/>
              <w:right w:val="single" w:sz="4" w:space="0" w:color="auto"/>
            </w:tcBorders>
            <w:shd w:val="clear" w:color="auto" w:fill="auto"/>
            <w:vAlign w:val="center"/>
            <w:hideMark/>
          </w:tcPr>
          <w:p w:rsidR="00787ADD" w:rsidRPr="00787ADD" w:rsidRDefault="00787ADD" w:rsidP="00787ADD">
            <w:pPr>
              <w:spacing w:after="0" w:line="240" w:lineRule="auto"/>
              <w:ind w:firstLineChars="100" w:firstLine="160"/>
              <w:jc w:val="left"/>
              <w:rPr>
                <w:rFonts w:cs="Arial"/>
                <w:color w:val="000000"/>
                <w:sz w:val="16"/>
                <w:szCs w:val="16"/>
              </w:rPr>
            </w:pPr>
            <w:r w:rsidRPr="00787ADD">
              <w:rPr>
                <w:rFonts w:cs="Arial"/>
                <w:color w:val="000000"/>
                <w:sz w:val="16"/>
                <w:szCs w:val="16"/>
              </w:rPr>
              <w:t>S – Ostatní činnosti</w:t>
            </w:r>
          </w:p>
        </w:tc>
        <w:tc>
          <w:tcPr>
            <w:tcW w:w="567" w:type="dxa"/>
            <w:tcBorders>
              <w:top w:val="nil"/>
              <w:left w:val="nil"/>
              <w:bottom w:val="nil"/>
              <w:right w:val="nil"/>
            </w:tcBorders>
            <w:shd w:val="clear" w:color="auto" w:fill="auto"/>
            <w:noWrap/>
            <w:vAlign w:val="center"/>
            <w:hideMark/>
          </w:tcPr>
          <w:p w:rsidR="00787ADD" w:rsidRPr="00787ADD" w:rsidRDefault="00787ADD" w:rsidP="00787ADD">
            <w:pPr>
              <w:spacing w:after="0" w:line="240" w:lineRule="auto"/>
              <w:jc w:val="center"/>
              <w:rPr>
                <w:rFonts w:cs="Arial"/>
                <w:color w:val="000000"/>
                <w:sz w:val="16"/>
                <w:szCs w:val="16"/>
              </w:rPr>
            </w:pPr>
            <w:r w:rsidRPr="00787ADD">
              <w:rPr>
                <w:rFonts w:cs="Arial"/>
                <w:color w:val="000000"/>
                <w:sz w:val="16"/>
                <w:szCs w:val="16"/>
              </w:rPr>
              <w:t>49,6</w:t>
            </w:r>
          </w:p>
        </w:tc>
        <w:tc>
          <w:tcPr>
            <w:tcW w:w="567" w:type="dxa"/>
            <w:tcBorders>
              <w:top w:val="nil"/>
              <w:left w:val="nil"/>
              <w:bottom w:val="nil"/>
              <w:right w:val="nil"/>
            </w:tcBorders>
            <w:shd w:val="clear" w:color="auto" w:fill="auto"/>
            <w:noWrap/>
            <w:vAlign w:val="center"/>
            <w:hideMark/>
          </w:tcPr>
          <w:p w:rsidR="00787ADD" w:rsidRPr="00787ADD" w:rsidRDefault="00787ADD" w:rsidP="00787ADD">
            <w:pPr>
              <w:spacing w:after="0" w:line="240" w:lineRule="auto"/>
              <w:jc w:val="center"/>
              <w:rPr>
                <w:rFonts w:cs="Arial"/>
                <w:color w:val="000000"/>
                <w:sz w:val="16"/>
                <w:szCs w:val="16"/>
              </w:rPr>
            </w:pPr>
            <w:r w:rsidRPr="00787ADD">
              <w:rPr>
                <w:rFonts w:cs="Arial"/>
                <w:color w:val="000000"/>
                <w:sz w:val="16"/>
                <w:szCs w:val="16"/>
              </w:rPr>
              <w:t>48,1</w:t>
            </w:r>
          </w:p>
        </w:tc>
        <w:tc>
          <w:tcPr>
            <w:tcW w:w="567" w:type="dxa"/>
            <w:tcBorders>
              <w:top w:val="nil"/>
              <w:left w:val="nil"/>
              <w:bottom w:val="nil"/>
              <w:right w:val="nil"/>
            </w:tcBorders>
            <w:shd w:val="clear" w:color="auto" w:fill="auto"/>
            <w:noWrap/>
            <w:vAlign w:val="center"/>
            <w:hideMark/>
          </w:tcPr>
          <w:p w:rsidR="00787ADD" w:rsidRPr="00787ADD" w:rsidRDefault="00787ADD" w:rsidP="00787ADD">
            <w:pPr>
              <w:spacing w:after="0" w:line="240" w:lineRule="auto"/>
              <w:jc w:val="center"/>
              <w:rPr>
                <w:rFonts w:cs="Arial"/>
                <w:color w:val="000000"/>
                <w:sz w:val="16"/>
                <w:szCs w:val="16"/>
              </w:rPr>
            </w:pPr>
            <w:r w:rsidRPr="00787ADD">
              <w:rPr>
                <w:rFonts w:cs="Arial"/>
                <w:color w:val="000000"/>
                <w:sz w:val="16"/>
                <w:szCs w:val="16"/>
              </w:rPr>
              <w:t>48,9</w:t>
            </w:r>
          </w:p>
        </w:tc>
        <w:tc>
          <w:tcPr>
            <w:tcW w:w="567" w:type="dxa"/>
            <w:tcBorders>
              <w:top w:val="nil"/>
              <w:left w:val="nil"/>
              <w:bottom w:val="nil"/>
              <w:right w:val="nil"/>
            </w:tcBorders>
            <w:shd w:val="clear" w:color="auto" w:fill="auto"/>
            <w:noWrap/>
            <w:vAlign w:val="center"/>
            <w:hideMark/>
          </w:tcPr>
          <w:p w:rsidR="00787ADD" w:rsidRPr="00787ADD" w:rsidRDefault="00787ADD" w:rsidP="00787ADD">
            <w:pPr>
              <w:spacing w:after="0" w:line="240" w:lineRule="auto"/>
              <w:jc w:val="center"/>
              <w:rPr>
                <w:rFonts w:cs="Arial"/>
                <w:color w:val="000000"/>
                <w:sz w:val="16"/>
                <w:szCs w:val="16"/>
              </w:rPr>
            </w:pPr>
            <w:r w:rsidRPr="00787ADD">
              <w:rPr>
                <w:rFonts w:cs="Arial"/>
                <w:color w:val="000000"/>
                <w:sz w:val="16"/>
                <w:szCs w:val="16"/>
              </w:rPr>
              <w:t>46,9</w:t>
            </w:r>
          </w:p>
        </w:tc>
        <w:tc>
          <w:tcPr>
            <w:tcW w:w="567" w:type="dxa"/>
            <w:tcBorders>
              <w:top w:val="nil"/>
              <w:left w:val="nil"/>
              <w:bottom w:val="nil"/>
              <w:right w:val="nil"/>
            </w:tcBorders>
            <w:shd w:val="clear" w:color="auto" w:fill="auto"/>
            <w:noWrap/>
            <w:vAlign w:val="center"/>
            <w:hideMark/>
          </w:tcPr>
          <w:p w:rsidR="00787ADD" w:rsidRPr="00787ADD" w:rsidRDefault="00787ADD" w:rsidP="00787ADD">
            <w:pPr>
              <w:spacing w:after="0" w:line="240" w:lineRule="auto"/>
              <w:jc w:val="center"/>
              <w:rPr>
                <w:rFonts w:cs="Arial"/>
                <w:color w:val="000000"/>
                <w:sz w:val="16"/>
                <w:szCs w:val="16"/>
              </w:rPr>
            </w:pPr>
            <w:r w:rsidRPr="00787ADD">
              <w:rPr>
                <w:rFonts w:cs="Arial"/>
                <w:color w:val="000000"/>
                <w:sz w:val="16"/>
                <w:szCs w:val="16"/>
              </w:rPr>
              <w:t>45,8</w:t>
            </w:r>
          </w:p>
        </w:tc>
        <w:tc>
          <w:tcPr>
            <w:tcW w:w="567" w:type="dxa"/>
            <w:tcBorders>
              <w:top w:val="nil"/>
              <w:left w:val="nil"/>
              <w:bottom w:val="nil"/>
              <w:right w:val="nil"/>
            </w:tcBorders>
            <w:shd w:val="clear" w:color="auto" w:fill="auto"/>
            <w:noWrap/>
            <w:vAlign w:val="center"/>
            <w:hideMark/>
          </w:tcPr>
          <w:p w:rsidR="00787ADD" w:rsidRPr="00787ADD" w:rsidRDefault="00787ADD" w:rsidP="00787ADD">
            <w:pPr>
              <w:spacing w:after="0" w:line="240" w:lineRule="auto"/>
              <w:jc w:val="center"/>
              <w:rPr>
                <w:rFonts w:cs="Arial"/>
                <w:color w:val="000000"/>
                <w:sz w:val="16"/>
                <w:szCs w:val="16"/>
              </w:rPr>
            </w:pPr>
            <w:r w:rsidRPr="00787ADD">
              <w:rPr>
                <w:rFonts w:cs="Arial"/>
                <w:color w:val="000000"/>
                <w:sz w:val="16"/>
                <w:szCs w:val="16"/>
              </w:rPr>
              <w:t>46,3</w:t>
            </w:r>
          </w:p>
        </w:tc>
        <w:tc>
          <w:tcPr>
            <w:tcW w:w="567" w:type="dxa"/>
            <w:tcBorders>
              <w:top w:val="nil"/>
              <w:left w:val="nil"/>
              <w:bottom w:val="nil"/>
              <w:right w:val="nil"/>
            </w:tcBorders>
            <w:shd w:val="clear" w:color="auto" w:fill="auto"/>
            <w:noWrap/>
            <w:vAlign w:val="center"/>
            <w:hideMark/>
          </w:tcPr>
          <w:p w:rsidR="00787ADD" w:rsidRPr="00787ADD" w:rsidRDefault="00787ADD" w:rsidP="00787ADD">
            <w:pPr>
              <w:spacing w:after="0" w:line="240" w:lineRule="auto"/>
              <w:jc w:val="center"/>
              <w:rPr>
                <w:rFonts w:cs="Arial"/>
                <w:color w:val="000000"/>
                <w:sz w:val="16"/>
                <w:szCs w:val="16"/>
              </w:rPr>
            </w:pPr>
            <w:r w:rsidRPr="00787ADD">
              <w:rPr>
                <w:rFonts w:cs="Arial"/>
                <w:color w:val="000000"/>
                <w:sz w:val="16"/>
                <w:szCs w:val="16"/>
              </w:rPr>
              <w:t>42,8</w:t>
            </w:r>
          </w:p>
        </w:tc>
        <w:tc>
          <w:tcPr>
            <w:tcW w:w="567" w:type="dxa"/>
            <w:tcBorders>
              <w:top w:val="nil"/>
              <w:left w:val="nil"/>
              <w:bottom w:val="nil"/>
              <w:right w:val="nil"/>
            </w:tcBorders>
            <w:shd w:val="clear" w:color="auto" w:fill="auto"/>
            <w:noWrap/>
            <w:vAlign w:val="center"/>
            <w:hideMark/>
          </w:tcPr>
          <w:p w:rsidR="00787ADD" w:rsidRPr="00787ADD" w:rsidRDefault="00787ADD" w:rsidP="00787ADD">
            <w:pPr>
              <w:spacing w:after="0" w:line="240" w:lineRule="auto"/>
              <w:jc w:val="center"/>
            </w:pPr>
            <w:r w:rsidRPr="00787ADD">
              <w:rPr>
                <w:rFonts w:cs="Arial"/>
                <w:color w:val="000000"/>
                <w:sz w:val="16"/>
                <w:szCs w:val="16"/>
              </w:rPr>
              <w:t>38,4</w:t>
            </w:r>
          </w:p>
        </w:tc>
        <w:tc>
          <w:tcPr>
            <w:tcW w:w="567" w:type="dxa"/>
            <w:vAlign w:val="center"/>
          </w:tcPr>
          <w:p w:rsidR="00787ADD" w:rsidRPr="00787ADD" w:rsidRDefault="00787ADD" w:rsidP="00787ADD">
            <w:pPr>
              <w:spacing w:after="0" w:line="240" w:lineRule="auto"/>
              <w:jc w:val="center"/>
              <w:rPr>
                <w:rFonts w:cs="Arial"/>
                <w:color w:val="000000"/>
                <w:sz w:val="16"/>
                <w:szCs w:val="16"/>
              </w:rPr>
            </w:pPr>
            <w:r w:rsidRPr="00787ADD">
              <w:rPr>
                <w:rFonts w:cs="Arial"/>
                <w:color w:val="000000"/>
                <w:sz w:val="16"/>
                <w:szCs w:val="16"/>
              </w:rPr>
              <w:t>29,4</w:t>
            </w:r>
          </w:p>
        </w:tc>
        <w:tc>
          <w:tcPr>
            <w:tcW w:w="567" w:type="dxa"/>
            <w:vAlign w:val="center"/>
          </w:tcPr>
          <w:p w:rsidR="00787ADD" w:rsidRPr="00787ADD" w:rsidRDefault="00787ADD" w:rsidP="00787ADD">
            <w:pPr>
              <w:spacing w:after="0" w:line="240" w:lineRule="auto"/>
              <w:jc w:val="center"/>
              <w:rPr>
                <w:rFonts w:cs="Arial"/>
                <w:color w:val="000000"/>
                <w:sz w:val="16"/>
                <w:szCs w:val="16"/>
              </w:rPr>
            </w:pPr>
            <w:r w:rsidRPr="00787ADD">
              <w:rPr>
                <w:rFonts w:cs="Arial"/>
                <w:color w:val="000000"/>
                <w:sz w:val="16"/>
                <w:szCs w:val="16"/>
              </w:rPr>
              <w:t>37,7</w:t>
            </w:r>
          </w:p>
        </w:tc>
        <w:tc>
          <w:tcPr>
            <w:tcW w:w="567" w:type="dxa"/>
            <w:vAlign w:val="center"/>
          </w:tcPr>
          <w:p w:rsidR="00787ADD" w:rsidRPr="00E04FBD" w:rsidRDefault="00E04FBD" w:rsidP="00787ADD">
            <w:pPr>
              <w:spacing w:after="0" w:line="240" w:lineRule="auto"/>
              <w:jc w:val="center"/>
              <w:rPr>
                <w:rFonts w:cs="Arial"/>
                <w:color w:val="000000"/>
                <w:sz w:val="16"/>
                <w:szCs w:val="16"/>
              </w:rPr>
            </w:pPr>
            <w:r w:rsidRPr="00E04FBD">
              <w:rPr>
                <w:rFonts w:cs="Arial"/>
                <w:color w:val="000000"/>
                <w:sz w:val="16"/>
                <w:szCs w:val="16"/>
              </w:rPr>
              <w:t>36,8</w:t>
            </w:r>
          </w:p>
        </w:tc>
      </w:tr>
    </w:tbl>
    <w:p w:rsidR="00787ADD" w:rsidRPr="00787ADD" w:rsidRDefault="00787ADD" w:rsidP="00787ADD">
      <w:pPr>
        <w:spacing w:before="60" w:after="0" w:line="240" w:lineRule="auto"/>
        <w:rPr>
          <w:rFonts w:cs="Arial"/>
          <w:color w:val="000000"/>
          <w:sz w:val="16"/>
          <w:szCs w:val="16"/>
        </w:rPr>
      </w:pPr>
      <w:r w:rsidRPr="00787ADD">
        <w:rPr>
          <w:rFonts w:cs="Arial"/>
          <w:color w:val="000000"/>
          <w:sz w:val="16"/>
          <w:szCs w:val="16"/>
        </w:rPr>
        <w:t>* Údaje za rok 2022 nejsou srovnatelné s údaji za ostatní roky.</w:t>
      </w:r>
    </w:p>
    <w:p w:rsidR="00787ADD" w:rsidRPr="00787ADD" w:rsidRDefault="00787ADD" w:rsidP="00787ADD">
      <w:pPr>
        <w:jc w:val="left"/>
        <w:rPr>
          <w:sz w:val="16"/>
        </w:rPr>
      </w:pPr>
      <w:r w:rsidRPr="00787ADD">
        <w:rPr>
          <w:sz w:val="16"/>
        </w:rPr>
        <w:t>Zdroj: ČSÚ</w:t>
      </w:r>
    </w:p>
    <w:p w:rsidR="00787ADD" w:rsidRPr="00C47418" w:rsidRDefault="00787ADD" w:rsidP="008C37C3">
      <w:r w:rsidRPr="00C47418">
        <w:t>Dočasná pracov</w:t>
      </w:r>
      <w:r w:rsidR="00EA5062">
        <w:t xml:space="preserve">ní neschopnost OSVČ v roce 2024 trvala v průměru </w:t>
      </w:r>
      <w:r w:rsidR="00EA5062" w:rsidRPr="00E04FBD">
        <w:t>97</w:t>
      </w:r>
      <w:r w:rsidRPr="00E04FBD">
        <w:t xml:space="preserve"> d</w:t>
      </w:r>
      <w:r w:rsidR="00E04FBD" w:rsidRPr="00E04FBD">
        <w:t>nů</w:t>
      </w:r>
      <w:r w:rsidRPr="00E04FBD">
        <w:t>.</w:t>
      </w:r>
      <w:r w:rsidRPr="00C47418">
        <w:t xml:space="preserve"> Delší doba trvání pracovní neschopnosti u OSVČ může souviset se skutečností, že tato skupina pojištěnců v době prvních 14 dnů pracovní neschopnosti není finančně zabezpečena jako ostatní pojištěnci, je jim vypláceno až nemocenské od 15. dne. Vzhledem k tomuto faktu pak krátkodobé případy lehčích forem nemocí </w:t>
      </w:r>
      <w:r w:rsidR="00EA5062">
        <w:t xml:space="preserve">OSVČ </w:t>
      </w:r>
      <w:r w:rsidRPr="00C47418">
        <w:t>neřeší pracovní neschopností, tu si nechávají vystavit až při onemocn</w:t>
      </w:r>
      <w:r w:rsidR="00EA5062">
        <w:t>ění vážnější chorobou, která je obvykle spojena s </w:t>
      </w:r>
      <w:r w:rsidRPr="00C47418">
        <w:t>dlouhodobější pracovní neschopnost</w:t>
      </w:r>
      <w:r w:rsidR="00EA5062">
        <w:t>í. I proto se u OSVČ při</w:t>
      </w:r>
      <w:r w:rsidRPr="00C47418">
        <w:t> porovnání se zaměstnanci t</w:t>
      </w:r>
      <w:r w:rsidR="00EA5062">
        <w:t>ak výrazně</w:t>
      </w:r>
      <w:r w:rsidR="008C37C3">
        <w:t xml:space="preserve"> </w:t>
      </w:r>
      <w:r w:rsidRPr="00C47418">
        <w:t>liší délka trvání pracovní nesc</w:t>
      </w:r>
      <w:r w:rsidR="00EA5062">
        <w:t>hopnosti z důvodu nemoci a úraz</w:t>
      </w:r>
      <w:r w:rsidR="008C37C3">
        <w:t>u</w:t>
      </w:r>
      <w:r w:rsidRPr="00C47418">
        <w:t>. Další možností, kterou OSVČ mohou využít, je sjednání pojištění pracovní neschopnosti u soukromých pojišťoven v rámci životního pojištění. Tomu se však tato publikace nevěnuje.</w:t>
      </w:r>
    </w:p>
    <w:p w:rsidR="00787ADD" w:rsidRDefault="00787ADD" w:rsidP="008C37C3">
      <w:pPr>
        <w:rPr>
          <w:b/>
        </w:rPr>
      </w:pPr>
      <w:r w:rsidRPr="00C47418">
        <w:t>U zaměstnanců byla průměrná délka pracovní neschopnosti (bez ohledu na příčinu) ve srovn</w:t>
      </w:r>
      <w:r w:rsidR="008C37C3">
        <w:t xml:space="preserve">ání s OSVČ zhruba </w:t>
      </w:r>
      <w:r w:rsidR="008C37C3" w:rsidRPr="00C53A1B">
        <w:t xml:space="preserve">třetinová (31 </w:t>
      </w:r>
      <w:r w:rsidRPr="00C53A1B">
        <w:t>dnů).</w:t>
      </w:r>
      <w:r w:rsidRPr="00C47418">
        <w:t xml:space="preserve"> Nejdelší</w:t>
      </w:r>
      <w:r w:rsidR="008C37C3">
        <w:t xml:space="preserve"> průměrnou délku</w:t>
      </w:r>
      <w:r w:rsidR="008C37C3" w:rsidRPr="008C37C3">
        <w:t xml:space="preserve"> pracovní neschopnosti</w:t>
      </w:r>
      <w:r w:rsidR="008C37C3">
        <w:t xml:space="preserve"> zaznamenaly malé podniky čítající méně než 50 zaměstnanců </w:t>
      </w:r>
      <w:r w:rsidR="00C53A1B" w:rsidRPr="00C53A1B">
        <w:t>(36</w:t>
      </w:r>
      <w:r w:rsidR="008C37C3" w:rsidRPr="00C53A1B">
        <w:t xml:space="preserve"> dn</w:t>
      </w:r>
      <w:r w:rsidR="00C53A1B" w:rsidRPr="00C53A1B">
        <w:t>ů</w:t>
      </w:r>
      <w:r w:rsidRPr="00C53A1B">
        <w:t>).</w:t>
      </w:r>
      <w:r w:rsidRPr="00C47418">
        <w:t xml:space="preserve"> V</w:t>
      </w:r>
      <w:r w:rsidR="00A226F0">
        <w:t xml:space="preserve"> ostatních </w:t>
      </w:r>
      <w:r w:rsidRPr="00C47418">
        <w:t xml:space="preserve">velikostních kategoriích </w:t>
      </w:r>
      <w:r w:rsidR="00A226F0">
        <w:t xml:space="preserve">podniků </w:t>
      </w:r>
      <w:r w:rsidRPr="00C47418">
        <w:t xml:space="preserve">se tato hodnota pohybovala </w:t>
      </w:r>
      <w:r w:rsidR="008C37C3" w:rsidRPr="00C53A1B">
        <w:t>v rozmezí</w:t>
      </w:r>
      <w:r w:rsidRPr="00C53A1B">
        <w:t xml:space="preserve"> </w:t>
      </w:r>
      <w:r w:rsidR="00C53A1B" w:rsidRPr="00C53A1B">
        <w:t>28</w:t>
      </w:r>
      <w:r w:rsidR="008C37C3" w:rsidRPr="00C53A1B">
        <w:t>–31</w:t>
      </w:r>
      <w:r w:rsidR="00C53A1B" w:rsidRPr="00C53A1B">
        <w:t xml:space="preserve"> dnů</w:t>
      </w:r>
      <w:r w:rsidRPr="00C53A1B">
        <w:t>.</w:t>
      </w:r>
    </w:p>
    <w:p w:rsidR="00C53A1B" w:rsidRDefault="00C53A1B">
      <w:pPr>
        <w:spacing w:after="0" w:line="240" w:lineRule="auto"/>
        <w:jc w:val="left"/>
        <w:rPr>
          <w:b/>
          <w:spacing w:val="-2"/>
        </w:rPr>
      </w:pPr>
      <w:r>
        <w:rPr>
          <w:b/>
          <w:spacing w:val="-2"/>
        </w:rPr>
        <w:br w:type="page"/>
      </w:r>
    </w:p>
    <w:p w:rsidR="00C47418" w:rsidRDefault="00E445EE" w:rsidP="00E445EE">
      <w:pPr>
        <w:spacing w:after="0"/>
        <w:rPr>
          <w:b/>
          <w:spacing w:val="-2"/>
        </w:rPr>
      </w:pPr>
      <w:r w:rsidRPr="00E445EE">
        <w:rPr>
          <w:b/>
          <w:spacing w:val="-2"/>
        </w:rPr>
        <w:lastRenderedPageBreak/>
        <w:t>Graf 2.10: Průměrná délka trvání dočasné pracovní neschopnosti podle velikosti podniku a příčiny, 2024</w:t>
      </w:r>
    </w:p>
    <w:p w:rsidR="00E445EE" w:rsidRDefault="00C53A1B" w:rsidP="00C53A1B">
      <w:pPr>
        <w:rPr>
          <w:rFonts w:cs="Arial"/>
          <w:color w:val="000000"/>
          <w:sz w:val="16"/>
          <w:szCs w:val="16"/>
        </w:rPr>
      </w:pPr>
      <w:r>
        <w:rPr>
          <w:noProof/>
        </w:rPr>
        <w:drawing>
          <wp:inline distT="0" distB="0" distL="0" distR="0" wp14:anchorId="29B8AED0" wp14:editId="6E34FCC3">
            <wp:extent cx="6120000" cy="2880000"/>
            <wp:effectExtent l="0" t="0" r="0" b="0"/>
            <wp:docPr id="18" name="Graf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r>
        <w:rPr>
          <w:rFonts w:cs="Arial"/>
          <w:color w:val="000000"/>
          <w:sz w:val="16"/>
          <w:szCs w:val="16"/>
        </w:rPr>
        <w:t>Z</w:t>
      </w:r>
      <w:r w:rsidR="00E445EE">
        <w:rPr>
          <w:rFonts w:cs="Arial"/>
          <w:color w:val="000000"/>
          <w:sz w:val="16"/>
          <w:szCs w:val="16"/>
        </w:rPr>
        <w:t>droj: ČSÚ</w:t>
      </w:r>
    </w:p>
    <w:p w:rsidR="00E445EE" w:rsidRPr="006334F3" w:rsidRDefault="00A226F0" w:rsidP="006334F3">
      <w:pPr>
        <w:pStyle w:val="Nadpis4"/>
        <w:jc w:val="both"/>
        <w:rPr>
          <w:spacing w:val="2"/>
        </w:rPr>
      </w:pPr>
      <w:bookmarkStart w:id="5" w:name="_Toc198986218"/>
      <w:r w:rsidRPr="006334F3">
        <w:rPr>
          <w:spacing w:val="2"/>
          <w:sz w:val="24"/>
        </w:rPr>
        <w:t>4.2.3 Průměrné procento dočasné pracovní neschopnosti a průměrný denní stav dočasně práce neschopných</w:t>
      </w:r>
      <w:bookmarkEnd w:id="5"/>
    </w:p>
    <w:p w:rsidR="008818FD" w:rsidRPr="008818FD" w:rsidRDefault="008818FD" w:rsidP="008818FD">
      <w:r w:rsidRPr="008818FD">
        <w:t xml:space="preserve">Nejkomplexnějším ukazatelem statistiky pracovní neschopnosti pro nemoc a úraz je </w:t>
      </w:r>
      <w:r w:rsidRPr="008818FD">
        <w:rPr>
          <w:b/>
        </w:rPr>
        <w:t xml:space="preserve">průměrné procento </w:t>
      </w:r>
      <w:r w:rsidRPr="008818FD">
        <w:rPr>
          <w:b/>
          <w:spacing w:val="-2"/>
        </w:rPr>
        <w:t>dočasné pracovní neschopnosti</w:t>
      </w:r>
      <w:r w:rsidRPr="008818FD">
        <w:rPr>
          <w:spacing w:val="-2"/>
        </w:rPr>
        <w:t xml:space="preserve">. Zohledňuje jak celkový počet případů pracovní neschopnosti (jak často lidé do pracovní neschopnosti nastupují), tak i průměrné trvání jednoho případu pracovní neschopnosti (jak dlouho </w:t>
      </w:r>
      <w:r w:rsidRPr="008818FD">
        <w:rPr>
          <w:spacing w:val="-4"/>
        </w:rPr>
        <w:t>v pracovní neschopnosti setrvávají). Stat</w:t>
      </w:r>
      <w:r w:rsidR="00D10CEE">
        <w:rPr>
          <w:spacing w:val="-4"/>
        </w:rPr>
        <w:t xml:space="preserve">istiky pak doplňuje ještě další </w:t>
      </w:r>
      <w:r w:rsidRPr="008818FD">
        <w:rPr>
          <w:spacing w:val="-4"/>
        </w:rPr>
        <w:t xml:space="preserve">ukazatel – </w:t>
      </w:r>
      <w:r w:rsidRPr="008818FD">
        <w:rPr>
          <w:b/>
          <w:spacing w:val="-4"/>
        </w:rPr>
        <w:t>průměrný denní stav dočasně práce neschopných</w:t>
      </w:r>
      <w:r w:rsidRPr="008818FD">
        <w:rPr>
          <w:spacing w:val="-4"/>
        </w:rPr>
        <w:t>, který říká, kolik osob průměrně denně chybělo na pracovišti v důsledku dočasné pracovní neschopnosti pro nemoc a úraz.</w:t>
      </w:r>
    </w:p>
    <w:p w:rsidR="008818FD" w:rsidRPr="00D10CEE" w:rsidRDefault="008818FD" w:rsidP="006E4016">
      <w:pPr>
        <w:pStyle w:val="Box1"/>
        <w:spacing w:before="0" w:after="120"/>
        <w:ind w:left="0"/>
        <w:contextualSpacing w:val="0"/>
        <w:jc w:val="both"/>
        <w:rPr>
          <w:i/>
        </w:rPr>
      </w:pPr>
      <w:r w:rsidRPr="006E4016">
        <w:rPr>
          <w:b/>
          <w:i/>
          <w:spacing w:val="-2"/>
        </w:rPr>
        <w:t xml:space="preserve">Průměrné procento dočasné pracovní neschopnosti </w:t>
      </w:r>
      <w:r w:rsidRPr="006E4016">
        <w:rPr>
          <w:i/>
          <w:spacing w:val="-2"/>
        </w:rPr>
        <w:t>– ukazatel udává, kolik ze 100 nemocensky pojištěných je průměrně každý den v pracovní neschopnosti pro nemoc či úraz</w:t>
      </w:r>
      <w:r w:rsidRPr="00D10CEE">
        <w:rPr>
          <w:i/>
        </w:rPr>
        <w:t xml:space="preserve">. </w:t>
      </w:r>
    </w:p>
    <w:p w:rsidR="008818FD" w:rsidRPr="00D10CEE" w:rsidRDefault="008818FD" w:rsidP="00403D84">
      <w:pPr>
        <w:pStyle w:val="Box1"/>
        <w:spacing w:before="0" w:after="0"/>
        <w:ind w:left="0"/>
        <w:contextualSpacing w:val="0"/>
        <w:jc w:val="both"/>
        <w:rPr>
          <w:i/>
          <w:u w:val="single"/>
        </w:rPr>
      </w:pPr>
      <w:r w:rsidRPr="00D10CEE">
        <w:rPr>
          <w:i/>
          <w:u w:val="single"/>
        </w:rPr>
        <w:t>Způsob výpočtu:</w:t>
      </w:r>
    </w:p>
    <w:p w:rsidR="006E4016" w:rsidRDefault="008818FD" w:rsidP="00403D84">
      <w:pPr>
        <w:pStyle w:val="Box1"/>
        <w:spacing w:before="0" w:after="120"/>
        <w:ind w:left="0"/>
        <w:contextualSpacing w:val="0"/>
        <w:jc w:val="both"/>
        <w:rPr>
          <w:i/>
        </w:rPr>
      </w:pPr>
      <w:r w:rsidRPr="00D10CEE">
        <w:rPr>
          <w:i/>
        </w:rPr>
        <w:t>Průměrné procento dočasné pracovní neschopnosti = počet kalendářních dnů dočasné pracovní neschopnosti x 100 / (průměrný počet osob nemocensky pojištěných x počet kalendářních dnů ve sledovaném období).</w:t>
      </w:r>
    </w:p>
    <w:p w:rsidR="008818FD" w:rsidRPr="00D10CEE" w:rsidRDefault="008818FD" w:rsidP="006E4016">
      <w:pPr>
        <w:pStyle w:val="Box1"/>
        <w:spacing w:before="0" w:after="120"/>
        <w:ind w:left="0"/>
        <w:contextualSpacing w:val="0"/>
        <w:jc w:val="both"/>
        <w:rPr>
          <w:i/>
        </w:rPr>
      </w:pPr>
      <w:r w:rsidRPr="00D10CEE">
        <w:rPr>
          <w:b/>
          <w:i/>
        </w:rPr>
        <w:t xml:space="preserve">Průměrný denní stav dočasně práce neschopných </w:t>
      </w:r>
      <w:r w:rsidRPr="00D10CEE">
        <w:rPr>
          <w:i/>
        </w:rPr>
        <w:t xml:space="preserve">– ukazatel vyjadřuje počet nemocensky pojištěných, kteří byli ve sledovaném období (roce) denně nepřítomni v práci z důvodů pracovní neschopnosti. </w:t>
      </w:r>
    </w:p>
    <w:p w:rsidR="008818FD" w:rsidRPr="00D10CEE" w:rsidRDefault="008818FD" w:rsidP="006E4016">
      <w:pPr>
        <w:pStyle w:val="Box1"/>
        <w:spacing w:before="0" w:after="0"/>
        <w:ind w:left="0"/>
        <w:contextualSpacing w:val="0"/>
        <w:jc w:val="both"/>
        <w:rPr>
          <w:i/>
          <w:u w:val="single"/>
        </w:rPr>
      </w:pPr>
      <w:r w:rsidRPr="00D10CEE">
        <w:rPr>
          <w:i/>
          <w:u w:val="single"/>
        </w:rPr>
        <w:t>Způsob výpočtu:</w:t>
      </w:r>
    </w:p>
    <w:p w:rsidR="008818FD" w:rsidRPr="00D10CEE" w:rsidRDefault="008818FD" w:rsidP="006E4016">
      <w:pPr>
        <w:pStyle w:val="Box1"/>
        <w:spacing w:before="0" w:after="120"/>
        <w:ind w:left="0"/>
        <w:contextualSpacing w:val="0"/>
        <w:jc w:val="both"/>
        <w:rPr>
          <w:i/>
        </w:rPr>
      </w:pPr>
      <w:r w:rsidRPr="00D10CEE">
        <w:rPr>
          <w:i/>
        </w:rPr>
        <w:t>Průměrný denní stav dočasně práce neschopných = počet kalendářních dnů dočasné pracovní neschopnosti / počet kalendářních dnů ve sledovaném období.</w:t>
      </w:r>
    </w:p>
    <w:p w:rsidR="00FE2B8C" w:rsidRDefault="008818FD" w:rsidP="00320F95">
      <w:r w:rsidRPr="008818FD">
        <w:t xml:space="preserve">Hodnota </w:t>
      </w:r>
      <w:r w:rsidRPr="008818FD">
        <w:rPr>
          <w:b/>
        </w:rPr>
        <w:t>průměrné</w:t>
      </w:r>
      <w:r w:rsidR="006F5781">
        <w:rPr>
          <w:b/>
        </w:rPr>
        <w:t>ho procenta</w:t>
      </w:r>
      <w:r w:rsidRPr="008818FD">
        <w:rPr>
          <w:b/>
        </w:rPr>
        <w:t xml:space="preserve"> dočasné pracovní neschopnosti</w:t>
      </w:r>
      <w:r w:rsidRPr="008818FD">
        <w:t xml:space="preserve"> měla od roku 2012 rostoucí tendenci, ačkoliv v roce 2021 byla patrná meziroční stagnace na 5,5 %. V roce 2022 oproti roku předchozímu poklesla na 5,3 %. Pokles pokračoval i v roce 202</w:t>
      </w:r>
      <w:r w:rsidR="006E4016">
        <w:t>4</w:t>
      </w:r>
      <w:r w:rsidRPr="008818FD">
        <w:t>, kdy ukazatel dosáhl</w:t>
      </w:r>
      <w:r w:rsidR="006F5781">
        <w:t xml:space="preserve"> hodnoty </w:t>
      </w:r>
      <w:r w:rsidR="00702F18" w:rsidRPr="00702F18">
        <w:t>4,5</w:t>
      </w:r>
      <w:r w:rsidR="006F5781" w:rsidRPr="00702F18">
        <w:t xml:space="preserve"> %,</w:t>
      </w:r>
      <w:r w:rsidR="006F5781">
        <w:t xml:space="preserve"> </w:t>
      </w:r>
      <w:r w:rsidRPr="008818FD">
        <w:t xml:space="preserve">došlo </w:t>
      </w:r>
      <w:r w:rsidR="006F5781">
        <w:t xml:space="preserve">tudíž </w:t>
      </w:r>
      <w:r w:rsidRPr="008818FD">
        <w:t xml:space="preserve">k návratu na podobnou </w:t>
      </w:r>
      <w:r w:rsidR="006F5781">
        <w:t>úroveň</w:t>
      </w:r>
      <w:r w:rsidRPr="008818FD">
        <w:t xml:space="preserve"> jako v </w:t>
      </w:r>
      <w:r w:rsidRPr="0078576F">
        <w:t>roce 2019. Průměrné procento dočasné pracovní neschopnosti je dlouhodobě vyšší u žen, u kterých v </w:t>
      </w:r>
      <w:r w:rsidR="006F5781" w:rsidRPr="0078576F">
        <w:t xml:space="preserve">roce 2024 </w:t>
      </w:r>
      <w:r w:rsidR="0078576F" w:rsidRPr="0078576F">
        <w:t>činilo 4,8</w:t>
      </w:r>
      <w:r w:rsidR="006F5781" w:rsidRPr="0078576F">
        <w:t xml:space="preserve"> %, zatímco u mužů </w:t>
      </w:r>
      <w:r w:rsidR="0078576F" w:rsidRPr="0078576F">
        <w:t>4,2</w:t>
      </w:r>
      <w:r w:rsidRPr="0078576F">
        <w:t> %.</w:t>
      </w:r>
    </w:p>
    <w:p w:rsidR="00FE2B8C" w:rsidRDefault="00FE2B8C">
      <w:pPr>
        <w:spacing w:after="0" w:line="240" w:lineRule="auto"/>
        <w:jc w:val="left"/>
      </w:pPr>
      <w:r>
        <w:br w:type="page"/>
      </w:r>
    </w:p>
    <w:p w:rsidR="00320F95" w:rsidRDefault="00320F95" w:rsidP="00FE2B8C">
      <w:pPr>
        <w:spacing w:after="60"/>
        <w:rPr>
          <w:rFonts w:cs="Arial"/>
          <w:b/>
          <w:bCs/>
          <w:color w:val="000000"/>
          <w:szCs w:val="20"/>
        </w:rPr>
      </w:pPr>
      <w:r w:rsidRPr="00452914">
        <w:rPr>
          <w:rFonts w:cs="Arial"/>
          <w:b/>
          <w:bCs/>
          <w:color w:val="000000"/>
          <w:szCs w:val="20"/>
        </w:rPr>
        <w:lastRenderedPageBreak/>
        <w:t>Graf 2.1</w:t>
      </w:r>
      <w:r>
        <w:rPr>
          <w:rFonts w:cs="Arial"/>
          <w:b/>
          <w:bCs/>
          <w:color w:val="000000"/>
          <w:szCs w:val="20"/>
        </w:rPr>
        <w:t>1</w:t>
      </w:r>
      <w:r w:rsidRPr="00452914">
        <w:rPr>
          <w:rFonts w:cs="Arial"/>
          <w:b/>
          <w:bCs/>
          <w:color w:val="000000"/>
          <w:szCs w:val="20"/>
        </w:rPr>
        <w:t>: Průměrné procento dočasné pracovní neschopnosti pod</w:t>
      </w:r>
      <w:r>
        <w:rPr>
          <w:rFonts w:cs="Arial"/>
          <w:b/>
          <w:bCs/>
          <w:color w:val="000000"/>
          <w:szCs w:val="20"/>
        </w:rPr>
        <w:t>le odvětví (sekce CZ-NACE), 2024</w:t>
      </w:r>
    </w:p>
    <w:p w:rsidR="00F33479" w:rsidRDefault="00FE2B8C" w:rsidP="00FE2B8C">
      <w:pPr>
        <w:rPr>
          <w:sz w:val="16"/>
          <w:szCs w:val="16"/>
        </w:rPr>
      </w:pPr>
      <w:r>
        <w:rPr>
          <w:noProof/>
        </w:rPr>
        <w:drawing>
          <wp:inline distT="0" distB="0" distL="0" distR="0" wp14:anchorId="3039AA3E" wp14:editId="65E8D040">
            <wp:extent cx="6120130" cy="5040000"/>
            <wp:effectExtent l="0" t="0" r="0" b="8255"/>
            <wp:docPr id="19" name="Graf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r w:rsidR="00106FAD" w:rsidRPr="00106FAD">
        <w:rPr>
          <w:sz w:val="16"/>
          <w:szCs w:val="16"/>
        </w:rPr>
        <w:t>Zdro</w:t>
      </w:r>
      <w:r w:rsidR="00106FAD">
        <w:rPr>
          <w:sz w:val="16"/>
          <w:szCs w:val="16"/>
        </w:rPr>
        <w:t>j: ČSÚ</w:t>
      </w:r>
    </w:p>
    <w:p w:rsidR="00C93E98" w:rsidRPr="00C93E98" w:rsidRDefault="00C93E98" w:rsidP="00EE1040">
      <w:r w:rsidRPr="00C93E98">
        <w:t xml:space="preserve">Nejvyšší průměrné procento dočasné pracovní neschopnosti </w:t>
      </w:r>
      <w:r>
        <w:rPr>
          <w:b/>
        </w:rPr>
        <w:t xml:space="preserve">z </w:t>
      </w:r>
      <w:r w:rsidRPr="00C93E98">
        <w:rPr>
          <w:b/>
        </w:rPr>
        <w:t>hlediska odvětvové činnosti</w:t>
      </w:r>
      <w:r w:rsidRPr="00C93E98">
        <w:t xml:space="preserve"> </w:t>
      </w:r>
      <w:r>
        <w:t xml:space="preserve">vykazoval v roce 2024 Zpracovatelský </w:t>
      </w:r>
      <w:r w:rsidRPr="00FE2B8C">
        <w:t>průmysl (</w:t>
      </w:r>
      <w:r w:rsidR="00FE2B8C" w:rsidRPr="00FE2B8C">
        <w:t>6</w:t>
      </w:r>
      <w:r w:rsidRPr="00FE2B8C">
        <w:t xml:space="preserve"> %) s</w:t>
      </w:r>
      <w:r w:rsidRPr="00C93E98">
        <w:t> nejvyšším počtem případů pracovní neschopnosti na</w:t>
      </w:r>
      <w:r>
        <w:t xml:space="preserve"> 100 pojištěnců. Jinými slovy, </w:t>
      </w:r>
      <w:r w:rsidR="00FE2B8C" w:rsidRPr="00FE2B8C">
        <w:t xml:space="preserve">šest procent </w:t>
      </w:r>
      <w:r w:rsidRPr="00FE2B8C">
        <w:t>pojištěn</w:t>
      </w:r>
      <w:r w:rsidR="00017A85" w:rsidRPr="00FE2B8C">
        <w:t>ců</w:t>
      </w:r>
      <w:r w:rsidR="00017A85">
        <w:t xml:space="preserve"> pracujících v této sekci </w:t>
      </w:r>
      <w:r w:rsidRPr="00C93E98">
        <w:t xml:space="preserve">denně </w:t>
      </w:r>
      <w:r w:rsidR="00017A85">
        <w:t>pobývalo</w:t>
      </w:r>
      <w:r w:rsidR="00017A85" w:rsidRPr="00C93E98">
        <w:t xml:space="preserve"> </w:t>
      </w:r>
      <w:r w:rsidRPr="00C93E98">
        <w:t xml:space="preserve">v pracovní neschopnosti. </w:t>
      </w:r>
      <w:r w:rsidR="00017A85">
        <w:t>Mezi odvětví</w:t>
      </w:r>
      <w:r w:rsidRPr="00C93E98">
        <w:t xml:space="preserve"> s </w:t>
      </w:r>
      <w:r w:rsidRPr="00D7081E">
        <w:t xml:space="preserve">více než 5% podílem osob </w:t>
      </w:r>
      <w:r w:rsidR="00017A85" w:rsidRPr="00D7081E">
        <w:t xml:space="preserve">denně </w:t>
      </w:r>
      <w:r w:rsidRPr="00D7081E">
        <w:t>dočasně práce neschopných</w:t>
      </w:r>
      <w:r w:rsidR="00017A85" w:rsidRPr="00D7081E">
        <w:t xml:space="preserve"> patřila Těžba a dobývání </w:t>
      </w:r>
      <w:r w:rsidR="00FE2B8C" w:rsidRPr="00D7081E">
        <w:t>(5,9</w:t>
      </w:r>
      <w:r w:rsidR="00017A85" w:rsidRPr="00D7081E">
        <w:t xml:space="preserve"> %)</w:t>
      </w:r>
      <w:r w:rsidR="00FE2B8C" w:rsidRPr="00D7081E">
        <w:t xml:space="preserve">, Administrativní a podpůrné činnosti, </w:t>
      </w:r>
      <w:r w:rsidRPr="00D7081E">
        <w:t>Zásobování vodou; činnosti související s odpady a sanacemi</w:t>
      </w:r>
      <w:r w:rsidR="00017A85" w:rsidRPr="00D7081E">
        <w:t xml:space="preserve"> </w:t>
      </w:r>
      <w:r w:rsidRPr="00D7081E">
        <w:t>(</w:t>
      </w:r>
      <w:r w:rsidR="00FE2B8C" w:rsidRPr="00D7081E">
        <w:t>obě 5,5</w:t>
      </w:r>
      <w:r w:rsidR="00017A85" w:rsidRPr="00D7081E">
        <w:t xml:space="preserve"> </w:t>
      </w:r>
      <w:r w:rsidRPr="00D7081E">
        <w:t>%)</w:t>
      </w:r>
      <w:r w:rsidR="00FE2B8C" w:rsidRPr="00D7081E">
        <w:t xml:space="preserve"> a Zemědělství, lesnictví, rybářství (5,2 %). </w:t>
      </w:r>
      <w:r w:rsidRPr="00D7081E">
        <w:t xml:space="preserve">Naopak </w:t>
      </w:r>
      <w:r w:rsidR="00017A85" w:rsidRPr="00D7081E">
        <w:t xml:space="preserve">mezi odvětví s menším </w:t>
      </w:r>
      <w:r w:rsidR="00FE2B8C" w:rsidRPr="00D7081E">
        <w:t>než 3</w:t>
      </w:r>
      <w:r w:rsidR="00017A85" w:rsidRPr="00D7081E">
        <w:t>% zastoupením dočasn</w:t>
      </w:r>
      <w:r w:rsidR="00FE2B8C" w:rsidRPr="00D7081E">
        <w:t>ě práce neschopných osob spadaly</w:t>
      </w:r>
      <w:r w:rsidR="00017A85" w:rsidRPr="00D7081E">
        <w:t xml:space="preserve"> Informační a komunikační činnost</w:t>
      </w:r>
      <w:r w:rsidR="00FE2B8C" w:rsidRPr="00D7081E">
        <w:t>i</w:t>
      </w:r>
      <w:r w:rsidR="00017A85" w:rsidRPr="00D7081E">
        <w:t xml:space="preserve"> </w:t>
      </w:r>
      <w:r w:rsidR="00FE2B8C" w:rsidRPr="00D7081E">
        <w:t>(1,5</w:t>
      </w:r>
      <w:r w:rsidR="00017A85" w:rsidRPr="00D7081E">
        <w:t xml:space="preserve"> %)</w:t>
      </w:r>
      <w:r w:rsidR="00FE2B8C" w:rsidRPr="00D7081E">
        <w:t>, Peněžnictví a pojišťovnictví</w:t>
      </w:r>
      <w:r w:rsidR="00017A85" w:rsidRPr="00D7081E">
        <w:t xml:space="preserve"> (</w:t>
      </w:r>
      <w:r w:rsidR="00FE2B8C" w:rsidRPr="00D7081E">
        <w:t>2,1 </w:t>
      </w:r>
      <w:r w:rsidR="00017A85" w:rsidRPr="00D7081E">
        <w:t>%)</w:t>
      </w:r>
      <w:r w:rsidR="00FE2B8C" w:rsidRPr="00D7081E">
        <w:t>, profesní, vědecké a technické činnosti (</w:t>
      </w:r>
      <w:r w:rsidR="00D7081E" w:rsidRPr="00D7081E">
        <w:t>2,2 %) a Činnosti v oblasti nemovitostí (2,7 %).</w:t>
      </w:r>
      <w:r w:rsidR="00017A85">
        <w:t xml:space="preserve"> </w:t>
      </w:r>
      <w:r w:rsidRPr="00C93E98">
        <w:t>Podrobněji viz</w:t>
      </w:r>
      <w:r w:rsidR="00D7081E">
        <w:t> </w:t>
      </w:r>
      <w:r w:rsidRPr="00C93E98">
        <w:t>graf 2.11 a tabulka 2.6.</w:t>
      </w:r>
    </w:p>
    <w:p w:rsidR="003704C9" w:rsidRDefault="00EE1040" w:rsidP="00EE1040">
      <w:pPr>
        <w:rPr>
          <w:rFonts w:cs="Arial"/>
          <w:color w:val="000000"/>
          <w:szCs w:val="16"/>
        </w:rPr>
      </w:pPr>
      <w:r>
        <w:rPr>
          <w:rFonts w:cs="Arial"/>
          <w:color w:val="000000"/>
          <w:szCs w:val="16"/>
        </w:rPr>
        <w:t xml:space="preserve">Ve </w:t>
      </w:r>
      <w:r w:rsidR="00D7081E" w:rsidRPr="00D7081E">
        <w:rPr>
          <w:rFonts w:cs="Arial"/>
          <w:color w:val="000000"/>
          <w:szCs w:val="16"/>
        </w:rPr>
        <w:t>více než polovině</w:t>
      </w:r>
      <w:r w:rsidRPr="00D7081E">
        <w:rPr>
          <w:rFonts w:cs="Arial"/>
          <w:color w:val="000000"/>
          <w:szCs w:val="16"/>
        </w:rPr>
        <w:t xml:space="preserve"> odvětvových sekcí</w:t>
      </w:r>
      <w:r w:rsidR="00C93E98" w:rsidRPr="00D7081E">
        <w:rPr>
          <w:rFonts w:cs="Arial"/>
          <w:color w:val="000000"/>
          <w:szCs w:val="16"/>
        </w:rPr>
        <w:t xml:space="preserve"> průměrné procento dočasné pracovní neschopnosti oproti rok</w:t>
      </w:r>
      <w:r w:rsidRPr="00D7081E">
        <w:rPr>
          <w:rFonts w:cs="Arial"/>
          <w:color w:val="000000"/>
          <w:szCs w:val="16"/>
        </w:rPr>
        <w:t>u 2019 pokleslo</w:t>
      </w:r>
      <w:r>
        <w:rPr>
          <w:rFonts w:cs="Arial"/>
          <w:color w:val="000000"/>
          <w:szCs w:val="16"/>
        </w:rPr>
        <w:t xml:space="preserve">. </w:t>
      </w:r>
      <w:r w:rsidRPr="00430091">
        <w:rPr>
          <w:rFonts w:cs="Arial"/>
          <w:color w:val="000000"/>
          <w:spacing w:val="2"/>
          <w:szCs w:val="16"/>
        </w:rPr>
        <w:t>Nejvíce v sekcích</w:t>
      </w:r>
      <w:r w:rsidR="00C93E98" w:rsidRPr="00430091">
        <w:rPr>
          <w:rFonts w:cs="Arial"/>
          <w:color w:val="000000"/>
          <w:spacing w:val="2"/>
          <w:szCs w:val="16"/>
        </w:rPr>
        <w:t xml:space="preserve"> </w:t>
      </w:r>
      <w:r w:rsidRPr="00430091">
        <w:rPr>
          <w:rFonts w:cs="Arial"/>
          <w:color w:val="000000"/>
          <w:spacing w:val="2"/>
          <w:szCs w:val="16"/>
        </w:rPr>
        <w:t>Ostatní činnosti</w:t>
      </w:r>
      <w:r w:rsidR="00FD286C">
        <w:rPr>
          <w:rFonts w:cs="Arial"/>
          <w:color w:val="000000"/>
          <w:spacing w:val="2"/>
          <w:szCs w:val="16"/>
        </w:rPr>
        <w:t xml:space="preserve">, </w:t>
      </w:r>
      <w:r w:rsidR="00D7081E">
        <w:rPr>
          <w:rFonts w:cs="Arial"/>
          <w:color w:val="000000"/>
          <w:spacing w:val="2"/>
          <w:szCs w:val="16"/>
        </w:rPr>
        <w:t>Peněžnictví a pojišťovnictví</w:t>
      </w:r>
      <w:r w:rsidRPr="00430091">
        <w:rPr>
          <w:rFonts w:cs="Arial"/>
          <w:color w:val="000000"/>
          <w:spacing w:val="2"/>
          <w:szCs w:val="16"/>
        </w:rPr>
        <w:t xml:space="preserve"> (</w:t>
      </w:r>
      <w:r w:rsidR="00D7081E" w:rsidRPr="00D7081E">
        <w:rPr>
          <w:rFonts w:cs="Arial"/>
          <w:color w:val="000000"/>
          <w:spacing w:val="2"/>
          <w:szCs w:val="16"/>
        </w:rPr>
        <w:t>shodně o 0,6</w:t>
      </w:r>
      <w:r w:rsidR="00D7081E">
        <w:rPr>
          <w:rFonts w:cs="Arial"/>
          <w:color w:val="000000"/>
          <w:spacing w:val="2"/>
          <w:szCs w:val="16"/>
        </w:rPr>
        <w:t xml:space="preserve"> p. b.) </w:t>
      </w:r>
      <w:r w:rsidR="00D7081E" w:rsidRPr="00FD286C">
        <w:rPr>
          <w:rFonts w:cs="Arial"/>
          <w:color w:val="000000"/>
          <w:spacing w:val="-2"/>
          <w:szCs w:val="16"/>
        </w:rPr>
        <w:t>či Info</w:t>
      </w:r>
      <w:r w:rsidR="00FD286C">
        <w:rPr>
          <w:rFonts w:cs="Arial"/>
          <w:color w:val="000000"/>
          <w:spacing w:val="-2"/>
          <w:szCs w:val="16"/>
        </w:rPr>
        <w:t xml:space="preserve">rmační a komunikační činnosti, </w:t>
      </w:r>
      <w:r w:rsidR="00FD286C" w:rsidRPr="00FD286C">
        <w:rPr>
          <w:rFonts w:cs="Arial"/>
          <w:color w:val="000000"/>
          <w:spacing w:val="-2"/>
          <w:szCs w:val="16"/>
        </w:rPr>
        <w:t xml:space="preserve">Velkoobchod a maloobchod; opravy a údržba motorových vozidel </w:t>
      </w:r>
      <w:r w:rsidRPr="00FD286C">
        <w:rPr>
          <w:rFonts w:cs="Arial"/>
          <w:color w:val="000000"/>
          <w:spacing w:val="-2"/>
          <w:szCs w:val="16"/>
        </w:rPr>
        <w:t>(</w:t>
      </w:r>
      <w:r w:rsidR="00D7081E" w:rsidRPr="00FD286C">
        <w:rPr>
          <w:rFonts w:cs="Arial"/>
          <w:color w:val="000000"/>
          <w:spacing w:val="-2"/>
          <w:szCs w:val="16"/>
        </w:rPr>
        <w:t>shodně o</w:t>
      </w:r>
      <w:r w:rsidR="00D7081E" w:rsidRPr="00FD286C">
        <w:rPr>
          <w:rFonts w:cs="Arial"/>
          <w:color w:val="000000"/>
          <w:szCs w:val="16"/>
        </w:rPr>
        <w:t xml:space="preserve"> 0,4</w:t>
      </w:r>
      <w:r w:rsidR="00FD286C" w:rsidRPr="00FD286C">
        <w:rPr>
          <w:rFonts w:cs="Arial"/>
          <w:color w:val="000000"/>
          <w:szCs w:val="16"/>
        </w:rPr>
        <w:t> </w:t>
      </w:r>
      <w:r w:rsidRPr="00FD286C">
        <w:rPr>
          <w:rFonts w:cs="Arial"/>
          <w:color w:val="000000"/>
          <w:szCs w:val="16"/>
        </w:rPr>
        <w:t>p.</w:t>
      </w:r>
      <w:r w:rsidR="00FD286C" w:rsidRPr="00FD286C">
        <w:rPr>
          <w:rFonts w:cs="Arial"/>
          <w:color w:val="000000"/>
          <w:szCs w:val="16"/>
        </w:rPr>
        <w:t> </w:t>
      </w:r>
      <w:r w:rsidRPr="00FD286C">
        <w:rPr>
          <w:rFonts w:cs="Arial"/>
          <w:color w:val="000000"/>
          <w:szCs w:val="16"/>
        </w:rPr>
        <w:t>b.).</w:t>
      </w:r>
      <w:r>
        <w:rPr>
          <w:rFonts w:cs="Arial"/>
          <w:color w:val="000000"/>
          <w:szCs w:val="16"/>
        </w:rPr>
        <w:t xml:space="preserve"> </w:t>
      </w:r>
      <w:r w:rsidR="00FD286C">
        <w:rPr>
          <w:rFonts w:cs="Arial"/>
          <w:color w:val="000000"/>
          <w:szCs w:val="16"/>
        </w:rPr>
        <w:t>Nejvyšší nárůst</w:t>
      </w:r>
      <w:r w:rsidR="00C93E98" w:rsidRPr="00C93E98">
        <w:rPr>
          <w:rFonts w:cs="Arial"/>
          <w:color w:val="000000"/>
          <w:szCs w:val="16"/>
        </w:rPr>
        <w:t xml:space="preserve"> </w:t>
      </w:r>
      <w:r>
        <w:rPr>
          <w:rFonts w:cs="Arial"/>
          <w:color w:val="000000"/>
          <w:szCs w:val="16"/>
        </w:rPr>
        <w:t xml:space="preserve">pak proběhl u sekcí </w:t>
      </w:r>
      <w:r w:rsidR="00C93E98" w:rsidRPr="00C93E98">
        <w:rPr>
          <w:rFonts w:cs="Arial"/>
          <w:color w:val="000000"/>
          <w:szCs w:val="16"/>
        </w:rPr>
        <w:t xml:space="preserve">Veřejná správa a obrana; povinné sociální zabezpečení a </w:t>
      </w:r>
      <w:r w:rsidR="00FD286C" w:rsidRPr="00C93E98">
        <w:rPr>
          <w:rFonts w:cs="Arial"/>
          <w:color w:val="000000"/>
          <w:szCs w:val="16"/>
        </w:rPr>
        <w:t>Zásobování vodou; činnosti so</w:t>
      </w:r>
      <w:r w:rsidR="00FD286C">
        <w:rPr>
          <w:rFonts w:cs="Arial"/>
          <w:color w:val="000000"/>
          <w:szCs w:val="16"/>
        </w:rPr>
        <w:t xml:space="preserve">uvisející s odpady a </w:t>
      </w:r>
      <w:r w:rsidR="00FD286C" w:rsidRPr="00FD286C">
        <w:rPr>
          <w:rFonts w:cs="Arial"/>
          <w:color w:val="000000"/>
          <w:szCs w:val="16"/>
        </w:rPr>
        <w:t xml:space="preserve">sanacemi </w:t>
      </w:r>
      <w:r w:rsidRPr="00FD286C">
        <w:rPr>
          <w:rFonts w:cs="Arial"/>
          <w:color w:val="000000"/>
          <w:szCs w:val="16"/>
        </w:rPr>
        <w:t>(</w:t>
      </w:r>
      <w:r w:rsidR="00FD286C">
        <w:rPr>
          <w:rFonts w:cs="Arial"/>
          <w:color w:val="000000"/>
          <w:szCs w:val="16"/>
        </w:rPr>
        <w:t xml:space="preserve">shodně </w:t>
      </w:r>
      <w:r w:rsidR="00FD286C" w:rsidRPr="00FD286C">
        <w:rPr>
          <w:rFonts w:cs="Arial"/>
          <w:color w:val="000000"/>
          <w:szCs w:val="16"/>
        </w:rPr>
        <w:t>o 0,2</w:t>
      </w:r>
      <w:r w:rsidRPr="00FD286C">
        <w:rPr>
          <w:rFonts w:cs="Arial"/>
          <w:color w:val="000000"/>
          <w:szCs w:val="16"/>
        </w:rPr>
        <w:t xml:space="preserve"> p. b.).</w:t>
      </w:r>
      <w:r w:rsidR="00C93E98" w:rsidRPr="00C93E98">
        <w:rPr>
          <w:rFonts w:cs="Arial"/>
          <w:color w:val="000000"/>
          <w:szCs w:val="16"/>
        </w:rPr>
        <w:t xml:space="preserve"> </w:t>
      </w:r>
      <w:r w:rsidR="00FD286C">
        <w:rPr>
          <w:rFonts w:cs="Arial"/>
          <w:color w:val="000000"/>
          <w:szCs w:val="16"/>
        </w:rPr>
        <w:t xml:space="preserve">Při srovnání s rokem 2014 zaznamenal poslední jmenovaný sektor </w:t>
      </w:r>
      <w:r>
        <w:rPr>
          <w:rFonts w:cs="Arial"/>
          <w:color w:val="000000"/>
          <w:szCs w:val="16"/>
        </w:rPr>
        <w:t>nejvyšší</w:t>
      </w:r>
      <w:r w:rsidR="00C93E98" w:rsidRPr="00C93E98">
        <w:rPr>
          <w:rFonts w:cs="Arial"/>
          <w:color w:val="000000"/>
          <w:szCs w:val="16"/>
        </w:rPr>
        <w:t xml:space="preserve"> nárůst</w:t>
      </w:r>
      <w:r>
        <w:rPr>
          <w:rFonts w:cs="Arial"/>
          <w:color w:val="000000"/>
          <w:szCs w:val="16"/>
        </w:rPr>
        <w:t xml:space="preserve"> </w:t>
      </w:r>
      <w:r w:rsidR="00C93E98" w:rsidRPr="00C93E98">
        <w:rPr>
          <w:rFonts w:cs="Arial"/>
          <w:color w:val="000000"/>
          <w:szCs w:val="16"/>
        </w:rPr>
        <w:t>průměrného procenta dočasné pracovní neschopnosti</w:t>
      </w:r>
      <w:r w:rsidR="00FD286C">
        <w:rPr>
          <w:rFonts w:cs="Arial"/>
          <w:color w:val="000000"/>
          <w:szCs w:val="16"/>
        </w:rPr>
        <w:t xml:space="preserve"> ze všech ostatních</w:t>
      </w:r>
      <w:r w:rsidRPr="00C93E98">
        <w:rPr>
          <w:rFonts w:cs="Arial"/>
          <w:color w:val="000000"/>
          <w:szCs w:val="16"/>
        </w:rPr>
        <w:t xml:space="preserve"> </w:t>
      </w:r>
      <w:r w:rsidR="00430091">
        <w:rPr>
          <w:rFonts w:cs="Arial"/>
          <w:color w:val="000000"/>
          <w:szCs w:val="16"/>
        </w:rPr>
        <w:t>(</w:t>
      </w:r>
      <w:r w:rsidR="00FD286C" w:rsidRPr="00FD286C">
        <w:rPr>
          <w:rFonts w:cs="Arial"/>
          <w:color w:val="000000"/>
          <w:szCs w:val="16"/>
        </w:rPr>
        <w:t>o 1,5</w:t>
      </w:r>
      <w:r w:rsidR="00C93E98" w:rsidRPr="00FD286C">
        <w:rPr>
          <w:rFonts w:cs="Arial"/>
          <w:color w:val="000000"/>
          <w:szCs w:val="16"/>
        </w:rPr>
        <w:t xml:space="preserve"> p. b.)</w:t>
      </w:r>
      <w:r w:rsidR="00FD286C" w:rsidRPr="00FD286C">
        <w:rPr>
          <w:rFonts w:cs="Arial"/>
          <w:color w:val="000000"/>
          <w:szCs w:val="16"/>
        </w:rPr>
        <w:t>, následovaný Zpracovatelským průmyslem</w:t>
      </w:r>
      <w:r w:rsidR="00C93E98" w:rsidRPr="00FD286C">
        <w:rPr>
          <w:rFonts w:cs="Arial"/>
          <w:color w:val="000000"/>
          <w:szCs w:val="16"/>
        </w:rPr>
        <w:t xml:space="preserve"> </w:t>
      </w:r>
      <w:r w:rsidR="00FD286C" w:rsidRPr="00FD286C">
        <w:rPr>
          <w:rFonts w:cs="Arial"/>
          <w:color w:val="000000"/>
          <w:szCs w:val="16"/>
        </w:rPr>
        <w:t>(o 1,4</w:t>
      </w:r>
      <w:r w:rsidR="00C93E98" w:rsidRPr="00FD286C">
        <w:rPr>
          <w:rFonts w:cs="Arial"/>
          <w:color w:val="000000"/>
          <w:szCs w:val="16"/>
        </w:rPr>
        <w:t> p. b.).</w:t>
      </w:r>
      <w:r w:rsidR="00430091">
        <w:rPr>
          <w:rFonts w:cs="Arial"/>
          <w:color w:val="000000"/>
          <w:szCs w:val="16"/>
        </w:rPr>
        <w:t xml:space="preserve"> Nejvýraznější pokles za to</w:t>
      </w:r>
      <w:r w:rsidR="00FD286C">
        <w:rPr>
          <w:rFonts w:cs="Arial"/>
          <w:color w:val="000000"/>
          <w:szCs w:val="16"/>
        </w:rPr>
        <w:t>to období naopak proběhl u sekce</w:t>
      </w:r>
      <w:r w:rsidR="00430091">
        <w:rPr>
          <w:rFonts w:cs="Arial"/>
          <w:color w:val="000000"/>
          <w:szCs w:val="16"/>
        </w:rPr>
        <w:t xml:space="preserve"> Peněžni</w:t>
      </w:r>
      <w:r w:rsidR="00FD286C">
        <w:rPr>
          <w:rFonts w:cs="Arial"/>
          <w:color w:val="000000"/>
          <w:szCs w:val="16"/>
        </w:rPr>
        <w:t xml:space="preserve">ctví a </w:t>
      </w:r>
      <w:r w:rsidR="00FD286C" w:rsidRPr="00FD286C">
        <w:rPr>
          <w:rFonts w:cs="Arial"/>
          <w:color w:val="000000"/>
          <w:szCs w:val="16"/>
        </w:rPr>
        <w:t>pojišťovnictví (o 0,3</w:t>
      </w:r>
      <w:r w:rsidR="00430091" w:rsidRPr="00FD286C">
        <w:rPr>
          <w:rFonts w:cs="Arial"/>
          <w:color w:val="000000"/>
          <w:szCs w:val="16"/>
        </w:rPr>
        <w:t xml:space="preserve"> p. b.).</w:t>
      </w:r>
    </w:p>
    <w:p w:rsidR="003704C9" w:rsidRDefault="003704C9">
      <w:pPr>
        <w:spacing w:after="0" w:line="240" w:lineRule="auto"/>
        <w:jc w:val="left"/>
        <w:rPr>
          <w:rFonts w:cs="Arial"/>
          <w:color w:val="000000"/>
          <w:szCs w:val="16"/>
        </w:rPr>
      </w:pPr>
      <w:r>
        <w:rPr>
          <w:rFonts w:cs="Arial"/>
          <w:color w:val="000000"/>
          <w:szCs w:val="16"/>
        </w:rPr>
        <w:br w:type="page"/>
      </w:r>
    </w:p>
    <w:p w:rsidR="00106FAD" w:rsidRDefault="003704C9" w:rsidP="003704C9">
      <w:pPr>
        <w:spacing w:after="0"/>
        <w:rPr>
          <w:rFonts w:cs="Arial"/>
          <w:b/>
          <w:color w:val="000000"/>
          <w:spacing w:val="-4"/>
          <w:szCs w:val="16"/>
        </w:rPr>
      </w:pPr>
      <w:r w:rsidRPr="003704C9">
        <w:rPr>
          <w:rFonts w:cs="Arial"/>
          <w:b/>
          <w:color w:val="000000"/>
          <w:spacing w:val="-4"/>
          <w:szCs w:val="16"/>
        </w:rPr>
        <w:lastRenderedPageBreak/>
        <w:t>Tab. 2.6: Průměrné procento dočasné pracovní neschopnosti podle odvětví (sekce CZ-NACE), 2014–2024</w:t>
      </w:r>
    </w:p>
    <w:tbl>
      <w:tblPr>
        <w:tblW w:w="9638" w:type="dxa"/>
        <w:tblCellMar>
          <w:left w:w="70" w:type="dxa"/>
          <w:right w:w="70" w:type="dxa"/>
        </w:tblCellMar>
        <w:tblLook w:val="04A0" w:firstRow="1" w:lastRow="0" w:firstColumn="1" w:lastColumn="0" w:noHBand="0" w:noVBand="1"/>
      </w:tblPr>
      <w:tblGrid>
        <w:gridCol w:w="3401"/>
        <w:gridCol w:w="567"/>
        <w:gridCol w:w="567"/>
        <w:gridCol w:w="567"/>
        <w:gridCol w:w="567"/>
        <w:gridCol w:w="567"/>
        <w:gridCol w:w="567"/>
        <w:gridCol w:w="567"/>
        <w:gridCol w:w="567"/>
        <w:gridCol w:w="567"/>
        <w:gridCol w:w="567"/>
        <w:gridCol w:w="567"/>
      </w:tblGrid>
      <w:tr w:rsidR="003704C9" w:rsidRPr="003704C9" w:rsidTr="003704C9">
        <w:trPr>
          <w:trHeight w:val="300"/>
        </w:trPr>
        <w:tc>
          <w:tcPr>
            <w:tcW w:w="3401" w:type="dxa"/>
            <w:tcBorders>
              <w:top w:val="single" w:sz="4" w:space="0" w:color="auto"/>
              <w:left w:val="nil"/>
              <w:bottom w:val="single" w:sz="4" w:space="0" w:color="auto"/>
              <w:right w:val="single" w:sz="4" w:space="0" w:color="auto"/>
            </w:tcBorders>
            <w:shd w:val="clear" w:color="auto" w:fill="E6C483"/>
            <w:vAlign w:val="center"/>
            <w:hideMark/>
          </w:tcPr>
          <w:p w:rsidR="003704C9" w:rsidRPr="003704C9" w:rsidRDefault="003704C9" w:rsidP="003704C9">
            <w:pPr>
              <w:spacing w:after="0" w:line="240" w:lineRule="auto"/>
              <w:jc w:val="center"/>
              <w:rPr>
                <w:rFonts w:cs="Arial"/>
                <w:color w:val="000000"/>
                <w:sz w:val="16"/>
                <w:szCs w:val="16"/>
              </w:rPr>
            </w:pPr>
            <w:r w:rsidRPr="003704C9">
              <w:rPr>
                <w:rFonts w:cs="Arial"/>
                <w:color w:val="000000"/>
                <w:sz w:val="16"/>
                <w:szCs w:val="16"/>
              </w:rPr>
              <w:t>Sekce CZ-NACE</w:t>
            </w:r>
          </w:p>
        </w:tc>
        <w:tc>
          <w:tcPr>
            <w:tcW w:w="567" w:type="dxa"/>
            <w:tcBorders>
              <w:top w:val="single" w:sz="4" w:space="0" w:color="auto"/>
              <w:left w:val="nil"/>
              <w:bottom w:val="single" w:sz="4" w:space="0" w:color="auto"/>
              <w:right w:val="nil"/>
            </w:tcBorders>
            <w:shd w:val="clear" w:color="auto" w:fill="E6C483"/>
            <w:noWrap/>
            <w:vAlign w:val="center"/>
            <w:hideMark/>
          </w:tcPr>
          <w:p w:rsidR="003704C9" w:rsidRPr="003704C9" w:rsidRDefault="003704C9" w:rsidP="003704C9">
            <w:pPr>
              <w:spacing w:after="0" w:line="240" w:lineRule="auto"/>
              <w:jc w:val="center"/>
              <w:rPr>
                <w:rFonts w:cs="Arial"/>
                <w:color w:val="000000"/>
                <w:sz w:val="16"/>
                <w:szCs w:val="16"/>
              </w:rPr>
            </w:pPr>
            <w:r w:rsidRPr="003704C9">
              <w:rPr>
                <w:rFonts w:cs="Arial"/>
                <w:color w:val="000000"/>
                <w:sz w:val="16"/>
                <w:szCs w:val="16"/>
              </w:rPr>
              <w:t>201</w:t>
            </w:r>
            <w:r>
              <w:rPr>
                <w:rFonts w:cs="Arial"/>
                <w:color w:val="000000"/>
                <w:sz w:val="16"/>
                <w:szCs w:val="16"/>
              </w:rPr>
              <w:t>4</w:t>
            </w:r>
          </w:p>
        </w:tc>
        <w:tc>
          <w:tcPr>
            <w:tcW w:w="567" w:type="dxa"/>
            <w:tcBorders>
              <w:top w:val="single" w:sz="4" w:space="0" w:color="auto"/>
              <w:left w:val="nil"/>
              <w:bottom w:val="single" w:sz="4" w:space="0" w:color="auto"/>
              <w:right w:val="nil"/>
            </w:tcBorders>
            <w:shd w:val="clear" w:color="auto" w:fill="E6C483"/>
            <w:noWrap/>
            <w:vAlign w:val="center"/>
            <w:hideMark/>
          </w:tcPr>
          <w:p w:rsidR="003704C9" w:rsidRPr="003704C9" w:rsidRDefault="003704C9" w:rsidP="003704C9">
            <w:pPr>
              <w:spacing w:after="0" w:line="240" w:lineRule="auto"/>
              <w:jc w:val="center"/>
              <w:rPr>
                <w:rFonts w:cs="Arial"/>
                <w:color w:val="000000"/>
                <w:sz w:val="16"/>
                <w:szCs w:val="16"/>
              </w:rPr>
            </w:pPr>
            <w:r>
              <w:rPr>
                <w:rFonts w:cs="Arial"/>
                <w:color w:val="000000"/>
                <w:sz w:val="16"/>
                <w:szCs w:val="16"/>
              </w:rPr>
              <w:t>2015</w:t>
            </w:r>
          </w:p>
        </w:tc>
        <w:tc>
          <w:tcPr>
            <w:tcW w:w="567" w:type="dxa"/>
            <w:tcBorders>
              <w:top w:val="single" w:sz="4" w:space="0" w:color="auto"/>
              <w:left w:val="nil"/>
              <w:bottom w:val="single" w:sz="4" w:space="0" w:color="auto"/>
              <w:right w:val="nil"/>
            </w:tcBorders>
            <w:shd w:val="clear" w:color="auto" w:fill="E6C483"/>
            <w:noWrap/>
            <w:vAlign w:val="center"/>
            <w:hideMark/>
          </w:tcPr>
          <w:p w:rsidR="003704C9" w:rsidRPr="003704C9" w:rsidRDefault="003704C9" w:rsidP="003704C9">
            <w:pPr>
              <w:spacing w:after="0" w:line="240" w:lineRule="auto"/>
              <w:jc w:val="center"/>
              <w:rPr>
                <w:rFonts w:cs="Arial"/>
                <w:color w:val="000000"/>
                <w:sz w:val="16"/>
                <w:szCs w:val="16"/>
              </w:rPr>
            </w:pPr>
            <w:r>
              <w:rPr>
                <w:rFonts w:cs="Arial"/>
                <w:color w:val="000000"/>
                <w:sz w:val="16"/>
                <w:szCs w:val="16"/>
              </w:rPr>
              <w:t>2016</w:t>
            </w:r>
          </w:p>
        </w:tc>
        <w:tc>
          <w:tcPr>
            <w:tcW w:w="567" w:type="dxa"/>
            <w:tcBorders>
              <w:top w:val="single" w:sz="4" w:space="0" w:color="auto"/>
              <w:left w:val="nil"/>
              <w:bottom w:val="single" w:sz="4" w:space="0" w:color="auto"/>
              <w:right w:val="nil"/>
            </w:tcBorders>
            <w:shd w:val="clear" w:color="auto" w:fill="E6C483"/>
            <w:noWrap/>
            <w:vAlign w:val="center"/>
            <w:hideMark/>
          </w:tcPr>
          <w:p w:rsidR="003704C9" w:rsidRPr="003704C9" w:rsidRDefault="003704C9" w:rsidP="003704C9">
            <w:pPr>
              <w:spacing w:after="0" w:line="240" w:lineRule="auto"/>
              <w:jc w:val="center"/>
              <w:rPr>
                <w:rFonts w:cs="Arial"/>
                <w:color w:val="000000"/>
                <w:sz w:val="16"/>
                <w:szCs w:val="16"/>
              </w:rPr>
            </w:pPr>
            <w:r>
              <w:rPr>
                <w:rFonts w:cs="Arial"/>
                <w:color w:val="000000"/>
                <w:sz w:val="16"/>
                <w:szCs w:val="16"/>
              </w:rPr>
              <w:t>2017</w:t>
            </w:r>
          </w:p>
        </w:tc>
        <w:tc>
          <w:tcPr>
            <w:tcW w:w="567" w:type="dxa"/>
            <w:tcBorders>
              <w:top w:val="single" w:sz="4" w:space="0" w:color="auto"/>
              <w:left w:val="nil"/>
              <w:bottom w:val="single" w:sz="4" w:space="0" w:color="auto"/>
              <w:right w:val="nil"/>
            </w:tcBorders>
            <w:shd w:val="clear" w:color="auto" w:fill="E6C483"/>
            <w:noWrap/>
            <w:vAlign w:val="center"/>
            <w:hideMark/>
          </w:tcPr>
          <w:p w:rsidR="003704C9" w:rsidRPr="003704C9" w:rsidRDefault="003704C9" w:rsidP="003704C9">
            <w:pPr>
              <w:spacing w:after="0" w:line="240" w:lineRule="auto"/>
              <w:jc w:val="center"/>
              <w:rPr>
                <w:rFonts w:cs="Arial"/>
                <w:color w:val="000000"/>
                <w:sz w:val="16"/>
                <w:szCs w:val="16"/>
              </w:rPr>
            </w:pPr>
            <w:r>
              <w:rPr>
                <w:rFonts w:cs="Arial"/>
                <w:color w:val="000000"/>
                <w:sz w:val="16"/>
                <w:szCs w:val="16"/>
              </w:rPr>
              <w:t>2018</w:t>
            </w:r>
          </w:p>
        </w:tc>
        <w:tc>
          <w:tcPr>
            <w:tcW w:w="567" w:type="dxa"/>
            <w:tcBorders>
              <w:top w:val="single" w:sz="4" w:space="0" w:color="auto"/>
              <w:left w:val="nil"/>
              <w:bottom w:val="single" w:sz="4" w:space="0" w:color="auto"/>
              <w:right w:val="nil"/>
            </w:tcBorders>
            <w:shd w:val="clear" w:color="auto" w:fill="E6C483"/>
            <w:noWrap/>
            <w:vAlign w:val="center"/>
            <w:hideMark/>
          </w:tcPr>
          <w:p w:rsidR="003704C9" w:rsidRPr="003704C9" w:rsidRDefault="003704C9" w:rsidP="003704C9">
            <w:pPr>
              <w:spacing w:after="0" w:line="240" w:lineRule="auto"/>
              <w:jc w:val="center"/>
              <w:rPr>
                <w:rFonts w:cs="Arial"/>
                <w:color w:val="000000"/>
                <w:sz w:val="16"/>
                <w:szCs w:val="16"/>
              </w:rPr>
            </w:pPr>
            <w:r w:rsidRPr="003704C9">
              <w:rPr>
                <w:rFonts w:cs="Arial"/>
                <w:color w:val="000000"/>
                <w:sz w:val="16"/>
                <w:szCs w:val="16"/>
              </w:rPr>
              <w:t>201</w:t>
            </w:r>
            <w:r>
              <w:rPr>
                <w:rFonts w:cs="Arial"/>
                <w:color w:val="000000"/>
                <w:sz w:val="16"/>
                <w:szCs w:val="16"/>
              </w:rPr>
              <w:t>9</w:t>
            </w:r>
          </w:p>
        </w:tc>
        <w:tc>
          <w:tcPr>
            <w:tcW w:w="567" w:type="dxa"/>
            <w:tcBorders>
              <w:top w:val="single" w:sz="4" w:space="0" w:color="auto"/>
              <w:left w:val="nil"/>
              <w:bottom w:val="single" w:sz="4" w:space="0" w:color="auto"/>
              <w:right w:val="nil"/>
            </w:tcBorders>
            <w:shd w:val="clear" w:color="auto" w:fill="E6C483"/>
            <w:noWrap/>
            <w:vAlign w:val="center"/>
            <w:hideMark/>
          </w:tcPr>
          <w:p w:rsidR="003704C9" w:rsidRPr="003704C9" w:rsidRDefault="003704C9" w:rsidP="003704C9">
            <w:pPr>
              <w:spacing w:after="0" w:line="240" w:lineRule="auto"/>
              <w:jc w:val="center"/>
              <w:rPr>
                <w:rFonts w:cs="Arial"/>
                <w:color w:val="000000"/>
                <w:sz w:val="16"/>
                <w:szCs w:val="16"/>
              </w:rPr>
            </w:pPr>
            <w:r>
              <w:rPr>
                <w:rFonts w:cs="Arial"/>
                <w:color w:val="000000"/>
                <w:sz w:val="16"/>
                <w:szCs w:val="16"/>
              </w:rPr>
              <w:t>2020</w:t>
            </w:r>
          </w:p>
        </w:tc>
        <w:tc>
          <w:tcPr>
            <w:tcW w:w="567" w:type="dxa"/>
            <w:tcBorders>
              <w:top w:val="single" w:sz="4" w:space="0" w:color="auto"/>
              <w:left w:val="nil"/>
              <w:bottom w:val="single" w:sz="4" w:space="0" w:color="auto"/>
              <w:right w:val="nil"/>
            </w:tcBorders>
            <w:shd w:val="clear" w:color="auto" w:fill="E6C483"/>
            <w:noWrap/>
            <w:vAlign w:val="center"/>
            <w:hideMark/>
          </w:tcPr>
          <w:p w:rsidR="003704C9" w:rsidRPr="003704C9" w:rsidRDefault="003704C9" w:rsidP="003704C9">
            <w:pPr>
              <w:spacing w:after="0" w:line="240" w:lineRule="auto"/>
              <w:jc w:val="center"/>
              <w:rPr>
                <w:rFonts w:cs="Arial"/>
                <w:color w:val="000000"/>
                <w:sz w:val="16"/>
                <w:szCs w:val="16"/>
              </w:rPr>
            </w:pPr>
            <w:r>
              <w:rPr>
                <w:rFonts w:cs="Arial"/>
                <w:color w:val="000000"/>
                <w:sz w:val="16"/>
                <w:szCs w:val="16"/>
              </w:rPr>
              <w:t>2021</w:t>
            </w:r>
          </w:p>
        </w:tc>
        <w:tc>
          <w:tcPr>
            <w:tcW w:w="567" w:type="dxa"/>
            <w:tcBorders>
              <w:top w:val="single" w:sz="4" w:space="0" w:color="auto"/>
              <w:bottom w:val="single" w:sz="4" w:space="0" w:color="auto"/>
            </w:tcBorders>
            <w:shd w:val="clear" w:color="auto" w:fill="E6C483"/>
            <w:vAlign w:val="center"/>
          </w:tcPr>
          <w:p w:rsidR="003704C9" w:rsidRPr="003704C9" w:rsidRDefault="003704C9" w:rsidP="003704C9">
            <w:pPr>
              <w:spacing w:after="0" w:line="240" w:lineRule="auto"/>
              <w:jc w:val="center"/>
            </w:pPr>
            <w:r w:rsidRPr="003704C9">
              <w:rPr>
                <w:rFonts w:cs="Arial"/>
                <w:color w:val="000000"/>
                <w:sz w:val="16"/>
                <w:szCs w:val="16"/>
              </w:rPr>
              <w:t>202</w:t>
            </w:r>
            <w:r>
              <w:rPr>
                <w:rFonts w:cs="Arial"/>
                <w:color w:val="000000"/>
                <w:sz w:val="16"/>
                <w:szCs w:val="16"/>
              </w:rPr>
              <w:t>2*</w:t>
            </w:r>
          </w:p>
        </w:tc>
        <w:tc>
          <w:tcPr>
            <w:tcW w:w="567" w:type="dxa"/>
            <w:tcBorders>
              <w:top w:val="single" w:sz="4" w:space="0" w:color="auto"/>
              <w:bottom w:val="single" w:sz="4" w:space="0" w:color="auto"/>
            </w:tcBorders>
            <w:shd w:val="clear" w:color="auto" w:fill="E6C483"/>
            <w:vAlign w:val="center"/>
          </w:tcPr>
          <w:p w:rsidR="003704C9" w:rsidRPr="003704C9" w:rsidRDefault="003704C9" w:rsidP="003704C9">
            <w:pPr>
              <w:spacing w:after="0" w:line="240" w:lineRule="auto"/>
              <w:jc w:val="center"/>
              <w:rPr>
                <w:rFonts w:cs="Arial"/>
                <w:color w:val="000000"/>
                <w:sz w:val="16"/>
                <w:szCs w:val="16"/>
              </w:rPr>
            </w:pPr>
            <w:r>
              <w:rPr>
                <w:rFonts w:cs="Arial"/>
                <w:color w:val="000000"/>
                <w:sz w:val="16"/>
                <w:szCs w:val="16"/>
              </w:rPr>
              <w:t>2023</w:t>
            </w:r>
          </w:p>
        </w:tc>
        <w:tc>
          <w:tcPr>
            <w:tcW w:w="567" w:type="dxa"/>
            <w:tcBorders>
              <w:top w:val="single" w:sz="4" w:space="0" w:color="auto"/>
              <w:bottom w:val="single" w:sz="4" w:space="0" w:color="auto"/>
            </w:tcBorders>
            <w:shd w:val="clear" w:color="auto" w:fill="E6C483"/>
            <w:vAlign w:val="center"/>
          </w:tcPr>
          <w:p w:rsidR="003704C9" w:rsidRPr="00D7081E" w:rsidRDefault="003704C9" w:rsidP="003704C9">
            <w:pPr>
              <w:spacing w:after="0" w:line="240" w:lineRule="auto"/>
              <w:jc w:val="center"/>
              <w:rPr>
                <w:rFonts w:cs="Arial"/>
                <w:color w:val="000000"/>
                <w:sz w:val="16"/>
                <w:szCs w:val="16"/>
              </w:rPr>
            </w:pPr>
            <w:r w:rsidRPr="00D7081E">
              <w:rPr>
                <w:rFonts w:cs="Arial"/>
                <w:color w:val="000000"/>
                <w:sz w:val="16"/>
                <w:szCs w:val="16"/>
              </w:rPr>
              <w:t>2024</w:t>
            </w:r>
          </w:p>
        </w:tc>
      </w:tr>
      <w:tr w:rsidR="003704C9" w:rsidRPr="003704C9" w:rsidTr="003704C9">
        <w:trPr>
          <w:trHeight w:val="300"/>
        </w:trPr>
        <w:tc>
          <w:tcPr>
            <w:tcW w:w="3401" w:type="dxa"/>
            <w:tcBorders>
              <w:top w:val="nil"/>
              <w:left w:val="nil"/>
              <w:bottom w:val="nil"/>
              <w:right w:val="single" w:sz="4" w:space="0" w:color="auto"/>
            </w:tcBorders>
            <w:shd w:val="clear" w:color="auto" w:fill="auto"/>
            <w:vAlign w:val="center"/>
            <w:hideMark/>
          </w:tcPr>
          <w:p w:rsidR="003704C9" w:rsidRPr="003704C9" w:rsidRDefault="003704C9" w:rsidP="003704C9">
            <w:pPr>
              <w:spacing w:after="0" w:line="240" w:lineRule="auto"/>
              <w:jc w:val="left"/>
              <w:rPr>
                <w:rFonts w:cs="Arial"/>
                <w:b/>
                <w:bCs/>
                <w:color w:val="000000"/>
                <w:sz w:val="16"/>
                <w:szCs w:val="16"/>
              </w:rPr>
            </w:pPr>
            <w:r w:rsidRPr="003704C9">
              <w:rPr>
                <w:rFonts w:cs="Arial"/>
                <w:b/>
                <w:bCs/>
                <w:color w:val="000000"/>
                <w:sz w:val="16"/>
                <w:szCs w:val="16"/>
              </w:rPr>
              <w:t>Celkem</w:t>
            </w:r>
          </w:p>
        </w:tc>
        <w:tc>
          <w:tcPr>
            <w:tcW w:w="567" w:type="dxa"/>
            <w:tcBorders>
              <w:top w:val="nil"/>
              <w:left w:val="nil"/>
              <w:bottom w:val="nil"/>
              <w:right w:val="nil"/>
            </w:tcBorders>
            <w:shd w:val="clear" w:color="auto" w:fill="auto"/>
            <w:noWrap/>
            <w:vAlign w:val="center"/>
            <w:hideMark/>
          </w:tcPr>
          <w:p w:rsidR="003704C9" w:rsidRPr="003704C9" w:rsidRDefault="003704C9" w:rsidP="003704C9">
            <w:pPr>
              <w:spacing w:after="0" w:line="240" w:lineRule="auto"/>
              <w:jc w:val="center"/>
              <w:rPr>
                <w:rFonts w:cs="Arial"/>
                <w:b/>
                <w:bCs/>
                <w:color w:val="000000"/>
                <w:sz w:val="16"/>
                <w:szCs w:val="16"/>
              </w:rPr>
            </w:pPr>
            <w:r w:rsidRPr="003704C9">
              <w:rPr>
                <w:rFonts w:cs="Arial"/>
                <w:b/>
                <w:bCs/>
                <w:color w:val="000000"/>
                <w:sz w:val="16"/>
                <w:szCs w:val="16"/>
              </w:rPr>
              <w:t>3,7</w:t>
            </w:r>
          </w:p>
        </w:tc>
        <w:tc>
          <w:tcPr>
            <w:tcW w:w="567" w:type="dxa"/>
            <w:tcBorders>
              <w:top w:val="nil"/>
              <w:left w:val="nil"/>
              <w:bottom w:val="nil"/>
              <w:right w:val="nil"/>
            </w:tcBorders>
            <w:shd w:val="clear" w:color="auto" w:fill="auto"/>
            <w:noWrap/>
            <w:vAlign w:val="center"/>
            <w:hideMark/>
          </w:tcPr>
          <w:p w:rsidR="003704C9" w:rsidRPr="003704C9" w:rsidRDefault="003704C9" w:rsidP="003704C9">
            <w:pPr>
              <w:spacing w:after="0" w:line="240" w:lineRule="auto"/>
              <w:jc w:val="center"/>
              <w:rPr>
                <w:rFonts w:cs="Arial"/>
                <w:b/>
                <w:bCs/>
                <w:color w:val="000000"/>
                <w:sz w:val="16"/>
                <w:szCs w:val="16"/>
              </w:rPr>
            </w:pPr>
            <w:r w:rsidRPr="003704C9">
              <w:rPr>
                <w:rFonts w:cs="Arial"/>
                <w:b/>
                <w:bCs/>
                <w:color w:val="000000"/>
                <w:sz w:val="16"/>
                <w:szCs w:val="16"/>
              </w:rPr>
              <w:t>4,1</w:t>
            </w:r>
          </w:p>
        </w:tc>
        <w:tc>
          <w:tcPr>
            <w:tcW w:w="567" w:type="dxa"/>
            <w:tcBorders>
              <w:top w:val="nil"/>
              <w:left w:val="nil"/>
              <w:bottom w:val="nil"/>
              <w:right w:val="nil"/>
            </w:tcBorders>
            <w:shd w:val="clear" w:color="auto" w:fill="auto"/>
            <w:noWrap/>
            <w:vAlign w:val="center"/>
            <w:hideMark/>
          </w:tcPr>
          <w:p w:rsidR="003704C9" w:rsidRPr="003704C9" w:rsidRDefault="003704C9" w:rsidP="003704C9">
            <w:pPr>
              <w:spacing w:after="0" w:line="240" w:lineRule="auto"/>
              <w:jc w:val="center"/>
              <w:rPr>
                <w:rFonts w:cs="Arial"/>
                <w:b/>
                <w:bCs/>
                <w:color w:val="000000"/>
                <w:sz w:val="16"/>
                <w:szCs w:val="16"/>
              </w:rPr>
            </w:pPr>
            <w:r w:rsidRPr="003704C9">
              <w:rPr>
                <w:rFonts w:cs="Arial"/>
                <w:b/>
                <w:bCs/>
                <w:color w:val="000000"/>
                <w:sz w:val="16"/>
                <w:szCs w:val="16"/>
              </w:rPr>
              <w:t>4,2</w:t>
            </w:r>
          </w:p>
        </w:tc>
        <w:tc>
          <w:tcPr>
            <w:tcW w:w="567" w:type="dxa"/>
            <w:tcBorders>
              <w:top w:val="nil"/>
              <w:left w:val="nil"/>
              <w:bottom w:val="nil"/>
              <w:right w:val="nil"/>
            </w:tcBorders>
            <w:shd w:val="clear" w:color="auto" w:fill="auto"/>
            <w:noWrap/>
            <w:vAlign w:val="center"/>
            <w:hideMark/>
          </w:tcPr>
          <w:p w:rsidR="003704C9" w:rsidRPr="003704C9" w:rsidRDefault="003704C9" w:rsidP="003704C9">
            <w:pPr>
              <w:spacing w:after="0" w:line="240" w:lineRule="auto"/>
              <w:jc w:val="center"/>
              <w:rPr>
                <w:rFonts w:cs="Arial"/>
                <w:b/>
                <w:bCs/>
                <w:color w:val="000000"/>
                <w:sz w:val="16"/>
                <w:szCs w:val="16"/>
              </w:rPr>
            </w:pPr>
            <w:r w:rsidRPr="003704C9">
              <w:rPr>
                <w:rFonts w:cs="Arial"/>
                <w:b/>
                <w:bCs/>
                <w:color w:val="000000"/>
                <w:sz w:val="16"/>
                <w:szCs w:val="16"/>
              </w:rPr>
              <w:t>4,3</w:t>
            </w:r>
          </w:p>
        </w:tc>
        <w:tc>
          <w:tcPr>
            <w:tcW w:w="567" w:type="dxa"/>
            <w:tcBorders>
              <w:top w:val="nil"/>
              <w:left w:val="nil"/>
              <w:bottom w:val="nil"/>
              <w:right w:val="nil"/>
            </w:tcBorders>
            <w:shd w:val="clear" w:color="auto" w:fill="auto"/>
            <w:noWrap/>
            <w:vAlign w:val="center"/>
            <w:hideMark/>
          </w:tcPr>
          <w:p w:rsidR="003704C9" w:rsidRPr="003704C9" w:rsidRDefault="003704C9" w:rsidP="003704C9">
            <w:pPr>
              <w:spacing w:after="0" w:line="240" w:lineRule="auto"/>
              <w:jc w:val="center"/>
              <w:rPr>
                <w:rFonts w:cs="Arial"/>
                <w:b/>
                <w:bCs/>
                <w:color w:val="000000"/>
                <w:sz w:val="16"/>
                <w:szCs w:val="16"/>
              </w:rPr>
            </w:pPr>
            <w:r w:rsidRPr="003704C9">
              <w:rPr>
                <w:rFonts w:cs="Arial"/>
                <w:b/>
                <w:bCs/>
                <w:color w:val="000000"/>
                <w:sz w:val="16"/>
                <w:szCs w:val="16"/>
              </w:rPr>
              <w:t>4,5</w:t>
            </w:r>
          </w:p>
        </w:tc>
        <w:tc>
          <w:tcPr>
            <w:tcW w:w="567" w:type="dxa"/>
            <w:tcBorders>
              <w:top w:val="nil"/>
              <w:left w:val="nil"/>
              <w:bottom w:val="nil"/>
              <w:right w:val="nil"/>
            </w:tcBorders>
            <w:shd w:val="clear" w:color="auto" w:fill="auto"/>
            <w:noWrap/>
            <w:vAlign w:val="center"/>
            <w:hideMark/>
          </w:tcPr>
          <w:p w:rsidR="003704C9" w:rsidRPr="003704C9" w:rsidRDefault="003704C9" w:rsidP="003704C9">
            <w:pPr>
              <w:spacing w:after="0" w:line="240" w:lineRule="auto"/>
              <w:jc w:val="center"/>
              <w:rPr>
                <w:rFonts w:cs="Arial"/>
                <w:b/>
                <w:bCs/>
                <w:color w:val="000000"/>
                <w:sz w:val="16"/>
                <w:szCs w:val="16"/>
              </w:rPr>
            </w:pPr>
            <w:r w:rsidRPr="003704C9">
              <w:rPr>
                <w:rFonts w:cs="Arial"/>
                <w:b/>
                <w:bCs/>
                <w:color w:val="000000"/>
                <w:sz w:val="16"/>
                <w:szCs w:val="16"/>
              </w:rPr>
              <w:t>4,7</w:t>
            </w:r>
          </w:p>
        </w:tc>
        <w:tc>
          <w:tcPr>
            <w:tcW w:w="567" w:type="dxa"/>
            <w:tcBorders>
              <w:top w:val="nil"/>
              <w:left w:val="nil"/>
              <w:bottom w:val="nil"/>
              <w:right w:val="nil"/>
            </w:tcBorders>
            <w:shd w:val="clear" w:color="auto" w:fill="auto"/>
            <w:noWrap/>
            <w:vAlign w:val="center"/>
            <w:hideMark/>
          </w:tcPr>
          <w:p w:rsidR="003704C9" w:rsidRPr="003704C9" w:rsidRDefault="003704C9" w:rsidP="003704C9">
            <w:pPr>
              <w:spacing w:after="0" w:line="240" w:lineRule="auto"/>
              <w:jc w:val="center"/>
              <w:rPr>
                <w:rFonts w:cs="Arial"/>
                <w:b/>
                <w:bCs/>
                <w:color w:val="000000"/>
                <w:sz w:val="16"/>
                <w:szCs w:val="16"/>
              </w:rPr>
            </w:pPr>
            <w:r w:rsidRPr="003704C9">
              <w:rPr>
                <w:rFonts w:cs="Arial"/>
                <w:b/>
                <w:bCs/>
                <w:color w:val="000000"/>
                <w:sz w:val="16"/>
                <w:szCs w:val="16"/>
              </w:rPr>
              <w:t>5,5</w:t>
            </w:r>
          </w:p>
        </w:tc>
        <w:tc>
          <w:tcPr>
            <w:tcW w:w="567" w:type="dxa"/>
            <w:tcBorders>
              <w:top w:val="nil"/>
              <w:left w:val="nil"/>
              <w:bottom w:val="nil"/>
              <w:right w:val="nil"/>
            </w:tcBorders>
            <w:shd w:val="clear" w:color="auto" w:fill="auto"/>
            <w:noWrap/>
            <w:vAlign w:val="center"/>
            <w:hideMark/>
          </w:tcPr>
          <w:p w:rsidR="003704C9" w:rsidRPr="003704C9" w:rsidRDefault="003704C9" w:rsidP="003704C9">
            <w:pPr>
              <w:spacing w:after="0" w:line="240" w:lineRule="auto"/>
              <w:jc w:val="center"/>
            </w:pPr>
            <w:r w:rsidRPr="003704C9">
              <w:rPr>
                <w:rFonts w:cs="Arial"/>
                <w:b/>
                <w:bCs/>
                <w:color w:val="000000"/>
                <w:sz w:val="16"/>
                <w:szCs w:val="16"/>
              </w:rPr>
              <w:t>5,5</w:t>
            </w:r>
          </w:p>
        </w:tc>
        <w:tc>
          <w:tcPr>
            <w:tcW w:w="567" w:type="dxa"/>
            <w:tcBorders>
              <w:top w:val="single" w:sz="4" w:space="0" w:color="auto"/>
            </w:tcBorders>
            <w:vAlign w:val="center"/>
          </w:tcPr>
          <w:p w:rsidR="003704C9" w:rsidRPr="003704C9" w:rsidRDefault="003704C9" w:rsidP="003704C9">
            <w:pPr>
              <w:spacing w:after="0" w:line="240" w:lineRule="auto"/>
              <w:jc w:val="center"/>
              <w:rPr>
                <w:rFonts w:cs="Arial"/>
                <w:b/>
                <w:bCs/>
                <w:color w:val="000000"/>
                <w:sz w:val="16"/>
                <w:szCs w:val="16"/>
              </w:rPr>
            </w:pPr>
            <w:r w:rsidRPr="003704C9">
              <w:rPr>
                <w:rFonts w:cs="Arial"/>
                <w:b/>
                <w:bCs/>
                <w:color w:val="000000"/>
                <w:sz w:val="16"/>
                <w:szCs w:val="16"/>
              </w:rPr>
              <w:t>5,3</w:t>
            </w:r>
          </w:p>
        </w:tc>
        <w:tc>
          <w:tcPr>
            <w:tcW w:w="567" w:type="dxa"/>
            <w:tcBorders>
              <w:top w:val="single" w:sz="4" w:space="0" w:color="auto"/>
            </w:tcBorders>
            <w:vAlign w:val="center"/>
          </w:tcPr>
          <w:p w:rsidR="003704C9" w:rsidRPr="003704C9" w:rsidRDefault="003704C9" w:rsidP="003704C9">
            <w:pPr>
              <w:spacing w:after="0" w:line="240" w:lineRule="auto"/>
              <w:jc w:val="center"/>
              <w:rPr>
                <w:rFonts w:cs="Arial"/>
                <w:b/>
                <w:bCs/>
                <w:color w:val="000000"/>
                <w:sz w:val="16"/>
                <w:szCs w:val="16"/>
              </w:rPr>
            </w:pPr>
            <w:r w:rsidRPr="003704C9">
              <w:rPr>
                <w:rFonts w:cs="Arial"/>
                <w:b/>
                <w:bCs/>
                <w:color w:val="000000"/>
                <w:sz w:val="16"/>
                <w:szCs w:val="16"/>
              </w:rPr>
              <w:t>4,6</w:t>
            </w:r>
          </w:p>
        </w:tc>
        <w:tc>
          <w:tcPr>
            <w:tcW w:w="567" w:type="dxa"/>
            <w:tcBorders>
              <w:top w:val="single" w:sz="4" w:space="0" w:color="auto"/>
            </w:tcBorders>
            <w:vAlign w:val="center"/>
          </w:tcPr>
          <w:p w:rsidR="003704C9" w:rsidRPr="00D7081E" w:rsidRDefault="00D7081E" w:rsidP="003704C9">
            <w:pPr>
              <w:spacing w:after="0" w:line="240" w:lineRule="auto"/>
              <w:jc w:val="center"/>
              <w:rPr>
                <w:rFonts w:cs="Arial"/>
                <w:b/>
                <w:bCs/>
                <w:color w:val="000000"/>
                <w:sz w:val="16"/>
                <w:szCs w:val="16"/>
              </w:rPr>
            </w:pPr>
            <w:r w:rsidRPr="00D7081E">
              <w:rPr>
                <w:rFonts w:cs="Arial"/>
                <w:b/>
                <w:bCs/>
                <w:color w:val="000000"/>
                <w:sz w:val="16"/>
                <w:szCs w:val="16"/>
              </w:rPr>
              <w:t>4,5</w:t>
            </w:r>
          </w:p>
        </w:tc>
      </w:tr>
      <w:tr w:rsidR="003704C9" w:rsidRPr="003704C9" w:rsidTr="003704C9">
        <w:trPr>
          <w:trHeight w:val="300"/>
        </w:trPr>
        <w:tc>
          <w:tcPr>
            <w:tcW w:w="3401" w:type="dxa"/>
            <w:tcBorders>
              <w:top w:val="nil"/>
              <w:left w:val="nil"/>
              <w:bottom w:val="nil"/>
              <w:right w:val="single" w:sz="4" w:space="0" w:color="auto"/>
            </w:tcBorders>
            <w:shd w:val="clear" w:color="auto" w:fill="auto"/>
            <w:vAlign w:val="center"/>
            <w:hideMark/>
          </w:tcPr>
          <w:p w:rsidR="003704C9" w:rsidRPr="003704C9" w:rsidRDefault="003704C9" w:rsidP="003704C9">
            <w:pPr>
              <w:spacing w:after="0" w:line="240" w:lineRule="auto"/>
              <w:ind w:firstLineChars="100" w:firstLine="160"/>
              <w:jc w:val="left"/>
              <w:rPr>
                <w:rFonts w:cs="Arial"/>
                <w:color w:val="000000"/>
                <w:sz w:val="16"/>
                <w:szCs w:val="16"/>
              </w:rPr>
            </w:pPr>
            <w:r w:rsidRPr="003704C9">
              <w:rPr>
                <w:rFonts w:cs="Arial"/>
                <w:color w:val="000000"/>
                <w:sz w:val="16"/>
                <w:szCs w:val="16"/>
              </w:rPr>
              <w:t>A – Zemědělství, lesnictví a rybářství</w:t>
            </w:r>
          </w:p>
        </w:tc>
        <w:tc>
          <w:tcPr>
            <w:tcW w:w="567" w:type="dxa"/>
            <w:tcBorders>
              <w:top w:val="nil"/>
              <w:left w:val="nil"/>
              <w:bottom w:val="nil"/>
              <w:right w:val="nil"/>
            </w:tcBorders>
            <w:shd w:val="clear" w:color="auto" w:fill="auto"/>
            <w:noWrap/>
            <w:vAlign w:val="center"/>
            <w:hideMark/>
          </w:tcPr>
          <w:p w:rsidR="003704C9" w:rsidRPr="003704C9" w:rsidRDefault="003704C9" w:rsidP="003704C9">
            <w:pPr>
              <w:spacing w:after="0" w:line="240" w:lineRule="auto"/>
              <w:jc w:val="center"/>
              <w:rPr>
                <w:rFonts w:cs="Arial"/>
                <w:color w:val="000000"/>
                <w:sz w:val="16"/>
                <w:szCs w:val="16"/>
              </w:rPr>
            </w:pPr>
            <w:r w:rsidRPr="003704C9">
              <w:rPr>
                <w:rFonts w:cs="Arial"/>
                <w:color w:val="000000"/>
                <w:sz w:val="16"/>
                <w:szCs w:val="16"/>
              </w:rPr>
              <w:t>4,4</w:t>
            </w:r>
          </w:p>
        </w:tc>
        <w:tc>
          <w:tcPr>
            <w:tcW w:w="567" w:type="dxa"/>
            <w:tcBorders>
              <w:top w:val="nil"/>
              <w:left w:val="nil"/>
              <w:bottom w:val="nil"/>
              <w:right w:val="nil"/>
            </w:tcBorders>
            <w:shd w:val="clear" w:color="auto" w:fill="auto"/>
            <w:noWrap/>
            <w:vAlign w:val="center"/>
            <w:hideMark/>
          </w:tcPr>
          <w:p w:rsidR="003704C9" w:rsidRPr="003704C9" w:rsidRDefault="003704C9" w:rsidP="003704C9">
            <w:pPr>
              <w:spacing w:after="0" w:line="240" w:lineRule="auto"/>
              <w:jc w:val="center"/>
              <w:rPr>
                <w:rFonts w:cs="Arial"/>
                <w:color w:val="000000"/>
                <w:sz w:val="16"/>
                <w:szCs w:val="16"/>
              </w:rPr>
            </w:pPr>
            <w:r w:rsidRPr="003704C9">
              <w:rPr>
                <w:rFonts w:cs="Arial"/>
                <w:color w:val="000000"/>
                <w:sz w:val="16"/>
                <w:szCs w:val="16"/>
              </w:rPr>
              <w:t>4,8</w:t>
            </w:r>
          </w:p>
        </w:tc>
        <w:tc>
          <w:tcPr>
            <w:tcW w:w="567" w:type="dxa"/>
            <w:tcBorders>
              <w:top w:val="nil"/>
              <w:left w:val="nil"/>
              <w:bottom w:val="nil"/>
              <w:right w:val="nil"/>
            </w:tcBorders>
            <w:shd w:val="clear" w:color="auto" w:fill="auto"/>
            <w:noWrap/>
            <w:vAlign w:val="center"/>
            <w:hideMark/>
          </w:tcPr>
          <w:p w:rsidR="003704C9" w:rsidRPr="003704C9" w:rsidRDefault="003704C9" w:rsidP="003704C9">
            <w:pPr>
              <w:spacing w:after="0" w:line="240" w:lineRule="auto"/>
              <w:jc w:val="center"/>
              <w:rPr>
                <w:rFonts w:cs="Arial"/>
                <w:color w:val="000000"/>
                <w:sz w:val="16"/>
                <w:szCs w:val="16"/>
              </w:rPr>
            </w:pPr>
            <w:r w:rsidRPr="003704C9">
              <w:rPr>
                <w:rFonts w:cs="Arial"/>
                <w:color w:val="000000"/>
                <w:sz w:val="16"/>
                <w:szCs w:val="16"/>
              </w:rPr>
              <w:t>5,0</w:t>
            </w:r>
          </w:p>
        </w:tc>
        <w:tc>
          <w:tcPr>
            <w:tcW w:w="567" w:type="dxa"/>
            <w:tcBorders>
              <w:top w:val="nil"/>
              <w:left w:val="nil"/>
              <w:bottom w:val="nil"/>
              <w:right w:val="nil"/>
            </w:tcBorders>
            <w:shd w:val="clear" w:color="auto" w:fill="auto"/>
            <w:noWrap/>
            <w:vAlign w:val="center"/>
            <w:hideMark/>
          </w:tcPr>
          <w:p w:rsidR="003704C9" w:rsidRPr="003704C9" w:rsidRDefault="003704C9" w:rsidP="003704C9">
            <w:pPr>
              <w:spacing w:after="0" w:line="240" w:lineRule="auto"/>
              <w:jc w:val="center"/>
              <w:rPr>
                <w:rFonts w:cs="Arial"/>
                <w:color w:val="000000"/>
                <w:sz w:val="16"/>
                <w:szCs w:val="16"/>
              </w:rPr>
            </w:pPr>
            <w:r w:rsidRPr="003704C9">
              <w:rPr>
                <w:rFonts w:cs="Arial"/>
                <w:color w:val="000000"/>
                <w:sz w:val="16"/>
                <w:szCs w:val="16"/>
              </w:rPr>
              <w:t>5,1</w:t>
            </w:r>
          </w:p>
        </w:tc>
        <w:tc>
          <w:tcPr>
            <w:tcW w:w="567" w:type="dxa"/>
            <w:tcBorders>
              <w:top w:val="nil"/>
              <w:left w:val="nil"/>
              <w:bottom w:val="nil"/>
              <w:right w:val="nil"/>
            </w:tcBorders>
            <w:shd w:val="clear" w:color="auto" w:fill="auto"/>
            <w:noWrap/>
            <w:vAlign w:val="center"/>
            <w:hideMark/>
          </w:tcPr>
          <w:p w:rsidR="003704C9" w:rsidRPr="003704C9" w:rsidRDefault="003704C9" w:rsidP="003704C9">
            <w:pPr>
              <w:spacing w:after="0" w:line="240" w:lineRule="auto"/>
              <w:jc w:val="center"/>
              <w:rPr>
                <w:rFonts w:cs="Arial"/>
                <w:color w:val="000000"/>
                <w:sz w:val="16"/>
                <w:szCs w:val="16"/>
              </w:rPr>
            </w:pPr>
            <w:r w:rsidRPr="003704C9">
              <w:rPr>
                <w:rFonts w:cs="Arial"/>
                <w:color w:val="000000"/>
                <w:sz w:val="16"/>
                <w:szCs w:val="16"/>
              </w:rPr>
              <w:t>5,3</w:t>
            </w:r>
          </w:p>
        </w:tc>
        <w:tc>
          <w:tcPr>
            <w:tcW w:w="567" w:type="dxa"/>
            <w:tcBorders>
              <w:top w:val="nil"/>
              <w:left w:val="nil"/>
              <w:bottom w:val="nil"/>
              <w:right w:val="nil"/>
            </w:tcBorders>
            <w:shd w:val="clear" w:color="auto" w:fill="auto"/>
            <w:noWrap/>
            <w:vAlign w:val="center"/>
            <w:hideMark/>
          </w:tcPr>
          <w:p w:rsidR="003704C9" w:rsidRPr="003704C9" w:rsidRDefault="003704C9" w:rsidP="003704C9">
            <w:pPr>
              <w:spacing w:after="0" w:line="240" w:lineRule="auto"/>
              <w:jc w:val="center"/>
              <w:rPr>
                <w:rFonts w:cs="Arial"/>
                <w:color w:val="000000"/>
                <w:sz w:val="16"/>
                <w:szCs w:val="16"/>
              </w:rPr>
            </w:pPr>
            <w:r w:rsidRPr="003704C9">
              <w:rPr>
                <w:rFonts w:cs="Arial"/>
                <w:color w:val="000000"/>
                <w:sz w:val="16"/>
                <w:szCs w:val="16"/>
              </w:rPr>
              <w:t>5,4</w:t>
            </w:r>
          </w:p>
        </w:tc>
        <w:tc>
          <w:tcPr>
            <w:tcW w:w="567" w:type="dxa"/>
            <w:tcBorders>
              <w:top w:val="nil"/>
              <w:left w:val="nil"/>
              <w:bottom w:val="nil"/>
              <w:right w:val="nil"/>
            </w:tcBorders>
            <w:shd w:val="clear" w:color="auto" w:fill="auto"/>
            <w:noWrap/>
            <w:vAlign w:val="center"/>
            <w:hideMark/>
          </w:tcPr>
          <w:p w:rsidR="003704C9" w:rsidRPr="003704C9" w:rsidRDefault="003704C9" w:rsidP="003704C9">
            <w:pPr>
              <w:spacing w:after="0" w:line="240" w:lineRule="auto"/>
              <w:jc w:val="center"/>
              <w:rPr>
                <w:rFonts w:cs="Arial"/>
                <w:color w:val="000000"/>
                <w:sz w:val="16"/>
                <w:szCs w:val="16"/>
              </w:rPr>
            </w:pPr>
            <w:r w:rsidRPr="003704C9">
              <w:rPr>
                <w:rFonts w:cs="Arial"/>
                <w:color w:val="000000"/>
                <w:sz w:val="16"/>
                <w:szCs w:val="16"/>
              </w:rPr>
              <w:t>5,8</w:t>
            </w:r>
          </w:p>
        </w:tc>
        <w:tc>
          <w:tcPr>
            <w:tcW w:w="567" w:type="dxa"/>
            <w:tcBorders>
              <w:top w:val="nil"/>
              <w:left w:val="nil"/>
              <w:bottom w:val="nil"/>
              <w:right w:val="nil"/>
            </w:tcBorders>
            <w:shd w:val="clear" w:color="auto" w:fill="auto"/>
            <w:noWrap/>
            <w:vAlign w:val="center"/>
            <w:hideMark/>
          </w:tcPr>
          <w:p w:rsidR="003704C9" w:rsidRPr="003704C9" w:rsidRDefault="003704C9" w:rsidP="003704C9">
            <w:pPr>
              <w:spacing w:after="0" w:line="240" w:lineRule="auto"/>
              <w:jc w:val="center"/>
            </w:pPr>
            <w:r w:rsidRPr="003704C9">
              <w:rPr>
                <w:rFonts w:cs="Arial"/>
                <w:color w:val="000000"/>
                <w:sz w:val="16"/>
                <w:szCs w:val="16"/>
              </w:rPr>
              <w:t>6,3</w:t>
            </w:r>
          </w:p>
        </w:tc>
        <w:tc>
          <w:tcPr>
            <w:tcW w:w="567" w:type="dxa"/>
            <w:vAlign w:val="center"/>
          </w:tcPr>
          <w:p w:rsidR="003704C9" w:rsidRPr="003704C9" w:rsidRDefault="003704C9" w:rsidP="003704C9">
            <w:pPr>
              <w:spacing w:after="0" w:line="240" w:lineRule="auto"/>
              <w:jc w:val="center"/>
              <w:rPr>
                <w:rFonts w:cs="Arial"/>
                <w:color w:val="000000"/>
                <w:sz w:val="16"/>
                <w:szCs w:val="16"/>
              </w:rPr>
            </w:pPr>
            <w:r w:rsidRPr="003704C9">
              <w:rPr>
                <w:rFonts w:cs="Arial"/>
                <w:color w:val="000000"/>
                <w:sz w:val="16"/>
                <w:szCs w:val="16"/>
              </w:rPr>
              <w:t>5,9</w:t>
            </w:r>
          </w:p>
        </w:tc>
        <w:tc>
          <w:tcPr>
            <w:tcW w:w="567" w:type="dxa"/>
            <w:vAlign w:val="center"/>
          </w:tcPr>
          <w:p w:rsidR="003704C9" w:rsidRPr="003704C9" w:rsidRDefault="003704C9" w:rsidP="003704C9">
            <w:pPr>
              <w:spacing w:after="0" w:line="240" w:lineRule="auto"/>
              <w:jc w:val="center"/>
              <w:rPr>
                <w:rFonts w:cs="Arial"/>
                <w:color w:val="000000"/>
                <w:sz w:val="16"/>
                <w:szCs w:val="16"/>
              </w:rPr>
            </w:pPr>
            <w:r w:rsidRPr="003704C9">
              <w:rPr>
                <w:rFonts w:cs="Arial"/>
                <w:color w:val="000000"/>
                <w:sz w:val="16"/>
                <w:szCs w:val="16"/>
              </w:rPr>
              <w:t>5,2</w:t>
            </w:r>
          </w:p>
        </w:tc>
        <w:tc>
          <w:tcPr>
            <w:tcW w:w="567" w:type="dxa"/>
            <w:vAlign w:val="center"/>
          </w:tcPr>
          <w:p w:rsidR="003704C9" w:rsidRPr="00D7081E" w:rsidRDefault="00D7081E" w:rsidP="003704C9">
            <w:pPr>
              <w:spacing w:after="0" w:line="240" w:lineRule="auto"/>
              <w:jc w:val="center"/>
              <w:rPr>
                <w:rFonts w:cs="Arial"/>
                <w:color w:val="000000"/>
                <w:sz w:val="16"/>
                <w:szCs w:val="16"/>
              </w:rPr>
            </w:pPr>
            <w:r w:rsidRPr="00D7081E">
              <w:rPr>
                <w:rFonts w:cs="Arial"/>
                <w:color w:val="000000"/>
                <w:sz w:val="16"/>
                <w:szCs w:val="16"/>
              </w:rPr>
              <w:t>5,2</w:t>
            </w:r>
          </w:p>
        </w:tc>
      </w:tr>
      <w:tr w:rsidR="003704C9" w:rsidRPr="003704C9" w:rsidTr="003704C9">
        <w:trPr>
          <w:trHeight w:val="300"/>
        </w:trPr>
        <w:tc>
          <w:tcPr>
            <w:tcW w:w="3401" w:type="dxa"/>
            <w:tcBorders>
              <w:top w:val="nil"/>
              <w:left w:val="nil"/>
              <w:bottom w:val="nil"/>
              <w:right w:val="single" w:sz="4" w:space="0" w:color="auto"/>
            </w:tcBorders>
            <w:shd w:val="clear" w:color="auto" w:fill="auto"/>
            <w:vAlign w:val="center"/>
            <w:hideMark/>
          </w:tcPr>
          <w:p w:rsidR="003704C9" w:rsidRPr="003704C9" w:rsidRDefault="003704C9" w:rsidP="003704C9">
            <w:pPr>
              <w:spacing w:after="0" w:line="240" w:lineRule="auto"/>
              <w:ind w:firstLineChars="100" w:firstLine="160"/>
              <w:jc w:val="left"/>
              <w:rPr>
                <w:rFonts w:cs="Arial"/>
                <w:color w:val="000000"/>
                <w:sz w:val="16"/>
                <w:szCs w:val="16"/>
              </w:rPr>
            </w:pPr>
            <w:r w:rsidRPr="003704C9">
              <w:rPr>
                <w:rFonts w:cs="Arial"/>
                <w:color w:val="000000"/>
                <w:sz w:val="16"/>
                <w:szCs w:val="16"/>
              </w:rPr>
              <w:t>B – Těžba a dobývání</w:t>
            </w:r>
          </w:p>
        </w:tc>
        <w:tc>
          <w:tcPr>
            <w:tcW w:w="567" w:type="dxa"/>
            <w:tcBorders>
              <w:top w:val="nil"/>
              <w:left w:val="nil"/>
              <w:bottom w:val="nil"/>
              <w:right w:val="nil"/>
            </w:tcBorders>
            <w:shd w:val="clear" w:color="auto" w:fill="auto"/>
            <w:noWrap/>
            <w:vAlign w:val="center"/>
            <w:hideMark/>
          </w:tcPr>
          <w:p w:rsidR="003704C9" w:rsidRPr="003704C9" w:rsidRDefault="003704C9" w:rsidP="003704C9">
            <w:pPr>
              <w:spacing w:after="0" w:line="240" w:lineRule="auto"/>
              <w:jc w:val="center"/>
              <w:rPr>
                <w:rFonts w:cs="Arial"/>
                <w:color w:val="000000"/>
                <w:sz w:val="16"/>
                <w:szCs w:val="16"/>
              </w:rPr>
            </w:pPr>
            <w:r w:rsidRPr="003704C9">
              <w:rPr>
                <w:rFonts w:cs="Arial"/>
                <w:color w:val="000000"/>
                <w:sz w:val="16"/>
                <w:szCs w:val="16"/>
              </w:rPr>
              <w:t>4,7</w:t>
            </w:r>
          </w:p>
        </w:tc>
        <w:tc>
          <w:tcPr>
            <w:tcW w:w="567" w:type="dxa"/>
            <w:tcBorders>
              <w:top w:val="nil"/>
              <w:left w:val="nil"/>
              <w:bottom w:val="nil"/>
              <w:right w:val="nil"/>
            </w:tcBorders>
            <w:shd w:val="clear" w:color="auto" w:fill="auto"/>
            <w:noWrap/>
            <w:vAlign w:val="center"/>
            <w:hideMark/>
          </w:tcPr>
          <w:p w:rsidR="003704C9" w:rsidRPr="003704C9" w:rsidRDefault="003704C9" w:rsidP="003704C9">
            <w:pPr>
              <w:spacing w:after="0" w:line="240" w:lineRule="auto"/>
              <w:jc w:val="center"/>
              <w:rPr>
                <w:rFonts w:cs="Arial"/>
                <w:color w:val="000000"/>
                <w:sz w:val="16"/>
                <w:szCs w:val="16"/>
              </w:rPr>
            </w:pPr>
            <w:r w:rsidRPr="003704C9">
              <w:rPr>
                <w:rFonts w:cs="Arial"/>
                <w:color w:val="000000"/>
                <w:sz w:val="16"/>
                <w:szCs w:val="16"/>
              </w:rPr>
              <w:t>4,9</w:t>
            </w:r>
          </w:p>
        </w:tc>
        <w:tc>
          <w:tcPr>
            <w:tcW w:w="567" w:type="dxa"/>
            <w:tcBorders>
              <w:top w:val="nil"/>
              <w:left w:val="nil"/>
              <w:bottom w:val="nil"/>
              <w:right w:val="nil"/>
            </w:tcBorders>
            <w:shd w:val="clear" w:color="auto" w:fill="auto"/>
            <w:noWrap/>
            <w:vAlign w:val="center"/>
            <w:hideMark/>
          </w:tcPr>
          <w:p w:rsidR="003704C9" w:rsidRPr="003704C9" w:rsidRDefault="003704C9" w:rsidP="003704C9">
            <w:pPr>
              <w:spacing w:after="0" w:line="240" w:lineRule="auto"/>
              <w:jc w:val="center"/>
              <w:rPr>
                <w:rFonts w:cs="Arial"/>
                <w:color w:val="000000"/>
                <w:sz w:val="16"/>
                <w:szCs w:val="16"/>
              </w:rPr>
            </w:pPr>
            <w:r w:rsidRPr="003704C9">
              <w:rPr>
                <w:rFonts w:cs="Arial"/>
                <w:color w:val="000000"/>
                <w:sz w:val="16"/>
                <w:szCs w:val="16"/>
              </w:rPr>
              <w:t>5,8</w:t>
            </w:r>
          </w:p>
        </w:tc>
        <w:tc>
          <w:tcPr>
            <w:tcW w:w="567" w:type="dxa"/>
            <w:tcBorders>
              <w:top w:val="nil"/>
              <w:left w:val="nil"/>
              <w:bottom w:val="nil"/>
              <w:right w:val="nil"/>
            </w:tcBorders>
            <w:shd w:val="clear" w:color="auto" w:fill="auto"/>
            <w:noWrap/>
            <w:vAlign w:val="center"/>
            <w:hideMark/>
          </w:tcPr>
          <w:p w:rsidR="003704C9" w:rsidRPr="003704C9" w:rsidRDefault="003704C9" w:rsidP="003704C9">
            <w:pPr>
              <w:spacing w:after="0" w:line="240" w:lineRule="auto"/>
              <w:jc w:val="center"/>
              <w:rPr>
                <w:rFonts w:cs="Arial"/>
                <w:color w:val="000000"/>
                <w:sz w:val="16"/>
                <w:szCs w:val="16"/>
              </w:rPr>
            </w:pPr>
            <w:r w:rsidRPr="003704C9">
              <w:rPr>
                <w:rFonts w:cs="Arial"/>
                <w:color w:val="000000"/>
                <w:sz w:val="16"/>
                <w:szCs w:val="16"/>
              </w:rPr>
              <w:t>6,0</w:t>
            </w:r>
          </w:p>
        </w:tc>
        <w:tc>
          <w:tcPr>
            <w:tcW w:w="567" w:type="dxa"/>
            <w:tcBorders>
              <w:top w:val="nil"/>
              <w:left w:val="nil"/>
              <w:bottom w:val="nil"/>
              <w:right w:val="nil"/>
            </w:tcBorders>
            <w:shd w:val="clear" w:color="auto" w:fill="auto"/>
            <w:noWrap/>
            <w:vAlign w:val="center"/>
            <w:hideMark/>
          </w:tcPr>
          <w:p w:rsidR="003704C9" w:rsidRPr="003704C9" w:rsidRDefault="003704C9" w:rsidP="003704C9">
            <w:pPr>
              <w:spacing w:after="0" w:line="240" w:lineRule="auto"/>
              <w:jc w:val="center"/>
              <w:rPr>
                <w:rFonts w:cs="Arial"/>
                <w:color w:val="000000"/>
                <w:sz w:val="16"/>
                <w:szCs w:val="16"/>
              </w:rPr>
            </w:pPr>
            <w:r w:rsidRPr="003704C9">
              <w:rPr>
                <w:rFonts w:cs="Arial"/>
                <w:color w:val="000000"/>
                <w:sz w:val="16"/>
                <w:szCs w:val="16"/>
              </w:rPr>
              <w:t>5,6</w:t>
            </w:r>
          </w:p>
        </w:tc>
        <w:tc>
          <w:tcPr>
            <w:tcW w:w="567" w:type="dxa"/>
            <w:tcBorders>
              <w:top w:val="nil"/>
              <w:left w:val="nil"/>
              <w:bottom w:val="nil"/>
              <w:right w:val="nil"/>
            </w:tcBorders>
            <w:shd w:val="clear" w:color="auto" w:fill="auto"/>
            <w:noWrap/>
            <w:vAlign w:val="center"/>
            <w:hideMark/>
          </w:tcPr>
          <w:p w:rsidR="003704C9" w:rsidRPr="003704C9" w:rsidRDefault="003704C9" w:rsidP="003704C9">
            <w:pPr>
              <w:spacing w:after="0" w:line="240" w:lineRule="auto"/>
              <w:jc w:val="center"/>
              <w:rPr>
                <w:rFonts w:cs="Arial"/>
                <w:color w:val="000000"/>
                <w:sz w:val="16"/>
                <w:szCs w:val="16"/>
              </w:rPr>
            </w:pPr>
            <w:r w:rsidRPr="003704C9">
              <w:rPr>
                <w:rFonts w:cs="Arial"/>
                <w:color w:val="000000"/>
                <w:sz w:val="16"/>
                <w:szCs w:val="16"/>
              </w:rPr>
              <w:t>6,0</w:t>
            </w:r>
          </w:p>
        </w:tc>
        <w:tc>
          <w:tcPr>
            <w:tcW w:w="567" w:type="dxa"/>
            <w:tcBorders>
              <w:top w:val="nil"/>
              <w:left w:val="nil"/>
              <w:bottom w:val="nil"/>
              <w:right w:val="nil"/>
            </w:tcBorders>
            <w:shd w:val="clear" w:color="auto" w:fill="auto"/>
            <w:noWrap/>
            <w:vAlign w:val="center"/>
            <w:hideMark/>
          </w:tcPr>
          <w:p w:rsidR="003704C9" w:rsidRPr="003704C9" w:rsidRDefault="003704C9" w:rsidP="003704C9">
            <w:pPr>
              <w:spacing w:after="0" w:line="240" w:lineRule="auto"/>
              <w:jc w:val="center"/>
              <w:rPr>
                <w:rFonts w:cs="Arial"/>
                <w:color w:val="000000"/>
                <w:sz w:val="16"/>
                <w:szCs w:val="16"/>
              </w:rPr>
            </w:pPr>
            <w:r w:rsidRPr="003704C9">
              <w:rPr>
                <w:rFonts w:cs="Arial"/>
                <w:color w:val="000000"/>
                <w:sz w:val="16"/>
                <w:szCs w:val="16"/>
              </w:rPr>
              <w:t>7,9</w:t>
            </w:r>
          </w:p>
        </w:tc>
        <w:tc>
          <w:tcPr>
            <w:tcW w:w="567" w:type="dxa"/>
            <w:tcBorders>
              <w:top w:val="nil"/>
              <w:left w:val="nil"/>
              <w:bottom w:val="nil"/>
              <w:right w:val="nil"/>
            </w:tcBorders>
            <w:shd w:val="clear" w:color="auto" w:fill="auto"/>
            <w:noWrap/>
            <w:vAlign w:val="center"/>
            <w:hideMark/>
          </w:tcPr>
          <w:p w:rsidR="003704C9" w:rsidRPr="003704C9" w:rsidRDefault="003704C9" w:rsidP="003704C9">
            <w:pPr>
              <w:spacing w:after="0" w:line="240" w:lineRule="auto"/>
              <w:jc w:val="center"/>
            </w:pPr>
            <w:r w:rsidRPr="003704C9">
              <w:rPr>
                <w:rFonts w:cs="Arial"/>
                <w:color w:val="000000"/>
                <w:sz w:val="16"/>
                <w:szCs w:val="16"/>
              </w:rPr>
              <w:t>7,9</w:t>
            </w:r>
          </w:p>
        </w:tc>
        <w:tc>
          <w:tcPr>
            <w:tcW w:w="567" w:type="dxa"/>
            <w:vAlign w:val="center"/>
          </w:tcPr>
          <w:p w:rsidR="003704C9" w:rsidRPr="003704C9" w:rsidRDefault="003704C9" w:rsidP="003704C9">
            <w:pPr>
              <w:spacing w:after="0" w:line="240" w:lineRule="auto"/>
              <w:jc w:val="center"/>
              <w:rPr>
                <w:rFonts w:cs="Arial"/>
                <w:color w:val="000000"/>
                <w:sz w:val="16"/>
                <w:szCs w:val="16"/>
              </w:rPr>
            </w:pPr>
            <w:r w:rsidRPr="003704C9">
              <w:rPr>
                <w:rFonts w:cs="Arial"/>
                <w:color w:val="000000"/>
                <w:sz w:val="16"/>
                <w:szCs w:val="16"/>
              </w:rPr>
              <w:t>6,6</w:t>
            </w:r>
          </w:p>
        </w:tc>
        <w:tc>
          <w:tcPr>
            <w:tcW w:w="567" w:type="dxa"/>
            <w:vAlign w:val="center"/>
          </w:tcPr>
          <w:p w:rsidR="003704C9" w:rsidRPr="003704C9" w:rsidRDefault="003704C9" w:rsidP="003704C9">
            <w:pPr>
              <w:spacing w:after="0" w:line="240" w:lineRule="auto"/>
              <w:jc w:val="center"/>
              <w:rPr>
                <w:rFonts w:cs="Arial"/>
                <w:color w:val="000000"/>
                <w:sz w:val="16"/>
                <w:szCs w:val="16"/>
              </w:rPr>
            </w:pPr>
            <w:r w:rsidRPr="003704C9">
              <w:rPr>
                <w:rFonts w:cs="Arial"/>
                <w:color w:val="000000"/>
                <w:sz w:val="16"/>
                <w:szCs w:val="16"/>
              </w:rPr>
              <w:t>5,7</w:t>
            </w:r>
          </w:p>
        </w:tc>
        <w:tc>
          <w:tcPr>
            <w:tcW w:w="567" w:type="dxa"/>
            <w:vAlign w:val="center"/>
          </w:tcPr>
          <w:p w:rsidR="003704C9" w:rsidRPr="00D7081E" w:rsidRDefault="00D7081E" w:rsidP="003704C9">
            <w:pPr>
              <w:spacing w:after="0" w:line="240" w:lineRule="auto"/>
              <w:jc w:val="center"/>
              <w:rPr>
                <w:rFonts w:cs="Arial"/>
                <w:color w:val="000000"/>
                <w:sz w:val="16"/>
                <w:szCs w:val="16"/>
              </w:rPr>
            </w:pPr>
            <w:r w:rsidRPr="00D7081E">
              <w:rPr>
                <w:rFonts w:cs="Arial"/>
                <w:color w:val="000000"/>
                <w:sz w:val="16"/>
                <w:szCs w:val="16"/>
              </w:rPr>
              <w:t>5,9</w:t>
            </w:r>
          </w:p>
        </w:tc>
      </w:tr>
      <w:tr w:rsidR="003704C9" w:rsidRPr="003704C9" w:rsidTr="003704C9">
        <w:trPr>
          <w:trHeight w:val="300"/>
        </w:trPr>
        <w:tc>
          <w:tcPr>
            <w:tcW w:w="3401" w:type="dxa"/>
            <w:tcBorders>
              <w:top w:val="nil"/>
              <w:left w:val="nil"/>
              <w:bottom w:val="nil"/>
              <w:right w:val="single" w:sz="4" w:space="0" w:color="auto"/>
            </w:tcBorders>
            <w:shd w:val="clear" w:color="auto" w:fill="auto"/>
            <w:vAlign w:val="center"/>
            <w:hideMark/>
          </w:tcPr>
          <w:p w:rsidR="003704C9" w:rsidRPr="003704C9" w:rsidRDefault="003704C9" w:rsidP="003704C9">
            <w:pPr>
              <w:spacing w:after="0" w:line="240" w:lineRule="auto"/>
              <w:ind w:firstLineChars="100" w:firstLine="160"/>
              <w:jc w:val="left"/>
              <w:rPr>
                <w:rFonts w:cs="Arial"/>
                <w:color w:val="000000"/>
                <w:sz w:val="16"/>
                <w:szCs w:val="16"/>
              </w:rPr>
            </w:pPr>
            <w:r w:rsidRPr="003704C9">
              <w:rPr>
                <w:rFonts w:cs="Arial"/>
                <w:color w:val="000000"/>
                <w:sz w:val="16"/>
                <w:szCs w:val="16"/>
              </w:rPr>
              <w:t>C – Zpracovatelský průmysl</w:t>
            </w:r>
          </w:p>
        </w:tc>
        <w:tc>
          <w:tcPr>
            <w:tcW w:w="567" w:type="dxa"/>
            <w:tcBorders>
              <w:top w:val="nil"/>
              <w:left w:val="nil"/>
              <w:bottom w:val="nil"/>
              <w:right w:val="nil"/>
            </w:tcBorders>
            <w:shd w:val="clear" w:color="auto" w:fill="auto"/>
            <w:noWrap/>
            <w:vAlign w:val="center"/>
            <w:hideMark/>
          </w:tcPr>
          <w:p w:rsidR="003704C9" w:rsidRPr="003704C9" w:rsidRDefault="003704C9" w:rsidP="003704C9">
            <w:pPr>
              <w:spacing w:after="0" w:line="240" w:lineRule="auto"/>
              <w:jc w:val="center"/>
              <w:rPr>
                <w:rFonts w:cs="Arial"/>
                <w:color w:val="000000"/>
                <w:sz w:val="16"/>
                <w:szCs w:val="16"/>
              </w:rPr>
            </w:pPr>
            <w:r w:rsidRPr="003704C9">
              <w:rPr>
                <w:rFonts w:cs="Arial"/>
                <w:color w:val="000000"/>
                <w:sz w:val="16"/>
                <w:szCs w:val="16"/>
              </w:rPr>
              <w:t>4,6</w:t>
            </w:r>
          </w:p>
        </w:tc>
        <w:tc>
          <w:tcPr>
            <w:tcW w:w="567" w:type="dxa"/>
            <w:tcBorders>
              <w:top w:val="nil"/>
              <w:left w:val="nil"/>
              <w:bottom w:val="nil"/>
              <w:right w:val="nil"/>
            </w:tcBorders>
            <w:shd w:val="clear" w:color="auto" w:fill="auto"/>
            <w:noWrap/>
            <w:vAlign w:val="center"/>
            <w:hideMark/>
          </w:tcPr>
          <w:p w:rsidR="003704C9" w:rsidRPr="003704C9" w:rsidRDefault="003704C9" w:rsidP="003704C9">
            <w:pPr>
              <w:spacing w:after="0" w:line="240" w:lineRule="auto"/>
              <w:jc w:val="center"/>
              <w:rPr>
                <w:rFonts w:cs="Arial"/>
                <w:color w:val="000000"/>
                <w:sz w:val="16"/>
                <w:szCs w:val="16"/>
              </w:rPr>
            </w:pPr>
            <w:r w:rsidRPr="003704C9">
              <w:rPr>
                <w:rFonts w:cs="Arial"/>
                <w:color w:val="000000"/>
                <w:sz w:val="16"/>
                <w:szCs w:val="16"/>
              </w:rPr>
              <w:t>5,1</w:t>
            </w:r>
          </w:p>
        </w:tc>
        <w:tc>
          <w:tcPr>
            <w:tcW w:w="567" w:type="dxa"/>
            <w:tcBorders>
              <w:top w:val="nil"/>
              <w:left w:val="nil"/>
              <w:bottom w:val="nil"/>
              <w:right w:val="nil"/>
            </w:tcBorders>
            <w:shd w:val="clear" w:color="auto" w:fill="auto"/>
            <w:noWrap/>
            <w:vAlign w:val="center"/>
            <w:hideMark/>
          </w:tcPr>
          <w:p w:rsidR="003704C9" w:rsidRPr="003704C9" w:rsidRDefault="003704C9" w:rsidP="003704C9">
            <w:pPr>
              <w:spacing w:after="0" w:line="240" w:lineRule="auto"/>
              <w:jc w:val="center"/>
              <w:rPr>
                <w:rFonts w:cs="Arial"/>
                <w:color w:val="000000"/>
                <w:sz w:val="16"/>
                <w:szCs w:val="16"/>
              </w:rPr>
            </w:pPr>
            <w:r w:rsidRPr="003704C9">
              <w:rPr>
                <w:rFonts w:cs="Arial"/>
                <w:color w:val="000000"/>
                <w:sz w:val="16"/>
                <w:szCs w:val="16"/>
              </w:rPr>
              <w:t>5,5</w:t>
            </w:r>
          </w:p>
        </w:tc>
        <w:tc>
          <w:tcPr>
            <w:tcW w:w="567" w:type="dxa"/>
            <w:tcBorders>
              <w:top w:val="nil"/>
              <w:left w:val="nil"/>
              <w:bottom w:val="nil"/>
              <w:right w:val="nil"/>
            </w:tcBorders>
            <w:shd w:val="clear" w:color="auto" w:fill="auto"/>
            <w:noWrap/>
            <w:vAlign w:val="center"/>
            <w:hideMark/>
          </w:tcPr>
          <w:p w:rsidR="003704C9" w:rsidRPr="003704C9" w:rsidRDefault="003704C9" w:rsidP="003704C9">
            <w:pPr>
              <w:spacing w:after="0" w:line="240" w:lineRule="auto"/>
              <w:jc w:val="center"/>
              <w:rPr>
                <w:rFonts w:cs="Arial"/>
                <w:color w:val="000000"/>
                <w:sz w:val="16"/>
                <w:szCs w:val="16"/>
              </w:rPr>
            </w:pPr>
            <w:r w:rsidRPr="003704C9">
              <w:rPr>
                <w:rFonts w:cs="Arial"/>
                <w:color w:val="000000"/>
                <w:sz w:val="16"/>
                <w:szCs w:val="16"/>
              </w:rPr>
              <w:t>5,5</w:t>
            </w:r>
          </w:p>
        </w:tc>
        <w:tc>
          <w:tcPr>
            <w:tcW w:w="567" w:type="dxa"/>
            <w:tcBorders>
              <w:top w:val="nil"/>
              <w:left w:val="nil"/>
              <w:bottom w:val="nil"/>
              <w:right w:val="nil"/>
            </w:tcBorders>
            <w:shd w:val="clear" w:color="auto" w:fill="auto"/>
            <w:noWrap/>
            <w:vAlign w:val="center"/>
            <w:hideMark/>
          </w:tcPr>
          <w:p w:rsidR="003704C9" w:rsidRPr="003704C9" w:rsidRDefault="003704C9" w:rsidP="003704C9">
            <w:pPr>
              <w:spacing w:after="0" w:line="240" w:lineRule="auto"/>
              <w:jc w:val="center"/>
              <w:rPr>
                <w:rFonts w:cs="Arial"/>
                <w:color w:val="000000"/>
                <w:sz w:val="16"/>
                <w:szCs w:val="16"/>
              </w:rPr>
            </w:pPr>
            <w:r w:rsidRPr="003704C9">
              <w:rPr>
                <w:rFonts w:cs="Arial"/>
                <w:color w:val="000000"/>
                <w:sz w:val="16"/>
                <w:szCs w:val="16"/>
              </w:rPr>
              <w:t>5,9</w:t>
            </w:r>
          </w:p>
        </w:tc>
        <w:tc>
          <w:tcPr>
            <w:tcW w:w="567" w:type="dxa"/>
            <w:tcBorders>
              <w:top w:val="nil"/>
              <w:left w:val="nil"/>
              <w:bottom w:val="nil"/>
              <w:right w:val="nil"/>
            </w:tcBorders>
            <w:shd w:val="clear" w:color="auto" w:fill="auto"/>
            <w:noWrap/>
            <w:vAlign w:val="center"/>
            <w:hideMark/>
          </w:tcPr>
          <w:p w:rsidR="003704C9" w:rsidRPr="003704C9" w:rsidRDefault="003704C9" w:rsidP="003704C9">
            <w:pPr>
              <w:spacing w:after="0" w:line="240" w:lineRule="auto"/>
              <w:jc w:val="center"/>
              <w:rPr>
                <w:rFonts w:cs="Arial"/>
                <w:color w:val="000000"/>
                <w:sz w:val="16"/>
                <w:szCs w:val="16"/>
              </w:rPr>
            </w:pPr>
            <w:r w:rsidRPr="003704C9">
              <w:rPr>
                <w:rFonts w:cs="Arial"/>
                <w:color w:val="000000"/>
                <w:sz w:val="16"/>
                <w:szCs w:val="16"/>
              </w:rPr>
              <w:t>6,2</w:t>
            </w:r>
          </w:p>
        </w:tc>
        <w:tc>
          <w:tcPr>
            <w:tcW w:w="567" w:type="dxa"/>
            <w:tcBorders>
              <w:top w:val="nil"/>
              <w:left w:val="nil"/>
              <w:bottom w:val="nil"/>
              <w:right w:val="nil"/>
            </w:tcBorders>
            <w:shd w:val="clear" w:color="auto" w:fill="auto"/>
            <w:noWrap/>
            <w:vAlign w:val="center"/>
            <w:hideMark/>
          </w:tcPr>
          <w:p w:rsidR="003704C9" w:rsidRPr="003704C9" w:rsidRDefault="003704C9" w:rsidP="003704C9">
            <w:pPr>
              <w:spacing w:after="0" w:line="240" w:lineRule="auto"/>
              <w:jc w:val="center"/>
              <w:rPr>
                <w:rFonts w:cs="Arial"/>
                <w:color w:val="000000"/>
                <w:sz w:val="16"/>
                <w:szCs w:val="16"/>
              </w:rPr>
            </w:pPr>
            <w:r w:rsidRPr="003704C9">
              <w:rPr>
                <w:rFonts w:cs="Arial"/>
                <w:color w:val="000000"/>
                <w:sz w:val="16"/>
                <w:szCs w:val="16"/>
              </w:rPr>
              <w:t>7,3</w:t>
            </w:r>
          </w:p>
        </w:tc>
        <w:tc>
          <w:tcPr>
            <w:tcW w:w="567" w:type="dxa"/>
            <w:tcBorders>
              <w:top w:val="nil"/>
              <w:left w:val="nil"/>
              <w:bottom w:val="nil"/>
              <w:right w:val="nil"/>
            </w:tcBorders>
            <w:shd w:val="clear" w:color="auto" w:fill="auto"/>
            <w:noWrap/>
            <w:vAlign w:val="center"/>
            <w:hideMark/>
          </w:tcPr>
          <w:p w:rsidR="003704C9" w:rsidRPr="003704C9" w:rsidRDefault="003704C9" w:rsidP="003704C9">
            <w:pPr>
              <w:spacing w:after="0" w:line="240" w:lineRule="auto"/>
              <w:jc w:val="center"/>
            </w:pPr>
            <w:r w:rsidRPr="003704C9">
              <w:rPr>
                <w:rFonts w:cs="Arial"/>
                <w:color w:val="000000"/>
                <w:sz w:val="16"/>
                <w:szCs w:val="16"/>
              </w:rPr>
              <w:t>7,4</w:t>
            </w:r>
          </w:p>
        </w:tc>
        <w:tc>
          <w:tcPr>
            <w:tcW w:w="567" w:type="dxa"/>
            <w:vAlign w:val="center"/>
          </w:tcPr>
          <w:p w:rsidR="003704C9" w:rsidRPr="003704C9" w:rsidRDefault="003704C9" w:rsidP="003704C9">
            <w:pPr>
              <w:spacing w:after="0" w:line="240" w:lineRule="auto"/>
              <w:jc w:val="center"/>
              <w:rPr>
                <w:rFonts w:cs="Arial"/>
                <w:color w:val="000000"/>
                <w:sz w:val="16"/>
                <w:szCs w:val="16"/>
              </w:rPr>
            </w:pPr>
            <w:r w:rsidRPr="003704C9">
              <w:rPr>
                <w:rFonts w:cs="Arial"/>
                <w:color w:val="000000"/>
                <w:sz w:val="16"/>
                <w:szCs w:val="16"/>
              </w:rPr>
              <w:t>6,9</w:t>
            </w:r>
          </w:p>
        </w:tc>
        <w:tc>
          <w:tcPr>
            <w:tcW w:w="567" w:type="dxa"/>
            <w:vAlign w:val="center"/>
          </w:tcPr>
          <w:p w:rsidR="003704C9" w:rsidRPr="003704C9" w:rsidRDefault="003704C9" w:rsidP="003704C9">
            <w:pPr>
              <w:spacing w:after="0" w:line="240" w:lineRule="auto"/>
              <w:jc w:val="center"/>
              <w:rPr>
                <w:rFonts w:cs="Arial"/>
                <w:color w:val="000000"/>
                <w:sz w:val="16"/>
                <w:szCs w:val="16"/>
              </w:rPr>
            </w:pPr>
            <w:r w:rsidRPr="003704C9">
              <w:rPr>
                <w:rFonts w:cs="Arial"/>
                <w:color w:val="000000"/>
                <w:sz w:val="16"/>
                <w:szCs w:val="16"/>
              </w:rPr>
              <w:t>6,1</w:t>
            </w:r>
          </w:p>
        </w:tc>
        <w:tc>
          <w:tcPr>
            <w:tcW w:w="567" w:type="dxa"/>
            <w:vAlign w:val="center"/>
          </w:tcPr>
          <w:p w:rsidR="003704C9" w:rsidRPr="00D7081E" w:rsidRDefault="00D7081E" w:rsidP="003704C9">
            <w:pPr>
              <w:spacing w:after="0" w:line="240" w:lineRule="auto"/>
              <w:jc w:val="center"/>
              <w:rPr>
                <w:rFonts w:cs="Arial"/>
                <w:color w:val="000000"/>
                <w:sz w:val="16"/>
                <w:szCs w:val="16"/>
              </w:rPr>
            </w:pPr>
            <w:r w:rsidRPr="00D7081E">
              <w:rPr>
                <w:rFonts w:cs="Arial"/>
                <w:color w:val="000000"/>
                <w:sz w:val="16"/>
                <w:szCs w:val="16"/>
              </w:rPr>
              <w:t>6,0</w:t>
            </w:r>
          </w:p>
        </w:tc>
      </w:tr>
      <w:tr w:rsidR="003704C9" w:rsidRPr="003704C9" w:rsidTr="003704C9">
        <w:trPr>
          <w:trHeight w:val="480"/>
        </w:trPr>
        <w:tc>
          <w:tcPr>
            <w:tcW w:w="3401" w:type="dxa"/>
            <w:tcBorders>
              <w:top w:val="nil"/>
              <w:left w:val="nil"/>
              <w:bottom w:val="nil"/>
              <w:right w:val="single" w:sz="4" w:space="0" w:color="auto"/>
            </w:tcBorders>
            <w:shd w:val="clear" w:color="auto" w:fill="auto"/>
            <w:vAlign w:val="center"/>
            <w:hideMark/>
          </w:tcPr>
          <w:p w:rsidR="003704C9" w:rsidRPr="003704C9" w:rsidRDefault="003704C9" w:rsidP="003704C9">
            <w:pPr>
              <w:spacing w:after="0" w:line="240" w:lineRule="auto"/>
              <w:ind w:firstLineChars="100" w:firstLine="160"/>
              <w:jc w:val="left"/>
              <w:rPr>
                <w:rFonts w:cs="Arial"/>
                <w:color w:val="000000"/>
                <w:sz w:val="16"/>
                <w:szCs w:val="16"/>
              </w:rPr>
            </w:pPr>
            <w:r w:rsidRPr="003704C9">
              <w:rPr>
                <w:rFonts w:cs="Arial"/>
                <w:color w:val="000000"/>
                <w:sz w:val="16"/>
                <w:szCs w:val="16"/>
              </w:rPr>
              <w:t xml:space="preserve">D – Výroba a rozvod elektřiny, plynu, tepla    </w:t>
            </w:r>
          </w:p>
          <w:p w:rsidR="003704C9" w:rsidRPr="003704C9" w:rsidRDefault="003704C9" w:rsidP="003704C9">
            <w:pPr>
              <w:spacing w:after="0" w:line="240" w:lineRule="auto"/>
              <w:ind w:firstLineChars="100" w:firstLine="160"/>
              <w:jc w:val="left"/>
              <w:rPr>
                <w:rFonts w:cs="Arial"/>
                <w:color w:val="000000"/>
                <w:sz w:val="16"/>
                <w:szCs w:val="16"/>
              </w:rPr>
            </w:pPr>
            <w:r w:rsidRPr="003704C9">
              <w:rPr>
                <w:rFonts w:cs="Arial"/>
                <w:color w:val="000000"/>
                <w:sz w:val="16"/>
                <w:szCs w:val="16"/>
              </w:rPr>
              <w:t xml:space="preserve">      a klimatizovaného vzduchu</w:t>
            </w:r>
          </w:p>
        </w:tc>
        <w:tc>
          <w:tcPr>
            <w:tcW w:w="567" w:type="dxa"/>
            <w:tcBorders>
              <w:top w:val="nil"/>
              <w:left w:val="nil"/>
              <w:bottom w:val="nil"/>
              <w:right w:val="nil"/>
            </w:tcBorders>
            <w:shd w:val="clear" w:color="auto" w:fill="auto"/>
            <w:noWrap/>
            <w:vAlign w:val="center"/>
            <w:hideMark/>
          </w:tcPr>
          <w:p w:rsidR="003704C9" w:rsidRPr="003704C9" w:rsidRDefault="003704C9" w:rsidP="003704C9">
            <w:pPr>
              <w:spacing w:after="0" w:line="240" w:lineRule="auto"/>
              <w:jc w:val="center"/>
              <w:rPr>
                <w:rFonts w:cs="Arial"/>
                <w:color w:val="000000"/>
                <w:sz w:val="16"/>
                <w:szCs w:val="16"/>
              </w:rPr>
            </w:pPr>
            <w:r w:rsidRPr="003704C9">
              <w:rPr>
                <w:rFonts w:cs="Arial"/>
                <w:color w:val="000000"/>
                <w:sz w:val="16"/>
                <w:szCs w:val="16"/>
              </w:rPr>
              <w:t>2,2</w:t>
            </w:r>
          </w:p>
        </w:tc>
        <w:tc>
          <w:tcPr>
            <w:tcW w:w="567" w:type="dxa"/>
            <w:tcBorders>
              <w:top w:val="nil"/>
              <w:left w:val="nil"/>
              <w:bottom w:val="nil"/>
              <w:right w:val="nil"/>
            </w:tcBorders>
            <w:shd w:val="clear" w:color="auto" w:fill="auto"/>
            <w:noWrap/>
            <w:vAlign w:val="center"/>
            <w:hideMark/>
          </w:tcPr>
          <w:p w:rsidR="003704C9" w:rsidRPr="003704C9" w:rsidRDefault="003704C9" w:rsidP="003704C9">
            <w:pPr>
              <w:spacing w:after="0" w:line="240" w:lineRule="auto"/>
              <w:jc w:val="center"/>
              <w:rPr>
                <w:rFonts w:cs="Arial"/>
                <w:color w:val="000000"/>
                <w:sz w:val="16"/>
                <w:szCs w:val="16"/>
              </w:rPr>
            </w:pPr>
            <w:r w:rsidRPr="003704C9">
              <w:rPr>
                <w:rFonts w:cs="Arial"/>
                <w:color w:val="000000"/>
                <w:sz w:val="16"/>
                <w:szCs w:val="16"/>
              </w:rPr>
              <w:t>2,5</w:t>
            </w:r>
          </w:p>
        </w:tc>
        <w:tc>
          <w:tcPr>
            <w:tcW w:w="567" w:type="dxa"/>
            <w:tcBorders>
              <w:top w:val="nil"/>
              <w:left w:val="nil"/>
              <w:bottom w:val="nil"/>
              <w:right w:val="nil"/>
            </w:tcBorders>
            <w:shd w:val="clear" w:color="auto" w:fill="auto"/>
            <w:noWrap/>
            <w:vAlign w:val="center"/>
            <w:hideMark/>
          </w:tcPr>
          <w:p w:rsidR="003704C9" w:rsidRPr="003704C9" w:rsidRDefault="003704C9" w:rsidP="003704C9">
            <w:pPr>
              <w:spacing w:after="0" w:line="240" w:lineRule="auto"/>
              <w:jc w:val="center"/>
              <w:rPr>
                <w:rFonts w:cs="Arial"/>
                <w:color w:val="000000"/>
                <w:sz w:val="16"/>
                <w:szCs w:val="16"/>
              </w:rPr>
            </w:pPr>
            <w:r w:rsidRPr="003704C9">
              <w:rPr>
                <w:rFonts w:cs="Arial"/>
                <w:color w:val="000000"/>
                <w:sz w:val="16"/>
                <w:szCs w:val="16"/>
              </w:rPr>
              <w:t>2,7</w:t>
            </w:r>
          </w:p>
        </w:tc>
        <w:tc>
          <w:tcPr>
            <w:tcW w:w="567" w:type="dxa"/>
            <w:tcBorders>
              <w:top w:val="nil"/>
              <w:left w:val="nil"/>
              <w:bottom w:val="nil"/>
              <w:right w:val="nil"/>
            </w:tcBorders>
            <w:shd w:val="clear" w:color="auto" w:fill="auto"/>
            <w:noWrap/>
            <w:vAlign w:val="center"/>
            <w:hideMark/>
          </w:tcPr>
          <w:p w:rsidR="003704C9" w:rsidRPr="003704C9" w:rsidRDefault="003704C9" w:rsidP="003704C9">
            <w:pPr>
              <w:spacing w:after="0" w:line="240" w:lineRule="auto"/>
              <w:jc w:val="center"/>
              <w:rPr>
                <w:rFonts w:cs="Arial"/>
                <w:color w:val="000000"/>
                <w:sz w:val="16"/>
                <w:szCs w:val="16"/>
              </w:rPr>
            </w:pPr>
            <w:r w:rsidRPr="003704C9">
              <w:rPr>
                <w:rFonts w:cs="Arial"/>
                <w:color w:val="000000"/>
                <w:sz w:val="16"/>
                <w:szCs w:val="16"/>
              </w:rPr>
              <w:t>2,8</w:t>
            </w:r>
          </w:p>
        </w:tc>
        <w:tc>
          <w:tcPr>
            <w:tcW w:w="567" w:type="dxa"/>
            <w:tcBorders>
              <w:top w:val="nil"/>
              <w:left w:val="nil"/>
              <w:bottom w:val="nil"/>
              <w:right w:val="nil"/>
            </w:tcBorders>
            <w:shd w:val="clear" w:color="auto" w:fill="auto"/>
            <w:noWrap/>
            <w:vAlign w:val="center"/>
            <w:hideMark/>
          </w:tcPr>
          <w:p w:rsidR="003704C9" w:rsidRPr="003704C9" w:rsidRDefault="003704C9" w:rsidP="003704C9">
            <w:pPr>
              <w:spacing w:after="0" w:line="240" w:lineRule="auto"/>
              <w:jc w:val="center"/>
              <w:rPr>
                <w:rFonts w:cs="Arial"/>
                <w:color w:val="000000"/>
                <w:sz w:val="16"/>
                <w:szCs w:val="16"/>
              </w:rPr>
            </w:pPr>
            <w:r w:rsidRPr="003704C9">
              <w:rPr>
                <w:rFonts w:cs="Arial"/>
                <w:color w:val="000000"/>
                <w:sz w:val="16"/>
                <w:szCs w:val="16"/>
              </w:rPr>
              <w:t>2,9</w:t>
            </w:r>
          </w:p>
        </w:tc>
        <w:tc>
          <w:tcPr>
            <w:tcW w:w="567" w:type="dxa"/>
            <w:tcBorders>
              <w:top w:val="nil"/>
              <w:left w:val="nil"/>
              <w:bottom w:val="nil"/>
              <w:right w:val="nil"/>
            </w:tcBorders>
            <w:shd w:val="clear" w:color="auto" w:fill="auto"/>
            <w:noWrap/>
            <w:vAlign w:val="center"/>
            <w:hideMark/>
          </w:tcPr>
          <w:p w:rsidR="003704C9" w:rsidRPr="003704C9" w:rsidRDefault="003704C9" w:rsidP="003704C9">
            <w:pPr>
              <w:spacing w:after="0" w:line="240" w:lineRule="auto"/>
              <w:jc w:val="center"/>
              <w:rPr>
                <w:rFonts w:cs="Arial"/>
                <w:color w:val="000000"/>
                <w:sz w:val="16"/>
                <w:szCs w:val="16"/>
              </w:rPr>
            </w:pPr>
            <w:r w:rsidRPr="003704C9">
              <w:rPr>
                <w:rFonts w:cs="Arial"/>
                <w:color w:val="000000"/>
                <w:sz w:val="16"/>
                <w:szCs w:val="16"/>
              </w:rPr>
              <w:t>3,1</w:t>
            </w:r>
          </w:p>
        </w:tc>
        <w:tc>
          <w:tcPr>
            <w:tcW w:w="567" w:type="dxa"/>
            <w:tcBorders>
              <w:top w:val="nil"/>
              <w:left w:val="nil"/>
              <w:bottom w:val="nil"/>
              <w:right w:val="nil"/>
            </w:tcBorders>
            <w:shd w:val="clear" w:color="auto" w:fill="auto"/>
            <w:noWrap/>
            <w:vAlign w:val="center"/>
            <w:hideMark/>
          </w:tcPr>
          <w:p w:rsidR="003704C9" w:rsidRPr="003704C9" w:rsidRDefault="003704C9" w:rsidP="003704C9">
            <w:pPr>
              <w:spacing w:after="0" w:line="240" w:lineRule="auto"/>
              <w:jc w:val="center"/>
              <w:rPr>
                <w:rFonts w:cs="Arial"/>
                <w:color w:val="000000"/>
                <w:sz w:val="16"/>
                <w:szCs w:val="16"/>
              </w:rPr>
            </w:pPr>
            <w:r w:rsidRPr="003704C9">
              <w:rPr>
                <w:rFonts w:cs="Arial"/>
                <w:color w:val="000000"/>
                <w:sz w:val="16"/>
                <w:szCs w:val="16"/>
              </w:rPr>
              <w:t>3,3</w:t>
            </w:r>
          </w:p>
        </w:tc>
        <w:tc>
          <w:tcPr>
            <w:tcW w:w="567" w:type="dxa"/>
            <w:tcBorders>
              <w:top w:val="nil"/>
              <w:left w:val="nil"/>
              <w:bottom w:val="nil"/>
              <w:right w:val="nil"/>
            </w:tcBorders>
            <w:shd w:val="clear" w:color="auto" w:fill="auto"/>
            <w:noWrap/>
            <w:vAlign w:val="center"/>
            <w:hideMark/>
          </w:tcPr>
          <w:p w:rsidR="003704C9" w:rsidRPr="003704C9" w:rsidRDefault="003704C9" w:rsidP="003704C9">
            <w:pPr>
              <w:spacing w:after="0" w:line="240" w:lineRule="auto"/>
              <w:jc w:val="center"/>
            </w:pPr>
            <w:r w:rsidRPr="003704C9">
              <w:rPr>
                <w:rFonts w:cs="Arial"/>
                <w:color w:val="000000"/>
                <w:sz w:val="16"/>
                <w:szCs w:val="16"/>
              </w:rPr>
              <w:t>3,6</w:t>
            </w:r>
          </w:p>
        </w:tc>
        <w:tc>
          <w:tcPr>
            <w:tcW w:w="567" w:type="dxa"/>
            <w:vAlign w:val="center"/>
          </w:tcPr>
          <w:p w:rsidR="003704C9" w:rsidRPr="003704C9" w:rsidRDefault="003704C9" w:rsidP="003704C9">
            <w:pPr>
              <w:spacing w:after="0" w:line="240" w:lineRule="auto"/>
              <w:jc w:val="center"/>
              <w:rPr>
                <w:rFonts w:cs="Arial"/>
                <w:color w:val="000000"/>
                <w:sz w:val="16"/>
                <w:szCs w:val="16"/>
              </w:rPr>
            </w:pPr>
            <w:r w:rsidRPr="003704C9">
              <w:rPr>
                <w:rFonts w:cs="Arial"/>
                <w:color w:val="000000"/>
                <w:sz w:val="16"/>
                <w:szCs w:val="16"/>
              </w:rPr>
              <w:t>3,4</w:t>
            </w:r>
          </w:p>
        </w:tc>
        <w:tc>
          <w:tcPr>
            <w:tcW w:w="567" w:type="dxa"/>
            <w:vAlign w:val="center"/>
          </w:tcPr>
          <w:p w:rsidR="003704C9" w:rsidRPr="003704C9" w:rsidRDefault="003704C9" w:rsidP="003704C9">
            <w:pPr>
              <w:spacing w:after="0" w:line="240" w:lineRule="auto"/>
              <w:jc w:val="center"/>
              <w:rPr>
                <w:rFonts w:cs="Arial"/>
                <w:color w:val="000000"/>
                <w:sz w:val="16"/>
                <w:szCs w:val="16"/>
              </w:rPr>
            </w:pPr>
            <w:r w:rsidRPr="003704C9">
              <w:rPr>
                <w:rFonts w:cs="Arial"/>
                <w:color w:val="000000"/>
                <w:sz w:val="16"/>
                <w:szCs w:val="16"/>
              </w:rPr>
              <w:t>2,9</w:t>
            </w:r>
          </w:p>
        </w:tc>
        <w:tc>
          <w:tcPr>
            <w:tcW w:w="567" w:type="dxa"/>
            <w:vAlign w:val="center"/>
          </w:tcPr>
          <w:p w:rsidR="003704C9" w:rsidRPr="00D7081E" w:rsidRDefault="00D7081E" w:rsidP="003704C9">
            <w:pPr>
              <w:spacing w:after="0" w:line="240" w:lineRule="auto"/>
              <w:jc w:val="center"/>
              <w:rPr>
                <w:rFonts w:cs="Arial"/>
                <w:color w:val="000000"/>
                <w:sz w:val="16"/>
                <w:szCs w:val="16"/>
              </w:rPr>
            </w:pPr>
            <w:r w:rsidRPr="00D7081E">
              <w:rPr>
                <w:rFonts w:cs="Arial"/>
                <w:color w:val="000000"/>
                <w:sz w:val="16"/>
                <w:szCs w:val="16"/>
              </w:rPr>
              <w:t>3,0</w:t>
            </w:r>
          </w:p>
        </w:tc>
      </w:tr>
      <w:tr w:rsidR="003704C9" w:rsidRPr="003704C9" w:rsidTr="003704C9">
        <w:trPr>
          <w:trHeight w:val="480"/>
        </w:trPr>
        <w:tc>
          <w:tcPr>
            <w:tcW w:w="3401" w:type="dxa"/>
            <w:tcBorders>
              <w:top w:val="nil"/>
              <w:left w:val="nil"/>
              <w:bottom w:val="nil"/>
              <w:right w:val="single" w:sz="4" w:space="0" w:color="auto"/>
            </w:tcBorders>
            <w:shd w:val="clear" w:color="auto" w:fill="auto"/>
            <w:vAlign w:val="center"/>
            <w:hideMark/>
          </w:tcPr>
          <w:p w:rsidR="003704C9" w:rsidRPr="003704C9" w:rsidRDefault="003704C9" w:rsidP="003704C9">
            <w:pPr>
              <w:spacing w:after="0" w:line="240" w:lineRule="auto"/>
              <w:ind w:firstLineChars="100" w:firstLine="160"/>
              <w:jc w:val="left"/>
              <w:rPr>
                <w:rFonts w:cs="Arial"/>
                <w:color w:val="000000"/>
                <w:sz w:val="16"/>
                <w:szCs w:val="16"/>
              </w:rPr>
            </w:pPr>
            <w:r w:rsidRPr="003704C9">
              <w:rPr>
                <w:rFonts w:cs="Arial"/>
                <w:color w:val="000000"/>
                <w:sz w:val="16"/>
                <w:szCs w:val="16"/>
              </w:rPr>
              <w:t xml:space="preserve">E – Zásobování vodou; činnosti </w:t>
            </w:r>
            <w:r w:rsidRPr="003704C9">
              <w:rPr>
                <w:rFonts w:cs="Arial"/>
                <w:color w:val="000000"/>
                <w:sz w:val="16"/>
                <w:szCs w:val="16"/>
              </w:rPr>
              <w:br/>
              <w:t xml:space="preserve">          související s odpady a sanacemi</w:t>
            </w:r>
          </w:p>
        </w:tc>
        <w:tc>
          <w:tcPr>
            <w:tcW w:w="567" w:type="dxa"/>
            <w:tcBorders>
              <w:top w:val="nil"/>
              <w:left w:val="nil"/>
              <w:bottom w:val="nil"/>
              <w:right w:val="nil"/>
            </w:tcBorders>
            <w:shd w:val="clear" w:color="auto" w:fill="auto"/>
            <w:noWrap/>
            <w:vAlign w:val="center"/>
            <w:hideMark/>
          </w:tcPr>
          <w:p w:rsidR="003704C9" w:rsidRPr="003704C9" w:rsidRDefault="003704C9" w:rsidP="003704C9">
            <w:pPr>
              <w:spacing w:after="0" w:line="240" w:lineRule="auto"/>
              <w:jc w:val="center"/>
              <w:rPr>
                <w:rFonts w:cs="Arial"/>
                <w:color w:val="000000"/>
                <w:sz w:val="16"/>
                <w:szCs w:val="16"/>
              </w:rPr>
            </w:pPr>
            <w:r w:rsidRPr="003704C9">
              <w:rPr>
                <w:rFonts w:cs="Arial"/>
                <w:color w:val="000000"/>
                <w:sz w:val="16"/>
                <w:szCs w:val="16"/>
              </w:rPr>
              <w:t>3,9</w:t>
            </w:r>
          </w:p>
        </w:tc>
        <w:tc>
          <w:tcPr>
            <w:tcW w:w="567" w:type="dxa"/>
            <w:tcBorders>
              <w:top w:val="nil"/>
              <w:left w:val="nil"/>
              <w:bottom w:val="nil"/>
              <w:right w:val="nil"/>
            </w:tcBorders>
            <w:shd w:val="clear" w:color="auto" w:fill="auto"/>
            <w:noWrap/>
            <w:vAlign w:val="center"/>
            <w:hideMark/>
          </w:tcPr>
          <w:p w:rsidR="003704C9" w:rsidRPr="003704C9" w:rsidRDefault="003704C9" w:rsidP="003704C9">
            <w:pPr>
              <w:spacing w:after="0" w:line="240" w:lineRule="auto"/>
              <w:jc w:val="center"/>
              <w:rPr>
                <w:rFonts w:cs="Arial"/>
                <w:color w:val="000000"/>
                <w:sz w:val="16"/>
                <w:szCs w:val="16"/>
              </w:rPr>
            </w:pPr>
            <w:r w:rsidRPr="003704C9">
              <w:rPr>
                <w:rFonts w:cs="Arial"/>
                <w:color w:val="000000"/>
                <w:sz w:val="16"/>
                <w:szCs w:val="16"/>
              </w:rPr>
              <w:t>4,3</w:t>
            </w:r>
          </w:p>
        </w:tc>
        <w:tc>
          <w:tcPr>
            <w:tcW w:w="567" w:type="dxa"/>
            <w:tcBorders>
              <w:top w:val="nil"/>
              <w:left w:val="nil"/>
              <w:bottom w:val="nil"/>
              <w:right w:val="nil"/>
            </w:tcBorders>
            <w:shd w:val="clear" w:color="auto" w:fill="auto"/>
            <w:noWrap/>
            <w:vAlign w:val="center"/>
            <w:hideMark/>
          </w:tcPr>
          <w:p w:rsidR="003704C9" w:rsidRPr="003704C9" w:rsidRDefault="003704C9" w:rsidP="003704C9">
            <w:pPr>
              <w:spacing w:after="0" w:line="240" w:lineRule="auto"/>
              <w:jc w:val="center"/>
              <w:rPr>
                <w:rFonts w:cs="Arial"/>
                <w:color w:val="000000"/>
                <w:sz w:val="16"/>
                <w:szCs w:val="16"/>
              </w:rPr>
            </w:pPr>
            <w:r w:rsidRPr="003704C9">
              <w:rPr>
                <w:rFonts w:cs="Arial"/>
                <w:color w:val="000000"/>
                <w:sz w:val="16"/>
                <w:szCs w:val="16"/>
              </w:rPr>
              <w:t>4,4</w:t>
            </w:r>
          </w:p>
        </w:tc>
        <w:tc>
          <w:tcPr>
            <w:tcW w:w="567" w:type="dxa"/>
            <w:tcBorders>
              <w:top w:val="nil"/>
              <w:left w:val="nil"/>
              <w:bottom w:val="nil"/>
              <w:right w:val="nil"/>
            </w:tcBorders>
            <w:shd w:val="clear" w:color="auto" w:fill="auto"/>
            <w:noWrap/>
            <w:vAlign w:val="center"/>
            <w:hideMark/>
          </w:tcPr>
          <w:p w:rsidR="003704C9" w:rsidRPr="003704C9" w:rsidRDefault="003704C9" w:rsidP="003704C9">
            <w:pPr>
              <w:spacing w:after="0" w:line="240" w:lineRule="auto"/>
              <w:jc w:val="center"/>
              <w:rPr>
                <w:rFonts w:cs="Arial"/>
                <w:color w:val="000000"/>
                <w:sz w:val="16"/>
                <w:szCs w:val="16"/>
              </w:rPr>
            </w:pPr>
            <w:r w:rsidRPr="003704C9">
              <w:rPr>
                <w:rFonts w:cs="Arial"/>
                <w:color w:val="000000"/>
                <w:sz w:val="16"/>
                <w:szCs w:val="16"/>
              </w:rPr>
              <w:t>4,6</w:t>
            </w:r>
          </w:p>
        </w:tc>
        <w:tc>
          <w:tcPr>
            <w:tcW w:w="567" w:type="dxa"/>
            <w:tcBorders>
              <w:top w:val="nil"/>
              <w:left w:val="nil"/>
              <w:bottom w:val="nil"/>
              <w:right w:val="nil"/>
            </w:tcBorders>
            <w:shd w:val="clear" w:color="auto" w:fill="auto"/>
            <w:noWrap/>
            <w:vAlign w:val="center"/>
            <w:hideMark/>
          </w:tcPr>
          <w:p w:rsidR="003704C9" w:rsidRPr="003704C9" w:rsidRDefault="003704C9" w:rsidP="003704C9">
            <w:pPr>
              <w:spacing w:after="0" w:line="240" w:lineRule="auto"/>
              <w:jc w:val="center"/>
              <w:rPr>
                <w:rFonts w:cs="Arial"/>
                <w:color w:val="000000"/>
                <w:sz w:val="16"/>
                <w:szCs w:val="16"/>
              </w:rPr>
            </w:pPr>
            <w:r w:rsidRPr="003704C9">
              <w:rPr>
                <w:rFonts w:cs="Arial"/>
                <w:color w:val="000000"/>
                <w:sz w:val="16"/>
                <w:szCs w:val="16"/>
              </w:rPr>
              <w:t>4,9</w:t>
            </w:r>
          </w:p>
        </w:tc>
        <w:tc>
          <w:tcPr>
            <w:tcW w:w="567" w:type="dxa"/>
            <w:tcBorders>
              <w:top w:val="nil"/>
              <w:left w:val="nil"/>
              <w:bottom w:val="nil"/>
              <w:right w:val="nil"/>
            </w:tcBorders>
            <w:shd w:val="clear" w:color="auto" w:fill="auto"/>
            <w:noWrap/>
            <w:vAlign w:val="center"/>
            <w:hideMark/>
          </w:tcPr>
          <w:p w:rsidR="003704C9" w:rsidRPr="003704C9" w:rsidRDefault="003704C9" w:rsidP="003704C9">
            <w:pPr>
              <w:spacing w:after="0" w:line="240" w:lineRule="auto"/>
              <w:jc w:val="center"/>
              <w:rPr>
                <w:rFonts w:cs="Arial"/>
                <w:color w:val="000000"/>
                <w:sz w:val="16"/>
                <w:szCs w:val="16"/>
              </w:rPr>
            </w:pPr>
            <w:r w:rsidRPr="003704C9">
              <w:rPr>
                <w:rFonts w:cs="Arial"/>
                <w:color w:val="000000"/>
                <w:sz w:val="16"/>
                <w:szCs w:val="16"/>
              </w:rPr>
              <w:t>5,2</w:t>
            </w:r>
          </w:p>
        </w:tc>
        <w:tc>
          <w:tcPr>
            <w:tcW w:w="567" w:type="dxa"/>
            <w:tcBorders>
              <w:top w:val="nil"/>
              <w:left w:val="nil"/>
              <w:bottom w:val="nil"/>
              <w:right w:val="nil"/>
            </w:tcBorders>
            <w:shd w:val="clear" w:color="auto" w:fill="auto"/>
            <w:noWrap/>
            <w:vAlign w:val="center"/>
            <w:hideMark/>
          </w:tcPr>
          <w:p w:rsidR="003704C9" w:rsidRPr="003704C9" w:rsidRDefault="003704C9" w:rsidP="003704C9">
            <w:pPr>
              <w:spacing w:after="0" w:line="240" w:lineRule="auto"/>
              <w:jc w:val="center"/>
              <w:rPr>
                <w:rFonts w:cs="Arial"/>
                <w:color w:val="000000"/>
                <w:sz w:val="16"/>
                <w:szCs w:val="16"/>
              </w:rPr>
            </w:pPr>
            <w:r w:rsidRPr="003704C9">
              <w:rPr>
                <w:rFonts w:cs="Arial"/>
                <w:color w:val="000000"/>
                <w:sz w:val="16"/>
                <w:szCs w:val="16"/>
              </w:rPr>
              <w:t>5,9</w:t>
            </w:r>
          </w:p>
        </w:tc>
        <w:tc>
          <w:tcPr>
            <w:tcW w:w="567" w:type="dxa"/>
            <w:tcBorders>
              <w:top w:val="nil"/>
              <w:left w:val="nil"/>
              <w:bottom w:val="nil"/>
              <w:right w:val="nil"/>
            </w:tcBorders>
            <w:shd w:val="clear" w:color="auto" w:fill="auto"/>
            <w:noWrap/>
            <w:vAlign w:val="center"/>
            <w:hideMark/>
          </w:tcPr>
          <w:p w:rsidR="003704C9" w:rsidRPr="003704C9" w:rsidRDefault="003704C9" w:rsidP="003704C9">
            <w:pPr>
              <w:spacing w:after="0" w:line="240" w:lineRule="auto"/>
              <w:jc w:val="center"/>
            </w:pPr>
            <w:r w:rsidRPr="003704C9">
              <w:rPr>
                <w:rFonts w:cs="Arial"/>
                <w:color w:val="000000"/>
                <w:sz w:val="16"/>
                <w:szCs w:val="16"/>
              </w:rPr>
              <w:t>6,5</w:t>
            </w:r>
          </w:p>
        </w:tc>
        <w:tc>
          <w:tcPr>
            <w:tcW w:w="567" w:type="dxa"/>
            <w:vAlign w:val="center"/>
          </w:tcPr>
          <w:p w:rsidR="003704C9" w:rsidRPr="003704C9" w:rsidRDefault="003704C9" w:rsidP="003704C9">
            <w:pPr>
              <w:spacing w:after="0" w:line="240" w:lineRule="auto"/>
              <w:jc w:val="center"/>
              <w:rPr>
                <w:rFonts w:cs="Arial"/>
                <w:color w:val="000000"/>
                <w:sz w:val="16"/>
                <w:szCs w:val="16"/>
              </w:rPr>
            </w:pPr>
            <w:r w:rsidRPr="003704C9">
              <w:rPr>
                <w:rFonts w:cs="Arial"/>
                <w:color w:val="000000"/>
                <w:sz w:val="16"/>
                <w:szCs w:val="16"/>
              </w:rPr>
              <w:t>6,1</w:t>
            </w:r>
          </w:p>
        </w:tc>
        <w:tc>
          <w:tcPr>
            <w:tcW w:w="567" w:type="dxa"/>
            <w:vAlign w:val="center"/>
          </w:tcPr>
          <w:p w:rsidR="003704C9" w:rsidRPr="003704C9" w:rsidRDefault="003704C9" w:rsidP="003704C9">
            <w:pPr>
              <w:spacing w:after="0" w:line="240" w:lineRule="auto"/>
              <w:jc w:val="center"/>
              <w:rPr>
                <w:rFonts w:cs="Arial"/>
                <w:color w:val="000000"/>
                <w:sz w:val="16"/>
                <w:szCs w:val="16"/>
              </w:rPr>
            </w:pPr>
            <w:r w:rsidRPr="003704C9">
              <w:rPr>
                <w:rFonts w:cs="Arial"/>
                <w:color w:val="000000"/>
                <w:sz w:val="16"/>
                <w:szCs w:val="16"/>
              </w:rPr>
              <w:t>5,4</w:t>
            </w:r>
          </w:p>
        </w:tc>
        <w:tc>
          <w:tcPr>
            <w:tcW w:w="567" w:type="dxa"/>
            <w:vAlign w:val="center"/>
          </w:tcPr>
          <w:p w:rsidR="003704C9" w:rsidRPr="00D7081E" w:rsidRDefault="00D7081E" w:rsidP="003704C9">
            <w:pPr>
              <w:spacing w:after="0" w:line="240" w:lineRule="auto"/>
              <w:jc w:val="center"/>
              <w:rPr>
                <w:rFonts w:cs="Arial"/>
                <w:color w:val="000000"/>
                <w:sz w:val="16"/>
                <w:szCs w:val="16"/>
              </w:rPr>
            </w:pPr>
            <w:r w:rsidRPr="00D7081E">
              <w:rPr>
                <w:rFonts w:cs="Arial"/>
                <w:color w:val="000000"/>
                <w:sz w:val="16"/>
                <w:szCs w:val="16"/>
              </w:rPr>
              <w:t>5,5</w:t>
            </w:r>
          </w:p>
        </w:tc>
      </w:tr>
      <w:tr w:rsidR="003704C9" w:rsidRPr="003704C9" w:rsidTr="003704C9">
        <w:trPr>
          <w:trHeight w:val="300"/>
        </w:trPr>
        <w:tc>
          <w:tcPr>
            <w:tcW w:w="3401" w:type="dxa"/>
            <w:tcBorders>
              <w:top w:val="nil"/>
              <w:left w:val="nil"/>
              <w:bottom w:val="nil"/>
              <w:right w:val="single" w:sz="4" w:space="0" w:color="auto"/>
            </w:tcBorders>
            <w:shd w:val="clear" w:color="auto" w:fill="auto"/>
            <w:vAlign w:val="center"/>
            <w:hideMark/>
          </w:tcPr>
          <w:p w:rsidR="003704C9" w:rsidRPr="003704C9" w:rsidRDefault="003704C9" w:rsidP="003704C9">
            <w:pPr>
              <w:spacing w:after="0" w:line="240" w:lineRule="auto"/>
              <w:ind w:firstLineChars="100" w:firstLine="160"/>
              <w:jc w:val="left"/>
              <w:rPr>
                <w:rFonts w:cs="Arial"/>
                <w:color w:val="000000"/>
                <w:sz w:val="16"/>
                <w:szCs w:val="16"/>
              </w:rPr>
            </w:pPr>
            <w:r w:rsidRPr="003704C9">
              <w:rPr>
                <w:rFonts w:cs="Arial"/>
                <w:color w:val="000000"/>
                <w:sz w:val="16"/>
                <w:szCs w:val="16"/>
              </w:rPr>
              <w:t>F – Stavebnictví</w:t>
            </w:r>
          </w:p>
        </w:tc>
        <w:tc>
          <w:tcPr>
            <w:tcW w:w="567" w:type="dxa"/>
            <w:tcBorders>
              <w:top w:val="nil"/>
              <w:left w:val="nil"/>
              <w:bottom w:val="nil"/>
              <w:right w:val="nil"/>
            </w:tcBorders>
            <w:shd w:val="clear" w:color="auto" w:fill="auto"/>
            <w:noWrap/>
            <w:vAlign w:val="center"/>
            <w:hideMark/>
          </w:tcPr>
          <w:p w:rsidR="003704C9" w:rsidRPr="003704C9" w:rsidRDefault="003704C9" w:rsidP="003704C9">
            <w:pPr>
              <w:spacing w:after="0" w:line="240" w:lineRule="auto"/>
              <w:jc w:val="center"/>
              <w:rPr>
                <w:rFonts w:cs="Arial"/>
                <w:color w:val="000000"/>
                <w:sz w:val="16"/>
                <w:szCs w:val="16"/>
              </w:rPr>
            </w:pPr>
            <w:r w:rsidRPr="003704C9">
              <w:rPr>
                <w:rFonts w:cs="Arial"/>
                <w:color w:val="000000"/>
                <w:sz w:val="16"/>
                <w:szCs w:val="16"/>
              </w:rPr>
              <w:t>4,4</w:t>
            </w:r>
          </w:p>
        </w:tc>
        <w:tc>
          <w:tcPr>
            <w:tcW w:w="567" w:type="dxa"/>
            <w:tcBorders>
              <w:top w:val="nil"/>
              <w:left w:val="nil"/>
              <w:bottom w:val="nil"/>
              <w:right w:val="nil"/>
            </w:tcBorders>
            <w:shd w:val="clear" w:color="auto" w:fill="auto"/>
            <w:noWrap/>
            <w:vAlign w:val="center"/>
            <w:hideMark/>
          </w:tcPr>
          <w:p w:rsidR="003704C9" w:rsidRPr="003704C9" w:rsidRDefault="003704C9" w:rsidP="003704C9">
            <w:pPr>
              <w:spacing w:after="0" w:line="240" w:lineRule="auto"/>
              <w:jc w:val="center"/>
              <w:rPr>
                <w:rFonts w:cs="Arial"/>
                <w:color w:val="000000"/>
                <w:sz w:val="16"/>
                <w:szCs w:val="16"/>
              </w:rPr>
            </w:pPr>
            <w:r w:rsidRPr="003704C9">
              <w:rPr>
                <w:rFonts w:cs="Arial"/>
                <w:color w:val="000000"/>
                <w:sz w:val="16"/>
                <w:szCs w:val="16"/>
              </w:rPr>
              <w:t>4,6</w:t>
            </w:r>
          </w:p>
        </w:tc>
        <w:tc>
          <w:tcPr>
            <w:tcW w:w="567" w:type="dxa"/>
            <w:tcBorders>
              <w:top w:val="nil"/>
              <w:left w:val="nil"/>
              <w:bottom w:val="nil"/>
              <w:right w:val="nil"/>
            </w:tcBorders>
            <w:shd w:val="clear" w:color="auto" w:fill="auto"/>
            <w:noWrap/>
            <w:vAlign w:val="center"/>
            <w:hideMark/>
          </w:tcPr>
          <w:p w:rsidR="003704C9" w:rsidRPr="003704C9" w:rsidRDefault="003704C9" w:rsidP="003704C9">
            <w:pPr>
              <w:spacing w:after="0" w:line="240" w:lineRule="auto"/>
              <w:jc w:val="center"/>
              <w:rPr>
                <w:rFonts w:cs="Arial"/>
                <w:color w:val="000000"/>
                <w:sz w:val="16"/>
                <w:szCs w:val="16"/>
              </w:rPr>
            </w:pPr>
            <w:r w:rsidRPr="003704C9">
              <w:rPr>
                <w:rFonts w:cs="Arial"/>
                <w:color w:val="000000"/>
                <w:sz w:val="16"/>
                <w:szCs w:val="16"/>
              </w:rPr>
              <w:t>4,7</w:t>
            </w:r>
          </w:p>
        </w:tc>
        <w:tc>
          <w:tcPr>
            <w:tcW w:w="567" w:type="dxa"/>
            <w:tcBorders>
              <w:top w:val="nil"/>
              <w:left w:val="nil"/>
              <w:bottom w:val="nil"/>
              <w:right w:val="nil"/>
            </w:tcBorders>
            <w:shd w:val="clear" w:color="auto" w:fill="auto"/>
            <w:noWrap/>
            <w:vAlign w:val="center"/>
            <w:hideMark/>
          </w:tcPr>
          <w:p w:rsidR="003704C9" w:rsidRPr="003704C9" w:rsidRDefault="003704C9" w:rsidP="003704C9">
            <w:pPr>
              <w:spacing w:after="0" w:line="240" w:lineRule="auto"/>
              <w:jc w:val="center"/>
              <w:rPr>
                <w:rFonts w:cs="Arial"/>
                <w:color w:val="000000"/>
                <w:sz w:val="16"/>
                <w:szCs w:val="16"/>
              </w:rPr>
            </w:pPr>
            <w:r w:rsidRPr="003704C9">
              <w:rPr>
                <w:rFonts w:cs="Arial"/>
                <w:color w:val="000000"/>
                <w:sz w:val="16"/>
                <w:szCs w:val="16"/>
              </w:rPr>
              <w:t>4,7</w:t>
            </w:r>
          </w:p>
        </w:tc>
        <w:tc>
          <w:tcPr>
            <w:tcW w:w="567" w:type="dxa"/>
            <w:tcBorders>
              <w:top w:val="nil"/>
              <w:left w:val="nil"/>
              <w:bottom w:val="nil"/>
              <w:right w:val="nil"/>
            </w:tcBorders>
            <w:shd w:val="clear" w:color="auto" w:fill="auto"/>
            <w:noWrap/>
            <w:vAlign w:val="center"/>
            <w:hideMark/>
          </w:tcPr>
          <w:p w:rsidR="003704C9" w:rsidRPr="003704C9" w:rsidRDefault="003704C9" w:rsidP="003704C9">
            <w:pPr>
              <w:spacing w:after="0" w:line="240" w:lineRule="auto"/>
              <w:jc w:val="center"/>
              <w:rPr>
                <w:rFonts w:cs="Arial"/>
                <w:color w:val="000000"/>
                <w:sz w:val="16"/>
                <w:szCs w:val="16"/>
              </w:rPr>
            </w:pPr>
            <w:r w:rsidRPr="003704C9">
              <w:rPr>
                <w:rFonts w:cs="Arial"/>
                <w:color w:val="000000"/>
                <w:sz w:val="16"/>
                <w:szCs w:val="16"/>
              </w:rPr>
              <w:t>4,7</w:t>
            </w:r>
          </w:p>
        </w:tc>
        <w:tc>
          <w:tcPr>
            <w:tcW w:w="567" w:type="dxa"/>
            <w:tcBorders>
              <w:top w:val="nil"/>
              <w:left w:val="nil"/>
              <w:bottom w:val="nil"/>
              <w:right w:val="nil"/>
            </w:tcBorders>
            <w:shd w:val="clear" w:color="auto" w:fill="auto"/>
            <w:noWrap/>
            <w:vAlign w:val="center"/>
            <w:hideMark/>
          </w:tcPr>
          <w:p w:rsidR="003704C9" w:rsidRPr="003704C9" w:rsidRDefault="003704C9" w:rsidP="003704C9">
            <w:pPr>
              <w:spacing w:after="0" w:line="240" w:lineRule="auto"/>
              <w:jc w:val="center"/>
              <w:rPr>
                <w:rFonts w:cs="Arial"/>
                <w:color w:val="000000"/>
                <w:sz w:val="16"/>
                <w:szCs w:val="16"/>
              </w:rPr>
            </w:pPr>
            <w:r w:rsidRPr="003704C9">
              <w:rPr>
                <w:rFonts w:cs="Arial"/>
                <w:color w:val="000000"/>
                <w:sz w:val="16"/>
                <w:szCs w:val="16"/>
              </w:rPr>
              <w:t>4,8</w:t>
            </w:r>
          </w:p>
        </w:tc>
        <w:tc>
          <w:tcPr>
            <w:tcW w:w="567" w:type="dxa"/>
            <w:tcBorders>
              <w:top w:val="nil"/>
              <w:left w:val="nil"/>
              <w:bottom w:val="nil"/>
              <w:right w:val="nil"/>
            </w:tcBorders>
            <w:shd w:val="clear" w:color="auto" w:fill="auto"/>
            <w:noWrap/>
            <w:vAlign w:val="center"/>
            <w:hideMark/>
          </w:tcPr>
          <w:p w:rsidR="003704C9" w:rsidRPr="003704C9" w:rsidRDefault="003704C9" w:rsidP="003704C9">
            <w:pPr>
              <w:spacing w:after="0" w:line="240" w:lineRule="auto"/>
              <w:jc w:val="center"/>
              <w:rPr>
                <w:rFonts w:cs="Arial"/>
                <w:color w:val="000000"/>
                <w:sz w:val="16"/>
                <w:szCs w:val="16"/>
              </w:rPr>
            </w:pPr>
            <w:r w:rsidRPr="003704C9">
              <w:rPr>
                <w:rFonts w:cs="Arial"/>
                <w:color w:val="000000"/>
                <w:sz w:val="16"/>
                <w:szCs w:val="16"/>
              </w:rPr>
              <w:t>5,5</w:t>
            </w:r>
          </w:p>
        </w:tc>
        <w:tc>
          <w:tcPr>
            <w:tcW w:w="567" w:type="dxa"/>
            <w:tcBorders>
              <w:top w:val="nil"/>
              <w:left w:val="nil"/>
              <w:bottom w:val="nil"/>
              <w:right w:val="nil"/>
            </w:tcBorders>
            <w:shd w:val="clear" w:color="auto" w:fill="auto"/>
            <w:noWrap/>
            <w:vAlign w:val="center"/>
            <w:hideMark/>
          </w:tcPr>
          <w:p w:rsidR="003704C9" w:rsidRPr="003704C9" w:rsidRDefault="003704C9" w:rsidP="003704C9">
            <w:pPr>
              <w:spacing w:after="0" w:line="240" w:lineRule="auto"/>
              <w:jc w:val="center"/>
            </w:pPr>
            <w:r w:rsidRPr="003704C9">
              <w:rPr>
                <w:rFonts w:cs="Arial"/>
                <w:color w:val="000000"/>
                <w:sz w:val="16"/>
                <w:szCs w:val="16"/>
              </w:rPr>
              <w:t>5,7</w:t>
            </w:r>
          </w:p>
        </w:tc>
        <w:tc>
          <w:tcPr>
            <w:tcW w:w="567" w:type="dxa"/>
            <w:vAlign w:val="center"/>
          </w:tcPr>
          <w:p w:rsidR="003704C9" w:rsidRPr="003704C9" w:rsidRDefault="003704C9" w:rsidP="003704C9">
            <w:pPr>
              <w:spacing w:after="0" w:line="240" w:lineRule="auto"/>
              <w:jc w:val="center"/>
              <w:rPr>
                <w:rFonts w:cs="Arial"/>
                <w:color w:val="000000"/>
                <w:sz w:val="16"/>
                <w:szCs w:val="16"/>
              </w:rPr>
            </w:pPr>
            <w:r w:rsidRPr="003704C9">
              <w:rPr>
                <w:rFonts w:cs="Arial"/>
                <w:color w:val="000000"/>
                <w:sz w:val="16"/>
                <w:szCs w:val="16"/>
              </w:rPr>
              <w:t>5,2</w:t>
            </w:r>
          </w:p>
        </w:tc>
        <w:tc>
          <w:tcPr>
            <w:tcW w:w="567" w:type="dxa"/>
            <w:vAlign w:val="center"/>
          </w:tcPr>
          <w:p w:rsidR="003704C9" w:rsidRPr="003704C9" w:rsidRDefault="003704C9" w:rsidP="003704C9">
            <w:pPr>
              <w:spacing w:after="0" w:line="240" w:lineRule="auto"/>
              <w:jc w:val="center"/>
              <w:rPr>
                <w:rFonts w:cs="Arial"/>
                <w:color w:val="000000"/>
                <w:sz w:val="16"/>
                <w:szCs w:val="16"/>
              </w:rPr>
            </w:pPr>
            <w:r w:rsidRPr="003704C9">
              <w:rPr>
                <w:rFonts w:cs="Arial"/>
                <w:color w:val="000000"/>
                <w:sz w:val="16"/>
                <w:szCs w:val="16"/>
              </w:rPr>
              <w:t>4,7</w:t>
            </w:r>
          </w:p>
        </w:tc>
        <w:tc>
          <w:tcPr>
            <w:tcW w:w="567" w:type="dxa"/>
            <w:vAlign w:val="center"/>
          </w:tcPr>
          <w:p w:rsidR="003704C9" w:rsidRPr="00D7081E" w:rsidRDefault="00D7081E" w:rsidP="003704C9">
            <w:pPr>
              <w:spacing w:after="0" w:line="240" w:lineRule="auto"/>
              <w:jc w:val="center"/>
              <w:rPr>
                <w:rFonts w:cs="Arial"/>
                <w:color w:val="000000"/>
                <w:sz w:val="16"/>
                <w:szCs w:val="16"/>
              </w:rPr>
            </w:pPr>
            <w:r w:rsidRPr="00D7081E">
              <w:rPr>
                <w:rFonts w:cs="Arial"/>
                <w:color w:val="000000"/>
                <w:sz w:val="16"/>
                <w:szCs w:val="16"/>
              </w:rPr>
              <w:t>4,7</w:t>
            </w:r>
          </w:p>
        </w:tc>
      </w:tr>
      <w:tr w:rsidR="003704C9" w:rsidRPr="003704C9" w:rsidTr="003704C9">
        <w:trPr>
          <w:trHeight w:val="480"/>
        </w:trPr>
        <w:tc>
          <w:tcPr>
            <w:tcW w:w="3401" w:type="dxa"/>
            <w:tcBorders>
              <w:top w:val="nil"/>
              <w:left w:val="nil"/>
              <w:bottom w:val="nil"/>
              <w:right w:val="single" w:sz="4" w:space="0" w:color="auto"/>
            </w:tcBorders>
            <w:shd w:val="clear" w:color="auto" w:fill="auto"/>
            <w:vAlign w:val="center"/>
            <w:hideMark/>
          </w:tcPr>
          <w:p w:rsidR="003704C9" w:rsidRPr="003704C9" w:rsidRDefault="003704C9" w:rsidP="003704C9">
            <w:pPr>
              <w:spacing w:after="0" w:line="240" w:lineRule="auto"/>
              <w:ind w:firstLineChars="100" w:firstLine="160"/>
              <w:jc w:val="left"/>
              <w:rPr>
                <w:rFonts w:cs="Arial"/>
                <w:color w:val="000000"/>
                <w:sz w:val="16"/>
                <w:szCs w:val="16"/>
              </w:rPr>
            </w:pPr>
            <w:r w:rsidRPr="003704C9">
              <w:rPr>
                <w:rFonts w:cs="Arial"/>
                <w:color w:val="000000"/>
                <w:sz w:val="16"/>
                <w:szCs w:val="16"/>
              </w:rPr>
              <w:t xml:space="preserve">G – Velkoobchod a maloobchod; </w:t>
            </w:r>
            <w:r w:rsidRPr="003704C9">
              <w:rPr>
                <w:rFonts w:cs="Arial"/>
                <w:color w:val="000000"/>
                <w:sz w:val="16"/>
                <w:szCs w:val="16"/>
              </w:rPr>
              <w:br/>
              <w:t xml:space="preserve">          opravy a údržba motorových vozidel</w:t>
            </w:r>
          </w:p>
        </w:tc>
        <w:tc>
          <w:tcPr>
            <w:tcW w:w="567" w:type="dxa"/>
            <w:tcBorders>
              <w:top w:val="nil"/>
              <w:left w:val="nil"/>
              <w:bottom w:val="nil"/>
              <w:right w:val="nil"/>
            </w:tcBorders>
            <w:shd w:val="clear" w:color="auto" w:fill="auto"/>
            <w:noWrap/>
            <w:vAlign w:val="center"/>
            <w:hideMark/>
          </w:tcPr>
          <w:p w:rsidR="003704C9" w:rsidRPr="003704C9" w:rsidRDefault="003704C9" w:rsidP="003704C9">
            <w:pPr>
              <w:spacing w:after="0" w:line="240" w:lineRule="auto"/>
              <w:jc w:val="center"/>
              <w:rPr>
                <w:rFonts w:cs="Arial"/>
                <w:color w:val="000000"/>
                <w:sz w:val="16"/>
                <w:szCs w:val="16"/>
              </w:rPr>
            </w:pPr>
            <w:r w:rsidRPr="003704C9">
              <w:rPr>
                <w:rFonts w:cs="Arial"/>
                <w:color w:val="000000"/>
                <w:sz w:val="16"/>
                <w:szCs w:val="16"/>
              </w:rPr>
              <w:t>3,6</w:t>
            </w:r>
          </w:p>
        </w:tc>
        <w:tc>
          <w:tcPr>
            <w:tcW w:w="567" w:type="dxa"/>
            <w:tcBorders>
              <w:top w:val="nil"/>
              <w:left w:val="nil"/>
              <w:bottom w:val="nil"/>
              <w:right w:val="nil"/>
            </w:tcBorders>
            <w:shd w:val="clear" w:color="auto" w:fill="auto"/>
            <w:noWrap/>
            <w:vAlign w:val="center"/>
            <w:hideMark/>
          </w:tcPr>
          <w:p w:rsidR="003704C9" w:rsidRPr="003704C9" w:rsidRDefault="003704C9" w:rsidP="003704C9">
            <w:pPr>
              <w:spacing w:after="0" w:line="240" w:lineRule="auto"/>
              <w:jc w:val="center"/>
              <w:rPr>
                <w:rFonts w:cs="Arial"/>
                <w:color w:val="000000"/>
                <w:sz w:val="16"/>
                <w:szCs w:val="16"/>
              </w:rPr>
            </w:pPr>
            <w:r w:rsidRPr="003704C9">
              <w:rPr>
                <w:rFonts w:cs="Arial"/>
                <w:color w:val="000000"/>
                <w:sz w:val="16"/>
                <w:szCs w:val="16"/>
              </w:rPr>
              <w:t>3,9</w:t>
            </w:r>
          </w:p>
        </w:tc>
        <w:tc>
          <w:tcPr>
            <w:tcW w:w="567" w:type="dxa"/>
            <w:tcBorders>
              <w:top w:val="nil"/>
              <w:left w:val="nil"/>
              <w:bottom w:val="nil"/>
              <w:right w:val="nil"/>
            </w:tcBorders>
            <w:shd w:val="clear" w:color="auto" w:fill="auto"/>
            <w:noWrap/>
            <w:vAlign w:val="center"/>
            <w:hideMark/>
          </w:tcPr>
          <w:p w:rsidR="003704C9" w:rsidRPr="003704C9" w:rsidRDefault="003704C9" w:rsidP="003704C9">
            <w:pPr>
              <w:spacing w:after="0" w:line="240" w:lineRule="auto"/>
              <w:jc w:val="center"/>
              <w:rPr>
                <w:rFonts w:cs="Arial"/>
                <w:color w:val="000000"/>
                <w:sz w:val="16"/>
                <w:szCs w:val="16"/>
              </w:rPr>
            </w:pPr>
            <w:r w:rsidRPr="003704C9">
              <w:rPr>
                <w:rFonts w:cs="Arial"/>
                <w:color w:val="000000"/>
                <w:sz w:val="16"/>
                <w:szCs w:val="16"/>
              </w:rPr>
              <w:t>4,1</w:t>
            </w:r>
          </w:p>
        </w:tc>
        <w:tc>
          <w:tcPr>
            <w:tcW w:w="567" w:type="dxa"/>
            <w:tcBorders>
              <w:top w:val="nil"/>
              <w:left w:val="nil"/>
              <w:bottom w:val="nil"/>
              <w:right w:val="nil"/>
            </w:tcBorders>
            <w:shd w:val="clear" w:color="auto" w:fill="auto"/>
            <w:noWrap/>
            <w:vAlign w:val="center"/>
            <w:hideMark/>
          </w:tcPr>
          <w:p w:rsidR="003704C9" w:rsidRPr="003704C9" w:rsidRDefault="003704C9" w:rsidP="003704C9">
            <w:pPr>
              <w:spacing w:after="0" w:line="240" w:lineRule="auto"/>
              <w:jc w:val="center"/>
              <w:rPr>
                <w:rFonts w:cs="Arial"/>
                <w:color w:val="000000"/>
                <w:sz w:val="16"/>
                <w:szCs w:val="16"/>
              </w:rPr>
            </w:pPr>
            <w:r w:rsidRPr="003704C9">
              <w:rPr>
                <w:rFonts w:cs="Arial"/>
                <w:color w:val="000000"/>
                <w:sz w:val="16"/>
                <w:szCs w:val="16"/>
              </w:rPr>
              <w:t>4,2</w:t>
            </w:r>
          </w:p>
        </w:tc>
        <w:tc>
          <w:tcPr>
            <w:tcW w:w="567" w:type="dxa"/>
            <w:tcBorders>
              <w:top w:val="nil"/>
              <w:left w:val="nil"/>
              <w:bottom w:val="nil"/>
              <w:right w:val="nil"/>
            </w:tcBorders>
            <w:shd w:val="clear" w:color="auto" w:fill="auto"/>
            <w:noWrap/>
            <w:vAlign w:val="center"/>
            <w:hideMark/>
          </w:tcPr>
          <w:p w:rsidR="003704C9" w:rsidRPr="003704C9" w:rsidRDefault="003704C9" w:rsidP="003704C9">
            <w:pPr>
              <w:spacing w:after="0" w:line="240" w:lineRule="auto"/>
              <w:jc w:val="center"/>
              <w:rPr>
                <w:rFonts w:cs="Arial"/>
                <w:color w:val="000000"/>
                <w:sz w:val="16"/>
                <w:szCs w:val="16"/>
              </w:rPr>
            </w:pPr>
            <w:r w:rsidRPr="003704C9">
              <w:rPr>
                <w:rFonts w:cs="Arial"/>
                <w:color w:val="000000"/>
                <w:sz w:val="16"/>
                <w:szCs w:val="16"/>
              </w:rPr>
              <w:t>4,6</w:t>
            </w:r>
          </w:p>
        </w:tc>
        <w:tc>
          <w:tcPr>
            <w:tcW w:w="567" w:type="dxa"/>
            <w:tcBorders>
              <w:top w:val="nil"/>
              <w:left w:val="nil"/>
              <w:bottom w:val="nil"/>
              <w:right w:val="nil"/>
            </w:tcBorders>
            <w:shd w:val="clear" w:color="auto" w:fill="auto"/>
            <w:noWrap/>
            <w:vAlign w:val="center"/>
            <w:hideMark/>
          </w:tcPr>
          <w:p w:rsidR="003704C9" w:rsidRPr="003704C9" w:rsidRDefault="003704C9" w:rsidP="003704C9">
            <w:pPr>
              <w:spacing w:after="0" w:line="240" w:lineRule="auto"/>
              <w:jc w:val="center"/>
              <w:rPr>
                <w:rFonts w:cs="Arial"/>
                <w:color w:val="000000"/>
                <w:sz w:val="16"/>
                <w:szCs w:val="16"/>
              </w:rPr>
            </w:pPr>
            <w:r w:rsidRPr="003704C9">
              <w:rPr>
                <w:rFonts w:cs="Arial"/>
                <w:color w:val="000000"/>
                <w:sz w:val="16"/>
                <w:szCs w:val="16"/>
              </w:rPr>
              <w:t>4,9</w:t>
            </w:r>
          </w:p>
        </w:tc>
        <w:tc>
          <w:tcPr>
            <w:tcW w:w="567" w:type="dxa"/>
            <w:tcBorders>
              <w:top w:val="nil"/>
              <w:left w:val="nil"/>
              <w:bottom w:val="nil"/>
              <w:right w:val="nil"/>
            </w:tcBorders>
            <w:shd w:val="clear" w:color="auto" w:fill="auto"/>
            <w:noWrap/>
            <w:vAlign w:val="center"/>
            <w:hideMark/>
          </w:tcPr>
          <w:p w:rsidR="003704C9" w:rsidRPr="003704C9" w:rsidRDefault="003704C9" w:rsidP="003704C9">
            <w:pPr>
              <w:spacing w:after="0" w:line="240" w:lineRule="auto"/>
              <w:jc w:val="center"/>
              <w:rPr>
                <w:rFonts w:cs="Arial"/>
                <w:color w:val="000000"/>
                <w:sz w:val="16"/>
                <w:szCs w:val="16"/>
              </w:rPr>
            </w:pPr>
            <w:r w:rsidRPr="003704C9">
              <w:rPr>
                <w:rFonts w:cs="Arial"/>
                <w:color w:val="000000"/>
                <w:sz w:val="16"/>
                <w:szCs w:val="16"/>
              </w:rPr>
              <w:t>5,7</w:t>
            </w:r>
          </w:p>
        </w:tc>
        <w:tc>
          <w:tcPr>
            <w:tcW w:w="567" w:type="dxa"/>
            <w:tcBorders>
              <w:top w:val="nil"/>
              <w:left w:val="nil"/>
              <w:bottom w:val="nil"/>
              <w:right w:val="nil"/>
            </w:tcBorders>
            <w:shd w:val="clear" w:color="auto" w:fill="auto"/>
            <w:noWrap/>
            <w:vAlign w:val="center"/>
            <w:hideMark/>
          </w:tcPr>
          <w:p w:rsidR="003704C9" w:rsidRPr="003704C9" w:rsidRDefault="003704C9" w:rsidP="003704C9">
            <w:pPr>
              <w:spacing w:after="0" w:line="240" w:lineRule="auto"/>
              <w:jc w:val="center"/>
            </w:pPr>
            <w:r w:rsidRPr="003704C9">
              <w:rPr>
                <w:rFonts w:cs="Arial"/>
                <w:color w:val="000000"/>
                <w:sz w:val="16"/>
                <w:szCs w:val="16"/>
              </w:rPr>
              <w:t>5,7</w:t>
            </w:r>
          </w:p>
        </w:tc>
        <w:tc>
          <w:tcPr>
            <w:tcW w:w="567" w:type="dxa"/>
            <w:vAlign w:val="center"/>
          </w:tcPr>
          <w:p w:rsidR="003704C9" w:rsidRPr="003704C9" w:rsidRDefault="003704C9" w:rsidP="003704C9">
            <w:pPr>
              <w:spacing w:after="0" w:line="240" w:lineRule="auto"/>
              <w:jc w:val="center"/>
              <w:rPr>
                <w:rFonts w:cs="Arial"/>
                <w:color w:val="000000"/>
                <w:sz w:val="16"/>
                <w:szCs w:val="16"/>
              </w:rPr>
            </w:pPr>
            <w:r w:rsidRPr="003704C9">
              <w:rPr>
                <w:rFonts w:cs="Arial"/>
                <w:color w:val="000000"/>
                <w:sz w:val="16"/>
                <w:szCs w:val="16"/>
              </w:rPr>
              <w:t>5,4</w:t>
            </w:r>
          </w:p>
        </w:tc>
        <w:tc>
          <w:tcPr>
            <w:tcW w:w="567" w:type="dxa"/>
            <w:vAlign w:val="center"/>
          </w:tcPr>
          <w:p w:rsidR="003704C9" w:rsidRPr="003704C9" w:rsidRDefault="003704C9" w:rsidP="003704C9">
            <w:pPr>
              <w:spacing w:after="0" w:line="240" w:lineRule="auto"/>
              <w:jc w:val="center"/>
              <w:rPr>
                <w:rFonts w:cs="Arial"/>
                <w:color w:val="000000"/>
                <w:sz w:val="16"/>
                <w:szCs w:val="16"/>
              </w:rPr>
            </w:pPr>
            <w:r w:rsidRPr="003704C9">
              <w:rPr>
                <w:rFonts w:cs="Arial"/>
                <w:color w:val="000000"/>
                <w:sz w:val="16"/>
                <w:szCs w:val="16"/>
              </w:rPr>
              <w:t>4,7</w:t>
            </w:r>
          </w:p>
        </w:tc>
        <w:tc>
          <w:tcPr>
            <w:tcW w:w="567" w:type="dxa"/>
            <w:vAlign w:val="center"/>
          </w:tcPr>
          <w:p w:rsidR="003704C9" w:rsidRPr="00D7081E" w:rsidRDefault="00D7081E" w:rsidP="003704C9">
            <w:pPr>
              <w:spacing w:after="0" w:line="240" w:lineRule="auto"/>
              <w:jc w:val="center"/>
              <w:rPr>
                <w:rFonts w:cs="Arial"/>
                <w:color w:val="000000"/>
                <w:sz w:val="16"/>
                <w:szCs w:val="16"/>
              </w:rPr>
            </w:pPr>
            <w:r w:rsidRPr="00D7081E">
              <w:rPr>
                <w:rFonts w:cs="Arial"/>
                <w:color w:val="000000"/>
                <w:sz w:val="16"/>
                <w:szCs w:val="16"/>
              </w:rPr>
              <w:t>4,5</w:t>
            </w:r>
          </w:p>
        </w:tc>
      </w:tr>
      <w:tr w:rsidR="003704C9" w:rsidRPr="003704C9" w:rsidTr="003704C9">
        <w:trPr>
          <w:trHeight w:val="300"/>
        </w:trPr>
        <w:tc>
          <w:tcPr>
            <w:tcW w:w="3401" w:type="dxa"/>
            <w:tcBorders>
              <w:top w:val="nil"/>
              <w:left w:val="nil"/>
              <w:bottom w:val="nil"/>
              <w:right w:val="single" w:sz="4" w:space="0" w:color="auto"/>
            </w:tcBorders>
            <w:shd w:val="clear" w:color="auto" w:fill="auto"/>
            <w:vAlign w:val="center"/>
            <w:hideMark/>
          </w:tcPr>
          <w:p w:rsidR="003704C9" w:rsidRPr="003704C9" w:rsidRDefault="003704C9" w:rsidP="003704C9">
            <w:pPr>
              <w:spacing w:after="0" w:line="240" w:lineRule="auto"/>
              <w:ind w:firstLineChars="100" w:firstLine="160"/>
              <w:jc w:val="left"/>
              <w:rPr>
                <w:rFonts w:cs="Arial"/>
                <w:color w:val="000000"/>
                <w:sz w:val="16"/>
                <w:szCs w:val="16"/>
              </w:rPr>
            </w:pPr>
            <w:r w:rsidRPr="003704C9">
              <w:rPr>
                <w:rFonts w:cs="Arial"/>
                <w:color w:val="000000"/>
                <w:sz w:val="16"/>
                <w:szCs w:val="16"/>
              </w:rPr>
              <w:t>H – Doprava a skladování</w:t>
            </w:r>
          </w:p>
        </w:tc>
        <w:tc>
          <w:tcPr>
            <w:tcW w:w="567" w:type="dxa"/>
            <w:tcBorders>
              <w:top w:val="nil"/>
              <w:left w:val="nil"/>
              <w:bottom w:val="nil"/>
              <w:right w:val="nil"/>
            </w:tcBorders>
            <w:shd w:val="clear" w:color="auto" w:fill="auto"/>
            <w:noWrap/>
            <w:vAlign w:val="center"/>
            <w:hideMark/>
          </w:tcPr>
          <w:p w:rsidR="003704C9" w:rsidRPr="003704C9" w:rsidRDefault="003704C9" w:rsidP="003704C9">
            <w:pPr>
              <w:spacing w:after="0" w:line="240" w:lineRule="auto"/>
              <w:jc w:val="center"/>
              <w:rPr>
                <w:rFonts w:cs="Arial"/>
                <w:color w:val="000000"/>
                <w:sz w:val="16"/>
                <w:szCs w:val="16"/>
              </w:rPr>
            </w:pPr>
            <w:r w:rsidRPr="003704C9">
              <w:rPr>
                <w:rFonts w:cs="Arial"/>
                <w:color w:val="000000"/>
                <w:sz w:val="16"/>
                <w:szCs w:val="16"/>
              </w:rPr>
              <w:t>3,8</w:t>
            </w:r>
          </w:p>
        </w:tc>
        <w:tc>
          <w:tcPr>
            <w:tcW w:w="567" w:type="dxa"/>
            <w:tcBorders>
              <w:top w:val="nil"/>
              <w:left w:val="nil"/>
              <w:bottom w:val="nil"/>
              <w:right w:val="nil"/>
            </w:tcBorders>
            <w:shd w:val="clear" w:color="auto" w:fill="auto"/>
            <w:noWrap/>
            <w:vAlign w:val="center"/>
            <w:hideMark/>
          </w:tcPr>
          <w:p w:rsidR="003704C9" w:rsidRPr="003704C9" w:rsidRDefault="003704C9" w:rsidP="003704C9">
            <w:pPr>
              <w:spacing w:after="0" w:line="240" w:lineRule="auto"/>
              <w:jc w:val="center"/>
              <w:rPr>
                <w:rFonts w:cs="Arial"/>
                <w:color w:val="000000"/>
                <w:sz w:val="16"/>
                <w:szCs w:val="16"/>
              </w:rPr>
            </w:pPr>
            <w:r w:rsidRPr="003704C9">
              <w:rPr>
                <w:rFonts w:cs="Arial"/>
                <w:color w:val="000000"/>
                <w:sz w:val="16"/>
                <w:szCs w:val="16"/>
              </w:rPr>
              <w:t>4,1</w:t>
            </w:r>
          </w:p>
        </w:tc>
        <w:tc>
          <w:tcPr>
            <w:tcW w:w="567" w:type="dxa"/>
            <w:tcBorders>
              <w:top w:val="nil"/>
              <w:left w:val="nil"/>
              <w:bottom w:val="nil"/>
              <w:right w:val="nil"/>
            </w:tcBorders>
            <w:shd w:val="clear" w:color="auto" w:fill="auto"/>
            <w:noWrap/>
            <w:vAlign w:val="center"/>
            <w:hideMark/>
          </w:tcPr>
          <w:p w:rsidR="003704C9" w:rsidRPr="003704C9" w:rsidRDefault="003704C9" w:rsidP="003704C9">
            <w:pPr>
              <w:spacing w:after="0" w:line="240" w:lineRule="auto"/>
              <w:jc w:val="center"/>
              <w:rPr>
                <w:rFonts w:cs="Arial"/>
                <w:color w:val="000000"/>
                <w:sz w:val="16"/>
                <w:szCs w:val="16"/>
              </w:rPr>
            </w:pPr>
            <w:r w:rsidRPr="003704C9">
              <w:rPr>
                <w:rFonts w:cs="Arial"/>
                <w:color w:val="000000"/>
                <w:sz w:val="16"/>
                <w:szCs w:val="16"/>
              </w:rPr>
              <w:t>4,2</w:t>
            </w:r>
          </w:p>
        </w:tc>
        <w:tc>
          <w:tcPr>
            <w:tcW w:w="567" w:type="dxa"/>
            <w:tcBorders>
              <w:top w:val="nil"/>
              <w:left w:val="nil"/>
              <w:bottom w:val="nil"/>
              <w:right w:val="nil"/>
            </w:tcBorders>
            <w:shd w:val="clear" w:color="auto" w:fill="auto"/>
            <w:noWrap/>
            <w:vAlign w:val="center"/>
            <w:hideMark/>
          </w:tcPr>
          <w:p w:rsidR="003704C9" w:rsidRPr="003704C9" w:rsidRDefault="003704C9" w:rsidP="003704C9">
            <w:pPr>
              <w:spacing w:after="0" w:line="240" w:lineRule="auto"/>
              <w:jc w:val="center"/>
              <w:rPr>
                <w:rFonts w:cs="Arial"/>
                <w:color w:val="000000"/>
                <w:sz w:val="16"/>
                <w:szCs w:val="16"/>
              </w:rPr>
            </w:pPr>
            <w:r w:rsidRPr="003704C9">
              <w:rPr>
                <w:rFonts w:cs="Arial"/>
                <w:color w:val="000000"/>
                <w:sz w:val="16"/>
                <w:szCs w:val="16"/>
              </w:rPr>
              <w:t>4,4</w:t>
            </w:r>
          </w:p>
        </w:tc>
        <w:tc>
          <w:tcPr>
            <w:tcW w:w="567" w:type="dxa"/>
            <w:tcBorders>
              <w:top w:val="nil"/>
              <w:left w:val="nil"/>
              <w:bottom w:val="nil"/>
              <w:right w:val="nil"/>
            </w:tcBorders>
            <w:shd w:val="clear" w:color="auto" w:fill="auto"/>
            <w:noWrap/>
            <w:vAlign w:val="center"/>
            <w:hideMark/>
          </w:tcPr>
          <w:p w:rsidR="003704C9" w:rsidRPr="003704C9" w:rsidRDefault="003704C9" w:rsidP="003704C9">
            <w:pPr>
              <w:spacing w:after="0" w:line="240" w:lineRule="auto"/>
              <w:jc w:val="center"/>
              <w:rPr>
                <w:rFonts w:cs="Arial"/>
                <w:color w:val="000000"/>
                <w:sz w:val="16"/>
                <w:szCs w:val="16"/>
              </w:rPr>
            </w:pPr>
            <w:r w:rsidRPr="003704C9">
              <w:rPr>
                <w:rFonts w:cs="Arial"/>
                <w:color w:val="000000"/>
                <w:sz w:val="16"/>
                <w:szCs w:val="16"/>
              </w:rPr>
              <w:t>4,8</w:t>
            </w:r>
          </w:p>
        </w:tc>
        <w:tc>
          <w:tcPr>
            <w:tcW w:w="567" w:type="dxa"/>
            <w:tcBorders>
              <w:top w:val="nil"/>
              <w:left w:val="nil"/>
              <w:bottom w:val="nil"/>
              <w:right w:val="nil"/>
            </w:tcBorders>
            <w:shd w:val="clear" w:color="auto" w:fill="auto"/>
            <w:noWrap/>
            <w:vAlign w:val="center"/>
            <w:hideMark/>
          </w:tcPr>
          <w:p w:rsidR="003704C9" w:rsidRPr="003704C9" w:rsidRDefault="003704C9" w:rsidP="003704C9">
            <w:pPr>
              <w:spacing w:after="0" w:line="240" w:lineRule="auto"/>
              <w:jc w:val="center"/>
              <w:rPr>
                <w:rFonts w:cs="Arial"/>
                <w:color w:val="000000"/>
                <w:sz w:val="16"/>
                <w:szCs w:val="16"/>
              </w:rPr>
            </w:pPr>
            <w:r w:rsidRPr="003704C9">
              <w:rPr>
                <w:rFonts w:cs="Arial"/>
                <w:color w:val="000000"/>
                <w:sz w:val="16"/>
                <w:szCs w:val="16"/>
              </w:rPr>
              <w:t>4,9</w:t>
            </w:r>
          </w:p>
        </w:tc>
        <w:tc>
          <w:tcPr>
            <w:tcW w:w="567" w:type="dxa"/>
            <w:tcBorders>
              <w:top w:val="nil"/>
              <w:left w:val="nil"/>
              <w:bottom w:val="nil"/>
              <w:right w:val="nil"/>
            </w:tcBorders>
            <w:shd w:val="clear" w:color="auto" w:fill="auto"/>
            <w:noWrap/>
            <w:vAlign w:val="center"/>
            <w:hideMark/>
          </w:tcPr>
          <w:p w:rsidR="003704C9" w:rsidRPr="003704C9" w:rsidRDefault="003704C9" w:rsidP="003704C9">
            <w:pPr>
              <w:spacing w:after="0" w:line="240" w:lineRule="auto"/>
              <w:jc w:val="center"/>
              <w:rPr>
                <w:rFonts w:cs="Arial"/>
                <w:color w:val="000000"/>
                <w:sz w:val="16"/>
                <w:szCs w:val="16"/>
              </w:rPr>
            </w:pPr>
            <w:r w:rsidRPr="003704C9">
              <w:rPr>
                <w:rFonts w:cs="Arial"/>
                <w:color w:val="000000"/>
                <w:sz w:val="16"/>
                <w:szCs w:val="16"/>
              </w:rPr>
              <w:t>5,8</w:t>
            </w:r>
          </w:p>
        </w:tc>
        <w:tc>
          <w:tcPr>
            <w:tcW w:w="567" w:type="dxa"/>
            <w:tcBorders>
              <w:top w:val="nil"/>
              <w:left w:val="nil"/>
              <w:bottom w:val="nil"/>
              <w:right w:val="nil"/>
            </w:tcBorders>
            <w:shd w:val="clear" w:color="auto" w:fill="auto"/>
            <w:noWrap/>
            <w:vAlign w:val="center"/>
            <w:hideMark/>
          </w:tcPr>
          <w:p w:rsidR="003704C9" w:rsidRPr="003704C9" w:rsidRDefault="003704C9" w:rsidP="003704C9">
            <w:pPr>
              <w:spacing w:after="0" w:line="240" w:lineRule="auto"/>
              <w:jc w:val="center"/>
            </w:pPr>
            <w:r w:rsidRPr="003704C9">
              <w:rPr>
                <w:rFonts w:cs="Arial"/>
                <w:color w:val="000000"/>
                <w:sz w:val="16"/>
                <w:szCs w:val="16"/>
              </w:rPr>
              <w:t>6,1</w:t>
            </w:r>
          </w:p>
        </w:tc>
        <w:tc>
          <w:tcPr>
            <w:tcW w:w="567" w:type="dxa"/>
            <w:vAlign w:val="center"/>
          </w:tcPr>
          <w:p w:rsidR="003704C9" w:rsidRPr="003704C9" w:rsidRDefault="003704C9" w:rsidP="003704C9">
            <w:pPr>
              <w:spacing w:after="0" w:line="240" w:lineRule="auto"/>
              <w:jc w:val="center"/>
              <w:rPr>
                <w:rFonts w:cs="Arial"/>
                <w:color w:val="000000"/>
                <w:sz w:val="16"/>
                <w:szCs w:val="16"/>
              </w:rPr>
            </w:pPr>
            <w:r w:rsidRPr="003704C9">
              <w:rPr>
                <w:rFonts w:cs="Arial"/>
                <w:color w:val="000000"/>
                <w:sz w:val="16"/>
                <w:szCs w:val="16"/>
              </w:rPr>
              <w:t>5,6</w:t>
            </w:r>
          </w:p>
        </w:tc>
        <w:tc>
          <w:tcPr>
            <w:tcW w:w="567" w:type="dxa"/>
            <w:vAlign w:val="center"/>
          </w:tcPr>
          <w:p w:rsidR="003704C9" w:rsidRPr="003704C9" w:rsidRDefault="003704C9" w:rsidP="003704C9">
            <w:pPr>
              <w:spacing w:after="0" w:line="240" w:lineRule="auto"/>
              <w:jc w:val="center"/>
              <w:rPr>
                <w:rFonts w:cs="Arial"/>
                <w:color w:val="000000"/>
                <w:sz w:val="16"/>
                <w:szCs w:val="16"/>
              </w:rPr>
            </w:pPr>
            <w:r w:rsidRPr="003704C9">
              <w:rPr>
                <w:rFonts w:cs="Arial"/>
                <w:color w:val="000000"/>
                <w:sz w:val="16"/>
                <w:szCs w:val="16"/>
              </w:rPr>
              <w:t>4,9</w:t>
            </w:r>
          </w:p>
        </w:tc>
        <w:tc>
          <w:tcPr>
            <w:tcW w:w="567" w:type="dxa"/>
            <w:vAlign w:val="center"/>
          </w:tcPr>
          <w:p w:rsidR="003704C9" w:rsidRPr="00D7081E" w:rsidRDefault="00D7081E" w:rsidP="003704C9">
            <w:pPr>
              <w:spacing w:after="0" w:line="240" w:lineRule="auto"/>
              <w:jc w:val="center"/>
              <w:rPr>
                <w:rFonts w:cs="Arial"/>
                <w:color w:val="000000"/>
                <w:sz w:val="16"/>
                <w:szCs w:val="16"/>
              </w:rPr>
            </w:pPr>
            <w:r w:rsidRPr="00D7081E">
              <w:rPr>
                <w:rFonts w:cs="Arial"/>
                <w:color w:val="000000"/>
                <w:sz w:val="16"/>
                <w:szCs w:val="16"/>
              </w:rPr>
              <w:t>4,8</w:t>
            </w:r>
          </w:p>
        </w:tc>
      </w:tr>
      <w:tr w:rsidR="003704C9" w:rsidRPr="003704C9" w:rsidTr="003704C9">
        <w:trPr>
          <w:trHeight w:val="300"/>
        </w:trPr>
        <w:tc>
          <w:tcPr>
            <w:tcW w:w="3401" w:type="dxa"/>
            <w:tcBorders>
              <w:top w:val="nil"/>
              <w:left w:val="nil"/>
              <w:bottom w:val="nil"/>
              <w:right w:val="single" w:sz="4" w:space="0" w:color="auto"/>
            </w:tcBorders>
            <w:shd w:val="clear" w:color="auto" w:fill="auto"/>
            <w:vAlign w:val="center"/>
            <w:hideMark/>
          </w:tcPr>
          <w:p w:rsidR="003704C9" w:rsidRPr="003704C9" w:rsidRDefault="003704C9" w:rsidP="003704C9">
            <w:pPr>
              <w:spacing w:after="0" w:line="240" w:lineRule="auto"/>
              <w:ind w:firstLineChars="100" w:firstLine="160"/>
              <w:jc w:val="left"/>
              <w:rPr>
                <w:rFonts w:cs="Arial"/>
                <w:color w:val="000000"/>
                <w:sz w:val="16"/>
                <w:szCs w:val="16"/>
              </w:rPr>
            </w:pPr>
            <w:r w:rsidRPr="003704C9">
              <w:rPr>
                <w:rFonts w:cs="Arial"/>
                <w:color w:val="000000"/>
                <w:sz w:val="16"/>
                <w:szCs w:val="16"/>
              </w:rPr>
              <w:t>I – Ubytování, stravování a pohostinství</w:t>
            </w:r>
          </w:p>
        </w:tc>
        <w:tc>
          <w:tcPr>
            <w:tcW w:w="567" w:type="dxa"/>
            <w:tcBorders>
              <w:top w:val="nil"/>
              <w:left w:val="nil"/>
              <w:bottom w:val="nil"/>
              <w:right w:val="nil"/>
            </w:tcBorders>
            <w:shd w:val="clear" w:color="auto" w:fill="auto"/>
            <w:noWrap/>
            <w:vAlign w:val="center"/>
            <w:hideMark/>
          </w:tcPr>
          <w:p w:rsidR="003704C9" w:rsidRPr="003704C9" w:rsidRDefault="003704C9" w:rsidP="003704C9">
            <w:pPr>
              <w:spacing w:after="0" w:line="240" w:lineRule="auto"/>
              <w:jc w:val="center"/>
              <w:rPr>
                <w:rFonts w:cs="Arial"/>
                <w:color w:val="000000"/>
                <w:sz w:val="16"/>
                <w:szCs w:val="16"/>
              </w:rPr>
            </w:pPr>
            <w:r w:rsidRPr="003704C9">
              <w:rPr>
                <w:rFonts w:cs="Arial"/>
                <w:color w:val="000000"/>
                <w:sz w:val="16"/>
                <w:szCs w:val="16"/>
              </w:rPr>
              <w:t>3,8</w:t>
            </w:r>
          </w:p>
        </w:tc>
        <w:tc>
          <w:tcPr>
            <w:tcW w:w="567" w:type="dxa"/>
            <w:tcBorders>
              <w:top w:val="nil"/>
              <w:left w:val="nil"/>
              <w:bottom w:val="nil"/>
              <w:right w:val="nil"/>
            </w:tcBorders>
            <w:shd w:val="clear" w:color="auto" w:fill="auto"/>
            <w:noWrap/>
            <w:vAlign w:val="center"/>
            <w:hideMark/>
          </w:tcPr>
          <w:p w:rsidR="003704C9" w:rsidRPr="003704C9" w:rsidRDefault="003704C9" w:rsidP="003704C9">
            <w:pPr>
              <w:spacing w:after="0" w:line="240" w:lineRule="auto"/>
              <w:jc w:val="center"/>
              <w:rPr>
                <w:rFonts w:cs="Arial"/>
                <w:color w:val="000000"/>
                <w:sz w:val="16"/>
                <w:szCs w:val="16"/>
              </w:rPr>
            </w:pPr>
            <w:r w:rsidRPr="003704C9">
              <w:rPr>
                <w:rFonts w:cs="Arial"/>
                <w:color w:val="000000"/>
                <w:sz w:val="16"/>
                <w:szCs w:val="16"/>
              </w:rPr>
              <w:t>4,1</w:t>
            </w:r>
          </w:p>
        </w:tc>
        <w:tc>
          <w:tcPr>
            <w:tcW w:w="567" w:type="dxa"/>
            <w:tcBorders>
              <w:top w:val="nil"/>
              <w:left w:val="nil"/>
              <w:bottom w:val="nil"/>
              <w:right w:val="nil"/>
            </w:tcBorders>
            <w:shd w:val="clear" w:color="auto" w:fill="auto"/>
            <w:noWrap/>
            <w:vAlign w:val="center"/>
            <w:hideMark/>
          </w:tcPr>
          <w:p w:rsidR="003704C9" w:rsidRPr="003704C9" w:rsidRDefault="003704C9" w:rsidP="003704C9">
            <w:pPr>
              <w:spacing w:after="0" w:line="240" w:lineRule="auto"/>
              <w:jc w:val="center"/>
              <w:rPr>
                <w:rFonts w:cs="Arial"/>
                <w:color w:val="000000"/>
                <w:sz w:val="16"/>
                <w:szCs w:val="16"/>
              </w:rPr>
            </w:pPr>
            <w:r w:rsidRPr="003704C9">
              <w:rPr>
                <w:rFonts w:cs="Arial"/>
                <w:color w:val="000000"/>
                <w:sz w:val="16"/>
                <w:szCs w:val="16"/>
              </w:rPr>
              <w:t>4,2</w:t>
            </w:r>
          </w:p>
        </w:tc>
        <w:tc>
          <w:tcPr>
            <w:tcW w:w="567" w:type="dxa"/>
            <w:tcBorders>
              <w:top w:val="nil"/>
              <w:left w:val="nil"/>
              <w:bottom w:val="nil"/>
              <w:right w:val="nil"/>
            </w:tcBorders>
            <w:shd w:val="clear" w:color="auto" w:fill="auto"/>
            <w:noWrap/>
            <w:vAlign w:val="center"/>
            <w:hideMark/>
          </w:tcPr>
          <w:p w:rsidR="003704C9" w:rsidRPr="003704C9" w:rsidRDefault="003704C9" w:rsidP="003704C9">
            <w:pPr>
              <w:spacing w:after="0" w:line="240" w:lineRule="auto"/>
              <w:jc w:val="center"/>
              <w:rPr>
                <w:rFonts w:cs="Arial"/>
                <w:color w:val="000000"/>
                <w:sz w:val="16"/>
                <w:szCs w:val="16"/>
              </w:rPr>
            </w:pPr>
            <w:r w:rsidRPr="003704C9">
              <w:rPr>
                <w:rFonts w:cs="Arial"/>
                <w:color w:val="000000"/>
                <w:sz w:val="16"/>
                <w:szCs w:val="16"/>
              </w:rPr>
              <w:t>4,2</w:t>
            </w:r>
          </w:p>
        </w:tc>
        <w:tc>
          <w:tcPr>
            <w:tcW w:w="567" w:type="dxa"/>
            <w:tcBorders>
              <w:top w:val="nil"/>
              <w:left w:val="nil"/>
              <w:bottom w:val="nil"/>
              <w:right w:val="nil"/>
            </w:tcBorders>
            <w:shd w:val="clear" w:color="auto" w:fill="auto"/>
            <w:noWrap/>
            <w:vAlign w:val="center"/>
            <w:hideMark/>
          </w:tcPr>
          <w:p w:rsidR="003704C9" w:rsidRPr="003704C9" w:rsidRDefault="003704C9" w:rsidP="003704C9">
            <w:pPr>
              <w:spacing w:after="0" w:line="240" w:lineRule="auto"/>
              <w:jc w:val="center"/>
              <w:rPr>
                <w:rFonts w:cs="Arial"/>
                <w:color w:val="000000"/>
                <w:sz w:val="16"/>
                <w:szCs w:val="16"/>
              </w:rPr>
            </w:pPr>
            <w:r w:rsidRPr="003704C9">
              <w:rPr>
                <w:rFonts w:cs="Arial"/>
                <w:color w:val="000000"/>
                <w:sz w:val="16"/>
                <w:szCs w:val="16"/>
              </w:rPr>
              <w:t>4,4</w:t>
            </w:r>
          </w:p>
        </w:tc>
        <w:tc>
          <w:tcPr>
            <w:tcW w:w="567" w:type="dxa"/>
            <w:tcBorders>
              <w:top w:val="nil"/>
              <w:left w:val="nil"/>
              <w:bottom w:val="nil"/>
              <w:right w:val="nil"/>
            </w:tcBorders>
            <w:shd w:val="clear" w:color="auto" w:fill="auto"/>
            <w:noWrap/>
            <w:vAlign w:val="center"/>
            <w:hideMark/>
          </w:tcPr>
          <w:p w:rsidR="003704C9" w:rsidRPr="003704C9" w:rsidRDefault="003704C9" w:rsidP="003704C9">
            <w:pPr>
              <w:spacing w:after="0" w:line="240" w:lineRule="auto"/>
              <w:jc w:val="center"/>
              <w:rPr>
                <w:rFonts w:cs="Arial"/>
                <w:color w:val="000000"/>
                <w:sz w:val="16"/>
                <w:szCs w:val="16"/>
              </w:rPr>
            </w:pPr>
            <w:r w:rsidRPr="003704C9">
              <w:rPr>
                <w:rFonts w:cs="Arial"/>
                <w:color w:val="000000"/>
                <w:sz w:val="16"/>
                <w:szCs w:val="16"/>
              </w:rPr>
              <w:t>4,6</w:t>
            </w:r>
          </w:p>
        </w:tc>
        <w:tc>
          <w:tcPr>
            <w:tcW w:w="567" w:type="dxa"/>
            <w:tcBorders>
              <w:top w:val="nil"/>
              <w:left w:val="nil"/>
              <w:bottom w:val="nil"/>
              <w:right w:val="nil"/>
            </w:tcBorders>
            <w:shd w:val="clear" w:color="auto" w:fill="auto"/>
            <w:noWrap/>
            <w:vAlign w:val="center"/>
            <w:hideMark/>
          </w:tcPr>
          <w:p w:rsidR="003704C9" w:rsidRPr="003704C9" w:rsidRDefault="003704C9" w:rsidP="003704C9">
            <w:pPr>
              <w:spacing w:after="0" w:line="240" w:lineRule="auto"/>
              <w:jc w:val="center"/>
              <w:rPr>
                <w:rFonts w:cs="Arial"/>
                <w:color w:val="000000"/>
                <w:sz w:val="16"/>
                <w:szCs w:val="16"/>
              </w:rPr>
            </w:pPr>
            <w:r w:rsidRPr="003704C9">
              <w:rPr>
                <w:rFonts w:cs="Arial"/>
                <w:color w:val="000000"/>
                <w:sz w:val="16"/>
                <w:szCs w:val="16"/>
              </w:rPr>
              <w:t>6,5</w:t>
            </w:r>
          </w:p>
        </w:tc>
        <w:tc>
          <w:tcPr>
            <w:tcW w:w="567" w:type="dxa"/>
            <w:tcBorders>
              <w:top w:val="nil"/>
              <w:left w:val="nil"/>
              <w:bottom w:val="nil"/>
              <w:right w:val="nil"/>
            </w:tcBorders>
            <w:shd w:val="clear" w:color="auto" w:fill="auto"/>
            <w:noWrap/>
            <w:vAlign w:val="center"/>
            <w:hideMark/>
          </w:tcPr>
          <w:p w:rsidR="003704C9" w:rsidRPr="003704C9" w:rsidRDefault="003704C9" w:rsidP="003704C9">
            <w:pPr>
              <w:spacing w:after="0" w:line="240" w:lineRule="auto"/>
              <w:jc w:val="center"/>
            </w:pPr>
            <w:r w:rsidRPr="003704C9">
              <w:rPr>
                <w:rFonts w:cs="Arial"/>
                <w:color w:val="000000"/>
                <w:sz w:val="16"/>
                <w:szCs w:val="16"/>
              </w:rPr>
              <w:t>5,2</w:t>
            </w:r>
          </w:p>
        </w:tc>
        <w:tc>
          <w:tcPr>
            <w:tcW w:w="567" w:type="dxa"/>
            <w:vAlign w:val="center"/>
          </w:tcPr>
          <w:p w:rsidR="003704C9" w:rsidRPr="003704C9" w:rsidRDefault="003704C9" w:rsidP="003704C9">
            <w:pPr>
              <w:spacing w:after="0" w:line="240" w:lineRule="auto"/>
              <w:jc w:val="center"/>
              <w:rPr>
                <w:rFonts w:cs="Arial"/>
                <w:color w:val="000000"/>
                <w:sz w:val="16"/>
                <w:szCs w:val="16"/>
              </w:rPr>
            </w:pPr>
            <w:r w:rsidRPr="003704C9">
              <w:rPr>
                <w:rFonts w:cs="Arial"/>
                <w:color w:val="000000"/>
                <w:sz w:val="16"/>
                <w:szCs w:val="16"/>
              </w:rPr>
              <w:t>5,1</w:t>
            </w:r>
          </w:p>
        </w:tc>
        <w:tc>
          <w:tcPr>
            <w:tcW w:w="567" w:type="dxa"/>
            <w:vAlign w:val="center"/>
          </w:tcPr>
          <w:p w:rsidR="003704C9" w:rsidRPr="003704C9" w:rsidRDefault="003704C9" w:rsidP="003704C9">
            <w:pPr>
              <w:spacing w:after="0" w:line="240" w:lineRule="auto"/>
              <w:jc w:val="center"/>
              <w:rPr>
                <w:rFonts w:cs="Arial"/>
                <w:color w:val="000000"/>
                <w:sz w:val="16"/>
                <w:szCs w:val="16"/>
              </w:rPr>
            </w:pPr>
            <w:r w:rsidRPr="003704C9">
              <w:rPr>
                <w:rFonts w:cs="Arial"/>
                <w:color w:val="000000"/>
                <w:sz w:val="16"/>
                <w:szCs w:val="16"/>
              </w:rPr>
              <w:t>4,5</w:t>
            </w:r>
          </w:p>
        </w:tc>
        <w:tc>
          <w:tcPr>
            <w:tcW w:w="567" w:type="dxa"/>
            <w:vAlign w:val="center"/>
          </w:tcPr>
          <w:p w:rsidR="003704C9" w:rsidRPr="00D7081E" w:rsidRDefault="00D7081E" w:rsidP="003704C9">
            <w:pPr>
              <w:spacing w:after="0" w:line="240" w:lineRule="auto"/>
              <w:jc w:val="center"/>
              <w:rPr>
                <w:rFonts w:cs="Arial"/>
                <w:color w:val="000000"/>
                <w:sz w:val="16"/>
                <w:szCs w:val="16"/>
              </w:rPr>
            </w:pPr>
            <w:r w:rsidRPr="00D7081E">
              <w:rPr>
                <w:rFonts w:cs="Arial"/>
                <w:color w:val="000000"/>
                <w:sz w:val="16"/>
                <w:szCs w:val="16"/>
              </w:rPr>
              <w:t>4,6</w:t>
            </w:r>
          </w:p>
        </w:tc>
      </w:tr>
      <w:tr w:rsidR="003704C9" w:rsidRPr="003704C9" w:rsidTr="003704C9">
        <w:trPr>
          <w:trHeight w:val="300"/>
        </w:trPr>
        <w:tc>
          <w:tcPr>
            <w:tcW w:w="3401" w:type="dxa"/>
            <w:tcBorders>
              <w:top w:val="nil"/>
              <w:left w:val="nil"/>
              <w:bottom w:val="nil"/>
              <w:right w:val="single" w:sz="4" w:space="0" w:color="auto"/>
            </w:tcBorders>
            <w:shd w:val="clear" w:color="auto" w:fill="auto"/>
            <w:vAlign w:val="center"/>
            <w:hideMark/>
          </w:tcPr>
          <w:p w:rsidR="003704C9" w:rsidRPr="003704C9" w:rsidRDefault="003704C9" w:rsidP="003704C9">
            <w:pPr>
              <w:spacing w:after="0" w:line="240" w:lineRule="auto"/>
              <w:ind w:firstLineChars="100" w:firstLine="160"/>
              <w:jc w:val="left"/>
              <w:rPr>
                <w:rFonts w:cs="Arial"/>
                <w:color w:val="000000"/>
                <w:sz w:val="16"/>
                <w:szCs w:val="16"/>
              </w:rPr>
            </w:pPr>
            <w:r w:rsidRPr="003704C9">
              <w:rPr>
                <w:rFonts w:cs="Arial"/>
                <w:color w:val="000000"/>
                <w:sz w:val="16"/>
                <w:szCs w:val="16"/>
              </w:rPr>
              <w:t>J – Informační a komunikační činnosti</w:t>
            </w:r>
          </w:p>
        </w:tc>
        <w:tc>
          <w:tcPr>
            <w:tcW w:w="567" w:type="dxa"/>
            <w:tcBorders>
              <w:top w:val="nil"/>
              <w:left w:val="nil"/>
              <w:bottom w:val="nil"/>
              <w:right w:val="nil"/>
            </w:tcBorders>
            <w:shd w:val="clear" w:color="auto" w:fill="auto"/>
            <w:noWrap/>
            <w:vAlign w:val="center"/>
            <w:hideMark/>
          </w:tcPr>
          <w:p w:rsidR="003704C9" w:rsidRPr="003704C9" w:rsidRDefault="003704C9" w:rsidP="003704C9">
            <w:pPr>
              <w:spacing w:after="0" w:line="240" w:lineRule="auto"/>
              <w:jc w:val="center"/>
              <w:rPr>
                <w:rFonts w:cs="Arial"/>
                <w:color w:val="000000"/>
                <w:sz w:val="16"/>
                <w:szCs w:val="16"/>
              </w:rPr>
            </w:pPr>
            <w:r w:rsidRPr="003704C9">
              <w:rPr>
                <w:rFonts w:cs="Arial"/>
                <w:color w:val="000000"/>
                <w:sz w:val="16"/>
                <w:szCs w:val="16"/>
              </w:rPr>
              <w:t>1,7</w:t>
            </w:r>
          </w:p>
        </w:tc>
        <w:tc>
          <w:tcPr>
            <w:tcW w:w="567" w:type="dxa"/>
            <w:tcBorders>
              <w:top w:val="nil"/>
              <w:left w:val="nil"/>
              <w:bottom w:val="nil"/>
              <w:right w:val="nil"/>
            </w:tcBorders>
            <w:shd w:val="clear" w:color="auto" w:fill="auto"/>
            <w:noWrap/>
            <w:vAlign w:val="center"/>
            <w:hideMark/>
          </w:tcPr>
          <w:p w:rsidR="003704C9" w:rsidRPr="003704C9" w:rsidRDefault="003704C9" w:rsidP="003704C9">
            <w:pPr>
              <w:spacing w:after="0" w:line="240" w:lineRule="auto"/>
              <w:jc w:val="center"/>
              <w:rPr>
                <w:rFonts w:cs="Arial"/>
                <w:color w:val="000000"/>
                <w:sz w:val="16"/>
                <w:szCs w:val="16"/>
              </w:rPr>
            </w:pPr>
            <w:r w:rsidRPr="003704C9">
              <w:rPr>
                <w:rFonts w:cs="Arial"/>
                <w:color w:val="000000"/>
                <w:sz w:val="16"/>
                <w:szCs w:val="16"/>
              </w:rPr>
              <w:t>1,7</w:t>
            </w:r>
          </w:p>
        </w:tc>
        <w:tc>
          <w:tcPr>
            <w:tcW w:w="567" w:type="dxa"/>
            <w:tcBorders>
              <w:top w:val="nil"/>
              <w:left w:val="nil"/>
              <w:bottom w:val="nil"/>
              <w:right w:val="nil"/>
            </w:tcBorders>
            <w:shd w:val="clear" w:color="auto" w:fill="auto"/>
            <w:noWrap/>
            <w:vAlign w:val="center"/>
            <w:hideMark/>
          </w:tcPr>
          <w:p w:rsidR="003704C9" w:rsidRPr="003704C9" w:rsidRDefault="003704C9" w:rsidP="003704C9">
            <w:pPr>
              <w:spacing w:after="0" w:line="240" w:lineRule="auto"/>
              <w:jc w:val="center"/>
              <w:rPr>
                <w:rFonts w:cs="Arial"/>
                <w:color w:val="000000"/>
                <w:sz w:val="16"/>
                <w:szCs w:val="16"/>
              </w:rPr>
            </w:pPr>
            <w:r w:rsidRPr="003704C9">
              <w:rPr>
                <w:rFonts w:cs="Arial"/>
                <w:color w:val="000000"/>
                <w:sz w:val="16"/>
                <w:szCs w:val="16"/>
              </w:rPr>
              <w:t>1,7</w:t>
            </w:r>
          </w:p>
        </w:tc>
        <w:tc>
          <w:tcPr>
            <w:tcW w:w="567" w:type="dxa"/>
            <w:tcBorders>
              <w:top w:val="nil"/>
              <w:left w:val="nil"/>
              <w:bottom w:val="nil"/>
              <w:right w:val="nil"/>
            </w:tcBorders>
            <w:shd w:val="clear" w:color="auto" w:fill="auto"/>
            <w:noWrap/>
            <w:vAlign w:val="center"/>
            <w:hideMark/>
          </w:tcPr>
          <w:p w:rsidR="003704C9" w:rsidRPr="003704C9" w:rsidRDefault="003704C9" w:rsidP="003704C9">
            <w:pPr>
              <w:spacing w:after="0" w:line="240" w:lineRule="auto"/>
              <w:jc w:val="center"/>
              <w:rPr>
                <w:rFonts w:cs="Arial"/>
                <w:color w:val="000000"/>
                <w:sz w:val="16"/>
                <w:szCs w:val="16"/>
              </w:rPr>
            </w:pPr>
            <w:r w:rsidRPr="003704C9">
              <w:rPr>
                <w:rFonts w:cs="Arial"/>
                <w:color w:val="000000"/>
                <w:sz w:val="16"/>
                <w:szCs w:val="16"/>
              </w:rPr>
              <w:t>1,8</w:t>
            </w:r>
          </w:p>
        </w:tc>
        <w:tc>
          <w:tcPr>
            <w:tcW w:w="567" w:type="dxa"/>
            <w:tcBorders>
              <w:top w:val="nil"/>
              <w:left w:val="nil"/>
              <w:bottom w:val="nil"/>
              <w:right w:val="nil"/>
            </w:tcBorders>
            <w:shd w:val="clear" w:color="auto" w:fill="auto"/>
            <w:noWrap/>
            <w:vAlign w:val="center"/>
            <w:hideMark/>
          </w:tcPr>
          <w:p w:rsidR="003704C9" w:rsidRPr="003704C9" w:rsidRDefault="003704C9" w:rsidP="003704C9">
            <w:pPr>
              <w:spacing w:after="0" w:line="240" w:lineRule="auto"/>
              <w:jc w:val="center"/>
              <w:rPr>
                <w:rFonts w:cs="Arial"/>
                <w:color w:val="000000"/>
                <w:sz w:val="16"/>
                <w:szCs w:val="16"/>
              </w:rPr>
            </w:pPr>
            <w:r w:rsidRPr="003704C9">
              <w:rPr>
                <w:rFonts w:cs="Arial"/>
                <w:color w:val="000000"/>
                <w:sz w:val="16"/>
                <w:szCs w:val="16"/>
              </w:rPr>
              <w:t>1,9</w:t>
            </w:r>
          </w:p>
        </w:tc>
        <w:tc>
          <w:tcPr>
            <w:tcW w:w="567" w:type="dxa"/>
            <w:tcBorders>
              <w:top w:val="nil"/>
              <w:left w:val="nil"/>
              <w:bottom w:val="nil"/>
              <w:right w:val="nil"/>
            </w:tcBorders>
            <w:shd w:val="clear" w:color="auto" w:fill="auto"/>
            <w:noWrap/>
            <w:vAlign w:val="center"/>
            <w:hideMark/>
          </w:tcPr>
          <w:p w:rsidR="003704C9" w:rsidRPr="003704C9" w:rsidRDefault="003704C9" w:rsidP="003704C9">
            <w:pPr>
              <w:spacing w:after="0" w:line="240" w:lineRule="auto"/>
              <w:jc w:val="center"/>
              <w:rPr>
                <w:rFonts w:cs="Arial"/>
                <w:color w:val="000000"/>
                <w:sz w:val="16"/>
                <w:szCs w:val="16"/>
              </w:rPr>
            </w:pPr>
            <w:r w:rsidRPr="003704C9">
              <w:rPr>
                <w:rFonts w:cs="Arial"/>
                <w:color w:val="000000"/>
                <w:sz w:val="16"/>
                <w:szCs w:val="16"/>
              </w:rPr>
              <w:t>1,9</w:t>
            </w:r>
          </w:p>
        </w:tc>
        <w:tc>
          <w:tcPr>
            <w:tcW w:w="567" w:type="dxa"/>
            <w:tcBorders>
              <w:top w:val="nil"/>
              <w:left w:val="nil"/>
              <w:bottom w:val="nil"/>
              <w:right w:val="nil"/>
            </w:tcBorders>
            <w:shd w:val="clear" w:color="auto" w:fill="auto"/>
            <w:noWrap/>
            <w:vAlign w:val="center"/>
            <w:hideMark/>
          </w:tcPr>
          <w:p w:rsidR="003704C9" w:rsidRPr="003704C9" w:rsidRDefault="003704C9" w:rsidP="003704C9">
            <w:pPr>
              <w:spacing w:after="0" w:line="240" w:lineRule="auto"/>
              <w:jc w:val="center"/>
              <w:rPr>
                <w:rFonts w:cs="Arial"/>
                <w:color w:val="000000"/>
                <w:sz w:val="16"/>
                <w:szCs w:val="16"/>
              </w:rPr>
            </w:pPr>
            <w:r w:rsidRPr="003704C9">
              <w:rPr>
                <w:rFonts w:cs="Arial"/>
                <w:color w:val="000000"/>
                <w:sz w:val="16"/>
                <w:szCs w:val="16"/>
              </w:rPr>
              <w:t>1,9</w:t>
            </w:r>
          </w:p>
        </w:tc>
        <w:tc>
          <w:tcPr>
            <w:tcW w:w="567" w:type="dxa"/>
            <w:tcBorders>
              <w:top w:val="nil"/>
              <w:left w:val="nil"/>
              <w:bottom w:val="nil"/>
              <w:right w:val="nil"/>
            </w:tcBorders>
            <w:shd w:val="clear" w:color="auto" w:fill="auto"/>
            <w:noWrap/>
            <w:vAlign w:val="center"/>
            <w:hideMark/>
          </w:tcPr>
          <w:p w:rsidR="003704C9" w:rsidRPr="003704C9" w:rsidRDefault="003704C9" w:rsidP="003704C9">
            <w:pPr>
              <w:spacing w:after="0" w:line="240" w:lineRule="auto"/>
              <w:jc w:val="center"/>
            </w:pPr>
            <w:r w:rsidRPr="003704C9">
              <w:rPr>
                <w:rFonts w:cs="Arial"/>
                <w:color w:val="000000"/>
                <w:sz w:val="16"/>
                <w:szCs w:val="16"/>
              </w:rPr>
              <w:t>1,8</w:t>
            </w:r>
          </w:p>
        </w:tc>
        <w:tc>
          <w:tcPr>
            <w:tcW w:w="567" w:type="dxa"/>
            <w:vAlign w:val="center"/>
          </w:tcPr>
          <w:p w:rsidR="003704C9" w:rsidRPr="003704C9" w:rsidRDefault="003704C9" w:rsidP="003704C9">
            <w:pPr>
              <w:spacing w:after="0" w:line="240" w:lineRule="auto"/>
              <w:jc w:val="center"/>
              <w:rPr>
                <w:rFonts w:cs="Arial"/>
                <w:color w:val="000000"/>
                <w:sz w:val="16"/>
                <w:szCs w:val="16"/>
              </w:rPr>
            </w:pPr>
            <w:r w:rsidRPr="003704C9">
              <w:rPr>
                <w:rFonts w:cs="Arial"/>
                <w:color w:val="000000"/>
                <w:sz w:val="16"/>
                <w:szCs w:val="16"/>
              </w:rPr>
              <w:t>1,8</w:t>
            </w:r>
          </w:p>
        </w:tc>
        <w:tc>
          <w:tcPr>
            <w:tcW w:w="567" w:type="dxa"/>
            <w:vAlign w:val="center"/>
          </w:tcPr>
          <w:p w:rsidR="003704C9" w:rsidRPr="003704C9" w:rsidRDefault="003704C9" w:rsidP="003704C9">
            <w:pPr>
              <w:spacing w:after="0" w:line="240" w:lineRule="auto"/>
              <w:jc w:val="center"/>
              <w:rPr>
                <w:rFonts w:cs="Arial"/>
                <w:color w:val="000000"/>
                <w:sz w:val="16"/>
                <w:szCs w:val="16"/>
              </w:rPr>
            </w:pPr>
            <w:r w:rsidRPr="003704C9">
              <w:rPr>
                <w:rFonts w:cs="Arial"/>
                <w:color w:val="000000"/>
                <w:sz w:val="16"/>
                <w:szCs w:val="16"/>
              </w:rPr>
              <w:t>1,5</w:t>
            </w:r>
          </w:p>
        </w:tc>
        <w:tc>
          <w:tcPr>
            <w:tcW w:w="567" w:type="dxa"/>
            <w:vAlign w:val="center"/>
          </w:tcPr>
          <w:p w:rsidR="003704C9" w:rsidRPr="00D7081E" w:rsidRDefault="00D7081E" w:rsidP="003704C9">
            <w:pPr>
              <w:spacing w:after="0" w:line="240" w:lineRule="auto"/>
              <w:jc w:val="center"/>
              <w:rPr>
                <w:rFonts w:cs="Arial"/>
                <w:color w:val="000000"/>
                <w:sz w:val="16"/>
                <w:szCs w:val="16"/>
              </w:rPr>
            </w:pPr>
            <w:r w:rsidRPr="00D7081E">
              <w:rPr>
                <w:rFonts w:cs="Arial"/>
                <w:color w:val="000000"/>
                <w:sz w:val="16"/>
                <w:szCs w:val="16"/>
              </w:rPr>
              <w:t>1,5</w:t>
            </w:r>
          </w:p>
        </w:tc>
      </w:tr>
      <w:tr w:rsidR="003704C9" w:rsidRPr="003704C9" w:rsidTr="003704C9">
        <w:trPr>
          <w:trHeight w:val="300"/>
        </w:trPr>
        <w:tc>
          <w:tcPr>
            <w:tcW w:w="3401" w:type="dxa"/>
            <w:tcBorders>
              <w:top w:val="nil"/>
              <w:left w:val="nil"/>
              <w:bottom w:val="nil"/>
              <w:right w:val="single" w:sz="4" w:space="0" w:color="auto"/>
            </w:tcBorders>
            <w:shd w:val="clear" w:color="auto" w:fill="auto"/>
            <w:vAlign w:val="center"/>
            <w:hideMark/>
          </w:tcPr>
          <w:p w:rsidR="003704C9" w:rsidRPr="003704C9" w:rsidRDefault="003704C9" w:rsidP="003704C9">
            <w:pPr>
              <w:spacing w:after="0" w:line="240" w:lineRule="auto"/>
              <w:ind w:firstLineChars="100" w:firstLine="160"/>
              <w:jc w:val="left"/>
              <w:rPr>
                <w:rFonts w:cs="Arial"/>
                <w:color w:val="000000"/>
                <w:sz w:val="16"/>
                <w:szCs w:val="16"/>
              </w:rPr>
            </w:pPr>
            <w:r w:rsidRPr="003704C9">
              <w:rPr>
                <w:rFonts w:cs="Arial"/>
                <w:color w:val="000000"/>
                <w:sz w:val="16"/>
                <w:szCs w:val="16"/>
              </w:rPr>
              <w:t>K – Peněžnictví a pojišťovnictví</w:t>
            </w:r>
          </w:p>
        </w:tc>
        <w:tc>
          <w:tcPr>
            <w:tcW w:w="567" w:type="dxa"/>
            <w:tcBorders>
              <w:top w:val="nil"/>
              <w:left w:val="nil"/>
              <w:bottom w:val="nil"/>
              <w:right w:val="nil"/>
            </w:tcBorders>
            <w:shd w:val="clear" w:color="auto" w:fill="auto"/>
            <w:noWrap/>
            <w:vAlign w:val="center"/>
            <w:hideMark/>
          </w:tcPr>
          <w:p w:rsidR="003704C9" w:rsidRPr="003704C9" w:rsidRDefault="003704C9" w:rsidP="003704C9">
            <w:pPr>
              <w:spacing w:after="0" w:line="240" w:lineRule="auto"/>
              <w:jc w:val="center"/>
              <w:rPr>
                <w:rFonts w:cs="Arial"/>
                <w:color w:val="000000"/>
                <w:sz w:val="16"/>
                <w:szCs w:val="16"/>
              </w:rPr>
            </w:pPr>
            <w:r w:rsidRPr="003704C9">
              <w:rPr>
                <w:rFonts w:cs="Arial"/>
                <w:color w:val="000000"/>
                <w:sz w:val="16"/>
                <w:szCs w:val="16"/>
              </w:rPr>
              <w:t>2,4</w:t>
            </w:r>
          </w:p>
        </w:tc>
        <w:tc>
          <w:tcPr>
            <w:tcW w:w="567" w:type="dxa"/>
            <w:tcBorders>
              <w:top w:val="nil"/>
              <w:left w:val="nil"/>
              <w:bottom w:val="nil"/>
              <w:right w:val="nil"/>
            </w:tcBorders>
            <w:shd w:val="clear" w:color="auto" w:fill="auto"/>
            <w:noWrap/>
            <w:vAlign w:val="center"/>
            <w:hideMark/>
          </w:tcPr>
          <w:p w:rsidR="003704C9" w:rsidRPr="003704C9" w:rsidRDefault="003704C9" w:rsidP="003704C9">
            <w:pPr>
              <w:spacing w:after="0" w:line="240" w:lineRule="auto"/>
              <w:jc w:val="center"/>
              <w:rPr>
                <w:rFonts w:cs="Arial"/>
                <w:color w:val="000000"/>
                <w:sz w:val="16"/>
                <w:szCs w:val="16"/>
              </w:rPr>
            </w:pPr>
            <w:r w:rsidRPr="003704C9">
              <w:rPr>
                <w:rFonts w:cs="Arial"/>
                <w:color w:val="000000"/>
                <w:sz w:val="16"/>
                <w:szCs w:val="16"/>
              </w:rPr>
              <w:t>2,6</w:t>
            </w:r>
          </w:p>
        </w:tc>
        <w:tc>
          <w:tcPr>
            <w:tcW w:w="567" w:type="dxa"/>
            <w:tcBorders>
              <w:top w:val="nil"/>
              <w:left w:val="nil"/>
              <w:bottom w:val="nil"/>
              <w:right w:val="nil"/>
            </w:tcBorders>
            <w:shd w:val="clear" w:color="auto" w:fill="auto"/>
            <w:noWrap/>
            <w:vAlign w:val="center"/>
            <w:hideMark/>
          </w:tcPr>
          <w:p w:rsidR="003704C9" w:rsidRPr="003704C9" w:rsidRDefault="003704C9" w:rsidP="003704C9">
            <w:pPr>
              <w:spacing w:after="0" w:line="240" w:lineRule="auto"/>
              <w:jc w:val="center"/>
              <w:rPr>
                <w:rFonts w:cs="Arial"/>
                <w:color w:val="000000"/>
                <w:sz w:val="16"/>
                <w:szCs w:val="16"/>
              </w:rPr>
            </w:pPr>
            <w:r w:rsidRPr="003704C9">
              <w:rPr>
                <w:rFonts w:cs="Arial"/>
                <w:color w:val="000000"/>
                <w:sz w:val="16"/>
                <w:szCs w:val="16"/>
              </w:rPr>
              <w:t>2,5</w:t>
            </w:r>
          </w:p>
        </w:tc>
        <w:tc>
          <w:tcPr>
            <w:tcW w:w="567" w:type="dxa"/>
            <w:tcBorders>
              <w:top w:val="nil"/>
              <w:left w:val="nil"/>
              <w:bottom w:val="nil"/>
              <w:right w:val="nil"/>
            </w:tcBorders>
            <w:shd w:val="clear" w:color="auto" w:fill="auto"/>
            <w:noWrap/>
            <w:vAlign w:val="center"/>
            <w:hideMark/>
          </w:tcPr>
          <w:p w:rsidR="003704C9" w:rsidRPr="003704C9" w:rsidRDefault="003704C9" w:rsidP="003704C9">
            <w:pPr>
              <w:spacing w:after="0" w:line="240" w:lineRule="auto"/>
              <w:jc w:val="center"/>
              <w:rPr>
                <w:rFonts w:cs="Arial"/>
                <w:color w:val="000000"/>
                <w:sz w:val="16"/>
                <w:szCs w:val="16"/>
              </w:rPr>
            </w:pPr>
            <w:r w:rsidRPr="003704C9">
              <w:rPr>
                <w:rFonts w:cs="Arial"/>
                <w:color w:val="000000"/>
                <w:sz w:val="16"/>
                <w:szCs w:val="16"/>
              </w:rPr>
              <w:t>2,5</w:t>
            </w:r>
          </w:p>
        </w:tc>
        <w:tc>
          <w:tcPr>
            <w:tcW w:w="567" w:type="dxa"/>
            <w:tcBorders>
              <w:top w:val="nil"/>
              <w:left w:val="nil"/>
              <w:bottom w:val="nil"/>
              <w:right w:val="nil"/>
            </w:tcBorders>
            <w:shd w:val="clear" w:color="auto" w:fill="auto"/>
            <w:noWrap/>
            <w:vAlign w:val="center"/>
            <w:hideMark/>
          </w:tcPr>
          <w:p w:rsidR="003704C9" w:rsidRPr="003704C9" w:rsidRDefault="003704C9" w:rsidP="003704C9">
            <w:pPr>
              <w:spacing w:after="0" w:line="240" w:lineRule="auto"/>
              <w:jc w:val="center"/>
              <w:rPr>
                <w:rFonts w:cs="Arial"/>
                <w:color w:val="000000"/>
                <w:sz w:val="16"/>
                <w:szCs w:val="16"/>
              </w:rPr>
            </w:pPr>
            <w:r w:rsidRPr="003704C9">
              <w:rPr>
                <w:rFonts w:cs="Arial"/>
                <w:color w:val="000000"/>
                <w:sz w:val="16"/>
                <w:szCs w:val="16"/>
              </w:rPr>
              <w:t>2,6</w:t>
            </w:r>
          </w:p>
        </w:tc>
        <w:tc>
          <w:tcPr>
            <w:tcW w:w="567" w:type="dxa"/>
            <w:tcBorders>
              <w:top w:val="nil"/>
              <w:left w:val="nil"/>
              <w:bottom w:val="nil"/>
              <w:right w:val="nil"/>
            </w:tcBorders>
            <w:shd w:val="clear" w:color="auto" w:fill="auto"/>
            <w:noWrap/>
            <w:vAlign w:val="center"/>
            <w:hideMark/>
          </w:tcPr>
          <w:p w:rsidR="003704C9" w:rsidRPr="003704C9" w:rsidRDefault="003704C9" w:rsidP="003704C9">
            <w:pPr>
              <w:spacing w:after="0" w:line="240" w:lineRule="auto"/>
              <w:jc w:val="center"/>
              <w:rPr>
                <w:rFonts w:cs="Arial"/>
                <w:color w:val="000000"/>
                <w:sz w:val="16"/>
                <w:szCs w:val="16"/>
              </w:rPr>
            </w:pPr>
            <w:r w:rsidRPr="003704C9">
              <w:rPr>
                <w:rFonts w:cs="Arial"/>
                <w:color w:val="000000"/>
                <w:sz w:val="16"/>
                <w:szCs w:val="16"/>
              </w:rPr>
              <w:t>2,7</w:t>
            </w:r>
          </w:p>
        </w:tc>
        <w:tc>
          <w:tcPr>
            <w:tcW w:w="567" w:type="dxa"/>
            <w:tcBorders>
              <w:top w:val="nil"/>
              <w:left w:val="nil"/>
              <w:bottom w:val="nil"/>
              <w:right w:val="nil"/>
            </w:tcBorders>
            <w:shd w:val="clear" w:color="auto" w:fill="auto"/>
            <w:noWrap/>
            <w:vAlign w:val="center"/>
            <w:hideMark/>
          </w:tcPr>
          <w:p w:rsidR="003704C9" w:rsidRPr="003704C9" w:rsidRDefault="003704C9" w:rsidP="003704C9">
            <w:pPr>
              <w:spacing w:after="0" w:line="240" w:lineRule="auto"/>
              <w:jc w:val="center"/>
              <w:rPr>
                <w:rFonts w:cs="Arial"/>
                <w:color w:val="000000"/>
                <w:sz w:val="16"/>
                <w:szCs w:val="16"/>
              </w:rPr>
            </w:pPr>
            <w:r w:rsidRPr="003704C9">
              <w:rPr>
                <w:rFonts w:cs="Arial"/>
                <w:color w:val="000000"/>
                <w:sz w:val="16"/>
                <w:szCs w:val="16"/>
              </w:rPr>
              <w:t>2,7</w:t>
            </w:r>
          </w:p>
        </w:tc>
        <w:tc>
          <w:tcPr>
            <w:tcW w:w="567" w:type="dxa"/>
            <w:tcBorders>
              <w:top w:val="nil"/>
              <w:left w:val="nil"/>
              <w:bottom w:val="nil"/>
              <w:right w:val="nil"/>
            </w:tcBorders>
            <w:shd w:val="clear" w:color="auto" w:fill="auto"/>
            <w:noWrap/>
            <w:vAlign w:val="center"/>
            <w:hideMark/>
          </w:tcPr>
          <w:p w:rsidR="003704C9" w:rsidRPr="003704C9" w:rsidRDefault="003704C9" w:rsidP="003704C9">
            <w:pPr>
              <w:spacing w:after="0" w:line="240" w:lineRule="auto"/>
              <w:jc w:val="center"/>
            </w:pPr>
            <w:r w:rsidRPr="003704C9">
              <w:rPr>
                <w:rFonts w:cs="Arial"/>
                <w:color w:val="000000"/>
                <w:sz w:val="16"/>
                <w:szCs w:val="16"/>
              </w:rPr>
              <w:t>2,6</w:t>
            </w:r>
          </w:p>
        </w:tc>
        <w:tc>
          <w:tcPr>
            <w:tcW w:w="567" w:type="dxa"/>
            <w:vAlign w:val="center"/>
          </w:tcPr>
          <w:p w:rsidR="003704C9" w:rsidRPr="003704C9" w:rsidRDefault="003704C9" w:rsidP="003704C9">
            <w:pPr>
              <w:spacing w:after="0" w:line="240" w:lineRule="auto"/>
              <w:jc w:val="center"/>
              <w:rPr>
                <w:rFonts w:cs="Arial"/>
                <w:color w:val="000000"/>
                <w:sz w:val="16"/>
                <w:szCs w:val="16"/>
              </w:rPr>
            </w:pPr>
            <w:r w:rsidRPr="003704C9">
              <w:rPr>
                <w:rFonts w:cs="Arial"/>
                <w:color w:val="000000"/>
                <w:sz w:val="16"/>
                <w:szCs w:val="16"/>
              </w:rPr>
              <w:t>2,4</w:t>
            </w:r>
          </w:p>
        </w:tc>
        <w:tc>
          <w:tcPr>
            <w:tcW w:w="567" w:type="dxa"/>
            <w:vAlign w:val="center"/>
          </w:tcPr>
          <w:p w:rsidR="003704C9" w:rsidRPr="003704C9" w:rsidRDefault="003704C9" w:rsidP="003704C9">
            <w:pPr>
              <w:spacing w:after="0" w:line="240" w:lineRule="auto"/>
              <w:jc w:val="center"/>
              <w:rPr>
                <w:rFonts w:cs="Arial"/>
                <w:color w:val="000000"/>
                <w:sz w:val="16"/>
                <w:szCs w:val="16"/>
              </w:rPr>
            </w:pPr>
            <w:r w:rsidRPr="003704C9">
              <w:rPr>
                <w:rFonts w:cs="Arial"/>
                <w:color w:val="000000"/>
                <w:sz w:val="16"/>
                <w:szCs w:val="16"/>
              </w:rPr>
              <w:t>2,1</w:t>
            </w:r>
          </w:p>
        </w:tc>
        <w:tc>
          <w:tcPr>
            <w:tcW w:w="567" w:type="dxa"/>
            <w:vAlign w:val="center"/>
          </w:tcPr>
          <w:p w:rsidR="003704C9" w:rsidRPr="00D7081E" w:rsidRDefault="00D7081E" w:rsidP="003704C9">
            <w:pPr>
              <w:spacing w:after="0" w:line="240" w:lineRule="auto"/>
              <w:jc w:val="center"/>
              <w:rPr>
                <w:rFonts w:cs="Arial"/>
                <w:color w:val="000000"/>
                <w:sz w:val="16"/>
                <w:szCs w:val="16"/>
              </w:rPr>
            </w:pPr>
            <w:r w:rsidRPr="00D7081E">
              <w:rPr>
                <w:rFonts w:cs="Arial"/>
                <w:color w:val="000000"/>
                <w:sz w:val="16"/>
                <w:szCs w:val="16"/>
              </w:rPr>
              <w:t>2,1</w:t>
            </w:r>
          </w:p>
        </w:tc>
      </w:tr>
      <w:tr w:rsidR="003704C9" w:rsidRPr="003704C9" w:rsidTr="003704C9">
        <w:trPr>
          <w:trHeight w:val="300"/>
        </w:trPr>
        <w:tc>
          <w:tcPr>
            <w:tcW w:w="3401" w:type="dxa"/>
            <w:tcBorders>
              <w:top w:val="nil"/>
              <w:left w:val="nil"/>
              <w:bottom w:val="nil"/>
              <w:right w:val="single" w:sz="4" w:space="0" w:color="auto"/>
            </w:tcBorders>
            <w:shd w:val="clear" w:color="auto" w:fill="auto"/>
            <w:vAlign w:val="center"/>
            <w:hideMark/>
          </w:tcPr>
          <w:p w:rsidR="003704C9" w:rsidRPr="003704C9" w:rsidRDefault="003704C9" w:rsidP="003704C9">
            <w:pPr>
              <w:spacing w:after="0" w:line="240" w:lineRule="auto"/>
              <w:ind w:firstLineChars="100" w:firstLine="160"/>
              <w:jc w:val="left"/>
              <w:rPr>
                <w:rFonts w:cs="Arial"/>
                <w:color w:val="000000"/>
                <w:sz w:val="16"/>
                <w:szCs w:val="16"/>
              </w:rPr>
            </w:pPr>
            <w:r w:rsidRPr="003704C9">
              <w:rPr>
                <w:rFonts w:cs="Arial"/>
                <w:color w:val="000000"/>
                <w:sz w:val="16"/>
                <w:szCs w:val="16"/>
              </w:rPr>
              <w:t>L – Činnosti v oblasti nemovitostí</w:t>
            </w:r>
          </w:p>
        </w:tc>
        <w:tc>
          <w:tcPr>
            <w:tcW w:w="567" w:type="dxa"/>
            <w:tcBorders>
              <w:top w:val="nil"/>
              <w:left w:val="nil"/>
              <w:bottom w:val="nil"/>
              <w:right w:val="nil"/>
            </w:tcBorders>
            <w:shd w:val="clear" w:color="auto" w:fill="auto"/>
            <w:noWrap/>
            <w:vAlign w:val="center"/>
            <w:hideMark/>
          </w:tcPr>
          <w:p w:rsidR="003704C9" w:rsidRPr="003704C9" w:rsidRDefault="003704C9" w:rsidP="003704C9">
            <w:pPr>
              <w:spacing w:after="0" w:line="240" w:lineRule="auto"/>
              <w:jc w:val="center"/>
              <w:rPr>
                <w:rFonts w:cs="Arial"/>
                <w:color w:val="000000"/>
                <w:sz w:val="16"/>
                <w:szCs w:val="16"/>
              </w:rPr>
            </w:pPr>
            <w:r w:rsidRPr="003704C9">
              <w:rPr>
                <w:rFonts w:cs="Arial"/>
                <w:color w:val="000000"/>
                <w:sz w:val="16"/>
                <w:szCs w:val="16"/>
              </w:rPr>
              <w:t>2,2</w:t>
            </w:r>
          </w:p>
        </w:tc>
        <w:tc>
          <w:tcPr>
            <w:tcW w:w="567" w:type="dxa"/>
            <w:tcBorders>
              <w:top w:val="nil"/>
              <w:left w:val="nil"/>
              <w:bottom w:val="nil"/>
              <w:right w:val="nil"/>
            </w:tcBorders>
            <w:shd w:val="clear" w:color="auto" w:fill="auto"/>
            <w:noWrap/>
            <w:vAlign w:val="center"/>
            <w:hideMark/>
          </w:tcPr>
          <w:p w:rsidR="003704C9" w:rsidRPr="003704C9" w:rsidRDefault="003704C9" w:rsidP="003704C9">
            <w:pPr>
              <w:spacing w:after="0" w:line="240" w:lineRule="auto"/>
              <w:jc w:val="center"/>
              <w:rPr>
                <w:rFonts w:cs="Arial"/>
                <w:color w:val="000000"/>
                <w:sz w:val="16"/>
                <w:szCs w:val="16"/>
              </w:rPr>
            </w:pPr>
            <w:r w:rsidRPr="003704C9">
              <w:rPr>
                <w:rFonts w:cs="Arial"/>
                <w:color w:val="000000"/>
                <w:sz w:val="16"/>
                <w:szCs w:val="16"/>
              </w:rPr>
              <w:t>2,3</w:t>
            </w:r>
          </w:p>
        </w:tc>
        <w:tc>
          <w:tcPr>
            <w:tcW w:w="567" w:type="dxa"/>
            <w:tcBorders>
              <w:top w:val="nil"/>
              <w:left w:val="nil"/>
              <w:bottom w:val="nil"/>
              <w:right w:val="nil"/>
            </w:tcBorders>
            <w:shd w:val="clear" w:color="auto" w:fill="auto"/>
            <w:noWrap/>
            <w:vAlign w:val="center"/>
            <w:hideMark/>
          </w:tcPr>
          <w:p w:rsidR="003704C9" w:rsidRPr="003704C9" w:rsidRDefault="003704C9" w:rsidP="003704C9">
            <w:pPr>
              <w:spacing w:after="0" w:line="240" w:lineRule="auto"/>
              <w:jc w:val="center"/>
              <w:rPr>
                <w:rFonts w:cs="Arial"/>
                <w:color w:val="000000"/>
                <w:sz w:val="16"/>
                <w:szCs w:val="16"/>
              </w:rPr>
            </w:pPr>
            <w:r w:rsidRPr="003704C9">
              <w:rPr>
                <w:rFonts w:cs="Arial"/>
                <w:color w:val="000000"/>
                <w:sz w:val="16"/>
                <w:szCs w:val="16"/>
              </w:rPr>
              <w:t>2,4</w:t>
            </w:r>
          </w:p>
        </w:tc>
        <w:tc>
          <w:tcPr>
            <w:tcW w:w="567" w:type="dxa"/>
            <w:tcBorders>
              <w:top w:val="nil"/>
              <w:left w:val="nil"/>
              <w:bottom w:val="nil"/>
              <w:right w:val="nil"/>
            </w:tcBorders>
            <w:shd w:val="clear" w:color="auto" w:fill="auto"/>
            <w:noWrap/>
            <w:vAlign w:val="center"/>
            <w:hideMark/>
          </w:tcPr>
          <w:p w:rsidR="003704C9" w:rsidRPr="003704C9" w:rsidRDefault="003704C9" w:rsidP="003704C9">
            <w:pPr>
              <w:spacing w:after="0" w:line="240" w:lineRule="auto"/>
              <w:jc w:val="center"/>
              <w:rPr>
                <w:rFonts w:cs="Arial"/>
                <w:color w:val="000000"/>
                <w:sz w:val="16"/>
                <w:szCs w:val="16"/>
              </w:rPr>
            </w:pPr>
            <w:r w:rsidRPr="003704C9">
              <w:rPr>
                <w:rFonts w:cs="Arial"/>
                <w:color w:val="000000"/>
                <w:sz w:val="16"/>
                <w:szCs w:val="16"/>
              </w:rPr>
              <w:t>2,3</w:t>
            </w:r>
          </w:p>
        </w:tc>
        <w:tc>
          <w:tcPr>
            <w:tcW w:w="567" w:type="dxa"/>
            <w:tcBorders>
              <w:top w:val="nil"/>
              <w:left w:val="nil"/>
              <w:bottom w:val="nil"/>
              <w:right w:val="nil"/>
            </w:tcBorders>
            <w:shd w:val="clear" w:color="auto" w:fill="auto"/>
            <w:noWrap/>
            <w:vAlign w:val="center"/>
            <w:hideMark/>
          </w:tcPr>
          <w:p w:rsidR="003704C9" w:rsidRPr="003704C9" w:rsidRDefault="003704C9" w:rsidP="003704C9">
            <w:pPr>
              <w:spacing w:after="0" w:line="240" w:lineRule="auto"/>
              <w:jc w:val="center"/>
              <w:rPr>
                <w:rFonts w:cs="Arial"/>
                <w:color w:val="000000"/>
                <w:sz w:val="16"/>
                <w:szCs w:val="16"/>
              </w:rPr>
            </w:pPr>
            <w:r w:rsidRPr="003704C9">
              <w:rPr>
                <w:rFonts w:cs="Arial"/>
                <w:color w:val="000000"/>
                <w:sz w:val="16"/>
                <w:szCs w:val="16"/>
              </w:rPr>
              <w:t>2,4</w:t>
            </w:r>
          </w:p>
        </w:tc>
        <w:tc>
          <w:tcPr>
            <w:tcW w:w="567" w:type="dxa"/>
            <w:tcBorders>
              <w:top w:val="nil"/>
              <w:left w:val="nil"/>
              <w:bottom w:val="nil"/>
              <w:right w:val="nil"/>
            </w:tcBorders>
            <w:shd w:val="clear" w:color="auto" w:fill="auto"/>
            <w:noWrap/>
            <w:vAlign w:val="center"/>
            <w:hideMark/>
          </w:tcPr>
          <w:p w:rsidR="003704C9" w:rsidRPr="003704C9" w:rsidRDefault="003704C9" w:rsidP="003704C9">
            <w:pPr>
              <w:spacing w:after="0" w:line="240" w:lineRule="auto"/>
              <w:jc w:val="center"/>
              <w:rPr>
                <w:rFonts w:cs="Arial"/>
                <w:color w:val="000000"/>
                <w:sz w:val="16"/>
                <w:szCs w:val="16"/>
              </w:rPr>
            </w:pPr>
            <w:r w:rsidRPr="003704C9">
              <w:rPr>
                <w:rFonts w:cs="Arial"/>
                <w:color w:val="000000"/>
                <w:sz w:val="16"/>
                <w:szCs w:val="16"/>
              </w:rPr>
              <w:t>2,6</w:t>
            </w:r>
          </w:p>
        </w:tc>
        <w:tc>
          <w:tcPr>
            <w:tcW w:w="567" w:type="dxa"/>
            <w:tcBorders>
              <w:top w:val="nil"/>
              <w:left w:val="nil"/>
              <w:bottom w:val="nil"/>
              <w:right w:val="nil"/>
            </w:tcBorders>
            <w:shd w:val="clear" w:color="auto" w:fill="auto"/>
            <w:noWrap/>
            <w:vAlign w:val="center"/>
            <w:hideMark/>
          </w:tcPr>
          <w:p w:rsidR="003704C9" w:rsidRPr="003704C9" w:rsidRDefault="003704C9" w:rsidP="003704C9">
            <w:pPr>
              <w:spacing w:after="0" w:line="240" w:lineRule="auto"/>
              <w:jc w:val="center"/>
              <w:rPr>
                <w:rFonts w:cs="Arial"/>
                <w:color w:val="000000"/>
                <w:sz w:val="16"/>
                <w:szCs w:val="16"/>
              </w:rPr>
            </w:pPr>
            <w:r w:rsidRPr="003704C9">
              <w:rPr>
                <w:rFonts w:cs="Arial"/>
                <w:color w:val="000000"/>
                <w:sz w:val="16"/>
                <w:szCs w:val="16"/>
              </w:rPr>
              <w:t>3,1</w:t>
            </w:r>
          </w:p>
        </w:tc>
        <w:tc>
          <w:tcPr>
            <w:tcW w:w="567" w:type="dxa"/>
            <w:tcBorders>
              <w:top w:val="nil"/>
              <w:left w:val="nil"/>
              <w:bottom w:val="nil"/>
              <w:right w:val="nil"/>
            </w:tcBorders>
            <w:shd w:val="clear" w:color="auto" w:fill="auto"/>
            <w:noWrap/>
            <w:vAlign w:val="center"/>
            <w:hideMark/>
          </w:tcPr>
          <w:p w:rsidR="003704C9" w:rsidRPr="003704C9" w:rsidRDefault="003704C9" w:rsidP="003704C9">
            <w:pPr>
              <w:spacing w:after="0" w:line="240" w:lineRule="auto"/>
              <w:jc w:val="center"/>
            </w:pPr>
            <w:r w:rsidRPr="003704C9">
              <w:rPr>
                <w:rFonts w:cs="Arial"/>
                <w:color w:val="000000"/>
                <w:sz w:val="16"/>
                <w:szCs w:val="16"/>
              </w:rPr>
              <w:t>3,1</w:t>
            </w:r>
          </w:p>
        </w:tc>
        <w:tc>
          <w:tcPr>
            <w:tcW w:w="567" w:type="dxa"/>
            <w:vAlign w:val="center"/>
          </w:tcPr>
          <w:p w:rsidR="003704C9" w:rsidRPr="003704C9" w:rsidRDefault="003704C9" w:rsidP="003704C9">
            <w:pPr>
              <w:spacing w:after="0" w:line="240" w:lineRule="auto"/>
              <w:jc w:val="center"/>
              <w:rPr>
                <w:rFonts w:cs="Arial"/>
                <w:color w:val="000000"/>
                <w:sz w:val="16"/>
                <w:szCs w:val="16"/>
              </w:rPr>
            </w:pPr>
            <w:r w:rsidRPr="003704C9">
              <w:rPr>
                <w:rFonts w:cs="Arial"/>
                <w:color w:val="000000"/>
                <w:sz w:val="16"/>
                <w:szCs w:val="16"/>
              </w:rPr>
              <w:t>3,0</w:t>
            </w:r>
          </w:p>
        </w:tc>
        <w:tc>
          <w:tcPr>
            <w:tcW w:w="567" w:type="dxa"/>
            <w:vAlign w:val="center"/>
          </w:tcPr>
          <w:p w:rsidR="003704C9" w:rsidRPr="003704C9" w:rsidRDefault="003704C9" w:rsidP="003704C9">
            <w:pPr>
              <w:spacing w:after="0" w:line="240" w:lineRule="auto"/>
              <w:jc w:val="center"/>
              <w:rPr>
                <w:rFonts w:cs="Arial"/>
                <w:color w:val="000000"/>
                <w:sz w:val="16"/>
                <w:szCs w:val="16"/>
              </w:rPr>
            </w:pPr>
            <w:r w:rsidRPr="003704C9">
              <w:rPr>
                <w:rFonts w:cs="Arial"/>
                <w:color w:val="000000"/>
                <w:sz w:val="16"/>
                <w:szCs w:val="16"/>
              </w:rPr>
              <w:t>2,6</w:t>
            </w:r>
          </w:p>
        </w:tc>
        <w:tc>
          <w:tcPr>
            <w:tcW w:w="567" w:type="dxa"/>
            <w:vAlign w:val="center"/>
          </w:tcPr>
          <w:p w:rsidR="003704C9" w:rsidRPr="00D7081E" w:rsidRDefault="00D7081E" w:rsidP="003704C9">
            <w:pPr>
              <w:spacing w:after="0" w:line="240" w:lineRule="auto"/>
              <w:jc w:val="center"/>
              <w:rPr>
                <w:rFonts w:cs="Arial"/>
                <w:color w:val="000000"/>
                <w:sz w:val="16"/>
                <w:szCs w:val="16"/>
              </w:rPr>
            </w:pPr>
            <w:r w:rsidRPr="00D7081E">
              <w:rPr>
                <w:rFonts w:cs="Arial"/>
                <w:color w:val="000000"/>
                <w:sz w:val="16"/>
                <w:szCs w:val="16"/>
              </w:rPr>
              <w:t>2,7</w:t>
            </w:r>
          </w:p>
        </w:tc>
      </w:tr>
      <w:tr w:rsidR="003704C9" w:rsidRPr="003704C9" w:rsidTr="003704C9">
        <w:trPr>
          <w:trHeight w:val="300"/>
        </w:trPr>
        <w:tc>
          <w:tcPr>
            <w:tcW w:w="3401" w:type="dxa"/>
            <w:tcBorders>
              <w:top w:val="nil"/>
              <w:left w:val="nil"/>
              <w:bottom w:val="nil"/>
              <w:right w:val="single" w:sz="4" w:space="0" w:color="auto"/>
            </w:tcBorders>
            <w:shd w:val="clear" w:color="auto" w:fill="auto"/>
            <w:vAlign w:val="center"/>
            <w:hideMark/>
          </w:tcPr>
          <w:p w:rsidR="003704C9" w:rsidRPr="003704C9" w:rsidRDefault="003704C9" w:rsidP="003704C9">
            <w:pPr>
              <w:spacing w:after="0" w:line="240" w:lineRule="auto"/>
              <w:ind w:firstLineChars="100" w:firstLine="160"/>
              <w:jc w:val="left"/>
              <w:rPr>
                <w:rFonts w:cs="Arial"/>
                <w:color w:val="000000"/>
                <w:sz w:val="16"/>
                <w:szCs w:val="16"/>
              </w:rPr>
            </w:pPr>
            <w:r w:rsidRPr="003704C9">
              <w:rPr>
                <w:rFonts w:cs="Arial"/>
                <w:color w:val="000000"/>
                <w:sz w:val="16"/>
                <w:szCs w:val="16"/>
              </w:rPr>
              <w:t>M – Profesní, vědecké a technické činnosti</w:t>
            </w:r>
          </w:p>
        </w:tc>
        <w:tc>
          <w:tcPr>
            <w:tcW w:w="567" w:type="dxa"/>
            <w:tcBorders>
              <w:top w:val="nil"/>
              <w:left w:val="nil"/>
              <w:bottom w:val="nil"/>
              <w:right w:val="nil"/>
            </w:tcBorders>
            <w:shd w:val="clear" w:color="auto" w:fill="auto"/>
            <w:noWrap/>
            <w:vAlign w:val="center"/>
            <w:hideMark/>
          </w:tcPr>
          <w:p w:rsidR="003704C9" w:rsidRPr="003704C9" w:rsidRDefault="003704C9" w:rsidP="003704C9">
            <w:pPr>
              <w:spacing w:after="0" w:line="240" w:lineRule="auto"/>
              <w:jc w:val="center"/>
              <w:rPr>
                <w:rFonts w:cs="Arial"/>
                <w:color w:val="000000"/>
                <w:sz w:val="16"/>
                <w:szCs w:val="16"/>
              </w:rPr>
            </w:pPr>
            <w:r w:rsidRPr="003704C9">
              <w:rPr>
                <w:rFonts w:cs="Arial"/>
                <w:color w:val="000000"/>
                <w:sz w:val="16"/>
                <w:szCs w:val="16"/>
              </w:rPr>
              <w:t>2,1</w:t>
            </w:r>
          </w:p>
        </w:tc>
        <w:tc>
          <w:tcPr>
            <w:tcW w:w="567" w:type="dxa"/>
            <w:tcBorders>
              <w:top w:val="nil"/>
              <w:left w:val="nil"/>
              <w:bottom w:val="nil"/>
              <w:right w:val="nil"/>
            </w:tcBorders>
            <w:shd w:val="clear" w:color="auto" w:fill="auto"/>
            <w:noWrap/>
            <w:vAlign w:val="center"/>
            <w:hideMark/>
          </w:tcPr>
          <w:p w:rsidR="003704C9" w:rsidRPr="003704C9" w:rsidRDefault="003704C9" w:rsidP="003704C9">
            <w:pPr>
              <w:spacing w:after="0" w:line="240" w:lineRule="auto"/>
              <w:jc w:val="center"/>
              <w:rPr>
                <w:rFonts w:cs="Arial"/>
                <w:color w:val="000000"/>
                <w:sz w:val="16"/>
                <w:szCs w:val="16"/>
              </w:rPr>
            </w:pPr>
            <w:r w:rsidRPr="003704C9">
              <w:rPr>
                <w:rFonts w:cs="Arial"/>
                <w:color w:val="000000"/>
                <w:sz w:val="16"/>
                <w:szCs w:val="16"/>
              </w:rPr>
              <w:t>2,2</w:t>
            </w:r>
          </w:p>
        </w:tc>
        <w:tc>
          <w:tcPr>
            <w:tcW w:w="567" w:type="dxa"/>
            <w:tcBorders>
              <w:top w:val="nil"/>
              <w:left w:val="nil"/>
              <w:bottom w:val="nil"/>
              <w:right w:val="nil"/>
            </w:tcBorders>
            <w:shd w:val="clear" w:color="auto" w:fill="auto"/>
            <w:noWrap/>
            <w:vAlign w:val="center"/>
            <w:hideMark/>
          </w:tcPr>
          <w:p w:rsidR="003704C9" w:rsidRPr="003704C9" w:rsidRDefault="003704C9" w:rsidP="003704C9">
            <w:pPr>
              <w:spacing w:after="0" w:line="240" w:lineRule="auto"/>
              <w:jc w:val="center"/>
              <w:rPr>
                <w:rFonts w:cs="Arial"/>
                <w:color w:val="000000"/>
                <w:sz w:val="16"/>
                <w:szCs w:val="16"/>
              </w:rPr>
            </w:pPr>
            <w:r w:rsidRPr="003704C9">
              <w:rPr>
                <w:rFonts w:cs="Arial"/>
                <w:color w:val="000000"/>
                <w:sz w:val="16"/>
                <w:szCs w:val="16"/>
              </w:rPr>
              <w:t>2,3</w:t>
            </w:r>
          </w:p>
        </w:tc>
        <w:tc>
          <w:tcPr>
            <w:tcW w:w="567" w:type="dxa"/>
            <w:tcBorders>
              <w:top w:val="nil"/>
              <w:left w:val="nil"/>
              <w:bottom w:val="nil"/>
              <w:right w:val="nil"/>
            </w:tcBorders>
            <w:shd w:val="clear" w:color="auto" w:fill="auto"/>
            <w:noWrap/>
            <w:vAlign w:val="center"/>
            <w:hideMark/>
          </w:tcPr>
          <w:p w:rsidR="003704C9" w:rsidRPr="003704C9" w:rsidRDefault="003704C9" w:rsidP="003704C9">
            <w:pPr>
              <w:spacing w:after="0" w:line="240" w:lineRule="auto"/>
              <w:jc w:val="center"/>
              <w:rPr>
                <w:rFonts w:cs="Arial"/>
                <w:color w:val="000000"/>
                <w:sz w:val="16"/>
                <w:szCs w:val="16"/>
              </w:rPr>
            </w:pPr>
            <w:r w:rsidRPr="003704C9">
              <w:rPr>
                <w:rFonts w:cs="Arial"/>
                <w:color w:val="000000"/>
                <w:sz w:val="16"/>
                <w:szCs w:val="16"/>
              </w:rPr>
              <w:t>2,3</w:t>
            </w:r>
          </w:p>
        </w:tc>
        <w:tc>
          <w:tcPr>
            <w:tcW w:w="567" w:type="dxa"/>
            <w:tcBorders>
              <w:top w:val="nil"/>
              <w:left w:val="nil"/>
              <w:bottom w:val="nil"/>
              <w:right w:val="nil"/>
            </w:tcBorders>
            <w:shd w:val="clear" w:color="auto" w:fill="auto"/>
            <w:noWrap/>
            <w:vAlign w:val="center"/>
            <w:hideMark/>
          </w:tcPr>
          <w:p w:rsidR="003704C9" w:rsidRPr="003704C9" w:rsidRDefault="003704C9" w:rsidP="003704C9">
            <w:pPr>
              <w:spacing w:after="0" w:line="240" w:lineRule="auto"/>
              <w:jc w:val="center"/>
              <w:rPr>
                <w:rFonts w:cs="Arial"/>
                <w:color w:val="000000"/>
                <w:sz w:val="16"/>
                <w:szCs w:val="16"/>
              </w:rPr>
            </w:pPr>
            <w:r w:rsidRPr="003704C9">
              <w:rPr>
                <w:rFonts w:cs="Arial"/>
                <w:color w:val="000000"/>
                <w:sz w:val="16"/>
                <w:szCs w:val="16"/>
              </w:rPr>
              <w:t>2,4</w:t>
            </w:r>
          </w:p>
        </w:tc>
        <w:tc>
          <w:tcPr>
            <w:tcW w:w="567" w:type="dxa"/>
            <w:tcBorders>
              <w:top w:val="nil"/>
              <w:left w:val="nil"/>
              <w:bottom w:val="nil"/>
              <w:right w:val="nil"/>
            </w:tcBorders>
            <w:shd w:val="clear" w:color="auto" w:fill="auto"/>
            <w:noWrap/>
            <w:vAlign w:val="center"/>
            <w:hideMark/>
          </w:tcPr>
          <w:p w:rsidR="003704C9" w:rsidRPr="003704C9" w:rsidRDefault="003704C9" w:rsidP="003704C9">
            <w:pPr>
              <w:spacing w:after="0" w:line="240" w:lineRule="auto"/>
              <w:jc w:val="center"/>
              <w:rPr>
                <w:rFonts w:cs="Arial"/>
                <w:color w:val="000000"/>
                <w:sz w:val="16"/>
                <w:szCs w:val="16"/>
              </w:rPr>
            </w:pPr>
            <w:r w:rsidRPr="003704C9">
              <w:rPr>
                <w:rFonts w:cs="Arial"/>
                <w:color w:val="000000"/>
                <w:sz w:val="16"/>
                <w:szCs w:val="16"/>
              </w:rPr>
              <w:t>2,5</w:t>
            </w:r>
          </w:p>
        </w:tc>
        <w:tc>
          <w:tcPr>
            <w:tcW w:w="567" w:type="dxa"/>
            <w:tcBorders>
              <w:top w:val="nil"/>
              <w:left w:val="nil"/>
              <w:bottom w:val="nil"/>
              <w:right w:val="nil"/>
            </w:tcBorders>
            <w:shd w:val="clear" w:color="auto" w:fill="auto"/>
            <w:noWrap/>
            <w:vAlign w:val="center"/>
            <w:hideMark/>
          </w:tcPr>
          <w:p w:rsidR="003704C9" w:rsidRPr="003704C9" w:rsidRDefault="003704C9" w:rsidP="003704C9">
            <w:pPr>
              <w:spacing w:after="0" w:line="240" w:lineRule="auto"/>
              <w:jc w:val="center"/>
              <w:rPr>
                <w:rFonts w:cs="Arial"/>
                <w:color w:val="000000"/>
                <w:sz w:val="16"/>
                <w:szCs w:val="16"/>
              </w:rPr>
            </w:pPr>
            <w:r w:rsidRPr="003704C9">
              <w:rPr>
                <w:rFonts w:cs="Arial"/>
                <w:color w:val="000000"/>
                <w:sz w:val="16"/>
                <w:szCs w:val="16"/>
              </w:rPr>
              <w:t>2,8</w:t>
            </w:r>
          </w:p>
        </w:tc>
        <w:tc>
          <w:tcPr>
            <w:tcW w:w="567" w:type="dxa"/>
            <w:tcBorders>
              <w:top w:val="nil"/>
              <w:left w:val="nil"/>
              <w:bottom w:val="nil"/>
              <w:right w:val="nil"/>
            </w:tcBorders>
            <w:shd w:val="clear" w:color="auto" w:fill="auto"/>
            <w:noWrap/>
            <w:vAlign w:val="center"/>
            <w:hideMark/>
          </w:tcPr>
          <w:p w:rsidR="003704C9" w:rsidRPr="003704C9" w:rsidRDefault="003704C9" w:rsidP="003704C9">
            <w:pPr>
              <w:spacing w:after="0" w:line="240" w:lineRule="auto"/>
              <w:jc w:val="center"/>
            </w:pPr>
            <w:r w:rsidRPr="003704C9">
              <w:rPr>
                <w:rFonts w:cs="Arial"/>
                <w:color w:val="000000"/>
                <w:sz w:val="16"/>
                <w:szCs w:val="16"/>
              </w:rPr>
              <w:t>2,7</w:t>
            </w:r>
          </w:p>
        </w:tc>
        <w:tc>
          <w:tcPr>
            <w:tcW w:w="567" w:type="dxa"/>
            <w:vAlign w:val="center"/>
          </w:tcPr>
          <w:p w:rsidR="003704C9" w:rsidRPr="003704C9" w:rsidRDefault="003704C9" w:rsidP="003704C9">
            <w:pPr>
              <w:spacing w:after="0" w:line="240" w:lineRule="auto"/>
              <w:jc w:val="center"/>
              <w:rPr>
                <w:rFonts w:cs="Arial"/>
                <w:color w:val="000000"/>
                <w:sz w:val="16"/>
                <w:szCs w:val="16"/>
              </w:rPr>
            </w:pPr>
            <w:r w:rsidRPr="003704C9">
              <w:rPr>
                <w:rFonts w:cs="Arial"/>
                <w:color w:val="000000"/>
                <w:sz w:val="16"/>
                <w:szCs w:val="16"/>
              </w:rPr>
              <w:t>2,5</w:t>
            </w:r>
          </w:p>
        </w:tc>
        <w:tc>
          <w:tcPr>
            <w:tcW w:w="567" w:type="dxa"/>
            <w:vAlign w:val="center"/>
          </w:tcPr>
          <w:p w:rsidR="003704C9" w:rsidRPr="003704C9" w:rsidRDefault="003704C9" w:rsidP="003704C9">
            <w:pPr>
              <w:spacing w:after="0" w:line="240" w:lineRule="auto"/>
              <w:jc w:val="center"/>
              <w:rPr>
                <w:rFonts w:cs="Arial"/>
                <w:color w:val="000000"/>
                <w:sz w:val="16"/>
                <w:szCs w:val="16"/>
              </w:rPr>
            </w:pPr>
            <w:r w:rsidRPr="003704C9">
              <w:rPr>
                <w:rFonts w:cs="Arial"/>
                <w:color w:val="000000"/>
                <w:sz w:val="16"/>
                <w:szCs w:val="16"/>
              </w:rPr>
              <w:t>2,2</w:t>
            </w:r>
          </w:p>
        </w:tc>
        <w:tc>
          <w:tcPr>
            <w:tcW w:w="567" w:type="dxa"/>
            <w:vAlign w:val="center"/>
          </w:tcPr>
          <w:p w:rsidR="003704C9" w:rsidRPr="00D7081E" w:rsidRDefault="00D7081E" w:rsidP="003704C9">
            <w:pPr>
              <w:spacing w:after="0" w:line="240" w:lineRule="auto"/>
              <w:jc w:val="center"/>
              <w:rPr>
                <w:rFonts w:cs="Arial"/>
                <w:color w:val="000000"/>
                <w:sz w:val="16"/>
                <w:szCs w:val="16"/>
              </w:rPr>
            </w:pPr>
            <w:r w:rsidRPr="00D7081E">
              <w:rPr>
                <w:rFonts w:cs="Arial"/>
                <w:color w:val="000000"/>
                <w:sz w:val="16"/>
                <w:szCs w:val="16"/>
              </w:rPr>
              <w:t>2,2</w:t>
            </w:r>
          </w:p>
        </w:tc>
      </w:tr>
      <w:tr w:rsidR="003704C9" w:rsidRPr="003704C9" w:rsidTr="003704C9">
        <w:trPr>
          <w:trHeight w:val="300"/>
        </w:trPr>
        <w:tc>
          <w:tcPr>
            <w:tcW w:w="3401" w:type="dxa"/>
            <w:tcBorders>
              <w:top w:val="nil"/>
              <w:left w:val="nil"/>
              <w:bottom w:val="nil"/>
              <w:right w:val="single" w:sz="4" w:space="0" w:color="auto"/>
            </w:tcBorders>
            <w:shd w:val="clear" w:color="auto" w:fill="auto"/>
            <w:vAlign w:val="center"/>
            <w:hideMark/>
          </w:tcPr>
          <w:p w:rsidR="003704C9" w:rsidRPr="003704C9" w:rsidRDefault="003704C9" w:rsidP="003704C9">
            <w:pPr>
              <w:spacing w:after="0" w:line="240" w:lineRule="auto"/>
              <w:ind w:firstLineChars="100" w:firstLine="160"/>
              <w:jc w:val="left"/>
              <w:rPr>
                <w:rFonts w:cs="Arial"/>
                <w:color w:val="000000"/>
                <w:sz w:val="16"/>
                <w:szCs w:val="16"/>
              </w:rPr>
            </w:pPr>
            <w:r w:rsidRPr="003704C9">
              <w:rPr>
                <w:rFonts w:cs="Arial"/>
                <w:color w:val="000000"/>
                <w:sz w:val="16"/>
                <w:szCs w:val="16"/>
              </w:rPr>
              <w:t>N – Administrativní a podpůrné činnosti</w:t>
            </w:r>
          </w:p>
        </w:tc>
        <w:tc>
          <w:tcPr>
            <w:tcW w:w="567" w:type="dxa"/>
            <w:tcBorders>
              <w:top w:val="nil"/>
              <w:left w:val="nil"/>
              <w:bottom w:val="nil"/>
              <w:right w:val="nil"/>
            </w:tcBorders>
            <w:shd w:val="clear" w:color="auto" w:fill="auto"/>
            <w:noWrap/>
            <w:vAlign w:val="center"/>
            <w:hideMark/>
          </w:tcPr>
          <w:p w:rsidR="003704C9" w:rsidRPr="003704C9" w:rsidRDefault="003704C9" w:rsidP="003704C9">
            <w:pPr>
              <w:spacing w:after="0" w:line="240" w:lineRule="auto"/>
              <w:jc w:val="center"/>
              <w:rPr>
                <w:rFonts w:cs="Arial"/>
                <w:color w:val="000000"/>
                <w:sz w:val="16"/>
                <w:szCs w:val="16"/>
              </w:rPr>
            </w:pPr>
            <w:r w:rsidRPr="003704C9">
              <w:rPr>
                <w:rFonts w:cs="Arial"/>
                <w:color w:val="000000"/>
                <w:sz w:val="16"/>
                <w:szCs w:val="16"/>
              </w:rPr>
              <w:t>4,6</w:t>
            </w:r>
          </w:p>
        </w:tc>
        <w:tc>
          <w:tcPr>
            <w:tcW w:w="567" w:type="dxa"/>
            <w:tcBorders>
              <w:top w:val="nil"/>
              <w:left w:val="nil"/>
              <w:bottom w:val="nil"/>
              <w:right w:val="nil"/>
            </w:tcBorders>
            <w:shd w:val="clear" w:color="auto" w:fill="auto"/>
            <w:noWrap/>
            <w:vAlign w:val="center"/>
            <w:hideMark/>
          </w:tcPr>
          <w:p w:rsidR="003704C9" w:rsidRPr="003704C9" w:rsidRDefault="003704C9" w:rsidP="003704C9">
            <w:pPr>
              <w:spacing w:after="0" w:line="240" w:lineRule="auto"/>
              <w:jc w:val="center"/>
              <w:rPr>
                <w:rFonts w:cs="Arial"/>
                <w:color w:val="000000"/>
                <w:sz w:val="16"/>
                <w:szCs w:val="16"/>
              </w:rPr>
            </w:pPr>
            <w:r w:rsidRPr="003704C9">
              <w:rPr>
                <w:rFonts w:cs="Arial"/>
                <w:color w:val="000000"/>
                <w:sz w:val="16"/>
                <w:szCs w:val="16"/>
              </w:rPr>
              <w:t>5,1</w:t>
            </w:r>
          </w:p>
        </w:tc>
        <w:tc>
          <w:tcPr>
            <w:tcW w:w="567" w:type="dxa"/>
            <w:tcBorders>
              <w:top w:val="nil"/>
              <w:left w:val="nil"/>
              <w:bottom w:val="nil"/>
              <w:right w:val="nil"/>
            </w:tcBorders>
            <w:shd w:val="clear" w:color="auto" w:fill="auto"/>
            <w:noWrap/>
            <w:vAlign w:val="center"/>
            <w:hideMark/>
          </w:tcPr>
          <w:p w:rsidR="003704C9" w:rsidRPr="003704C9" w:rsidRDefault="003704C9" w:rsidP="003704C9">
            <w:pPr>
              <w:spacing w:after="0" w:line="240" w:lineRule="auto"/>
              <w:jc w:val="center"/>
              <w:rPr>
                <w:rFonts w:cs="Arial"/>
                <w:color w:val="000000"/>
                <w:sz w:val="16"/>
                <w:szCs w:val="16"/>
              </w:rPr>
            </w:pPr>
            <w:r w:rsidRPr="003704C9">
              <w:rPr>
                <w:rFonts w:cs="Arial"/>
                <w:color w:val="000000"/>
                <w:sz w:val="16"/>
                <w:szCs w:val="16"/>
              </w:rPr>
              <w:t>5,2</w:t>
            </w:r>
          </w:p>
        </w:tc>
        <w:tc>
          <w:tcPr>
            <w:tcW w:w="567" w:type="dxa"/>
            <w:tcBorders>
              <w:top w:val="nil"/>
              <w:left w:val="nil"/>
              <w:bottom w:val="nil"/>
              <w:right w:val="nil"/>
            </w:tcBorders>
            <w:shd w:val="clear" w:color="auto" w:fill="auto"/>
            <w:noWrap/>
            <w:vAlign w:val="center"/>
            <w:hideMark/>
          </w:tcPr>
          <w:p w:rsidR="003704C9" w:rsidRPr="003704C9" w:rsidRDefault="003704C9" w:rsidP="003704C9">
            <w:pPr>
              <w:spacing w:after="0" w:line="240" w:lineRule="auto"/>
              <w:jc w:val="center"/>
              <w:rPr>
                <w:rFonts w:cs="Arial"/>
                <w:color w:val="000000"/>
                <w:sz w:val="16"/>
                <w:szCs w:val="16"/>
              </w:rPr>
            </w:pPr>
            <w:r w:rsidRPr="003704C9">
              <w:rPr>
                <w:rFonts w:cs="Arial"/>
                <w:color w:val="000000"/>
                <w:sz w:val="16"/>
                <w:szCs w:val="16"/>
              </w:rPr>
              <w:t>5,2</w:t>
            </w:r>
          </w:p>
        </w:tc>
        <w:tc>
          <w:tcPr>
            <w:tcW w:w="567" w:type="dxa"/>
            <w:tcBorders>
              <w:top w:val="nil"/>
              <w:left w:val="nil"/>
              <w:bottom w:val="nil"/>
              <w:right w:val="nil"/>
            </w:tcBorders>
            <w:shd w:val="clear" w:color="auto" w:fill="auto"/>
            <w:noWrap/>
            <w:vAlign w:val="center"/>
            <w:hideMark/>
          </w:tcPr>
          <w:p w:rsidR="003704C9" w:rsidRPr="003704C9" w:rsidRDefault="003704C9" w:rsidP="003704C9">
            <w:pPr>
              <w:spacing w:after="0" w:line="240" w:lineRule="auto"/>
              <w:jc w:val="center"/>
              <w:rPr>
                <w:rFonts w:cs="Arial"/>
                <w:color w:val="000000"/>
                <w:sz w:val="16"/>
                <w:szCs w:val="16"/>
              </w:rPr>
            </w:pPr>
            <w:r w:rsidRPr="003704C9">
              <w:rPr>
                <w:rFonts w:cs="Arial"/>
                <w:color w:val="000000"/>
                <w:sz w:val="16"/>
                <w:szCs w:val="16"/>
              </w:rPr>
              <w:t>5,4</w:t>
            </w:r>
          </w:p>
        </w:tc>
        <w:tc>
          <w:tcPr>
            <w:tcW w:w="567" w:type="dxa"/>
            <w:tcBorders>
              <w:top w:val="nil"/>
              <w:left w:val="nil"/>
              <w:bottom w:val="nil"/>
              <w:right w:val="nil"/>
            </w:tcBorders>
            <w:shd w:val="clear" w:color="auto" w:fill="auto"/>
            <w:noWrap/>
            <w:vAlign w:val="center"/>
            <w:hideMark/>
          </w:tcPr>
          <w:p w:rsidR="003704C9" w:rsidRPr="003704C9" w:rsidRDefault="003704C9" w:rsidP="003704C9">
            <w:pPr>
              <w:spacing w:after="0" w:line="240" w:lineRule="auto"/>
              <w:jc w:val="center"/>
              <w:rPr>
                <w:rFonts w:cs="Arial"/>
                <w:color w:val="000000"/>
                <w:sz w:val="16"/>
                <w:szCs w:val="16"/>
              </w:rPr>
            </w:pPr>
            <w:r w:rsidRPr="003704C9">
              <w:rPr>
                <w:rFonts w:cs="Arial"/>
                <w:color w:val="000000"/>
                <w:sz w:val="16"/>
                <w:szCs w:val="16"/>
              </w:rPr>
              <w:t>5,8</w:t>
            </w:r>
          </w:p>
        </w:tc>
        <w:tc>
          <w:tcPr>
            <w:tcW w:w="567" w:type="dxa"/>
            <w:tcBorders>
              <w:top w:val="nil"/>
              <w:left w:val="nil"/>
              <w:bottom w:val="nil"/>
              <w:right w:val="nil"/>
            </w:tcBorders>
            <w:shd w:val="clear" w:color="auto" w:fill="auto"/>
            <w:noWrap/>
            <w:vAlign w:val="center"/>
            <w:hideMark/>
          </w:tcPr>
          <w:p w:rsidR="003704C9" w:rsidRPr="003704C9" w:rsidRDefault="003704C9" w:rsidP="003704C9">
            <w:pPr>
              <w:spacing w:after="0" w:line="240" w:lineRule="auto"/>
              <w:jc w:val="center"/>
              <w:rPr>
                <w:rFonts w:cs="Arial"/>
                <w:color w:val="000000"/>
                <w:sz w:val="16"/>
                <w:szCs w:val="16"/>
              </w:rPr>
            </w:pPr>
            <w:r w:rsidRPr="003704C9">
              <w:rPr>
                <w:rFonts w:cs="Arial"/>
                <w:color w:val="000000"/>
                <w:sz w:val="16"/>
                <w:szCs w:val="16"/>
              </w:rPr>
              <w:t>6,8</w:t>
            </w:r>
          </w:p>
        </w:tc>
        <w:tc>
          <w:tcPr>
            <w:tcW w:w="567" w:type="dxa"/>
            <w:tcBorders>
              <w:top w:val="nil"/>
              <w:left w:val="nil"/>
              <w:bottom w:val="nil"/>
              <w:right w:val="nil"/>
            </w:tcBorders>
            <w:shd w:val="clear" w:color="auto" w:fill="auto"/>
            <w:noWrap/>
            <w:vAlign w:val="center"/>
            <w:hideMark/>
          </w:tcPr>
          <w:p w:rsidR="003704C9" w:rsidRPr="003704C9" w:rsidRDefault="003704C9" w:rsidP="003704C9">
            <w:pPr>
              <w:spacing w:after="0" w:line="240" w:lineRule="auto"/>
              <w:jc w:val="center"/>
            </w:pPr>
            <w:r w:rsidRPr="003704C9">
              <w:rPr>
                <w:rFonts w:cs="Arial"/>
                <w:color w:val="000000"/>
                <w:sz w:val="16"/>
                <w:szCs w:val="16"/>
              </w:rPr>
              <w:t>6,9</w:t>
            </w:r>
          </w:p>
        </w:tc>
        <w:tc>
          <w:tcPr>
            <w:tcW w:w="567" w:type="dxa"/>
            <w:vAlign w:val="center"/>
          </w:tcPr>
          <w:p w:rsidR="003704C9" w:rsidRPr="003704C9" w:rsidRDefault="003704C9" w:rsidP="003704C9">
            <w:pPr>
              <w:spacing w:after="0" w:line="240" w:lineRule="auto"/>
              <w:jc w:val="center"/>
              <w:rPr>
                <w:rFonts w:cs="Arial"/>
                <w:color w:val="000000"/>
                <w:sz w:val="16"/>
                <w:szCs w:val="16"/>
              </w:rPr>
            </w:pPr>
            <w:r w:rsidRPr="003704C9">
              <w:rPr>
                <w:rFonts w:cs="Arial"/>
                <w:color w:val="000000"/>
                <w:sz w:val="16"/>
                <w:szCs w:val="16"/>
              </w:rPr>
              <w:t>6,2</w:t>
            </w:r>
          </w:p>
        </w:tc>
        <w:tc>
          <w:tcPr>
            <w:tcW w:w="567" w:type="dxa"/>
            <w:vAlign w:val="center"/>
          </w:tcPr>
          <w:p w:rsidR="003704C9" w:rsidRPr="003704C9" w:rsidRDefault="003704C9" w:rsidP="003704C9">
            <w:pPr>
              <w:spacing w:after="0" w:line="240" w:lineRule="auto"/>
              <w:jc w:val="center"/>
              <w:rPr>
                <w:rFonts w:cs="Arial"/>
                <w:color w:val="000000"/>
                <w:sz w:val="16"/>
                <w:szCs w:val="16"/>
              </w:rPr>
            </w:pPr>
            <w:r w:rsidRPr="003704C9">
              <w:rPr>
                <w:rFonts w:cs="Arial"/>
                <w:color w:val="000000"/>
                <w:sz w:val="16"/>
                <w:szCs w:val="16"/>
              </w:rPr>
              <w:t>5,4</w:t>
            </w:r>
          </w:p>
        </w:tc>
        <w:tc>
          <w:tcPr>
            <w:tcW w:w="567" w:type="dxa"/>
            <w:vAlign w:val="center"/>
          </w:tcPr>
          <w:p w:rsidR="003704C9" w:rsidRPr="00D7081E" w:rsidRDefault="00D7081E" w:rsidP="003704C9">
            <w:pPr>
              <w:spacing w:after="0" w:line="240" w:lineRule="auto"/>
              <w:jc w:val="center"/>
              <w:rPr>
                <w:rFonts w:cs="Arial"/>
                <w:color w:val="000000"/>
                <w:sz w:val="16"/>
                <w:szCs w:val="16"/>
              </w:rPr>
            </w:pPr>
            <w:r w:rsidRPr="00D7081E">
              <w:rPr>
                <w:rFonts w:cs="Arial"/>
                <w:color w:val="000000"/>
                <w:sz w:val="16"/>
                <w:szCs w:val="16"/>
              </w:rPr>
              <w:t>5,5</w:t>
            </w:r>
          </w:p>
        </w:tc>
      </w:tr>
      <w:tr w:rsidR="003704C9" w:rsidRPr="003704C9" w:rsidTr="003704C9">
        <w:trPr>
          <w:trHeight w:val="480"/>
        </w:trPr>
        <w:tc>
          <w:tcPr>
            <w:tcW w:w="3401" w:type="dxa"/>
            <w:tcBorders>
              <w:top w:val="nil"/>
              <w:left w:val="nil"/>
              <w:bottom w:val="nil"/>
              <w:right w:val="single" w:sz="4" w:space="0" w:color="auto"/>
            </w:tcBorders>
            <w:shd w:val="clear" w:color="auto" w:fill="auto"/>
            <w:vAlign w:val="center"/>
            <w:hideMark/>
          </w:tcPr>
          <w:p w:rsidR="003704C9" w:rsidRPr="003704C9" w:rsidRDefault="003704C9" w:rsidP="003704C9">
            <w:pPr>
              <w:spacing w:after="0" w:line="240" w:lineRule="auto"/>
              <w:ind w:firstLineChars="100" w:firstLine="160"/>
              <w:jc w:val="left"/>
              <w:rPr>
                <w:rFonts w:cs="Arial"/>
                <w:color w:val="000000"/>
                <w:sz w:val="16"/>
                <w:szCs w:val="16"/>
              </w:rPr>
            </w:pPr>
            <w:r w:rsidRPr="003704C9">
              <w:rPr>
                <w:rFonts w:cs="Arial"/>
                <w:color w:val="000000"/>
                <w:sz w:val="16"/>
                <w:szCs w:val="16"/>
              </w:rPr>
              <w:t xml:space="preserve">O – Veřejná správa a obrana; </w:t>
            </w:r>
            <w:r w:rsidRPr="003704C9">
              <w:rPr>
                <w:rFonts w:cs="Arial"/>
                <w:color w:val="000000"/>
                <w:sz w:val="16"/>
                <w:szCs w:val="16"/>
              </w:rPr>
              <w:br/>
              <w:t xml:space="preserve">          povinné sociální zabezpečení</w:t>
            </w:r>
          </w:p>
        </w:tc>
        <w:tc>
          <w:tcPr>
            <w:tcW w:w="567" w:type="dxa"/>
            <w:tcBorders>
              <w:top w:val="nil"/>
              <w:left w:val="nil"/>
              <w:bottom w:val="nil"/>
              <w:right w:val="nil"/>
            </w:tcBorders>
            <w:shd w:val="clear" w:color="auto" w:fill="auto"/>
            <w:noWrap/>
            <w:vAlign w:val="center"/>
            <w:hideMark/>
          </w:tcPr>
          <w:p w:rsidR="003704C9" w:rsidRPr="003704C9" w:rsidRDefault="003704C9" w:rsidP="003704C9">
            <w:pPr>
              <w:spacing w:after="0" w:line="240" w:lineRule="auto"/>
              <w:jc w:val="center"/>
              <w:rPr>
                <w:rFonts w:cs="Arial"/>
                <w:color w:val="000000"/>
                <w:sz w:val="16"/>
                <w:szCs w:val="16"/>
              </w:rPr>
            </w:pPr>
            <w:r w:rsidRPr="003704C9">
              <w:rPr>
                <w:rFonts w:cs="Arial"/>
                <w:color w:val="000000"/>
                <w:sz w:val="16"/>
                <w:szCs w:val="16"/>
              </w:rPr>
              <w:t>2,7</w:t>
            </w:r>
          </w:p>
        </w:tc>
        <w:tc>
          <w:tcPr>
            <w:tcW w:w="567" w:type="dxa"/>
            <w:tcBorders>
              <w:top w:val="nil"/>
              <w:left w:val="nil"/>
              <w:bottom w:val="nil"/>
              <w:right w:val="nil"/>
            </w:tcBorders>
            <w:shd w:val="clear" w:color="auto" w:fill="auto"/>
            <w:noWrap/>
            <w:vAlign w:val="center"/>
            <w:hideMark/>
          </w:tcPr>
          <w:p w:rsidR="003704C9" w:rsidRPr="003704C9" w:rsidRDefault="003704C9" w:rsidP="003704C9">
            <w:pPr>
              <w:spacing w:after="0" w:line="240" w:lineRule="auto"/>
              <w:jc w:val="center"/>
              <w:rPr>
                <w:rFonts w:cs="Arial"/>
                <w:color w:val="000000"/>
                <w:sz w:val="16"/>
                <w:szCs w:val="16"/>
              </w:rPr>
            </w:pPr>
            <w:r w:rsidRPr="003704C9">
              <w:rPr>
                <w:rFonts w:cs="Arial"/>
                <w:color w:val="000000"/>
                <w:sz w:val="16"/>
                <w:szCs w:val="16"/>
              </w:rPr>
              <w:t>3,1</w:t>
            </w:r>
          </w:p>
        </w:tc>
        <w:tc>
          <w:tcPr>
            <w:tcW w:w="567" w:type="dxa"/>
            <w:tcBorders>
              <w:top w:val="nil"/>
              <w:left w:val="nil"/>
              <w:bottom w:val="nil"/>
              <w:right w:val="nil"/>
            </w:tcBorders>
            <w:shd w:val="clear" w:color="auto" w:fill="auto"/>
            <w:noWrap/>
            <w:vAlign w:val="center"/>
            <w:hideMark/>
          </w:tcPr>
          <w:p w:rsidR="003704C9" w:rsidRPr="003704C9" w:rsidRDefault="003704C9" w:rsidP="003704C9">
            <w:pPr>
              <w:spacing w:after="0" w:line="240" w:lineRule="auto"/>
              <w:jc w:val="center"/>
              <w:rPr>
                <w:rFonts w:cs="Arial"/>
                <w:color w:val="000000"/>
                <w:sz w:val="16"/>
                <w:szCs w:val="16"/>
              </w:rPr>
            </w:pPr>
            <w:r w:rsidRPr="003704C9">
              <w:rPr>
                <w:rFonts w:cs="Arial"/>
                <w:color w:val="000000"/>
                <w:sz w:val="16"/>
                <w:szCs w:val="16"/>
              </w:rPr>
              <w:t>3,1</w:t>
            </w:r>
          </w:p>
        </w:tc>
        <w:tc>
          <w:tcPr>
            <w:tcW w:w="567" w:type="dxa"/>
            <w:tcBorders>
              <w:top w:val="nil"/>
              <w:left w:val="nil"/>
              <w:bottom w:val="nil"/>
              <w:right w:val="nil"/>
            </w:tcBorders>
            <w:shd w:val="clear" w:color="auto" w:fill="auto"/>
            <w:noWrap/>
            <w:vAlign w:val="center"/>
            <w:hideMark/>
          </w:tcPr>
          <w:p w:rsidR="003704C9" w:rsidRPr="003704C9" w:rsidRDefault="003704C9" w:rsidP="003704C9">
            <w:pPr>
              <w:spacing w:after="0" w:line="240" w:lineRule="auto"/>
              <w:jc w:val="center"/>
              <w:rPr>
                <w:rFonts w:cs="Arial"/>
                <w:color w:val="000000"/>
                <w:sz w:val="16"/>
                <w:szCs w:val="16"/>
              </w:rPr>
            </w:pPr>
            <w:r w:rsidRPr="003704C9">
              <w:rPr>
                <w:rFonts w:cs="Arial"/>
                <w:color w:val="000000"/>
                <w:sz w:val="16"/>
                <w:szCs w:val="16"/>
              </w:rPr>
              <w:t>3,1</w:t>
            </w:r>
          </w:p>
        </w:tc>
        <w:tc>
          <w:tcPr>
            <w:tcW w:w="567" w:type="dxa"/>
            <w:tcBorders>
              <w:top w:val="nil"/>
              <w:left w:val="nil"/>
              <w:bottom w:val="nil"/>
              <w:right w:val="nil"/>
            </w:tcBorders>
            <w:shd w:val="clear" w:color="auto" w:fill="auto"/>
            <w:noWrap/>
            <w:vAlign w:val="center"/>
            <w:hideMark/>
          </w:tcPr>
          <w:p w:rsidR="003704C9" w:rsidRPr="003704C9" w:rsidRDefault="003704C9" w:rsidP="003704C9">
            <w:pPr>
              <w:spacing w:after="0" w:line="240" w:lineRule="auto"/>
              <w:jc w:val="center"/>
              <w:rPr>
                <w:rFonts w:cs="Arial"/>
                <w:color w:val="000000"/>
                <w:sz w:val="16"/>
                <w:szCs w:val="16"/>
              </w:rPr>
            </w:pPr>
            <w:r w:rsidRPr="003704C9">
              <w:rPr>
                <w:rFonts w:cs="Arial"/>
                <w:color w:val="000000"/>
                <w:sz w:val="16"/>
                <w:szCs w:val="16"/>
              </w:rPr>
              <w:t>3,3</w:t>
            </w:r>
          </w:p>
        </w:tc>
        <w:tc>
          <w:tcPr>
            <w:tcW w:w="567" w:type="dxa"/>
            <w:tcBorders>
              <w:top w:val="nil"/>
              <w:left w:val="nil"/>
              <w:bottom w:val="nil"/>
              <w:right w:val="nil"/>
            </w:tcBorders>
            <w:shd w:val="clear" w:color="auto" w:fill="auto"/>
            <w:noWrap/>
            <w:vAlign w:val="center"/>
            <w:hideMark/>
          </w:tcPr>
          <w:p w:rsidR="003704C9" w:rsidRPr="003704C9" w:rsidRDefault="003704C9" w:rsidP="003704C9">
            <w:pPr>
              <w:spacing w:after="0" w:line="240" w:lineRule="auto"/>
              <w:jc w:val="center"/>
              <w:rPr>
                <w:rFonts w:cs="Arial"/>
                <w:color w:val="000000"/>
                <w:sz w:val="16"/>
                <w:szCs w:val="16"/>
              </w:rPr>
            </w:pPr>
            <w:r w:rsidRPr="003704C9">
              <w:rPr>
                <w:rFonts w:cs="Arial"/>
                <w:color w:val="000000"/>
                <w:sz w:val="16"/>
                <w:szCs w:val="16"/>
              </w:rPr>
              <w:t>3,4</w:t>
            </w:r>
          </w:p>
        </w:tc>
        <w:tc>
          <w:tcPr>
            <w:tcW w:w="567" w:type="dxa"/>
            <w:tcBorders>
              <w:top w:val="nil"/>
              <w:left w:val="nil"/>
              <w:bottom w:val="nil"/>
              <w:right w:val="nil"/>
            </w:tcBorders>
            <w:shd w:val="clear" w:color="auto" w:fill="auto"/>
            <w:noWrap/>
            <w:vAlign w:val="center"/>
            <w:hideMark/>
          </w:tcPr>
          <w:p w:rsidR="003704C9" w:rsidRPr="003704C9" w:rsidRDefault="003704C9" w:rsidP="003704C9">
            <w:pPr>
              <w:spacing w:after="0" w:line="240" w:lineRule="auto"/>
              <w:jc w:val="center"/>
              <w:rPr>
                <w:rFonts w:cs="Arial"/>
                <w:color w:val="000000"/>
                <w:sz w:val="16"/>
                <w:szCs w:val="16"/>
              </w:rPr>
            </w:pPr>
            <w:r w:rsidRPr="003704C9">
              <w:rPr>
                <w:rFonts w:cs="Arial"/>
                <w:color w:val="000000"/>
                <w:sz w:val="16"/>
                <w:szCs w:val="16"/>
              </w:rPr>
              <w:t>3,9</w:t>
            </w:r>
          </w:p>
        </w:tc>
        <w:tc>
          <w:tcPr>
            <w:tcW w:w="567" w:type="dxa"/>
            <w:tcBorders>
              <w:top w:val="nil"/>
              <w:left w:val="nil"/>
              <w:bottom w:val="nil"/>
              <w:right w:val="nil"/>
            </w:tcBorders>
            <w:shd w:val="clear" w:color="auto" w:fill="auto"/>
            <w:noWrap/>
            <w:vAlign w:val="center"/>
            <w:hideMark/>
          </w:tcPr>
          <w:p w:rsidR="003704C9" w:rsidRPr="003704C9" w:rsidRDefault="003704C9" w:rsidP="003704C9">
            <w:pPr>
              <w:spacing w:after="0" w:line="240" w:lineRule="auto"/>
              <w:jc w:val="center"/>
            </w:pPr>
            <w:r w:rsidRPr="003704C9">
              <w:rPr>
                <w:rFonts w:cs="Arial"/>
                <w:color w:val="000000"/>
                <w:sz w:val="16"/>
                <w:szCs w:val="16"/>
              </w:rPr>
              <w:t>4,1</w:t>
            </w:r>
          </w:p>
        </w:tc>
        <w:tc>
          <w:tcPr>
            <w:tcW w:w="567" w:type="dxa"/>
            <w:vAlign w:val="center"/>
          </w:tcPr>
          <w:p w:rsidR="003704C9" w:rsidRPr="003704C9" w:rsidRDefault="003704C9" w:rsidP="003704C9">
            <w:pPr>
              <w:spacing w:after="0" w:line="240" w:lineRule="auto"/>
              <w:jc w:val="center"/>
              <w:rPr>
                <w:rFonts w:cs="Arial"/>
                <w:color w:val="000000"/>
                <w:sz w:val="16"/>
                <w:szCs w:val="16"/>
              </w:rPr>
            </w:pPr>
            <w:r w:rsidRPr="003704C9">
              <w:rPr>
                <w:rFonts w:cs="Arial"/>
                <w:color w:val="000000"/>
                <w:sz w:val="16"/>
                <w:szCs w:val="16"/>
              </w:rPr>
              <w:t>4,4</w:t>
            </w:r>
          </w:p>
        </w:tc>
        <w:tc>
          <w:tcPr>
            <w:tcW w:w="567" w:type="dxa"/>
            <w:vAlign w:val="center"/>
          </w:tcPr>
          <w:p w:rsidR="003704C9" w:rsidRPr="003704C9" w:rsidRDefault="003704C9" w:rsidP="003704C9">
            <w:pPr>
              <w:spacing w:after="0" w:line="240" w:lineRule="auto"/>
              <w:jc w:val="center"/>
              <w:rPr>
                <w:rFonts w:cs="Arial"/>
                <w:color w:val="000000"/>
                <w:sz w:val="16"/>
                <w:szCs w:val="16"/>
              </w:rPr>
            </w:pPr>
            <w:r w:rsidRPr="003704C9">
              <w:rPr>
                <w:rFonts w:cs="Arial"/>
                <w:color w:val="000000"/>
                <w:sz w:val="16"/>
                <w:szCs w:val="16"/>
              </w:rPr>
              <w:t>3,7</w:t>
            </w:r>
          </w:p>
        </w:tc>
        <w:tc>
          <w:tcPr>
            <w:tcW w:w="567" w:type="dxa"/>
            <w:vAlign w:val="center"/>
          </w:tcPr>
          <w:p w:rsidR="003704C9" w:rsidRPr="00D7081E" w:rsidRDefault="00D7081E" w:rsidP="003704C9">
            <w:pPr>
              <w:spacing w:after="0" w:line="240" w:lineRule="auto"/>
              <w:jc w:val="center"/>
              <w:rPr>
                <w:rFonts w:cs="Arial"/>
                <w:color w:val="000000"/>
                <w:sz w:val="16"/>
                <w:szCs w:val="16"/>
              </w:rPr>
            </w:pPr>
            <w:r w:rsidRPr="00D7081E">
              <w:rPr>
                <w:rFonts w:cs="Arial"/>
                <w:color w:val="000000"/>
                <w:sz w:val="16"/>
                <w:szCs w:val="16"/>
              </w:rPr>
              <w:t>3,6</w:t>
            </w:r>
          </w:p>
        </w:tc>
      </w:tr>
      <w:tr w:rsidR="003704C9" w:rsidRPr="003704C9" w:rsidTr="003704C9">
        <w:trPr>
          <w:trHeight w:val="300"/>
        </w:trPr>
        <w:tc>
          <w:tcPr>
            <w:tcW w:w="3401" w:type="dxa"/>
            <w:tcBorders>
              <w:top w:val="nil"/>
              <w:left w:val="nil"/>
              <w:bottom w:val="nil"/>
              <w:right w:val="single" w:sz="4" w:space="0" w:color="auto"/>
            </w:tcBorders>
            <w:shd w:val="clear" w:color="auto" w:fill="auto"/>
            <w:vAlign w:val="center"/>
            <w:hideMark/>
          </w:tcPr>
          <w:p w:rsidR="003704C9" w:rsidRPr="003704C9" w:rsidRDefault="003704C9" w:rsidP="003704C9">
            <w:pPr>
              <w:spacing w:after="0" w:line="240" w:lineRule="auto"/>
              <w:ind w:firstLineChars="100" w:firstLine="160"/>
              <w:jc w:val="left"/>
              <w:rPr>
                <w:rFonts w:cs="Arial"/>
                <w:color w:val="000000"/>
                <w:sz w:val="16"/>
                <w:szCs w:val="16"/>
              </w:rPr>
            </w:pPr>
            <w:r w:rsidRPr="003704C9">
              <w:rPr>
                <w:rFonts w:cs="Arial"/>
                <w:color w:val="000000"/>
                <w:sz w:val="16"/>
                <w:szCs w:val="16"/>
              </w:rPr>
              <w:t>P – Vzdělávání</w:t>
            </w:r>
          </w:p>
        </w:tc>
        <w:tc>
          <w:tcPr>
            <w:tcW w:w="567" w:type="dxa"/>
            <w:tcBorders>
              <w:top w:val="nil"/>
              <w:left w:val="nil"/>
              <w:bottom w:val="nil"/>
              <w:right w:val="nil"/>
            </w:tcBorders>
            <w:shd w:val="clear" w:color="auto" w:fill="auto"/>
            <w:noWrap/>
            <w:vAlign w:val="center"/>
            <w:hideMark/>
          </w:tcPr>
          <w:p w:rsidR="003704C9" w:rsidRPr="003704C9" w:rsidRDefault="003704C9" w:rsidP="003704C9">
            <w:pPr>
              <w:spacing w:after="0" w:line="240" w:lineRule="auto"/>
              <w:jc w:val="center"/>
              <w:rPr>
                <w:rFonts w:cs="Arial"/>
                <w:color w:val="000000"/>
                <w:sz w:val="16"/>
                <w:szCs w:val="16"/>
              </w:rPr>
            </w:pPr>
            <w:r w:rsidRPr="003704C9">
              <w:rPr>
                <w:rFonts w:cs="Arial"/>
                <w:color w:val="000000"/>
                <w:sz w:val="16"/>
                <w:szCs w:val="16"/>
              </w:rPr>
              <w:t>2,4</w:t>
            </w:r>
          </w:p>
        </w:tc>
        <w:tc>
          <w:tcPr>
            <w:tcW w:w="567" w:type="dxa"/>
            <w:tcBorders>
              <w:top w:val="nil"/>
              <w:left w:val="nil"/>
              <w:bottom w:val="nil"/>
              <w:right w:val="nil"/>
            </w:tcBorders>
            <w:shd w:val="clear" w:color="auto" w:fill="auto"/>
            <w:noWrap/>
            <w:vAlign w:val="center"/>
            <w:hideMark/>
          </w:tcPr>
          <w:p w:rsidR="003704C9" w:rsidRPr="003704C9" w:rsidRDefault="003704C9" w:rsidP="003704C9">
            <w:pPr>
              <w:spacing w:after="0" w:line="240" w:lineRule="auto"/>
              <w:jc w:val="center"/>
              <w:rPr>
                <w:rFonts w:cs="Arial"/>
                <w:color w:val="000000"/>
                <w:sz w:val="16"/>
                <w:szCs w:val="16"/>
              </w:rPr>
            </w:pPr>
            <w:r w:rsidRPr="003704C9">
              <w:rPr>
                <w:rFonts w:cs="Arial"/>
                <w:color w:val="000000"/>
                <w:sz w:val="16"/>
                <w:szCs w:val="16"/>
              </w:rPr>
              <w:t>2,7</w:t>
            </w:r>
          </w:p>
        </w:tc>
        <w:tc>
          <w:tcPr>
            <w:tcW w:w="567" w:type="dxa"/>
            <w:tcBorders>
              <w:top w:val="nil"/>
              <w:left w:val="nil"/>
              <w:bottom w:val="nil"/>
              <w:right w:val="nil"/>
            </w:tcBorders>
            <w:shd w:val="clear" w:color="auto" w:fill="auto"/>
            <w:noWrap/>
            <w:vAlign w:val="center"/>
            <w:hideMark/>
          </w:tcPr>
          <w:p w:rsidR="003704C9" w:rsidRPr="003704C9" w:rsidRDefault="003704C9" w:rsidP="003704C9">
            <w:pPr>
              <w:spacing w:after="0" w:line="240" w:lineRule="auto"/>
              <w:jc w:val="center"/>
              <w:rPr>
                <w:rFonts w:cs="Arial"/>
                <w:color w:val="000000"/>
                <w:sz w:val="16"/>
                <w:szCs w:val="16"/>
              </w:rPr>
            </w:pPr>
            <w:r w:rsidRPr="003704C9">
              <w:rPr>
                <w:rFonts w:cs="Arial"/>
                <w:color w:val="000000"/>
                <w:sz w:val="16"/>
                <w:szCs w:val="16"/>
              </w:rPr>
              <w:t>2,8</w:t>
            </w:r>
          </w:p>
        </w:tc>
        <w:tc>
          <w:tcPr>
            <w:tcW w:w="567" w:type="dxa"/>
            <w:tcBorders>
              <w:top w:val="nil"/>
              <w:left w:val="nil"/>
              <w:bottom w:val="nil"/>
              <w:right w:val="nil"/>
            </w:tcBorders>
            <w:shd w:val="clear" w:color="auto" w:fill="auto"/>
            <w:noWrap/>
            <w:vAlign w:val="center"/>
            <w:hideMark/>
          </w:tcPr>
          <w:p w:rsidR="003704C9" w:rsidRPr="003704C9" w:rsidRDefault="003704C9" w:rsidP="003704C9">
            <w:pPr>
              <w:spacing w:after="0" w:line="240" w:lineRule="auto"/>
              <w:jc w:val="center"/>
              <w:rPr>
                <w:rFonts w:cs="Arial"/>
                <w:color w:val="000000"/>
                <w:sz w:val="16"/>
                <w:szCs w:val="16"/>
              </w:rPr>
            </w:pPr>
            <w:r w:rsidRPr="003704C9">
              <w:rPr>
                <w:rFonts w:cs="Arial"/>
                <w:color w:val="000000"/>
                <w:sz w:val="16"/>
                <w:szCs w:val="16"/>
              </w:rPr>
              <w:t>2,9</w:t>
            </w:r>
          </w:p>
        </w:tc>
        <w:tc>
          <w:tcPr>
            <w:tcW w:w="567" w:type="dxa"/>
            <w:tcBorders>
              <w:top w:val="nil"/>
              <w:left w:val="nil"/>
              <w:bottom w:val="nil"/>
              <w:right w:val="nil"/>
            </w:tcBorders>
            <w:shd w:val="clear" w:color="auto" w:fill="auto"/>
            <w:noWrap/>
            <w:vAlign w:val="center"/>
            <w:hideMark/>
          </w:tcPr>
          <w:p w:rsidR="003704C9" w:rsidRPr="003704C9" w:rsidRDefault="003704C9" w:rsidP="003704C9">
            <w:pPr>
              <w:spacing w:after="0" w:line="240" w:lineRule="auto"/>
              <w:jc w:val="center"/>
              <w:rPr>
                <w:rFonts w:cs="Arial"/>
                <w:color w:val="000000"/>
                <w:sz w:val="16"/>
                <w:szCs w:val="16"/>
              </w:rPr>
            </w:pPr>
            <w:r w:rsidRPr="003704C9">
              <w:rPr>
                <w:rFonts w:cs="Arial"/>
                <w:color w:val="000000"/>
                <w:sz w:val="16"/>
                <w:szCs w:val="16"/>
              </w:rPr>
              <w:t>3,0</w:t>
            </w:r>
          </w:p>
        </w:tc>
        <w:tc>
          <w:tcPr>
            <w:tcW w:w="567" w:type="dxa"/>
            <w:tcBorders>
              <w:top w:val="nil"/>
              <w:left w:val="nil"/>
              <w:bottom w:val="nil"/>
              <w:right w:val="nil"/>
            </w:tcBorders>
            <w:shd w:val="clear" w:color="auto" w:fill="auto"/>
            <w:noWrap/>
            <w:vAlign w:val="center"/>
            <w:hideMark/>
          </w:tcPr>
          <w:p w:rsidR="003704C9" w:rsidRPr="003704C9" w:rsidRDefault="003704C9" w:rsidP="003704C9">
            <w:pPr>
              <w:spacing w:after="0" w:line="240" w:lineRule="auto"/>
              <w:jc w:val="center"/>
              <w:rPr>
                <w:rFonts w:cs="Arial"/>
                <w:color w:val="000000"/>
                <w:sz w:val="16"/>
                <w:szCs w:val="16"/>
              </w:rPr>
            </w:pPr>
            <w:r w:rsidRPr="003704C9">
              <w:rPr>
                <w:rFonts w:cs="Arial"/>
                <w:color w:val="000000"/>
                <w:sz w:val="16"/>
                <w:szCs w:val="16"/>
              </w:rPr>
              <w:t>3,1</w:t>
            </w:r>
          </w:p>
        </w:tc>
        <w:tc>
          <w:tcPr>
            <w:tcW w:w="567" w:type="dxa"/>
            <w:tcBorders>
              <w:top w:val="nil"/>
              <w:left w:val="nil"/>
              <w:bottom w:val="nil"/>
              <w:right w:val="nil"/>
            </w:tcBorders>
            <w:shd w:val="clear" w:color="auto" w:fill="auto"/>
            <w:noWrap/>
            <w:vAlign w:val="center"/>
            <w:hideMark/>
          </w:tcPr>
          <w:p w:rsidR="003704C9" w:rsidRPr="003704C9" w:rsidRDefault="003704C9" w:rsidP="003704C9">
            <w:pPr>
              <w:spacing w:after="0" w:line="240" w:lineRule="auto"/>
              <w:jc w:val="center"/>
              <w:rPr>
                <w:rFonts w:cs="Arial"/>
                <w:color w:val="000000"/>
                <w:sz w:val="16"/>
                <w:szCs w:val="16"/>
              </w:rPr>
            </w:pPr>
            <w:r w:rsidRPr="003704C9">
              <w:rPr>
                <w:rFonts w:cs="Arial"/>
                <w:color w:val="000000"/>
                <w:sz w:val="16"/>
                <w:szCs w:val="16"/>
              </w:rPr>
              <w:t>3,3</w:t>
            </w:r>
          </w:p>
        </w:tc>
        <w:tc>
          <w:tcPr>
            <w:tcW w:w="567" w:type="dxa"/>
            <w:tcBorders>
              <w:top w:val="nil"/>
              <w:left w:val="nil"/>
              <w:bottom w:val="nil"/>
              <w:right w:val="nil"/>
            </w:tcBorders>
            <w:shd w:val="clear" w:color="auto" w:fill="auto"/>
            <w:noWrap/>
            <w:vAlign w:val="center"/>
            <w:hideMark/>
          </w:tcPr>
          <w:p w:rsidR="003704C9" w:rsidRPr="003704C9" w:rsidRDefault="003704C9" w:rsidP="003704C9">
            <w:pPr>
              <w:spacing w:after="0" w:line="240" w:lineRule="auto"/>
              <w:jc w:val="center"/>
            </w:pPr>
            <w:r w:rsidRPr="003704C9">
              <w:rPr>
                <w:rFonts w:cs="Arial"/>
                <w:color w:val="000000"/>
                <w:sz w:val="16"/>
                <w:szCs w:val="16"/>
              </w:rPr>
              <w:t>3,7</w:t>
            </w:r>
          </w:p>
        </w:tc>
        <w:tc>
          <w:tcPr>
            <w:tcW w:w="567" w:type="dxa"/>
            <w:vAlign w:val="center"/>
          </w:tcPr>
          <w:p w:rsidR="003704C9" w:rsidRPr="003704C9" w:rsidRDefault="003704C9" w:rsidP="003704C9">
            <w:pPr>
              <w:spacing w:after="0" w:line="240" w:lineRule="auto"/>
              <w:jc w:val="center"/>
              <w:rPr>
                <w:rFonts w:cs="Arial"/>
                <w:color w:val="000000"/>
                <w:sz w:val="16"/>
                <w:szCs w:val="16"/>
              </w:rPr>
            </w:pPr>
            <w:r w:rsidRPr="003704C9">
              <w:rPr>
                <w:rFonts w:cs="Arial"/>
                <w:color w:val="000000"/>
                <w:sz w:val="16"/>
                <w:szCs w:val="16"/>
              </w:rPr>
              <w:t>4,0</w:t>
            </w:r>
          </w:p>
        </w:tc>
        <w:tc>
          <w:tcPr>
            <w:tcW w:w="567" w:type="dxa"/>
            <w:vAlign w:val="center"/>
          </w:tcPr>
          <w:p w:rsidR="003704C9" w:rsidRPr="003704C9" w:rsidRDefault="003704C9" w:rsidP="003704C9">
            <w:pPr>
              <w:spacing w:after="0" w:line="240" w:lineRule="auto"/>
              <w:jc w:val="center"/>
              <w:rPr>
                <w:rFonts w:cs="Arial"/>
                <w:color w:val="000000"/>
                <w:sz w:val="16"/>
                <w:szCs w:val="16"/>
              </w:rPr>
            </w:pPr>
            <w:r w:rsidRPr="003704C9">
              <w:rPr>
                <w:rFonts w:cs="Arial"/>
                <w:color w:val="000000"/>
                <w:sz w:val="16"/>
                <w:szCs w:val="16"/>
              </w:rPr>
              <w:t>3,4</w:t>
            </w:r>
          </w:p>
        </w:tc>
        <w:tc>
          <w:tcPr>
            <w:tcW w:w="567" w:type="dxa"/>
            <w:vAlign w:val="center"/>
          </w:tcPr>
          <w:p w:rsidR="003704C9" w:rsidRPr="00D7081E" w:rsidRDefault="00DB127B" w:rsidP="003704C9">
            <w:pPr>
              <w:spacing w:after="0" w:line="240" w:lineRule="auto"/>
              <w:jc w:val="center"/>
              <w:rPr>
                <w:rFonts w:cs="Arial"/>
                <w:color w:val="000000"/>
                <w:sz w:val="16"/>
                <w:szCs w:val="16"/>
              </w:rPr>
            </w:pPr>
            <w:r w:rsidRPr="00D7081E">
              <w:rPr>
                <w:rFonts w:cs="Arial"/>
                <w:color w:val="000000"/>
                <w:sz w:val="16"/>
                <w:szCs w:val="16"/>
              </w:rPr>
              <w:t>3,2</w:t>
            </w:r>
          </w:p>
        </w:tc>
      </w:tr>
      <w:tr w:rsidR="003704C9" w:rsidRPr="003704C9" w:rsidTr="003704C9">
        <w:trPr>
          <w:trHeight w:val="300"/>
        </w:trPr>
        <w:tc>
          <w:tcPr>
            <w:tcW w:w="3401" w:type="dxa"/>
            <w:tcBorders>
              <w:top w:val="nil"/>
              <w:left w:val="nil"/>
              <w:bottom w:val="nil"/>
              <w:right w:val="single" w:sz="4" w:space="0" w:color="auto"/>
            </w:tcBorders>
            <w:shd w:val="clear" w:color="auto" w:fill="auto"/>
            <w:vAlign w:val="center"/>
            <w:hideMark/>
          </w:tcPr>
          <w:p w:rsidR="003704C9" w:rsidRPr="003704C9" w:rsidRDefault="003704C9" w:rsidP="003704C9">
            <w:pPr>
              <w:spacing w:after="0" w:line="240" w:lineRule="auto"/>
              <w:ind w:firstLineChars="100" w:firstLine="160"/>
              <w:jc w:val="left"/>
              <w:rPr>
                <w:rFonts w:cs="Arial"/>
                <w:color w:val="000000"/>
                <w:sz w:val="16"/>
                <w:szCs w:val="16"/>
              </w:rPr>
            </w:pPr>
            <w:r w:rsidRPr="003704C9">
              <w:rPr>
                <w:rFonts w:cs="Arial"/>
                <w:color w:val="000000"/>
                <w:sz w:val="16"/>
                <w:szCs w:val="16"/>
              </w:rPr>
              <w:t>Q – Zdravotní a sociální péče</w:t>
            </w:r>
          </w:p>
        </w:tc>
        <w:tc>
          <w:tcPr>
            <w:tcW w:w="567" w:type="dxa"/>
            <w:tcBorders>
              <w:top w:val="nil"/>
              <w:left w:val="nil"/>
              <w:bottom w:val="nil"/>
              <w:right w:val="nil"/>
            </w:tcBorders>
            <w:shd w:val="clear" w:color="auto" w:fill="auto"/>
            <w:noWrap/>
            <w:vAlign w:val="center"/>
            <w:hideMark/>
          </w:tcPr>
          <w:p w:rsidR="003704C9" w:rsidRPr="003704C9" w:rsidRDefault="003704C9" w:rsidP="003704C9">
            <w:pPr>
              <w:spacing w:after="0" w:line="240" w:lineRule="auto"/>
              <w:jc w:val="center"/>
              <w:rPr>
                <w:rFonts w:cs="Arial"/>
                <w:color w:val="000000"/>
                <w:sz w:val="16"/>
                <w:szCs w:val="16"/>
              </w:rPr>
            </w:pPr>
            <w:r w:rsidRPr="003704C9">
              <w:rPr>
                <w:rFonts w:cs="Arial"/>
                <w:color w:val="000000"/>
                <w:sz w:val="16"/>
                <w:szCs w:val="16"/>
              </w:rPr>
              <w:t>3,6</w:t>
            </w:r>
          </w:p>
        </w:tc>
        <w:tc>
          <w:tcPr>
            <w:tcW w:w="567" w:type="dxa"/>
            <w:tcBorders>
              <w:top w:val="nil"/>
              <w:left w:val="nil"/>
              <w:bottom w:val="nil"/>
              <w:right w:val="nil"/>
            </w:tcBorders>
            <w:shd w:val="clear" w:color="auto" w:fill="auto"/>
            <w:noWrap/>
            <w:vAlign w:val="center"/>
            <w:hideMark/>
          </w:tcPr>
          <w:p w:rsidR="003704C9" w:rsidRPr="003704C9" w:rsidRDefault="003704C9" w:rsidP="003704C9">
            <w:pPr>
              <w:spacing w:after="0" w:line="240" w:lineRule="auto"/>
              <w:jc w:val="center"/>
              <w:rPr>
                <w:rFonts w:cs="Arial"/>
                <w:color w:val="000000"/>
                <w:sz w:val="16"/>
                <w:szCs w:val="16"/>
              </w:rPr>
            </w:pPr>
            <w:r w:rsidRPr="003704C9">
              <w:rPr>
                <w:rFonts w:cs="Arial"/>
                <w:color w:val="000000"/>
                <w:sz w:val="16"/>
                <w:szCs w:val="16"/>
              </w:rPr>
              <w:t>3,9</w:t>
            </w:r>
          </w:p>
        </w:tc>
        <w:tc>
          <w:tcPr>
            <w:tcW w:w="567" w:type="dxa"/>
            <w:tcBorders>
              <w:top w:val="nil"/>
              <w:left w:val="nil"/>
              <w:bottom w:val="nil"/>
              <w:right w:val="nil"/>
            </w:tcBorders>
            <w:shd w:val="clear" w:color="auto" w:fill="auto"/>
            <w:noWrap/>
            <w:vAlign w:val="center"/>
            <w:hideMark/>
          </w:tcPr>
          <w:p w:rsidR="003704C9" w:rsidRPr="003704C9" w:rsidRDefault="003704C9" w:rsidP="003704C9">
            <w:pPr>
              <w:spacing w:after="0" w:line="240" w:lineRule="auto"/>
              <w:jc w:val="center"/>
              <w:rPr>
                <w:rFonts w:cs="Arial"/>
                <w:color w:val="000000"/>
                <w:sz w:val="16"/>
                <w:szCs w:val="16"/>
              </w:rPr>
            </w:pPr>
            <w:r w:rsidRPr="003704C9">
              <w:rPr>
                <w:rFonts w:cs="Arial"/>
                <w:color w:val="000000"/>
                <w:sz w:val="16"/>
                <w:szCs w:val="16"/>
              </w:rPr>
              <w:t>4,1</w:t>
            </w:r>
          </w:p>
        </w:tc>
        <w:tc>
          <w:tcPr>
            <w:tcW w:w="567" w:type="dxa"/>
            <w:tcBorders>
              <w:top w:val="nil"/>
              <w:left w:val="nil"/>
              <w:bottom w:val="nil"/>
              <w:right w:val="nil"/>
            </w:tcBorders>
            <w:shd w:val="clear" w:color="auto" w:fill="auto"/>
            <w:noWrap/>
            <w:vAlign w:val="center"/>
            <w:hideMark/>
          </w:tcPr>
          <w:p w:rsidR="003704C9" w:rsidRPr="003704C9" w:rsidRDefault="003704C9" w:rsidP="003704C9">
            <w:pPr>
              <w:spacing w:after="0" w:line="240" w:lineRule="auto"/>
              <w:jc w:val="center"/>
              <w:rPr>
                <w:rFonts w:cs="Arial"/>
                <w:color w:val="000000"/>
                <w:sz w:val="16"/>
                <w:szCs w:val="16"/>
              </w:rPr>
            </w:pPr>
            <w:r w:rsidRPr="003704C9">
              <w:rPr>
                <w:rFonts w:cs="Arial"/>
                <w:color w:val="000000"/>
                <w:sz w:val="16"/>
                <w:szCs w:val="16"/>
              </w:rPr>
              <w:t>4,1</w:t>
            </w:r>
          </w:p>
        </w:tc>
        <w:tc>
          <w:tcPr>
            <w:tcW w:w="567" w:type="dxa"/>
            <w:tcBorders>
              <w:top w:val="nil"/>
              <w:left w:val="nil"/>
              <w:bottom w:val="nil"/>
              <w:right w:val="nil"/>
            </w:tcBorders>
            <w:shd w:val="clear" w:color="auto" w:fill="auto"/>
            <w:noWrap/>
            <w:vAlign w:val="center"/>
            <w:hideMark/>
          </w:tcPr>
          <w:p w:rsidR="003704C9" w:rsidRPr="003704C9" w:rsidRDefault="003704C9" w:rsidP="003704C9">
            <w:pPr>
              <w:spacing w:after="0" w:line="240" w:lineRule="auto"/>
              <w:jc w:val="center"/>
              <w:rPr>
                <w:rFonts w:cs="Arial"/>
                <w:color w:val="000000"/>
                <w:sz w:val="16"/>
                <w:szCs w:val="16"/>
              </w:rPr>
            </w:pPr>
            <w:r w:rsidRPr="003704C9">
              <w:rPr>
                <w:rFonts w:cs="Arial"/>
                <w:color w:val="000000"/>
                <w:sz w:val="16"/>
                <w:szCs w:val="16"/>
              </w:rPr>
              <w:t>4,3</w:t>
            </w:r>
          </w:p>
        </w:tc>
        <w:tc>
          <w:tcPr>
            <w:tcW w:w="567" w:type="dxa"/>
            <w:tcBorders>
              <w:top w:val="nil"/>
              <w:left w:val="nil"/>
              <w:bottom w:val="nil"/>
              <w:right w:val="nil"/>
            </w:tcBorders>
            <w:shd w:val="clear" w:color="auto" w:fill="auto"/>
            <w:noWrap/>
            <w:vAlign w:val="center"/>
            <w:hideMark/>
          </w:tcPr>
          <w:p w:rsidR="003704C9" w:rsidRPr="003704C9" w:rsidRDefault="003704C9" w:rsidP="003704C9">
            <w:pPr>
              <w:spacing w:after="0" w:line="240" w:lineRule="auto"/>
              <w:jc w:val="center"/>
              <w:rPr>
                <w:rFonts w:cs="Arial"/>
                <w:color w:val="000000"/>
                <w:sz w:val="16"/>
                <w:szCs w:val="16"/>
              </w:rPr>
            </w:pPr>
            <w:r w:rsidRPr="003704C9">
              <w:rPr>
                <w:rFonts w:cs="Arial"/>
                <w:color w:val="000000"/>
                <w:sz w:val="16"/>
                <w:szCs w:val="16"/>
              </w:rPr>
              <w:t>4,5</w:t>
            </w:r>
          </w:p>
        </w:tc>
        <w:tc>
          <w:tcPr>
            <w:tcW w:w="567" w:type="dxa"/>
            <w:tcBorders>
              <w:top w:val="nil"/>
              <w:left w:val="nil"/>
              <w:bottom w:val="nil"/>
              <w:right w:val="nil"/>
            </w:tcBorders>
            <w:shd w:val="clear" w:color="auto" w:fill="auto"/>
            <w:noWrap/>
            <w:vAlign w:val="center"/>
            <w:hideMark/>
          </w:tcPr>
          <w:p w:rsidR="003704C9" w:rsidRPr="003704C9" w:rsidRDefault="003704C9" w:rsidP="003704C9">
            <w:pPr>
              <w:spacing w:after="0" w:line="240" w:lineRule="auto"/>
              <w:jc w:val="center"/>
              <w:rPr>
                <w:rFonts w:cs="Arial"/>
                <w:color w:val="000000"/>
                <w:sz w:val="16"/>
                <w:szCs w:val="16"/>
              </w:rPr>
            </w:pPr>
            <w:r w:rsidRPr="003704C9">
              <w:rPr>
                <w:rFonts w:cs="Arial"/>
                <w:color w:val="000000"/>
                <w:sz w:val="16"/>
                <w:szCs w:val="16"/>
              </w:rPr>
              <w:t>5,9</w:t>
            </w:r>
          </w:p>
        </w:tc>
        <w:tc>
          <w:tcPr>
            <w:tcW w:w="567" w:type="dxa"/>
            <w:tcBorders>
              <w:top w:val="nil"/>
              <w:left w:val="nil"/>
              <w:bottom w:val="nil"/>
              <w:right w:val="nil"/>
            </w:tcBorders>
            <w:shd w:val="clear" w:color="auto" w:fill="auto"/>
            <w:noWrap/>
            <w:vAlign w:val="center"/>
            <w:hideMark/>
          </w:tcPr>
          <w:p w:rsidR="003704C9" w:rsidRPr="003704C9" w:rsidRDefault="003704C9" w:rsidP="003704C9">
            <w:pPr>
              <w:spacing w:after="0" w:line="240" w:lineRule="auto"/>
              <w:jc w:val="center"/>
            </w:pPr>
            <w:r w:rsidRPr="003704C9">
              <w:rPr>
                <w:rFonts w:cs="Arial"/>
                <w:color w:val="000000"/>
                <w:sz w:val="16"/>
                <w:szCs w:val="16"/>
              </w:rPr>
              <w:t>5,4</w:t>
            </w:r>
          </w:p>
        </w:tc>
        <w:tc>
          <w:tcPr>
            <w:tcW w:w="567" w:type="dxa"/>
            <w:vAlign w:val="center"/>
          </w:tcPr>
          <w:p w:rsidR="003704C9" w:rsidRPr="003704C9" w:rsidRDefault="003704C9" w:rsidP="003704C9">
            <w:pPr>
              <w:spacing w:after="0" w:line="240" w:lineRule="auto"/>
              <w:jc w:val="center"/>
              <w:rPr>
                <w:rFonts w:cs="Arial"/>
                <w:color w:val="000000"/>
                <w:sz w:val="16"/>
                <w:szCs w:val="16"/>
              </w:rPr>
            </w:pPr>
            <w:r w:rsidRPr="003704C9">
              <w:rPr>
                <w:rFonts w:cs="Arial"/>
                <w:color w:val="000000"/>
                <w:sz w:val="16"/>
                <w:szCs w:val="16"/>
              </w:rPr>
              <w:t>5,3</w:t>
            </w:r>
          </w:p>
        </w:tc>
        <w:tc>
          <w:tcPr>
            <w:tcW w:w="567" w:type="dxa"/>
            <w:vAlign w:val="center"/>
          </w:tcPr>
          <w:p w:rsidR="003704C9" w:rsidRPr="003704C9" w:rsidRDefault="003704C9" w:rsidP="003704C9">
            <w:pPr>
              <w:spacing w:after="0" w:line="240" w:lineRule="auto"/>
              <w:jc w:val="center"/>
              <w:rPr>
                <w:rFonts w:cs="Arial"/>
                <w:color w:val="000000"/>
                <w:sz w:val="16"/>
                <w:szCs w:val="16"/>
              </w:rPr>
            </w:pPr>
            <w:r w:rsidRPr="003704C9">
              <w:rPr>
                <w:rFonts w:cs="Arial"/>
                <w:color w:val="000000"/>
                <w:sz w:val="16"/>
                <w:szCs w:val="16"/>
              </w:rPr>
              <w:t>4,7</w:t>
            </w:r>
          </w:p>
        </w:tc>
        <w:tc>
          <w:tcPr>
            <w:tcW w:w="567" w:type="dxa"/>
            <w:vAlign w:val="center"/>
          </w:tcPr>
          <w:p w:rsidR="003704C9" w:rsidRPr="00D7081E" w:rsidRDefault="00D7081E" w:rsidP="003704C9">
            <w:pPr>
              <w:spacing w:after="0" w:line="240" w:lineRule="auto"/>
              <w:jc w:val="center"/>
              <w:rPr>
                <w:rFonts w:cs="Arial"/>
                <w:color w:val="000000"/>
                <w:sz w:val="16"/>
                <w:szCs w:val="16"/>
              </w:rPr>
            </w:pPr>
            <w:r w:rsidRPr="00D7081E">
              <w:rPr>
                <w:rFonts w:cs="Arial"/>
                <w:color w:val="000000"/>
                <w:sz w:val="16"/>
                <w:szCs w:val="16"/>
              </w:rPr>
              <w:t>4,6</w:t>
            </w:r>
          </w:p>
        </w:tc>
      </w:tr>
      <w:tr w:rsidR="003704C9" w:rsidRPr="003704C9" w:rsidTr="003704C9">
        <w:trPr>
          <w:trHeight w:val="300"/>
        </w:trPr>
        <w:tc>
          <w:tcPr>
            <w:tcW w:w="3401" w:type="dxa"/>
            <w:tcBorders>
              <w:top w:val="nil"/>
              <w:left w:val="nil"/>
              <w:bottom w:val="nil"/>
              <w:right w:val="single" w:sz="4" w:space="0" w:color="auto"/>
            </w:tcBorders>
            <w:shd w:val="clear" w:color="auto" w:fill="auto"/>
            <w:vAlign w:val="center"/>
            <w:hideMark/>
          </w:tcPr>
          <w:p w:rsidR="003704C9" w:rsidRPr="003704C9" w:rsidRDefault="003704C9" w:rsidP="003704C9">
            <w:pPr>
              <w:spacing w:after="0" w:line="240" w:lineRule="auto"/>
              <w:ind w:firstLineChars="100" w:firstLine="160"/>
              <w:jc w:val="left"/>
              <w:rPr>
                <w:rFonts w:cs="Arial"/>
                <w:color w:val="000000"/>
                <w:sz w:val="16"/>
                <w:szCs w:val="16"/>
              </w:rPr>
            </w:pPr>
            <w:r w:rsidRPr="003704C9">
              <w:rPr>
                <w:rFonts w:cs="Arial"/>
                <w:color w:val="000000"/>
                <w:sz w:val="16"/>
                <w:szCs w:val="16"/>
              </w:rPr>
              <w:t>R – Kulturní, zábavní a rekreační činnosti</w:t>
            </w:r>
          </w:p>
        </w:tc>
        <w:tc>
          <w:tcPr>
            <w:tcW w:w="567" w:type="dxa"/>
            <w:tcBorders>
              <w:top w:val="nil"/>
              <w:left w:val="nil"/>
              <w:bottom w:val="nil"/>
              <w:right w:val="nil"/>
            </w:tcBorders>
            <w:shd w:val="clear" w:color="auto" w:fill="auto"/>
            <w:noWrap/>
            <w:vAlign w:val="center"/>
            <w:hideMark/>
          </w:tcPr>
          <w:p w:rsidR="003704C9" w:rsidRPr="003704C9" w:rsidRDefault="003704C9" w:rsidP="003704C9">
            <w:pPr>
              <w:spacing w:after="0" w:line="240" w:lineRule="auto"/>
              <w:jc w:val="center"/>
              <w:rPr>
                <w:rFonts w:cs="Arial"/>
                <w:color w:val="000000"/>
                <w:sz w:val="16"/>
                <w:szCs w:val="16"/>
              </w:rPr>
            </w:pPr>
            <w:r w:rsidRPr="003704C9">
              <w:rPr>
                <w:rFonts w:cs="Arial"/>
                <w:color w:val="000000"/>
                <w:sz w:val="16"/>
                <w:szCs w:val="16"/>
              </w:rPr>
              <w:t>2,5</w:t>
            </w:r>
          </w:p>
        </w:tc>
        <w:tc>
          <w:tcPr>
            <w:tcW w:w="567" w:type="dxa"/>
            <w:tcBorders>
              <w:top w:val="nil"/>
              <w:left w:val="nil"/>
              <w:bottom w:val="nil"/>
              <w:right w:val="nil"/>
            </w:tcBorders>
            <w:shd w:val="clear" w:color="auto" w:fill="auto"/>
            <w:noWrap/>
            <w:vAlign w:val="center"/>
            <w:hideMark/>
          </w:tcPr>
          <w:p w:rsidR="003704C9" w:rsidRPr="003704C9" w:rsidRDefault="003704C9" w:rsidP="003704C9">
            <w:pPr>
              <w:spacing w:after="0" w:line="240" w:lineRule="auto"/>
              <w:jc w:val="center"/>
              <w:rPr>
                <w:rFonts w:cs="Arial"/>
                <w:color w:val="000000"/>
                <w:sz w:val="16"/>
                <w:szCs w:val="16"/>
              </w:rPr>
            </w:pPr>
            <w:r w:rsidRPr="003704C9">
              <w:rPr>
                <w:rFonts w:cs="Arial"/>
                <w:color w:val="000000"/>
                <w:sz w:val="16"/>
                <w:szCs w:val="16"/>
              </w:rPr>
              <w:t>2,7</w:t>
            </w:r>
          </w:p>
        </w:tc>
        <w:tc>
          <w:tcPr>
            <w:tcW w:w="567" w:type="dxa"/>
            <w:tcBorders>
              <w:top w:val="nil"/>
              <w:left w:val="nil"/>
              <w:bottom w:val="nil"/>
              <w:right w:val="nil"/>
            </w:tcBorders>
            <w:shd w:val="clear" w:color="auto" w:fill="auto"/>
            <w:noWrap/>
            <w:vAlign w:val="center"/>
            <w:hideMark/>
          </w:tcPr>
          <w:p w:rsidR="003704C9" w:rsidRPr="003704C9" w:rsidRDefault="003704C9" w:rsidP="003704C9">
            <w:pPr>
              <w:spacing w:after="0" w:line="240" w:lineRule="auto"/>
              <w:jc w:val="center"/>
              <w:rPr>
                <w:rFonts w:cs="Arial"/>
                <w:color w:val="000000"/>
                <w:sz w:val="16"/>
                <w:szCs w:val="16"/>
              </w:rPr>
            </w:pPr>
            <w:r w:rsidRPr="003704C9">
              <w:rPr>
                <w:rFonts w:cs="Arial"/>
                <w:color w:val="000000"/>
                <w:sz w:val="16"/>
                <w:szCs w:val="16"/>
              </w:rPr>
              <w:t>2,8</w:t>
            </w:r>
          </w:p>
        </w:tc>
        <w:tc>
          <w:tcPr>
            <w:tcW w:w="567" w:type="dxa"/>
            <w:tcBorders>
              <w:top w:val="nil"/>
              <w:left w:val="nil"/>
              <w:bottom w:val="nil"/>
              <w:right w:val="nil"/>
            </w:tcBorders>
            <w:shd w:val="clear" w:color="auto" w:fill="auto"/>
            <w:noWrap/>
            <w:vAlign w:val="center"/>
            <w:hideMark/>
          </w:tcPr>
          <w:p w:rsidR="003704C9" w:rsidRPr="003704C9" w:rsidRDefault="003704C9" w:rsidP="003704C9">
            <w:pPr>
              <w:spacing w:after="0" w:line="240" w:lineRule="auto"/>
              <w:jc w:val="center"/>
              <w:rPr>
                <w:rFonts w:cs="Arial"/>
                <w:color w:val="000000"/>
                <w:sz w:val="16"/>
                <w:szCs w:val="16"/>
              </w:rPr>
            </w:pPr>
            <w:r w:rsidRPr="003704C9">
              <w:rPr>
                <w:rFonts w:cs="Arial"/>
                <w:color w:val="000000"/>
                <w:sz w:val="16"/>
                <w:szCs w:val="16"/>
              </w:rPr>
              <w:t>2,9</w:t>
            </w:r>
          </w:p>
        </w:tc>
        <w:tc>
          <w:tcPr>
            <w:tcW w:w="567" w:type="dxa"/>
            <w:tcBorders>
              <w:top w:val="nil"/>
              <w:left w:val="nil"/>
              <w:bottom w:val="nil"/>
              <w:right w:val="nil"/>
            </w:tcBorders>
            <w:shd w:val="clear" w:color="auto" w:fill="auto"/>
            <w:noWrap/>
            <w:vAlign w:val="center"/>
            <w:hideMark/>
          </w:tcPr>
          <w:p w:rsidR="003704C9" w:rsidRPr="003704C9" w:rsidRDefault="003704C9" w:rsidP="003704C9">
            <w:pPr>
              <w:spacing w:after="0" w:line="240" w:lineRule="auto"/>
              <w:jc w:val="center"/>
              <w:rPr>
                <w:rFonts w:cs="Arial"/>
                <w:color w:val="000000"/>
                <w:sz w:val="16"/>
                <w:szCs w:val="16"/>
              </w:rPr>
            </w:pPr>
            <w:r w:rsidRPr="003704C9">
              <w:rPr>
                <w:rFonts w:cs="Arial"/>
                <w:color w:val="000000"/>
                <w:sz w:val="16"/>
                <w:szCs w:val="16"/>
              </w:rPr>
              <w:t>3,0</w:t>
            </w:r>
          </w:p>
        </w:tc>
        <w:tc>
          <w:tcPr>
            <w:tcW w:w="567" w:type="dxa"/>
            <w:tcBorders>
              <w:top w:val="nil"/>
              <w:left w:val="nil"/>
              <w:bottom w:val="nil"/>
              <w:right w:val="nil"/>
            </w:tcBorders>
            <w:shd w:val="clear" w:color="auto" w:fill="auto"/>
            <w:noWrap/>
            <w:vAlign w:val="center"/>
            <w:hideMark/>
          </w:tcPr>
          <w:p w:rsidR="003704C9" w:rsidRPr="003704C9" w:rsidRDefault="003704C9" w:rsidP="003704C9">
            <w:pPr>
              <w:spacing w:after="0" w:line="240" w:lineRule="auto"/>
              <w:jc w:val="center"/>
              <w:rPr>
                <w:rFonts w:cs="Arial"/>
                <w:color w:val="000000"/>
                <w:sz w:val="16"/>
                <w:szCs w:val="16"/>
              </w:rPr>
            </w:pPr>
            <w:r w:rsidRPr="003704C9">
              <w:rPr>
                <w:rFonts w:cs="Arial"/>
                <w:color w:val="000000"/>
                <w:sz w:val="16"/>
                <w:szCs w:val="16"/>
              </w:rPr>
              <w:t>3,1</w:t>
            </w:r>
          </w:p>
        </w:tc>
        <w:tc>
          <w:tcPr>
            <w:tcW w:w="567" w:type="dxa"/>
            <w:tcBorders>
              <w:top w:val="nil"/>
              <w:left w:val="nil"/>
              <w:bottom w:val="nil"/>
              <w:right w:val="nil"/>
            </w:tcBorders>
            <w:shd w:val="clear" w:color="auto" w:fill="auto"/>
            <w:noWrap/>
            <w:vAlign w:val="center"/>
            <w:hideMark/>
          </w:tcPr>
          <w:p w:rsidR="003704C9" w:rsidRPr="003704C9" w:rsidRDefault="003704C9" w:rsidP="003704C9">
            <w:pPr>
              <w:spacing w:after="0" w:line="240" w:lineRule="auto"/>
              <w:jc w:val="center"/>
              <w:rPr>
                <w:rFonts w:cs="Arial"/>
                <w:color w:val="000000"/>
                <w:sz w:val="16"/>
                <w:szCs w:val="16"/>
              </w:rPr>
            </w:pPr>
            <w:r w:rsidRPr="003704C9">
              <w:rPr>
                <w:rFonts w:cs="Arial"/>
                <w:color w:val="000000"/>
                <w:sz w:val="16"/>
                <w:szCs w:val="16"/>
              </w:rPr>
              <w:t>3,7</w:t>
            </w:r>
          </w:p>
        </w:tc>
        <w:tc>
          <w:tcPr>
            <w:tcW w:w="567" w:type="dxa"/>
            <w:tcBorders>
              <w:top w:val="nil"/>
              <w:left w:val="nil"/>
              <w:bottom w:val="nil"/>
              <w:right w:val="nil"/>
            </w:tcBorders>
            <w:shd w:val="clear" w:color="auto" w:fill="auto"/>
            <w:noWrap/>
            <w:vAlign w:val="center"/>
            <w:hideMark/>
          </w:tcPr>
          <w:p w:rsidR="003704C9" w:rsidRPr="003704C9" w:rsidRDefault="003704C9" w:rsidP="003704C9">
            <w:pPr>
              <w:spacing w:after="0" w:line="240" w:lineRule="auto"/>
              <w:jc w:val="center"/>
            </w:pPr>
            <w:r w:rsidRPr="003704C9">
              <w:rPr>
                <w:rFonts w:cs="Arial"/>
                <w:color w:val="000000"/>
                <w:sz w:val="16"/>
                <w:szCs w:val="16"/>
              </w:rPr>
              <w:t>3,4</w:t>
            </w:r>
          </w:p>
        </w:tc>
        <w:tc>
          <w:tcPr>
            <w:tcW w:w="567" w:type="dxa"/>
            <w:vAlign w:val="center"/>
          </w:tcPr>
          <w:p w:rsidR="003704C9" w:rsidRPr="003704C9" w:rsidRDefault="003704C9" w:rsidP="003704C9">
            <w:pPr>
              <w:spacing w:after="0" w:line="240" w:lineRule="auto"/>
              <w:jc w:val="center"/>
              <w:rPr>
                <w:rFonts w:cs="Arial"/>
                <w:color w:val="000000"/>
                <w:sz w:val="16"/>
                <w:szCs w:val="16"/>
              </w:rPr>
            </w:pPr>
            <w:r w:rsidRPr="003704C9">
              <w:rPr>
                <w:rFonts w:cs="Arial"/>
                <w:color w:val="000000"/>
                <w:sz w:val="16"/>
                <w:szCs w:val="16"/>
              </w:rPr>
              <w:t>3,7</w:t>
            </w:r>
          </w:p>
        </w:tc>
        <w:tc>
          <w:tcPr>
            <w:tcW w:w="567" w:type="dxa"/>
            <w:vAlign w:val="center"/>
          </w:tcPr>
          <w:p w:rsidR="003704C9" w:rsidRPr="003704C9" w:rsidRDefault="003704C9" w:rsidP="003704C9">
            <w:pPr>
              <w:spacing w:after="0" w:line="240" w:lineRule="auto"/>
              <w:jc w:val="center"/>
              <w:rPr>
                <w:rFonts w:cs="Arial"/>
                <w:color w:val="000000"/>
                <w:sz w:val="16"/>
                <w:szCs w:val="16"/>
              </w:rPr>
            </w:pPr>
            <w:r w:rsidRPr="003704C9">
              <w:rPr>
                <w:rFonts w:cs="Arial"/>
                <w:color w:val="000000"/>
                <w:sz w:val="16"/>
                <w:szCs w:val="16"/>
              </w:rPr>
              <w:t>3,2</w:t>
            </w:r>
          </w:p>
        </w:tc>
        <w:tc>
          <w:tcPr>
            <w:tcW w:w="567" w:type="dxa"/>
            <w:vAlign w:val="center"/>
          </w:tcPr>
          <w:p w:rsidR="003704C9" w:rsidRPr="00D7081E" w:rsidRDefault="00D7081E" w:rsidP="003704C9">
            <w:pPr>
              <w:spacing w:after="0" w:line="240" w:lineRule="auto"/>
              <w:jc w:val="center"/>
              <w:rPr>
                <w:rFonts w:cs="Arial"/>
                <w:color w:val="000000"/>
                <w:sz w:val="16"/>
                <w:szCs w:val="16"/>
              </w:rPr>
            </w:pPr>
            <w:r w:rsidRPr="00D7081E">
              <w:rPr>
                <w:rFonts w:cs="Arial"/>
                <w:color w:val="000000"/>
                <w:sz w:val="16"/>
                <w:szCs w:val="16"/>
              </w:rPr>
              <w:t>3,2</w:t>
            </w:r>
          </w:p>
        </w:tc>
      </w:tr>
      <w:tr w:rsidR="003704C9" w:rsidRPr="003704C9" w:rsidTr="003704C9">
        <w:trPr>
          <w:trHeight w:val="300"/>
        </w:trPr>
        <w:tc>
          <w:tcPr>
            <w:tcW w:w="3401" w:type="dxa"/>
            <w:tcBorders>
              <w:top w:val="nil"/>
              <w:left w:val="nil"/>
              <w:bottom w:val="nil"/>
              <w:right w:val="single" w:sz="4" w:space="0" w:color="auto"/>
            </w:tcBorders>
            <w:shd w:val="clear" w:color="auto" w:fill="auto"/>
            <w:vAlign w:val="center"/>
            <w:hideMark/>
          </w:tcPr>
          <w:p w:rsidR="003704C9" w:rsidRPr="003704C9" w:rsidRDefault="003704C9" w:rsidP="003704C9">
            <w:pPr>
              <w:spacing w:after="0" w:line="240" w:lineRule="auto"/>
              <w:ind w:firstLineChars="100" w:firstLine="160"/>
              <w:jc w:val="left"/>
              <w:rPr>
                <w:rFonts w:cs="Arial"/>
                <w:color w:val="000000"/>
                <w:sz w:val="16"/>
                <w:szCs w:val="16"/>
              </w:rPr>
            </w:pPr>
            <w:r w:rsidRPr="003704C9">
              <w:rPr>
                <w:rFonts w:cs="Arial"/>
                <w:color w:val="000000"/>
                <w:sz w:val="16"/>
                <w:szCs w:val="16"/>
              </w:rPr>
              <w:t>S – Ostatní činnosti</w:t>
            </w:r>
          </w:p>
        </w:tc>
        <w:tc>
          <w:tcPr>
            <w:tcW w:w="567" w:type="dxa"/>
            <w:tcBorders>
              <w:top w:val="nil"/>
              <w:left w:val="nil"/>
              <w:bottom w:val="nil"/>
              <w:right w:val="nil"/>
            </w:tcBorders>
            <w:shd w:val="clear" w:color="auto" w:fill="auto"/>
            <w:noWrap/>
            <w:vAlign w:val="center"/>
            <w:hideMark/>
          </w:tcPr>
          <w:p w:rsidR="003704C9" w:rsidRPr="003704C9" w:rsidRDefault="003704C9" w:rsidP="003704C9">
            <w:pPr>
              <w:spacing w:after="0" w:line="240" w:lineRule="auto"/>
              <w:jc w:val="center"/>
              <w:rPr>
                <w:rFonts w:cs="Arial"/>
                <w:color w:val="000000"/>
                <w:sz w:val="16"/>
                <w:szCs w:val="16"/>
              </w:rPr>
            </w:pPr>
            <w:r w:rsidRPr="003704C9">
              <w:rPr>
                <w:rFonts w:cs="Arial"/>
                <w:color w:val="000000"/>
                <w:sz w:val="16"/>
                <w:szCs w:val="16"/>
              </w:rPr>
              <w:t>3,2</w:t>
            </w:r>
          </w:p>
        </w:tc>
        <w:tc>
          <w:tcPr>
            <w:tcW w:w="567" w:type="dxa"/>
            <w:tcBorders>
              <w:top w:val="nil"/>
              <w:left w:val="nil"/>
              <w:bottom w:val="nil"/>
              <w:right w:val="nil"/>
            </w:tcBorders>
            <w:shd w:val="clear" w:color="auto" w:fill="auto"/>
            <w:noWrap/>
            <w:vAlign w:val="center"/>
            <w:hideMark/>
          </w:tcPr>
          <w:p w:rsidR="003704C9" w:rsidRPr="003704C9" w:rsidRDefault="003704C9" w:rsidP="003704C9">
            <w:pPr>
              <w:spacing w:after="0" w:line="240" w:lineRule="auto"/>
              <w:jc w:val="center"/>
              <w:rPr>
                <w:rFonts w:cs="Arial"/>
                <w:color w:val="000000"/>
                <w:sz w:val="16"/>
                <w:szCs w:val="16"/>
              </w:rPr>
            </w:pPr>
            <w:r w:rsidRPr="003704C9">
              <w:rPr>
                <w:rFonts w:cs="Arial"/>
                <w:color w:val="000000"/>
                <w:sz w:val="16"/>
                <w:szCs w:val="16"/>
              </w:rPr>
              <w:t>3,6</w:t>
            </w:r>
          </w:p>
        </w:tc>
        <w:tc>
          <w:tcPr>
            <w:tcW w:w="567" w:type="dxa"/>
            <w:tcBorders>
              <w:top w:val="nil"/>
              <w:left w:val="nil"/>
              <w:bottom w:val="nil"/>
              <w:right w:val="nil"/>
            </w:tcBorders>
            <w:shd w:val="clear" w:color="auto" w:fill="auto"/>
            <w:noWrap/>
            <w:vAlign w:val="center"/>
            <w:hideMark/>
          </w:tcPr>
          <w:p w:rsidR="003704C9" w:rsidRPr="003704C9" w:rsidRDefault="003704C9" w:rsidP="003704C9">
            <w:pPr>
              <w:spacing w:after="0" w:line="240" w:lineRule="auto"/>
              <w:jc w:val="center"/>
              <w:rPr>
                <w:rFonts w:cs="Arial"/>
                <w:color w:val="000000"/>
                <w:sz w:val="16"/>
                <w:szCs w:val="16"/>
              </w:rPr>
            </w:pPr>
            <w:r w:rsidRPr="003704C9">
              <w:rPr>
                <w:rFonts w:cs="Arial"/>
                <w:color w:val="000000"/>
                <w:sz w:val="16"/>
                <w:szCs w:val="16"/>
              </w:rPr>
              <w:t>3,8</w:t>
            </w:r>
          </w:p>
        </w:tc>
        <w:tc>
          <w:tcPr>
            <w:tcW w:w="567" w:type="dxa"/>
            <w:tcBorders>
              <w:top w:val="nil"/>
              <w:left w:val="nil"/>
              <w:bottom w:val="nil"/>
              <w:right w:val="nil"/>
            </w:tcBorders>
            <w:shd w:val="clear" w:color="auto" w:fill="auto"/>
            <w:noWrap/>
            <w:vAlign w:val="center"/>
            <w:hideMark/>
          </w:tcPr>
          <w:p w:rsidR="003704C9" w:rsidRPr="003704C9" w:rsidRDefault="003704C9" w:rsidP="003704C9">
            <w:pPr>
              <w:spacing w:after="0" w:line="240" w:lineRule="auto"/>
              <w:jc w:val="center"/>
              <w:rPr>
                <w:rFonts w:cs="Arial"/>
                <w:color w:val="000000"/>
                <w:sz w:val="16"/>
                <w:szCs w:val="16"/>
              </w:rPr>
            </w:pPr>
            <w:r w:rsidRPr="003704C9">
              <w:rPr>
                <w:rFonts w:cs="Arial"/>
                <w:color w:val="000000"/>
                <w:sz w:val="16"/>
                <w:szCs w:val="16"/>
              </w:rPr>
              <w:t>3,6</w:t>
            </w:r>
          </w:p>
        </w:tc>
        <w:tc>
          <w:tcPr>
            <w:tcW w:w="567" w:type="dxa"/>
            <w:tcBorders>
              <w:top w:val="nil"/>
              <w:left w:val="nil"/>
              <w:bottom w:val="nil"/>
              <w:right w:val="nil"/>
            </w:tcBorders>
            <w:shd w:val="clear" w:color="auto" w:fill="auto"/>
            <w:noWrap/>
            <w:vAlign w:val="center"/>
            <w:hideMark/>
          </w:tcPr>
          <w:p w:rsidR="003704C9" w:rsidRPr="003704C9" w:rsidRDefault="003704C9" w:rsidP="003704C9">
            <w:pPr>
              <w:spacing w:after="0" w:line="240" w:lineRule="auto"/>
              <w:jc w:val="center"/>
              <w:rPr>
                <w:rFonts w:cs="Arial"/>
                <w:color w:val="000000"/>
                <w:sz w:val="16"/>
                <w:szCs w:val="16"/>
              </w:rPr>
            </w:pPr>
            <w:r w:rsidRPr="003704C9">
              <w:rPr>
                <w:rFonts w:cs="Arial"/>
                <w:color w:val="000000"/>
                <w:sz w:val="16"/>
                <w:szCs w:val="16"/>
              </w:rPr>
              <w:t>3,8</w:t>
            </w:r>
          </w:p>
        </w:tc>
        <w:tc>
          <w:tcPr>
            <w:tcW w:w="567" w:type="dxa"/>
            <w:tcBorders>
              <w:top w:val="nil"/>
              <w:left w:val="nil"/>
              <w:bottom w:val="nil"/>
              <w:right w:val="nil"/>
            </w:tcBorders>
            <w:shd w:val="clear" w:color="auto" w:fill="auto"/>
            <w:noWrap/>
            <w:vAlign w:val="center"/>
            <w:hideMark/>
          </w:tcPr>
          <w:p w:rsidR="003704C9" w:rsidRPr="003704C9" w:rsidRDefault="003704C9" w:rsidP="003704C9">
            <w:pPr>
              <w:spacing w:after="0" w:line="240" w:lineRule="auto"/>
              <w:jc w:val="center"/>
              <w:rPr>
                <w:rFonts w:cs="Arial"/>
                <w:color w:val="000000"/>
                <w:sz w:val="16"/>
                <w:szCs w:val="16"/>
              </w:rPr>
            </w:pPr>
            <w:r w:rsidRPr="003704C9">
              <w:rPr>
                <w:rFonts w:cs="Arial"/>
                <w:color w:val="000000"/>
                <w:sz w:val="16"/>
                <w:szCs w:val="16"/>
              </w:rPr>
              <w:t>4,0</w:t>
            </w:r>
          </w:p>
        </w:tc>
        <w:tc>
          <w:tcPr>
            <w:tcW w:w="567" w:type="dxa"/>
            <w:tcBorders>
              <w:top w:val="nil"/>
              <w:left w:val="nil"/>
              <w:bottom w:val="nil"/>
              <w:right w:val="nil"/>
            </w:tcBorders>
            <w:shd w:val="clear" w:color="auto" w:fill="auto"/>
            <w:noWrap/>
            <w:vAlign w:val="center"/>
            <w:hideMark/>
          </w:tcPr>
          <w:p w:rsidR="003704C9" w:rsidRPr="003704C9" w:rsidRDefault="003704C9" w:rsidP="003704C9">
            <w:pPr>
              <w:spacing w:after="0" w:line="240" w:lineRule="auto"/>
              <w:jc w:val="center"/>
              <w:rPr>
                <w:rFonts w:cs="Arial"/>
                <w:color w:val="000000"/>
                <w:sz w:val="16"/>
                <w:szCs w:val="16"/>
              </w:rPr>
            </w:pPr>
            <w:r w:rsidRPr="003704C9">
              <w:rPr>
                <w:rFonts w:cs="Arial"/>
                <w:color w:val="000000"/>
                <w:sz w:val="16"/>
                <w:szCs w:val="16"/>
              </w:rPr>
              <w:t>4,8</w:t>
            </w:r>
          </w:p>
        </w:tc>
        <w:tc>
          <w:tcPr>
            <w:tcW w:w="567" w:type="dxa"/>
            <w:tcBorders>
              <w:top w:val="nil"/>
              <w:left w:val="nil"/>
              <w:bottom w:val="nil"/>
              <w:right w:val="nil"/>
            </w:tcBorders>
            <w:shd w:val="clear" w:color="auto" w:fill="auto"/>
            <w:noWrap/>
            <w:vAlign w:val="center"/>
            <w:hideMark/>
          </w:tcPr>
          <w:p w:rsidR="003704C9" w:rsidRPr="003704C9" w:rsidRDefault="003704C9" w:rsidP="003704C9">
            <w:pPr>
              <w:spacing w:after="0" w:line="240" w:lineRule="auto"/>
              <w:jc w:val="center"/>
            </w:pPr>
            <w:r w:rsidRPr="003704C9">
              <w:rPr>
                <w:rFonts w:cs="Arial"/>
                <w:color w:val="000000"/>
                <w:sz w:val="16"/>
                <w:szCs w:val="16"/>
              </w:rPr>
              <w:t>4,6</w:t>
            </w:r>
          </w:p>
        </w:tc>
        <w:tc>
          <w:tcPr>
            <w:tcW w:w="567" w:type="dxa"/>
            <w:vAlign w:val="center"/>
          </w:tcPr>
          <w:p w:rsidR="003704C9" w:rsidRPr="003704C9" w:rsidRDefault="003704C9" w:rsidP="003704C9">
            <w:pPr>
              <w:spacing w:after="0" w:line="240" w:lineRule="auto"/>
              <w:jc w:val="center"/>
              <w:rPr>
                <w:rFonts w:cs="Arial"/>
                <w:color w:val="000000"/>
                <w:sz w:val="16"/>
                <w:szCs w:val="16"/>
              </w:rPr>
            </w:pPr>
            <w:r w:rsidRPr="003704C9">
              <w:rPr>
                <w:rFonts w:cs="Arial"/>
                <w:color w:val="000000"/>
                <w:sz w:val="16"/>
                <w:szCs w:val="16"/>
              </w:rPr>
              <w:t>4,5</w:t>
            </w:r>
          </w:p>
        </w:tc>
        <w:tc>
          <w:tcPr>
            <w:tcW w:w="567" w:type="dxa"/>
            <w:vAlign w:val="center"/>
          </w:tcPr>
          <w:p w:rsidR="003704C9" w:rsidRPr="003704C9" w:rsidRDefault="003704C9" w:rsidP="003704C9">
            <w:pPr>
              <w:spacing w:after="0" w:line="240" w:lineRule="auto"/>
              <w:jc w:val="center"/>
              <w:rPr>
                <w:rFonts w:cs="Arial"/>
                <w:color w:val="000000"/>
                <w:sz w:val="16"/>
                <w:szCs w:val="16"/>
              </w:rPr>
            </w:pPr>
            <w:r w:rsidRPr="003704C9">
              <w:rPr>
                <w:rFonts w:cs="Arial"/>
                <w:color w:val="000000"/>
                <w:sz w:val="16"/>
                <w:szCs w:val="16"/>
              </w:rPr>
              <w:t>3,5</w:t>
            </w:r>
          </w:p>
        </w:tc>
        <w:tc>
          <w:tcPr>
            <w:tcW w:w="567" w:type="dxa"/>
            <w:vAlign w:val="center"/>
          </w:tcPr>
          <w:p w:rsidR="003704C9" w:rsidRPr="00D7081E" w:rsidRDefault="00D7081E" w:rsidP="003704C9">
            <w:pPr>
              <w:spacing w:after="0" w:line="240" w:lineRule="auto"/>
              <w:jc w:val="center"/>
              <w:rPr>
                <w:rFonts w:cs="Arial"/>
                <w:color w:val="000000"/>
                <w:sz w:val="16"/>
                <w:szCs w:val="16"/>
              </w:rPr>
            </w:pPr>
            <w:r w:rsidRPr="00D7081E">
              <w:rPr>
                <w:rFonts w:cs="Arial"/>
                <w:color w:val="000000"/>
                <w:sz w:val="16"/>
                <w:szCs w:val="16"/>
              </w:rPr>
              <w:t>3,4</w:t>
            </w:r>
          </w:p>
        </w:tc>
      </w:tr>
    </w:tbl>
    <w:p w:rsidR="00DB127B" w:rsidRPr="00DB127B" w:rsidRDefault="00DB127B" w:rsidP="00DB127B">
      <w:pPr>
        <w:spacing w:before="60" w:after="0" w:line="240" w:lineRule="auto"/>
        <w:rPr>
          <w:rFonts w:cs="Arial"/>
          <w:color w:val="000000"/>
          <w:sz w:val="16"/>
          <w:szCs w:val="16"/>
        </w:rPr>
      </w:pPr>
      <w:r w:rsidRPr="00DB127B">
        <w:rPr>
          <w:rFonts w:cs="Arial"/>
          <w:color w:val="000000"/>
          <w:sz w:val="16"/>
          <w:szCs w:val="16"/>
        </w:rPr>
        <w:t>* Údaje za rok 2022 nejsou srovnatelné s údaji za ostatní roky.</w:t>
      </w:r>
    </w:p>
    <w:p w:rsidR="00DB127B" w:rsidRPr="00DB127B" w:rsidRDefault="00DB127B" w:rsidP="00EE1040">
      <w:pPr>
        <w:rPr>
          <w:rFonts w:cs="Arial"/>
          <w:b/>
          <w:color w:val="000000"/>
          <w:spacing w:val="-4"/>
          <w:szCs w:val="16"/>
        </w:rPr>
      </w:pPr>
      <w:r w:rsidRPr="00DB127B">
        <w:rPr>
          <w:sz w:val="16"/>
        </w:rPr>
        <w:t>Zdroj: ČSÚ</w:t>
      </w:r>
    </w:p>
    <w:p w:rsidR="003704C9" w:rsidRDefault="003704C9" w:rsidP="002D26B7">
      <w:r w:rsidRPr="00251BF8">
        <w:t xml:space="preserve">Obdobný ukazatel jako průměrné procento dočasné pracovní neschopnosti, avšak v absolutním vyjádření, představuje </w:t>
      </w:r>
      <w:r w:rsidRPr="00251BF8">
        <w:rPr>
          <w:b/>
        </w:rPr>
        <w:t>průměrný denní stav dočasně práce neschopných</w:t>
      </w:r>
      <w:r w:rsidRPr="00251BF8">
        <w:t>. Říká, kolik nemocensky pojištěných</w:t>
      </w:r>
      <w:r w:rsidR="002D26B7">
        <w:t xml:space="preserve"> osob</w:t>
      </w:r>
      <w:r w:rsidRPr="00251BF8">
        <w:t xml:space="preserve"> bylo v daném období v průměru denně nepřítomno v práci z důvodu pracovní neschopnosti pro nemoc a úraz.</w:t>
      </w:r>
    </w:p>
    <w:p w:rsidR="002D26B7" w:rsidRPr="005D05AB" w:rsidRDefault="002D26B7" w:rsidP="00443707">
      <w:pPr>
        <w:spacing w:after="40" w:line="240" w:lineRule="auto"/>
        <w:rPr>
          <w:rFonts w:cs="Arial"/>
          <w:b/>
          <w:bCs/>
          <w:color w:val="000000"/>
          <w:szCs w:val="20"/>
        </w:rPr>
      </w:pPr>
      <w:r>
        <w:rPr>
          <w:rFonts w:cs="Arial"/>
          <w:b/>
          <w:bCs/>
          <w:color w:val="000000"/>
          <w:szCs w:val="20"/>
        </w:rPr>
        <w:t>Tab. 2.7</w:t>
      </w:r>
      <w:r w:rsidRPr="005D05AB">
        <w:rPr>
          <w:rFonts w:cs="Arial"/>
          <w:b/>
          <w:bCs/>
          <w:color w:val="000000"/>
          <w:szCs w:val="20"/>
        </w:rPr>
        <w:t>: Průměrný denní stav dočasně práce neschopných, 201</w:t>
      </w:r>
      <w:r>
        <w:rPr>
          <w:rFonts w:cs="Arial"/>
          <w:b/>
          <w:bCs/>
          <w:color w:val="000000"/>
          <w:szCs w:val="20"/>
        </w:rPr>
        <w:t>4–2024</w:t>
      </w:r>
      <w:r w:rsidRPr="005D05AB">
        <w:rPr>
          <w:rFonts w:cs="Arial"/>
          <w:b/>
          <w:bCs/>
          <w:color w:val="000000"/>
          <w:szCs w:val="20"/>
        </w:rPr>
        <w:t xml:space="preserve"> (v tis.)</w:t>
      </w:r>
    </w:p>
    <w:tbl>
      <w:tblPr>
        <w:tblW w:w="9594" w:type="dxa"/>
        <w:tblCellMar>
          <w:left w:w="70" w:type="dxa"/>
          <w:right w:w="70" w:type="dxa"/>
        </w:tblCellMar>
        <w:tblLook w:val="04A0" w:firstRow="1" w:lastRow="0" w:firstColumn="1" w:lastColumn="0" w:noHBand="0" w:noVBand="1"/>
      </w:tblPr>
      <w:tblGrid>
        <w:gridCol w:w="737"/>
        <w:gridCol w:w="737"/>
        <w:gridCol w:w="736"/>
        <w:gridCol w:w="736"/>
        <w:gridCol w:w="737"/>
        <w:gridCol w:w="736"/>
        <w:gridCol w:w="736"/>
        <w:gridCol w:w="754"/>
        <w:gridCol w:w="737"/>
        <w:gridCol w:w="737"/>
        <w:gridCol w:w="737"/>
        <w:gridCol w:w="737"/>
        <w:gridCol w:w="737"/>
      </w:tblGrid>
      <w:tr w:rsidR="002D26B7" w:rsidRPr="00577417" w:rsidTr="002D26B7">
        <w:trPr>
          <w:trHeight w:val="300"/>
        </w:trPr>
        <w:tc>
          <w:tcPr>
            <w:tcW w:w="737" w:type="dxa"/>
            <w:vMerge w:val="restart"/>
            <w:tcBorders>
              <w:top w:val="single" w:sz="4" w:space="0" w:color="auto"/>
              <w:left w:val="nil"/>
              <w:bottom w:val="single" w:sz="4" w:space="0" w:color="000000"/>
              <w:right w:val="nil"/>
            </w:tcBorders>
            <w:shd w:val="clear" w:color="auto" w:fill="E6C483"/>
            <w:vAlign w:val="center"/>
            <w:hideMark/>
          </w:tcPr>
          <w:p w:rsidR="002D26B7" w:rsidRPr="00577417" w:rsidRDefault="002D26B7" w:rsidP="003611B4">
            <w:pPr>
              <w:spacing w:after="0" w:line="240" w:lineRule="auto"/>
              <w:jc w:val="center"/>
              <w:rPr>
                <w:rFonts w:cs="Arial"/>
                <w:color w:val="000000"/>
                <w:sz w:val="16"/>
                <w:szCs w:val="16"/>
              </w:rPr>
            </w:pPr>
            <w:r w:rsidRPr="00577417">
              <w:rPr>
                <w:rFonts w:cs="Arial"/>
                <w:color w:val="000000"/>
                <w:sz w:val="16"/>
                <w:szCs w:val="16"/>
              </w:rPr>
              <w:t>Rok</w:t>
            </w:r>
          </w:p>
        </w:tc>
        <w:tc>
          <w:tcPr>
            <w:tcW w:w="737" w:type="dxa"/>
            <w:vMerge w:val="restart"/>
            <w:tcBorders>
              <w:top w:val="single" w:sz="4" w:space="0" w:color="auto"/>
              <w:left w:val="single" w:sz="4" w:space="0" w:color="auto"/>
              <w:bottom w:val="single" w:sz="4" w:space="0" w:color="000000"/>
              <w:right w:val="nil"/>
            </w:tcBorders>
            <w:shd w:val="clear" w:color="auto" w:fill="E6C483"/>
            <w:vAlign w:val="center"/>
            <w:hideMark/>
          </w:tcPr>
          <w:p w:rsidR="002D26B7" w:rsidRPr="00577417" w:rsidRDefault="002D26B7" w:rsidP="003611B4">
            <w:pPr>
              <w:spacing w:after="0" w:line="240" w:lineRule="auto"/>
              <w:jc w:val="center"/>
              <w:rPr>
                <w:rFonts w:cs="Arial"/>
                <w:b/>
                <w:bCs/>
                <w:color w:val="000000"/>
                <w:sz w:val="16"/>
                <w:szCs w:val="16"/>
              </w:rPr>
            </w:pPr>
            <w:r w:rsidRPr="00577417">
              <w:rPr>
                <w:rFonts w:cs="Arial"/>
                <w:b/>
                <w:bCs/>
                <w:color w:val="000000"/>
                <w:sz w:val="16"/>
                <w:szCs w:val="16"/>
              </w:rPr>
              <w:t>Celkem</w:t>
            </w:r>
          </w:p>
        </w:tc>
        <w:tc>
          <w:tcPr>
            <w:tcW w:w="1472" w:type="dxa"/>
            <w:gridSpan w:val="2"/>
            <w:tcBorders>
              <w:top w:val="single" w:sz="4" w:space="0" w:color="auto"/>
              <w:left w:val="single" w:sz="4" w:space="0" w:color="auto"/>
              <w:bottom w:val="single" w:sz="4" w:space="0" w:color="auto"/>
              <w:right w:val="single" w:sz="4" w:space="0" w:color="auto"/>
            </w:tcBorders>
            <w:shd w:val="clear" w:color="auto" w:fill="E6C483"/>
            <w:vAlign w:val="center"/>
            <w:hideMark/>
          </w:tcPr>
          <w:p w:rsidR="002D26B7" w:rsidRPr="00577417" w:rsidRDefault="002D26B7" w:rsidP="003611B4">
            <w:pPr>
              <w:spacing w:after="0" w:line="240" w:lineRule="auto"/>
              <w:jc w:val="center"/>
              <w:rPr>
                <w:rFonts w:cs="Arial"/>
                <w:color w:val="000000"/>
                <w:sz w:val="16"/>
                <w:szCs w:val="16"/>
              </w:rPr>
            </w:pPr>
            <w:r w:rsidRPr="00577417">
              <w:rPr>
                <w:rFonts w:cs="Arial"/>
                <w:color w:val="000000"/>
                <w:sz w:val="16"/>
                <w:szCs w:val="16"/>
              </w:rPr>
              <w:t>podle pohlaví</w:t>
            </w:r>
          </w:p>
        </w:tc>
        <w:tc>
          <w:tcPr>
            <w:tcW w:w="737" w:type="dxa"/>
            <w:vMerge w:val="restart"/>
            <w:tcBorders>
              <w:top w:val="single" w:sz="4" w:space="0" w:color="auto"/>
              <w:left w:val="nil"/>
              <w:right w:val="nil"/>
            </w:tcBorders>
            <w:shd w:val="clear" w:color="auto" w:fill="E6C483"/>
            <w:vAlign w:val="center"/>
            <w:hideMark/>
          </w:tcPr>
          <w:p w:rsidR="002D26B7" w:rsidRPr="00577417" w:rsidRDefault="002D26B7" w:rsidP="003611B4">
            <w:pPr>
              <w:spacing w:after="0" w:line="240" w:lineRule="auto"/>
              <w:jc w:val="center"/>
              <w:rPr>
                <w:rFonts w:cs="Arial"/>
                <w:color w:val="000000"/>
                <w:sz w:val="16"/>
                <w:szCs w:val="16"/>
              </w:rPr>
            </w:pPr>
            <w:r w:rsidRPr="00577417">
              <w:rPr>
                <w:rFonts w:cs="Arial"/>
                <w:color w:val="000000"/>
                <w:sz w:val="16"/>
                <w:szCs w:val="16"/>
              </w:rPr>
              <w:t>Pro nemoc</w:t>
            </w:r>
          </w:p>
        </w:tc>
        <w:tc>
          <w:tcPr>
            <w:tcW w:w="1472" w:type="dxa"/>
            <w:gridSpan w:val="2"/>
            <w:tcBorders>
              <w:top w:val="single" w:sz="4" w:space="0" w:color="auto"/>
              <w:left w:val="single" w:sz="4" w:space="0" w:color="auto"/>
              <w:bottom w:val="single" w:sz="4" w:space="0" w:color="auto"/>
              <w:right w:val="single" w:sz="4" w:space="0" w:color="auto"/>
            </w:tcBorders>
            <w:shd w:val="clear" w:color="auto" w:fill="E6C483"/>
            <w:vAlign w:val="center"/>
            <w:hideMark/>
          </w:tcPr>
          <w:p w:rsidR="002D26B7" w:rsidRPr="00577417" w:rsidRDefault="002D26B7" w:rsidP="003611B4">
            <w:pPr>
              <w:spacing w:after="0" w:line="240" w:lineRule="auto"/>
              <w:jc w:val="center"/>
              <w:rPr>
                <w:rFonts w:cs="Arial"/>
                <w:color w:val="000000"/>
                <w:sz w:val="16"/>
                <w:szCs w:val="16"/>
              </w:rPr>
            </w:pPr>
            <w:r w:rsidRPr="00577417">
              <w:rPr>
                <w:rFonts w:cs="Arial"/>
                <w:color w:val="000000"/>
                <w:sz w:val="16"/>
                <w:szCs w:val="16"/>
              </w:rPr>
              <w:t>podle pohlaví</w:t>
            </w:r>
          </w:p>
        </w:tc>
        <w:tc>
          <w:tcPr>
            <w:tcW w:w="754" w:type="dxa"/>
            <w:vMerge w:val="restart"/>
            <w:tcBorders>
              <w:top w:val="single" w:sz="4" w:space="0" w:color="auto"/>
              <w:left w:val="single" w:sz="4" w:space="0" w:color="auto"/>
              <w:right w:val="nil"/>
            </w:tcBorders>
            <w:shd w:val="clear" w:color="auto" w:fill="E6C483"/>
            <w:vAlign w:val="center"/>
            <w:hideMark/>
          </w:tcPr>
          <w:p w:rsidR="002D26B7" w:rsidRPr="00577417" w:rsidRDefault="002D26B7" w:rsidP="003611B4">
            <w:pPr>
              <w:spacing w:after="0" w:line="240" w:lineRule="auto"/>
              <w:jc w:val="center"/>
              <w:rPr>
                <w:rFonts w:cs="Arial"/>
                <w:color w:val="000000"/>
                <w:sz w:val="16"/>
                <w:szCs w:val="16"/>
              </w:rPr>
            </w:pPr>
            <w:r w:rsidRPr="00577417">
              <w:rPr>
                <w:rFonts w:cs="Arial"/>
                <w:color w:val="000000"/>
                <w:sz w:val="16"/>
                <w:szCs w:val="16"/>
              </w:rPr>
              <w:t>Pro pracovní úrazy</w:t>
            </w:r>
          </w:p>
        </w:tc>
        <w:tc>
          <w:tcPr>
            <w:tcW w:w="1474" w:type="dxa"/>
            <w:gridSpan w:val="2"/>
            <w:tcBorders>
              <w:top w:val="single" w:sz="4" w:space="0" w:color="auto"/>
              <w:left w:val="single" w:sz="4" w:space="0" w:color="auto"/>
              <w:bottom w:val="single" w:sz="4" w:space="0" w:color="auto"/>
              <w:right w:val="single" w:sz="4" w:space="0" w:color="auto"/>
            </w:tcBorders>
            <w:shd w:val="clear" w:color="auto" w:fill="E6C483"/>
            <w:vAlign w:val="center"/>
            <w:hideMark/>
          </w:tcPr>
          <w:p w:rsidR="002D26B7" w:rsidRPr="00577417" w:rsidRDefault="002D26B7" w:rsidP="003611B4">
            <w:pPr>
              <w:spacing w:after="0" w:line="240" w:lineRule="auto"/>
              <w:jc w:val="center"/>
              <w:rPr>
                <w:rFonts w:cs="Arial"/>
                <w:color w:val="000000"/>
                <w:sz w:val="16"/>
                <w:szCs w:val="16"/>
              </w:rPr>
            </w:pPr>
            <w:r w:rsidRPr="00577417">
              <w:rPr>
                <w:rFonts w:cs="Arial"/>
                <w:color w:val="000000"/>
                <w:sz w:val="16"/>
                <w:szCs w:val="16"/>
              </w:rPr>
              <w:t>podle pohlaví</w:t>
            </w:r>
          </w:p>
        </w:tc>
        <w:tc>
          <w:tcPr>
            <w:tcW w:w="737" w:type="dxa"/>
            <w:vMerge w:val="restart"/>
            <w:tcBorders>
              <w:top w:val="single" w:sz="4" w:space="0" w:color="auto"/>
              <w:left w:val="nil"/>
              <w:right w:val="nil"/>
            </w:tcBorders>
            <w:shd w:val="clear" w:color="auto" w:fill="E6C483"/>
            <w:vAlign w:val="center"/>
            <w:hideMark/>
          </w:tcPr>
          <w:p w:rsidR="002D26B7" w:rsidRPr="00577417" w:rsidRDefault="002D26B7" w:rsidP="003611B4">
            <w:pPr>
              <w:spacing w:after="0" w:line="240" w:lineRule="auto"/>
              <w:jc w:val="center"/>
              <w:rPr>
                <w:rFonts w:cs="Arial"/>
                <w:color w:val="000000"/>
                <w:sz w:val="16"/>
                <w:szCs w:val="16"/>
              </w:rPr>
            </w:pPr>
            <w:r w:rsidRPr="00577417">
              <w:rPr>
                <w:rFonts w:cs="Arial"/>
                <w:color w:val="000000"/>
                <w:sz w:val="16"/>
                <w:szCs w:val="16"/>
              </w:rPr>
              <w:t>Pro ostatní úrazy</w:t>
            </w:r>
          </w:p>
        </w:tc>
        <w:tc>
          <w:tcPr>
            <w:tcW w:w="1474" w:type="dxa"/>
            <w:gridSpan w:val="2"/>
            <w:tcBorders>
              <w:top w:val="single" w:sz="4" w:space="0" w:color="auto"/>
              <w:left w:val="single" w:sz="4" w:space="0" w:color="auto"/>
              <w:bottom w:val="single" w:sz="4" w:space="0" w:color="auto"/>
            </w:tcBorders>
            <w:shd w:val="clear" w:color="auto" w:fill="E6C483"/>
            <w:vAlign w:val="center"/>
            <w:hideMark/>
          </w:tcPr>
          <w:p w:rsidR="002D26B7" w:rsidRPr="00577417" w:rsidRDefault="002D26B7" w:rsidP="003611B4">
            <w:pPr>
              <w:spacing w:after="0" w:line="240" w:lineRule="auto"/>
              <w:jc w:val="center"/>
              <w:rPr>
                <w:rFonts w:cs="Arial"/>
                <w:color w:val="000000"/>
                <w:sz w:val="16"/>
                <w:szCs w:val="16"/>
              </w:rPr>
            </w:pPr>
            <w:r w:rsidRPr="00577417">
              <w:rPr>
                <w:rFonts w:cs="Arial"/>
                <w:color w:val="000000"/>
                <w:sz w:val="16"/>
                <w:szCs w:val="16"/>
              </w:rPr>
              <w:t>podle pohlaví</w:t>
            </w:r>
          </w:p>
        </w:tc>
      </w:tr>
      <w:tr w:rsidR="002D26B7" w:rsidRPr="00577417" w:rsidTr="002D26B7">
        <w:trPr>
          <w:trHeight w:val="390"/>
        </w:trPr>
        <w:tc>
          <w:tcPr>
            <w:tcW w:w="737" w:type="dxa"/>
            <w:vMerge/>
            <w:tcBorders>
              <w:top w:val="single" w:sz="4" w:space="0" w:color="auto"/>
              <w:left w:val="nil"/>
              <w:bottom w:val="single" w:sz="4" w:space="0" w:color="000000"/>
              <w:right w:val="nil"/>
            </w:tcBorders>
            <w:shd w:val="clear" w:color="auto" w:fill="E6C483"/>
            <w:vAlign w:val="center"/>
            <w:hideMark/>
          </w:tcPr>
          <w:p w:rsidR="002D26B7" w:rsidRPr="00577417" w:rsidRDefault="002D26B7" w:rsidP="003611B4">
            <w:pPr>
              <w:spacing w:after="0" w:line="240" w:lineRule="auto"/>
              <w:rPr>
                <w:rFonts w:cs="Arial"/>
                <w:color w:val="000000"/>
                <w:sz w:val="16"/>
                <w:szCs w:val="16"/>
              </w:rPr>
            </w:pPr>
          </w:p>
        </w:tc>
        <w:tc>
          <w:tcPr>
            <w:tcW w:w="737" w:type="dxa"/>
            <w:vMerge/>
            <w:tcBorders>
              <w:top w:val="single" w:sz="4" w:space="0" w:color="auto"/>
              <w:left w:val="single" w:sz="4" w:space="0" w:color="auto"/>
              <w:bottom w:val="single" w:sz="4" w:space="0" w:color="000000"/>
              <w:right w:val="nil"/>
            </w:tcBorders>
            <w:shd w:val="clear" w:color="auto" w:fill="E6C483"/>
            <w:vAlign w:val="center"/>
            <w:hideMark/>
          </w:tcPr>
          <w:p w:rsidR="002D26B7" w:rsidRPr="00577417" w:rsidRDefault="002D26B7" w:rsidP="003611B4">
            <w:pPr>
              <w:spacing w:after="0" w:line="240" w:lineRule="auto"/>
              <w:rPr>
                <w:rFonts w:cs="Arial"/>
                <w:b/>
                <w:bCs/>
                <w:color w:val="000000"/>
                <w:sz w:val="16"/>
                <w:szCs w:val="16"/>
              </w:rPr>
            </w:pPr>
          </w:p>
        </w:tc>
        <w:tc>
          <w:tcPr>
            <w:tcW w:w="736" w:type="dxa"/>
            <w:tcBorders>
              <w:top w:val="nil"/>
              <w:left w:val="single" w:sz="4" w:space="0" w:color="auto"/>
              <w:bottom w:val="single" w:sz="4" w:space="0" w:color="auto"/>
              <w:right w:val="single" w:sz="4" w:space="0" w:color="auto"/>
            </w:tcBorders>
            <w:shd w:val="clear" w:color="auto" w:fill="E6C483"/>
            <w:vAlign w:val="center"/>
            <w:hideMark/>
          </w:tcPr>
          <w:p w:rsidR="002D26B7" w:rsidRPr="00577417" w:rsidRDefault="002D26B7" w:rsidP="003611B4">
            <w:pPr>
              <w:spacing w:after="0" w:line="240" w:lineRule="auto"/>
              <w:jc w:val="center"/>
              <w:rPr>
                <w:rFonts w:cs="Arial"/>
                <w:color w:val="000000"/>
                <w:sz w:val="16"/>
                <w:szCs w:val="16"/>
              </w:rPr>
            </w:pPr>
            <w:r w:rsidRPr="00577417">
              <w:rPr>
                <w:rFonts w:cs="Arial"/>
                <w:color w:val="000000"/>
                <w:sz w:val="16"/>
                <w:szCs w:val="16"/>
              </w:rPr>
              <w:t>muži</w:t>
            </w:r>
          </w:p>
        </w:tc>
        <w:tc>
          <w:tcPr>
            <w:tcW w:w="736" w:type="dxa"/>
            <w:tcBorders>
              <w:top w:val="nil"/>
              <w:left w:val="nil"/>
              <w:bottom w:val="single" w:sz="4" w:space="0" w:color="auto"/>
              <w:right w:val="single" w:sz="4" w:space="0" w:color="auto"/>
            </w:tcBorders>
            <w:shd w:val="clear" w:color="auto" w:fill="E6C483"/>
            <w:vAlign w:val="center"/>
            <w:hideMark/>
          </w:tcPr>
          <w:p w:rsidR="002D26B7" w:rsidRPr="00577417" w:rsidRDefault="002D26B7" w:rsidP="003611B4">
            <w:pPr>
              <w:spacing w:after="0" w:line="240" w:lineRule="auto"/>
              <w:jc w:val="center"/>
              <w:rPr>
                <w:rFonts w:cs="Arial"/>
                <w:color w:val="000000"/>
                <w:sz w:val="16"/>
                <w:szCs w:val="16"/>
              </w:rPr>
            </w:pPr>
            <w:r w:rsidRPr="00577417">
              <w:rPr>
                <w:rFonts w:cs="Arial"/>
                <w:color w:val="000000"/>
                <w:sz w:val="16"/>
                <w:szCs w:val="16"/>
              </w:rPr>
              <w:t>ženy</w:t>
            </w:r>
          </w:p>
        </w:tc>
        <w:tc>
          <w:tcPr>
            <w:tcW w:w="737" w:type="dxa"/>
            <w:vMerge/>
            <w:tcBorders>
              <w:left w:val="nil"/>
              <w:bottom w:val="single" w:sz="4" w:space="0" w:color="000000"/>
              <w:right w:val="nil"/>
            </w:tcBorders>
            <w:shd w:val="clear" w:color="auto" w:fill="E6C483"/>
            <w:vAlign w:val="center"/>
            <w:hideMark/>
          </w:tcPr>
          <w:p w:rsidR="002D26B7" w:rsidRPr="00577417" w:rsidRDefault="002D26B7" w:rsidP="003611B4">
            <w:pPr>
              <w:spacing w:after="0" w:line="240" w:lineRule="auto"/>
              <w:rPr>
                <w:rFonts w:cs="Arial"/>
                <w:color w:val="000000"/>
                <w:sz w:val="16"/>
                <w:szCs w:val="16"/>
              </w:rPr>
            </w:pPr>
          </w:p>
        </w:tc>
        <w:tc>
          <w:tcPr>
            <w:tcW w:w="736" w:type="dxa"/>
            <w:tcBorders>
              <w:top w:val="nil"/>
              <w:left w:val="single" w:sz="4" w:space="0" w:color="auto"/>
              <w:bottom w:val="single" w:sz="4" w:space="0" w:color="auto"/>
              <w:right w:val="single" w:sz="4" w:space="0" w:color="auto"/>
            </w:tcBorders>
            <w:shd w:val="clear" w:color="auto" w:fill="E6C483"/>
            <w:vAlign w:val="center"/>
            <w:hideMark/>
          </w:tcPr>
          <w:p w:rsidR="002D26B7" w:rsidRPr="00577417" w:rsidRDefault="002D26B7" w:rsidP="003611B4">
            <w:pPr>
              <w:spacing w:after="0" w:line="240" w:lineRule="auto"/>
              <w:jc w:val="center"/>
              <w:rPr>
                <w:rFonts w:cs="Arial"/>
                <w:color w:val="000000"/>
                <w:sz w:val="16"/>
                <w:szCs w:val="16"/>
              </w:rPr>
            </w:pPr>
            <w:r w:rsidRPr="00577417">
              <w:rPr>
                <w:rFonts w:cs="Arial"/>
                <w:color w:val="000000"/>
                <w:sz w:val="16"/>
                <w:szCs w:val="16"/>
              </w:rPr>
              <w:t>muži</w:t>
            </w:r>
          </w:p>
        </w:tc>
        <w:tc>
          <w:tcPr>
            <w:tcW w:w="736" w:type="dxa"/>
            <w:tcBorders>
              <w:top w:val="nil"/>
              <w:left w:val="nil"/>
              <w:bottom w:val="single" w:sz="4" w:space="0" w:color="auto"/>
              <w:right w:val="single" w:sz="4" w:space="0" w:color="auto"/>
            </w:tcBorders>
            <w:shd w:val="clear" w:color="auto" w:fill="E6C483"/>
            <w:vAlign w:val="center"/>
            <w:hideMark/>
          </w:tcPr>
          <w:p w:rsidR="002D26B7" w:rsidRPr="00577417" w:rsidRDefault="002D26B7" w:rsidP="003611B4">
            <w:pPr>
              <w:spacing w:after="0" w:line="240" w:lineRule="auto"/>
              <w:jc w:val="center"/>
              <w:rPr>
                <w:rFonts w:cs="Arial"/>
                <w:color w:val="000000"/>
                <w:sz w:val="16"/>
                <w:szCs w:val="16"/>
              </w:rPr>
            </w:pPr>
            <w:r w:rsidRPr="00577417">
              <w:rPr>
                <w:rFonts w:cs="Arial"/>
                <w:color w:val="000000"/>
                <w:sz w:val="16"/>
                <w:szCs w:val="16"/>
              </w:rPr>
              <w:t>ženy</w:t>
            </w:r>
          </w:p>
        </w:tc>
        <w:tc>
          <w:tcPr>
            <w:tcW w:w="754" w:type="dxa"/>
            <w:vMerge/>
            <w:tcBorders>
              <w:left w:val="single" w:sz="4" w:space="0" w:color="auto"/>
              <w:bottom w:val="single" w:sz="4" w:space="0" w:color="000000"/>
              <w:right w:val="nil"/>
            </w:tcBorders>
            <w:shd w:val="clear" w:color="auto" w:fill="E6C483"/>
            <w:vAlign w:val="center"/>
            <w:hideMark/>
          </w:tcPr>
          <w:p w:rsidR="002D26B7" w:rsidRPr="00577417" w:rsidRDefault="002D26B7" w:rsidP="003611B4">
            <w:pPr>
              <w:spacing w:after="0" w:line="240" w:lineRule="auto"/>
              <w:rPr>
                <w:rFonts w:cs="Arial"/>
                <w:color w:val="000000"/>
                <w:sz w:val="16"/>
                <w:szCs w:val="16"/>
              </w:rPr>
            </w:pPr>
          </w:p>
        </w:tc>
        <w:tc>
          <w:tcPr>
            <w:tcW w:w="737" w:type="dxa"/>
            <w:tcBorders>
              <w:top w:val="nil"/>
              <w:left w:val="single" w:sz="4" w:space="0" w:color="auto"/>
              <w:bottom w:val="single" w:sz="4" w:space="0" w:color="auto"/>
              <w:right w:val="single" w:sz="4" w:space="0" w:color="auto"/>
            </w:tcBorders>
            <w:shd w:val="clear" w:color="auto" w:fill="E6C483"/>
            <w:vAlign w:val="center"/>
            <w:hideMark/>
          </w:tcPr>
          <w:p w:rsidR="002D26B7" w:rsidRPr="00577417" w:rsidRDefault="002D26B7" w:rsidP="003611B4">
            <w:pPr>
              <w:spacing w:after="0" w:line="240" w:lineRule="auto"/>
              <w:jc w:val="center"/>
              <w:rPr>
                <w:rFonts w:cs="Arial"/>
                <w:color w:val="000000"/>
                <w:sz w:val="16"/>
                <w:szCs w:val="16"/>
              </w:rPr>
            </w:pPr>
            <w:r w:rsidRPr="00577417">
              <w:rPr>
                <w:rFonts w:cs="Arial"/>
                <w:color w:val="000000"/>
                <w:sz w:val="16"/>
                <w:szCs w:val="16"/>
              </w:rPr>
              <w:t>muži</w:t>
            </w:r>
          </w:p>
        </w:tc>
        <w:tc>
          <w:tcPr>
            <w:tcW w:w="737" w:type="dxa"/>
            <w:tcBorders>
              <w:top w:val="nil"/>
              <w:left w:val="nil"/>
              <w:bottom w:val="single" w:sz="4" w:space="0" w:color="auto"/>
              <w:right w:val="single" w:sz="4" w:space="0" w:color="auto"/>
            </w:tcBorders>
            <w:shd w:val="clear" w:color="auto" w:fill="E6C483"/>
            <w:vAlign w:val="center"/>
            <w:hideMark/>
          </w:tcPr>
          <w:p w:rsidR="002D26B7" w:rsidRPr="00577417" w:rsidRDefault="002D26B7" w:rsidP="003611B4">
            <w:pPr>
              <w:spacing w:after="0" w:line="240" w:lineRule="auto"/>
              <w:jc w:val="center"/>
              <w:rPr>
                <w:rFonts w:cs="Arial"/>
                <w:color w:val="000000"/>
                <w:sz w:val="16"/>
                <w:szCs w:val="16"/>
              </w:rPr>
            </w:pPr>
            <w:r w:rsidRPr="00577417">
              <w:rPr>
                <w:rFonts w:cs="Arial"/>
                <w:color w:val="000000"/>
                <w:sz w:val="16"/>
                <w:szCs w:val="16"/>
              </w:rPr>
              <w:t>ženy</w:t>
            </w:r>
          </w:p>
        </w:tc>
        <w:tc>
          <w:tcPr>
            <w:tcW w:w="737" w:type="dxa"/>
            <w:vMerge/>
            <w:tcBorders>
              <w:left w:val="nil"/>
              <w:bottom w:val="single" w:sz="4" w:space="0" w:color="000000"/>
              <w:right w:val="nil"/>
            </w:tcBorders>
            <w:shd w:val="clear" w:color="auto" w:fill="E6C483"/>
            <w:vAlign w:val="center"/>
            <w:hideMark/>
          </w:tcPr>
          <w:p w:rsidR="002D26B7" w:rsidRPr="00577417" w:rsidRDefault="002D26B7" w:rsidP="003611B4">
            <w:pPr>
              <w:spacing w:after="0" w:line="240" w:lineRule="auto"/>
              <w:rPr>
                <w:rFonts w:cs="Arial"/>
                <w:color w:val="000000"/>
                <w:sz w:val="16"/>
                <w:szCs w:val="16"/>
              </w:rPr>
            </w:pPr>
          </w:p>
        </w:tc>
        <w:tc>
          <w:tcPr>
            <w:tcW w:w="737" w:type="dxa"/>
            <w:tcBorders>
              <w:top w:val="nil"/>
              <w:left w:val="single" w:sz="4" w:space="0" w:color="auto"/>
              <w:bottom w:val="single" w:sz="4" w:space="0" w:color="auto"/>
              <w:right w:val="single" w:sz="4" w:space="0" w:color="auto"/>
            </w:tcBorders>
            <w:shd w:val="clear" w:color="auto" w:fill="E6C483"/>
            <w:vAlign w:val="center"/>
            <w:hideMark/>
          </w:tcPr>
          <w:p w:rsidR="002D26B7" w:rsidRPr="00577417" w:rsidRDefault="002D26B7" w:rsidP="003611B4">
            <w:pPr>
              <w:spacing w:after="0" w:line="240" w:lineRule="auto"/>
              <w:jc w:val="center"/>
              <w:rPr>
                <w:rFonts w:cs="Arial"/>
                <w:color w:val="000000"/>
                <w:sz w:val="16"/>
                <w:szCs w:val="16"/>
              </w:rPr>
            </w:pPr>
            <w:r w:rsidRPr="00577417">
              <w:rPr>
                <w:rFonts w:cs="Arial"/>
                <w:color w:val="000000"/>
                <w:sz w:val="16"/>
                <w:szCs w:val="16"/>
              </w:rPr>
              <w:t>muži</w:t>
            </w:r>
          </w:p>
        </w:tc>
        <w:tc>
          <w:tcPr>
            <w:tcW w:w="737" w:type="dxa"/>
            <w:tcBorders>
              <w:top w:val="nil"/>
              <w:left w:val="nil"/>
              <w:bottom w:val="single" w:sz="4" w:space="0" w:color="auto"/>
              <w:right w:val="nil"/>
            </w:tcBorders>
            <w:shd w:val="clear" w:color="auto" w:fill="E6C483"/>
            <w:vAlign w:val="center"/>
            <w:hideMark/>
          </w:tcPr>
          <w:p w:rsidR="002D26B7" w:rsidRPr="00577417" w:rsidRDefault="002D26B7" w:rsidP="003611B4">
            <w:pPr>
              <w:spacing w:after="0" w:line="240" w:lineRule="auto"/>
              <w:jc w:val="center"/>
              <w:rPr>
                <w:rFonts w:cs="Arial"/>
                <w:color w:val="000000"/>
                <w:sz w:val="16"/>
                <w:szCs w:val="16"/>
              </w:rPr>
            </w:pPr>
            <w:r w:rsidRPr="00577417">
              <w:rPr>
                <w:rFonts w:cs="Arial"/>
                <w:color w:val="000000"/>
                <w:sz w:val="16"/>
                <w:szCs w:val="16"/>
              </w:rPr>
              <w:t>ženy</w:t>
            </w:r>
          </w:p>
        </w:tc>
      </w:tr>
      <w:tr w:rsidR="002D26B7" w:rsidRPr="00577417" w:rsidTr="003611B4">
        <w:trPr>
          <w:trHeight w:val="300"/>
        </w:trPr>
        <w:tc>
          <w:tcPr>
            <w:tcW w:w="737" w:type="dxa"/>
            <w:tcBorders>
              <w:top w:val="nil"/>
              <w:left w:val="nil"/>
              <w:bottom w:val="nil"/>
              <w:right w:val="nil"/>
            </w:tcBorders>
            <w:shd w:val="clear" w:color="auto" w:fill="auto"/>
            <w:vAlign w:val="center"/>
            <w:hideMark/>
          </w:tcPr>
          <w:p w:rsidR="002D26B7" w:rsidRPr="00577417" w:rsidRDefault="002D26B7" w:rsidP="003611B4">
            <w:pPr>
              <w:spacing w:after="0" w:line="240" w:lineRule="auto"/>
              <w:jc w:val="center"/>
              <w:rPr>
                <w:rFonts w:cs="Arial"/>
                <w:color w:val="000000"/>
                <w:sz w:val="16"/>
                <w:szCs w:val="16"/>
              </w:rPr>
            </w:pPr>
            <w:r w:rsidRPr="00577417">
              <w:rPr>
                <w:rFonts w:cs="Arial"/>
                <w:color w:val="000000"/>
                <w:sz w:val="16"/>
                <w:szCs w:val="16"/>
              </w:rPr>
              <w:t>2014</w:t>
            </w:r>
          </w:p>
        </w:tc>
        <w:tc>
          <w:tcPr>
            <w:tcW w:w="737" w:type="dxa"/>
            <w:tcBorders>
              <w:top w:val="nil"/>
              <w:left w:val="single" w:sz="4" w:space="0" w:color="auto"/>
              <w:bottom w:val="nil"/>
              <w:right w:val="nil"/>
            </w:tcBorders>
            <w:shd w:val="clear" w:color="auto" w:fill="auto"/>
            <w:vAlign w:val="center"/>
            <w:hideMark/>
          </w:tcPr>
          <w:p w:rsidR="002D26B7" w:rsidRPr="00577417" w:rsidRDefault="002D26B7" w:rsidP="003611B4">
            <w:pPr>
              <w:spacing w:after="0" w:line="240" w:lineRule="auto"/>
              <w:jc w:val="center"/>
              <w:rPr>
                <w:rFonts w:cs="Arial"/>
                <w:color w:val="000000"/>
                <w:sz w:val="16"/>
                <w:szCs w:val="16"/>
              </w:rPr>
            </w:pPr>
            <w:r w:rsidRPr="00577417">
              <w:rPr>
                <w:rFonts w:cs="Arial"/>
                <w:color w:val="000000"/>
                <w:sz w:val="16"/>
                <w:szCs w:val="16"/>
              </w:rPr>
              <w:t>165,0</w:t>
            </w:r>
          </w:p>
        </w:tc>
        <w:tc>
          <w:tcPr>
            <w:tcW w:w="736" w:type="dxa"/>
            <w:tcBorders>
              <w:top w:val="nil"/>
              <w:left w:val="nil"/>
              <w:bottom w:val="nil"/>
              <w:right w:val="nil"/>
            </w:tcBorders>
            <w:shd w:val="clear" w:color="auto" w:fill="auto"/>
            <w:vAlign w:val="center"/>
            <w:hideMark/>
          </w:tcPr>
          <w:p w:rsidR="002D26B7" w:rsidRPr="00577417" w:rsidRDefault="002D26B7" w:rsidP="003611B4">
            <w:pPr>
              <w:spacing w:after="0" w:line="240" w:lineRule="auto"/>
              <w:jc w:val="center"/>
              <w:rPr>
                <w:rFonts w:cs="Arial"/>
                <w:color w:val="000000"/>
                <w:sz w:val="16"/>
                <w:szCs w:val="16"/>
              </w:rPr>
            </w:pPr>
            <w:r w:rsidRPr="00577417">
              <w:rPr>
                <w:rFonts w:cs="Arial"/>
                <w:color w:val="000000"/>
                <w:sz w:val="16"/>
                <w:szCs w:val="16"/>
              </w:rPr>
              <w:t>75,1</w:t>
            </w:r>
          </w:p>
        </w:tc>
        <w:tc>
          <w:tcPr>
            <w:tcW w:w="736" w:type="dxa"/>
            <w:tcBorders>
              <w:top w:val="nil"/>
              <w:left w:val="nil"/>
              <w:bottom w:val="nil"/>
              <w:right w:val="single" w:sz="4" w:space="0" w:color="auto"/>
            </w:tcBorders>
            <w:shd w:val="clear" w:color="auto" w:fill="auto"/>
            <w:vAlign w:val="center"/>
            <w:hideMark/>
          </w:tcPr>
          <w:p w:rsidR="002D26B7" w:rsidRPr="00577417" w:rsidRDefault="002D26B7" w:rsidP="003611B4">
            <w:pPr>
              <w:spacing w:after="0" w:line="240" w:lineRule="auto"/>
              <w:jc w:val="center"/>
              <w:rPr>
                <w:rFonts w:cs="Arial"/>
                <w:color w:val="000000"/>
                <w:sz w:val="16"/>
                <w:szCs w:val="16"/>
              </w:rPr>
            </w:pPr>
            <w:r w:rsidRPr="00577417">
              <w:rPr>
                <w:rFonts w:cs="Arial"/>
                <w:color w:val="000000"/>
                <w:sz w:val="16"/>
                <w:szCs w:val="16"/>
              </w:rPr>
              <w:t>89,9</w:t>
            </w:r>
          </w:p>
        </w:tc>
        <w:tc>
          <w:tcPr>
            <w:tcW w:w="737" w:type="dxa"/>
            <w:tcBorders>
              <w:top w:val="nil"/>
              <w:left w:val="nil"/>
              <w:bottom w:val="nil"/>
              <w:right w:val="nil"/>
            </w:tcBorders>
            <w:shd w:val="clear" w:color="auto" w:fill="auto"/>
            <w:vAlign w:val="center"/>
            <w:hideMark/>
          </w:tcPr>
          <w:p w:rsidR="002D26B7" w:rsidRPr="00577417" w:rsidRDefault="002D26B7" w:rsidP="003611B4">
            <w:pPr>
              <w:spacing w:after="0" w:line="240" w:lineRule="auto"/>
              <w:jc w:val="center"/>
              <w:rPr>
                <w:rFonts w:cs="Arial"/>
                <w:color w:val="000000"/>
                <w:sz w:val="16"/>
                <w:szCs w:val="16"/>
              </w:rPr>
            </w:pPr>
            <w:r w:rsidRPr="00577417">
              <w:rPr>
                <w:rFonts w:cs="Arial"/>
                <w:color w:val="000000"/>
                <w:sz w:val="16"/>
                <w:szCs w:val="16"/>
              </w:rPr>
              <w:t>139,9</w:t>
            </w:r>
          </w:p>
        </w:tc>
        <w:tc>
          <w:tcPr>
            <w:tcW w:w="736" w:type="dxa"/>
            <w:tcBorders>
              <w:top w:val="nil"/>
              <w:left w:val="nil"/>
              <w:bottom w:val="nil"/>
              <w:right w:val="nil"/>
            </w:tcBorders>
            <w:shd w:val="clear" w:color="auto" w:fill="auto"/>
            <w:vAlign w:val="center"/>
            <w:hideMark/>
          </w:tcPr>
          <w:p w:rsidR="002D26B7" w:rsidRPr="00577417" w:rsidRDefault="002D26B7" w:rsidP="003611B4">
            <w:pPr>
              <w:spacing w:after="0" w:line="240" w:lineRule="auto"/>
              <w:jc w:val="center"/>
              <w:rPr>
                <w:rFonts w:cs="Arial"/>
                <w:color w:val="000000"/>
                <w:sz w:val="16"/>
                <w:szCs w:val="16"/>
              </w:rPr>
            </w:pPr>
            <w:r w:rsidRPr="00577417">
              <w:rPr>
                <w:rFonts w:cs="Arial"/>
                <w:color w:val="000000"/>
                <w:sz w:val="16"/>
                <w:szCs w:val="16"/>
              </w:rPr>
              <w:t>58,7</w:t>
            </w:r>
          </w:p>
        </w:tc>
        <w:tc>
          <w:tcPr>
            <w:tcW w:w="736" w:type="dxa"/>
            <w:tcBorders>
              <w:top w:val="nil"/>
              <w:left w:val="nil"/>
              <w:bottom w:val="nil"/>
              <w:right w:val="nil"/>
            </w:tcBorders>
            <w:shd w:val="clear" w:color="auto" w:fill="auto"/>
            <w:vAlign w:val="center"/>
            <w:hideMark/>
          </w:tcPr>
          <w:p w:rsidR="002D26B7" w:rsidRPr="00577417" w:rsidRDefault="002D26B7" w:rsidP="003611B4">
            <w:pPr>
              <w:spacing w:after="0" w:line="240" w:lineRule="auto"/>
              <w:jc w:val="center"/>
              <w:rPr>
                <w:rFonts w:cs="Arial"/>
                <w:color w:val="000000"/>
                <w:sz w:val="16"/>
                <w:szCs w:val="16"/>
              </w:rPr>
            </w:pPr>
            <w:r w:rsidRPr="00577417">
              <w:rPr>
                <w:rFonts w:cs="Arial"/>
                <w:color w:val="000000"/>
                <w:sz w:val="16"/>
                <w:szCs w:val="16"/>
              </w:rPr>
              <w:t>81,2</w:t>
            </w:r>
          </w:p>
        </w:tc>
        <w:tc>
          <w:tcPr>
            <w:tcW w:w="754" w:type="dxa"/>
            <w:tcBorders>
              <w:top w:val="nil"/>
              <w:left w:val="single" w:sz="4" w:space="0" w:color="auto"/>
              <w:bottom w:val="nil"/>
              <w:right w:val="nil"/>
            </w:tcBorders>
            <w:shd w:val="clear" w:color="auto" w:fill="auto"/>
            <w:vAlign w:val="center"/>
            <w:hideMark/>
          </w:tcPr>
          <w:p w:rsidR="002D26B7" w:rsidRPr="00577417" w:rsidRDefault="002D26B7" w:rsidP="003611B4">
            <w:pPr>
              <w:spacing w:after="0" w:line="240" w:lineRule="auto"/>
              <w:jc w:val="center"/>
              <w:rPr>
                <w:rFonts w:cs="Arial"/>
                <w:color w:val="000000"/>
                <w:sz w:val="16"/>
                <w:szCs w:val="16"/>
              </w:rPr>
            </w:pPr>
            <w:r w:rsidRPr="00577417">
              <w:rPr>
                <w:rFonts w:cs="Arial"/>
                <w:color w:val="000000"/>
                <w:sz w:val="16"/>
                <w:szCs w:val="16"/>
              </w:rPr>
              <w:t>6,7</w:t>
            </w:r>
          </w:p>
        </w:tc>
        <w:tc>
          <w:tcPr>
            <w:tcW w:w="737" w:type="dxa"/>
            <w:tcBorders>
              <w:top w:val="nil"/>
              <w:left w:val="nil"/>
              <w:bottom w:val="nil"/>
              <w:right w:val="nil"/>
            </w:tcBorders>
            <w:shd w:val="clear" w:color="auto" w:fill="auto"/>
            <w:vAlign w:val="center"/>
            <w:hideMark/>
          </w:tcPr>
          <w:p w:rsidR="002D26B7" w:rsidRPr="00577417" w:rsidRDefault="002D26B7" w:rsidP="003611B4">
            <w:pPr>
              <w:spacing w:after="0" w:line="240" w:lineRule="auto"/>
              <w:jc w:val="center"/>
              <w:rPr>
                <w:rFonts w:cs="Arial"/>
                <w:color w:val="000000"/>
                <w:sz w:val="16"/>
                <w:szCs w:val="16"/>
              </w:rPr>
            </w:pPr>
            <w:r w:rsidRPr="00577417">
              <w:rPr>
                <w:rFonts w:cs="Arial"/>
                <w:color w:val="000000"/>
                <w:sz w:val="16"/>
                <w:szCs w:val="16"/>
              </w:rPr>
              <w:t>4,7</w:t>
            </w:r>
          </w:p>
        </w:tc>
        <w:tc>
          <w:tcPr>
            <w:tcW w:w="737" w:type="dxa"/>
            <w:tcBorders>
              <w:top w:val="nil"/>
              <w:left w:val="nil"/>
              <w:bottom w:val="nil"/>
              <w:right w:val="single" w:sz="4" w:space="0" w:color="auto"/>
            </w:tcBorders>
            <w:shd w:val="clear" w:color="auto" w:fill="auto"/>
            <w:vAlign w:val="center"/>
            <w:hideMark/>
          </w:tcPr>
          <w:p w:rsidR="002D26B7" w:rsidRPr="00577417" w:rsidRDefault="002D26B7" w:rsidP="003611B4">
            <w:pPr>
              <w:spacing w:after="0" w:line="240" w:lineRule="auto"/>
              <w:jc w:val="center"/>
              <w:rPr>
                <w:rFonts w:cs="Arial"/>
                <w:color w:val="000000"/>
                <w:sz w:val="16"/>
                <w:szCs w:val="16"/>
              </w:rPr>
            </w:pPr>
            <w:r w:rsidRPr="00577417">
              <w:rPr>
                <w:rFonts w:cs="Arial"/>
                <w:color w:val="000000"/>
                <w:sz w:val="16"/>
                <w:szCs w:val="16"/>
              </w:rPr>
              <w:t>2,0</w:t>
            </w:r>
          </w:p>
        </w:tc>
        <w:tc>
          <w:tcPr>
            <w:tcW w:w="737" w:type="dxa"/>
            <w:tcBorders>
              <w:top w:val="nil"/>
              <w:left w:val="nil"/>
              <w:bottom w:val="nil"/>
              <w:right w:val="nil"/>
            </w:tcBorders>
            <w:shd w:val="clear" w:color="auto" w:fill="auto"/>
            <w:vAlign w:val="center"/>
            <w:hideMark/>
          </w:tcPr>
          <w:p w:rsidR="002D26B7" w:rsidRPr="00577417" w:rsidRDefault="002D26B7" w:rsidP="003611B4">
            <w:pPr>
              <w:spacing w:after="0" w:line="240" w:lineRule="auto"/>
              <w:jc w:val="center"/>
              <w:rPr>
                <w:rFonts w:cs="Arial"/>
                <w:color w:val="000000"/>
                <w:sz w:val="16"/>
                <w:szCs w:val="16"/>
              </w:rPr>
            </w:pPr>
            <w:r w:rsidRPr="00577417">
              <w:rPr>
                <w:rFonts w:cs="Arial"/>
                <w:color w:val="000000"/>
                <w:sz w:val="16"/>
                <w:szCs w:val="16"/>
              </w:rPr>
              <w:t>18,4</w:t>
            </w:r>
          </w:p>
        </w:tc>
        <w:tc>
          <w:tcPr>
            <w:tcW w:w="737" w:type="dxa"/>
            <w:tcBorders>
              <w:top w:val="nil"/>
              <w:left w:val="nil"/>
              <w:bottom w:val="nil"/>
              <w:right w:val="nil"/>
            </w:tcBorders>
            <w:shd w:val="clear" w:color="auto" w:fill="auto"/>
            <w:vAlign w:val="center"/>
            <w:hideMark/>
          </w:tcPr>
          <w:p w:rsidR="002D26B7" w:rsidRPr="00577417" w:rsidRDefault="002D26B7" w:rsidP="003611B4">
            <w:pPr>
              <w:spacing w:after="0" w:line="240" w:lineRule="auto"/>
              <w:jc w:val="center"/>
              <w:rPr>
                <w:rFonts w:cs="Arial"/>
                <w:color w:val="000000"/>
                <w:sz w:val="16"/>
                <w:szCs w:val="16"/>
              </w:rPr>
            </w:pPr>
            <w:r w:rsidRPr="00577417">
              <w:rPr>
                <w:rFonts w:cs="Arial"/>
                <w:color w:val="000000"/>
                <w:sz w:val="16"/>
                <w:szCs w:val="16"/>
              </w:rPr>
              <w:t>11,7</w:t>
            </w:r>
          </w:p>
        </w:tc>
        <w:tc>
          <w:tcPr>
            <w:tcW w:w="737" w:type="dxa"/>
            <w:tcBorders>
              <w:top w:val="nil"/>
              <w:left w:val="nil"/>
              <w:bottom w:val="nil"/>
              <w:right w:val="nil"/>
            </w:tcBorders>
            <w:shd w:val="clear" w:color="auto" w:fill="auto"/>
            <w:vAlign w:val="center"/>
            <w:hideMark/>
          </w:tcPr>
          <w:p w:rsidR="002D26B7" w:rsidRPr="00577417" w:rsidRDefault="002D26B7" w:rsidP="003611B4">
            <w:pPr>
              <w:spacing w:after="0" w:line="240" w:lineRule="auto"/>
              <w:jc w:val="center"/>
              <w:rPr>
                <w:rFonts w:cs="Arial"/>
                <w:color w:val="000000"/>
                <w:sz w:val="16"/>
                <w:szCs w:val="16"/>
              </w:rPr>
            </w:pPr>
            <w:r w:rsidRPr="00577417">
              <w:rPr>
                <w:rFonts w:cs="Arial"/>
                <w:color w:val="000000"/>
                <w:sz w:val="16"/>
                <w:szCs w:val="16"/>
              </w:rPr>
              <w:t>6,7</w:t>
            </w:r>
          </w:p>
        </w:tc>
      </w:tr>
      <w:tr w:rsidR="002D26B7" w:rsidRPr="00577417" w:rsidTr="003611B4">
        <w:trPr>
          <w:trHeight w:val="300"/>
        </w:trPr>
        <w:tc>
          <w:tcPr>
            <w:tcW w:w="737" w:type="dxa"/>
            <w:tcBorders>
              <w:top w:val="nil"/>
              <w:left w:val="nil"/>
              <w:bottom w:val="nil"/>
              <w:right w:val="nil"/>
            </w:tcBorders>
            <w:shd w:val="clear" w:color="auto" w:fill="auto"/>
            <w:vAlign w:val="center"/>
            <w:hideMark/>
          </w:tcPr>
          <w:p w:rsidR="002D26B7" w:rsidRPr="00577417" w:rsidRDefault="002D26B7" w:rsidP="003611B4">
            <w:pPr>
              <w:spacing w:after="0" w:line="240" w:lineRule="auto"/>
              <w:jc w:val="center"/>
              <w:rPr>
                <w:rFonts w:cs="Arial"/>
                <w:color w:val="000000"/>
                <w:sz w:val="16"/>
                <w:szCs w:val="16"/>
              </w:rPr>
            </w:pPr>
            <w:r w:rsidRPr="00577417">
              <w:rPr>
                <w:rFonts w:cs="Arial"/>
                <w:color w:val="000000"/>
                <w:sz w:val="16"/>
                <w:szCs w:val="16"/>
              </w:rPr>
              <w:t>2015</w:t>
            </w:r>
          </w:p>
        </w:tc>
        <w:tc>
          <w:tcPr>
            <w:tcW w:w="737" w:type="dxa"/>
            <w:tcBorders>
              <w:top w:val="nil"/>
              <w:left w:val="single" w:sz="4" w:space="0" w:color="auto"/>
              <w:bottom w:val="nil"/>
              <w:right w:val="nil"/>
            </w:tcBorders>
            <w:shd w:val="clear" w:color="auto" w:fill="auto"/>
            <w:vAlign w:val="center"/>
            <w:hideMark/>
          </w:tcPr>
          <w:p w:rsidR="002D26B7" w:rsidRPr="00577417" w:rsidRDefault="002D26B7" w:rsidP="003611B4">
            <w:pPr>
              <w:spacing w:after="0" w:line="240" w:lineRule="auto"/>
              <w:jc w:val="center"/>
              <w:rPr>
                <w:rFonts w:cs="Arial"/>
                <w:color w:val="000000"/>
                <w:sz w:val="16"/>
                <w:szCs w:val="16"/>
              </w:rPr>
            </w:pPr>
            <w:r w:rsidRPr="00577417">
              <w:rPr>
                <w:rFonts w:cs="Arial"/>
                <w:color w:val="000000"/>
                <w:sz w:val="16"/>
                <w:szCs w:val="16"/>
              </w:rPr>
              <w:t>183,1</w:t>
            </w:r>
          </w:p>
        </w:tc>
        <w:tc>
          <w:tcPr>
            <w:tcW w:w="736" w:type="dxa"/>
            <w:tcBorders>
              <w:top w:val="nil"/>
              <w:left w:val="nil"/>
              <w:bottom w:val="nil"/>
              <w:right w:val="nil"/>
            </w:tcBorders>
            <w:shd w:val="clear" w:color="auto" w:fill="auto"/>
            <w:vAlign w:val="center"/>
            <w:hideMark/>
          </w:tcPr>
          <w:p w:rsidR="002D26B7" w:rsidRPr="00577417" w:rsidRDefault="002D26B7" w:rsidP="003611B4">
            <w:pPr>
              <w:spacing w:after="0" w:line="240" w:lineRule="auto"/>
              <w:jc w:val="center"/>
              <w:rPr>
                <w:rFonts w:cs="Arial"/>
                <w:color w:val="000000"/>
                <w:sz w:val="16"/>
                <w:szCs w:val="16"/>
              </w:rPr>
            </w:pPr>
            <w:r w:rsidRPr="00577417">
              <w:rPr>
                <w:rFonts w:cs="Arial"/>
                <w:color w:val="000000"/>
                <w:sz w:val="16"/>
                <w:szCs w:val="16"/>
              </w:rPr>
              <w:t>83,5</w:t>
            </w:r>
          </w:p>
        </w:tc>
        <w:tc>
          <w:tcPr>
            <w:tcW w:w="736" w:type="dxa"/>
            <w:tcBorders>
              <w:top w:val="nil"/>
              <w:left w:val="nil"/>
              <w:bottom w:val="nil"/>
              <w:right w:val="single" w:sz="4" w:space="0" w:color="auto"/>
            </w:tcBorders>
            <w:shd w:val="clear" w:color="auto" w:fill="auto"/>
            <w:vAlign w:val="center"/>
            <w:hideMark/>
          </w:tcPr>
          <w:p w:rsidR="002D26B7" w:rsidRPr="00577417" w:rsidRDefault="002D26B7" w:rsidP="003611B4">
            <w:pPr>
              <w:spacing w:after="0" w:line="240" w:lineRule="auto"/>
              <w:jc w:val="center"/>
              <w:rPr>
                <w:rFonts w:cs="Arial"/>
                <w:color w:val="000000"/>
                <w:sz w:val="16"/>
                <w:szCs w:val="16"/>
              </w:rPr>
            </w:pPr>
            <w:r w:rsidRPr="00577417">
              <w:rPr>
                <w:rFonts w:cs="Arial"/>
                <w:color w:val="000000"/>
                <w:sz w:val="16"/>
                <w:szCs w:val="16"/>
              </w:rPr>
              <w:t>99,6</w:t>
            </w:r>
          </w:p>
        </w:tc>
        <w:tc>
          <w:tcPr>
            <w:tcW w:w="737" w:type="dxa"/>
            <w:tcBorders>
              <w:top w:val="nil"/>
              <w:left w:val="nil"/>
              <w:bottom w:val="nil"/>
              <w:right w:val="nil"/>
            </w:tcBorders>
            <w:shd w:val="clear" w:color="auto" w:fill="auto"/>
            <w:vAlign w:val="center"/>
            <w:hideMark/>
          </w:tcPr>
          <w:p w:rsidR="002D26B7" w:rsidRPr="00577417" w:rsidRDefault="002D26B7" w:rsidP="003611B4">
            <w:pPr>
              <w:spacing w:after="0" w:line="240" w:lineRule="auto"/>
              <w:jc w:val="center"/>
              <w:rPr>
                <w:rFonts w:cs="Arial"/>
                <w:color w:val="000000"/>
                <w:sz w:val="16"/>
                <w:szCs w:val="16"/>
              </w:rPr>
            </w:pPr>
            <w:r w:rsidRPr="00577417">
              <w:rPr>
                <w:rFonts w:cs="Arial"/>
                <w:color w:val="000000"/>
                <w:sz w:val="16"/>
                <w:szCs w:val="16"/>
              </w:rPr>
              <w:t>156,2</w:t>
            </w:r>
          </w:p>
        </w:tc>
        <w:tc>
          <w:tcPr>
            <w:tcW w:w="736" w:type="dxa"/>
            <w:tcBorders>
              <w:top w:val="nil"/>
              <w:left w:val="nil"/>
              <w:bottom w:val="nil"/>
              <w:right w:val="nil"/>
            </w:tcBorders>
            <w:shd w:val="clear" w:color="auto" w:fill="auto"/>
            <w:vAlign w:val="center"/>
            <w:hideMark/>
          </w:tcPr>
          <w:p w:rsidR="002D26B7" w:rsidRPr="00577417" w:rsidRDefault="002D26B7" w:rsidP="003611B4">
            <w:pPr>
              <w:spacing w:after="0" w:line="240" w:lineRule="auto"/>
              <w:jc w:val="center"/>
              <w:rPr>
                <w:rFonts w:cs="Arial"/>
                <w:color w:val="000000"/>
                <w:sz w:val="16"/>
                <w:szCs w:val="16"/>
              </w:rPr>
            </w:pPr>
            <w:r w:rsidRPr="00577417">
              <w:rPr>
                <w:rFonts w:cs="Arial"/>
                <w:color w:val="000000"/>
                <w:sz w:val="16"/>
                <w:szCs w:val="16"/>
              </w:rPr>
              <w:t>66,2</w:t>
            </w:r>
          </w:p>
        </w:tc>
        <w:tc>
          <w:tcPr>
            <w:tcW w:w="736" w:type="dxa"/>
            <w:tcBorders>
              <w:top w:val="nil"/>
              <w:left w:val="nil"/>
              <w:bottom w:val="nil"/>
              <w:right w:val="nil"/>
            </w:tcBorders>
            <w:shd w:val="clear" w:color="auto" w:fill="auto"/>
            <w:vAlign w:val="center"/>
            <w:hideMark/>
          </w:tcPr>
          <w:p w:rsidR="002D26B7" w:rsidRPr="00577417" w:rsidRDefault="002D26B7" w:rsidP="003611B4">
            <w:pPr>
              <w:spacing w:after="0" w:line="240" w:lineRule="auto"/>
              <w:jc w:val="center"/>
              <w:rPr>
                <w:rFonts w:cs="Arial"/>
                <w:color w:val="000000"/>
                <w:sz w:val="16"/>
                <w:szCs w:val="16"/>
              </w:rPr>
            </w:pPr>
            <w:r w:rsidRPr="00577417">
              <w:rPr>
                <w:rFonts w:cs="Arial"/>
                <w:color w:val="000000"/>
                <w:sz w:val="16"/>
                <w:szCs w:val="16"/>
              </w:rPr>
              <w:t>90,0</w:t>
            </w:r>
          </w:p>
        </w:tc>
        <w:tc>
          <w:tcPr>
            <w:tcW w:w="754" w:type="dxa"/>
            <w:tcBorders>
              <w:top w:val="nil"/>
              <w:left w:val="single" w:sz="4" w:space="0" w:color="auto"/>
              <w:bottom w:val="nil"/>
              <w:right w:val="nil"/>
            </w:tcBorders>
            <w:shd w:val="clear" w:color="auto" w:fill="auto"/>
            <w:vAlign w:val="center"/>
            <w:hideMark/>
          </w:tcPr>
          <w:p w:rsidR="002D26B7" w:rsidRPr="00577417" w:rsidRDefault="002D26B7" w:rsidP="003611B4">
            <w:pPr>
              <w:spacing w:after="0" w:line="240" w:lineRule="auto"/>
              <w:jc w:val="center"/>
              <w:rPr>
                <w:rFonts w:cs="Arial"/>
                <w:color w:val="000000"/>
                <w:sz w:val="16"/>
                <w:szCs w:val="16"/>
              </w:rPr>
            </w:pPr>
            <w:r w:rsidRPr="00577417">
              <w:rPr>
                <w:rFonts w:cs="Arial"/>
                <w:color w:val="000000"/>
                <w:sz w:val="16"/>
                <w:szCs w:val="16"/>
              </w:rPr>
              <w:t>7,0</w:t>
            </w:r>
          </w:p>
        </w:tc>
        <w:tc>
          <w:tcPr>
            <w:tcW w:w="737" w:type="dxa"/>
            <w:tcBorders>
              <w:top w:val="nil"/>
              <w:left w:val="nil"/>
              <w:bottom w:val="nil"/>
              <w:right w:val="nil"/>
            </w:tcBorders>
            <w:shd w:val="clear" w:color="auto" w:fill="auto"/>
            <w:vAlign w:val="center"/>
            <w:hideMark/>
          </w:tcPr>
          <w:p w:rsidR="002D26B7" w:rsidRPr="00577417" w:rsidRDefault="002D26B7" w:rsidP="003611B4">
            <w:pPr>
              <w:spacing w:after="0" w:line="240" w:lineRule="auto"/>
              <w:jc w:val="center"/>
              <w:rPr>
                <w:rFonts w:cs="Arial"/>
                <w:color w:val="000000"/>
                <w:sz w:val="16"/>
                <w:szCs w:val="16"/>
              </w:rPr>
            </w:pPr>
            <w:r w:rsidRPr="00577417">
              <w:rPr>
                <w:rFonts w:cs="Arial"/>
                <w:color w:val="000000"/>
                <w:sz w:val="16"/>
                <w:szCs w:val="16"/>
              </w:rPr>
              <w:t>4,8</w:t>
            </w:r>
          </w:p>
        </w:tc>
        <w:tc>
          <w:tcPr>
            <w:tcW w:w="737" w:type="dxa"/>
            <w:tcBorders>
              <w:top w:val="nil"/>
              <w:left w:val="nil"/>
              <w:bottom w:val="nil"/>
              <w:right w:val="single" w:sz="4" w:space="0" w:color="auto"/>
            </w:tcBorders>
            <w:shd w:val="clear" w:color="auto" w:fill="auto"/>
            <w:vAlign w:val="center"/>
            <w:hideMark/>
          </w:tcPr>
          <w:p w:rsidR="002D26B7" w:rsidRPr="00577417" w:rsidRDefault="002D26B7" w:rsidP="003611B4">
            <w:pPr>
              <w:spacing w:after="0" w:line="240" w:lineRule="auto"/>
              <w:jc w:val="center"/>
              <w:rPr>
                <w:rFonts w:cs="Arial"/>
                <w:color w:val="000000"/>
                <w:sz w:val="16"/>
                <w:szCs w:val="16"/>
              </w:rPr>
            </w:pPr>
            <w:r w:rsidRPr="00577417">
              <w:rPr>
                <w:rFonts w:cs="Arial"/>
                <w:color w:val="000000"/>
                <w:sz w:val="16"/>
                <w:szCs w:val="16"/>
              </w:rPr>
              <w:t>2,2</w:t>
            </w:r>
          </w:p>
        </w:tc>
        <w:tc>
          <w:tcPr>
            <w:tcW w:w="737" w:type="dxa"/>
            <w:tcBorders>
              <w:top w:val="nil"/>
              <w:left w:val="nil"/>
              <w:bottom w:val="nil"/>
              <w:right w:val="nil"/>
            </w:tcBorders>
            <w:shd w:val="clear" w:color="auto" w:fill="auto"/>
            <w:vAlign w:val="center"/>
            <w:hideMark/>
          </w:tcPr>
          <w:p w:rsidR="002D26B7" w:rsidRPr="00577417" w:rsidRDefault="002D26B7" w:rsidP="003611B4">
            <w:pPr>
              <w:spacing w:after="0" w:line="240" w:lineRule="auto"/>
              <w:jc w:val="center"/>
              <w:rPr>
                <w:rFonts w:cs="Arial"/>
                <w:color w:val="000000"/>
                <w:sz w:val="16"/>
                <w:szCs w:val="16"/>
              </w:rPr>
            </w:pPr>
            <w:r w:rsidRPr="00577417">
              <w:rPr>
                <w:rFonts w:cs="Arial"/>
                <w:color w:val="000000"/>
                <w:sz w:val="16"/>
                <w:szCs w:val="16"/>
              </w:rPr>
              <w:t>19,9</w:t>
            </w:r>
          </w:p>
        </w:tc>
        <w:tc>
          <w:tcPr>
            <w:tcW w:w="737" w:type="dxa"/>
            <w:tcBorders>
              <w:top w:val="nil"/>
              <w:left w:val="nil"/>
              <w:bottom w:val="nil"/>
              <w:right w:val="nil"/>
            </w:tcBorders>
            <w:shd w:val="clear" w:color="auto" w:fill="auto"/>
            <w:vAlign w:val="center"/>
            <w:hideMark/>
          </w:tcPr>
          <w:p w:rsidR="002D26B7" w:rsidRPr="00577417" w:rsidRDefault="002D26B7" w:rsidP="003611B4">
            <w:pPr>
              <w:spacing w:after="0" w:line="240" w:lineRule="auto"/>
              <w:jc w:val="center"/>
              <w:rPr>
                <w:rFonts w:cs="Arial"/>
                <w:color w:val="000000"/>
                <w:sz w:val="16"/>
                <w:szCs w:val="16"/>
              </w:rPr>
            </w:pPr>
            <w:r w:rsidRPr="00577417">
              <w:rPr>
                <w:rFonts w:cs="Arial"/>
                <w:color w:val="000000"/>
                <w:sz w:val="16"/>
                <w:szCs w:val="16"/>
              </w:rPr>
              <w:t>12,5</w:t>
            </w:r>
          </w:p>
        </w:tc>
        <w:tc>
          <w:tcPr>
            <w:tcW w:w="737" w:type="dxa"/>
            <w:tcBorders>
              <w:top w:val="nil"/>
              <w:left w:val="nil"/>
              <w:bottom w:val="nil"/>
              <w:right w:val="nil"/>
            </w:tcBorders>
            <w:shd w:val="clear" w:color="auto" w:fill="auto"/>
            <w:vAlign w:val="center"/>
            <w:hideMark/>
          </w:tcPr>
          <w:p w:rsidR="002D26B7" w:rsidRPr="00577417" w:rsidRDefault="002D26B7" w:rsidP="003611B4">
            <w:pPr>
              <w:spacing w:after="0" w:line="240" w:lineRule="auto"/>
              <w:jc w:val="center"/>
              <w:rPr>
                <w:rFonts w:cs="Arial"/>
                <w:color w:val="000000"/>
                <w:sz w:val="16"/>
                <w:szCs w:val="16"/>
              </w:rPr>
            </w:pPr>
            <w:r w:rsidRPr="00577417">
              <w:rPr>
                <w:rFonts w:cs="Arial"/>
                <w:color w:val="000000"/>
                <w:sz w:val="16"/>
                <w:szCs w:val="16"/>
              </w:rPr>
              <w:t>7,4</w:t>
            </w:r>
          </w:p>
        </w:tc>
      </w:tr>
      <w:tr w:rsidR="002D26B7" w:rsidRPr="00577417" w:rsidTr="003611B4">
        <w:trPr>
          <w:trHeight w:val="300"/>
        </w:trPr>
        <w:tc>
          <w:tcPr>
            <w:tcW w:w="737" w:type="dxa"/>
            <w:tcBorders>
              <w:top w:val="nil"/>
              <w:left w:val="nil"/>
              <w:bottom w:val="nil"/>
              <w:right w:val="nil"/>
            </w:tcBorders>
            <w:shd w:val="clear" w:color="auto" w:fill="auto"/>
            <w:vAlign w:val="center"/>
            <w:hideMark/>
          </w:tcPr>
          <w:p w:rsidR="002D26B7" w:rsidRPr="00577417" w:rsidRDefault="002D26B7" w:rsidP="003611B4">
            <w:pPr>
              <w:spacing w:after="0" w:line="240" w:lineRule="auto"/>
              <w:jc w:val="center"/>
              <w:rPr>
                <w:rFonts w:cs="Arial"/>
                <w:color w:val="000000"/>
                <w:sz w:val="16"/>
                <w:szCs w:val="16"/>
              </w:rPr>
            </w:pPr>
            <w:r w:rsidRPr="00577417">
              <w:rPr>
                <w:rFonts w:cs="Arial"/>
                <w:color w:val="000000"/>
                <w:sz w:val="16"/>
                <w:szCs w:val="16"/>
              </w:rPr>
              <w:t>2016</w:t>
            </w:r>
          </w:p>
        </w:tc>
        <w:tc>
          <w:tcPr>
            <w:tcW w:w="737" w:type="dxa"/>
            <w:tcBorders>
              <w:top w:val="nil"/>
              <w:left w:val="single" w:sz="4" w:space="0" w:color="auto"/>
              <w:bottom w:val="nil"/>
              <w:right w:val="nil"/>
            </w:tcBorders>
            <w:shd w:val="clear" w:color="auto" w:fill="auto"/>
            <w:vAlign w:val="center"/>
            <w:hideMark/>
          </w:tcPr>
          <w:p w:rsidR="002D26B7" w:rsidRPr="00577417" w:rsidRDefault="002D26B7" w:rsidP="003611B4">
            <w:pPr>
              <w:spacing w:after="0" w:line="240" w:lineRule="auto"/>
              <w:jc w:val="center"/>
              <w:rPr>
                <w:rFonts w:cs="Arial"/>
                <w:color w:val="000000"/>
                <w:sz w:val="16"/>
                <w:szCs w:val="16"/>
              </w:rPr>
            </w:pPr>
            <w:r w:rsidRPr="00577417">
              <w:rPr>
                <w:rFonts w:cs="Arial"/>
                <w:color w:val="000000"/>
                <w:sz w:val="16"/>
                <w:szCs w:val="16"/>
              </w:rPr>
              <w:t>191,9</w:t>
            </w:r>
          </w:p>
        </w:tc>
        <w:tc>
          <w:tcPr>
            <w:tcW w:w="736" w:type="dxa"/>
            <w:tcBorders>
              <w:top w:val="nil"/>
              <w:left w:val="nil"/>
              <w:bottom w:val="nil"/>
              <w:right w:val="nil"/>
            </w:tcBorders>
            <w:shd w:val="clear" w:color="auto" w:fill="auto"/>
            <w:vAlign w:val="center"/>
            <w:hideMark/>
          </w:tcPr>
          <w:p w:rsidR="002D26B7" w:rsidRPr="00577417" w:rsidRDefault="002D26B7" w:rsidP="003611B4">
            <w:pPr>
              <w:spacing w:after="0" w:line="240" w:lineRule="auto"/>
              <w:jc w:val="center"/>
              <w:rPr>
                <w:rFonts w:cs="Arial"/>
                <w:color w:val="000000"/>
                <w:sz w:val="16"/>
                <w:szCs w:val="16"/>
              </w:rPr>
            </w:pPr>
            <w:r w:rsidRPr="00577417">
              <w:rPr>
                <w:rFonts w:cs="Arial"/>
                <w:color w:val="000000"/>
                <w:sz w:val="16"/>
                <w:szCs w:val="16"/>
              </w:rPr>
              <w:t>87,1</w:t>
            </w:r>
          </w:p>
        </w:tc>
        <w:tc>
          <w:tcPr>
            <w:tcW w:w="736" w:type="dxa"/>
            <w:tcBorders>
              <w:top w:val="nil"/>
              <w:left w:val="nil"/>
              <w:bottom w:val="nil"/>
              <w:right w:val="single" w:sz="4" w:space="0" w:color="auto"/>
            </w:tcBorders>
            <w:shd w:val="clear" w:color="auto" w:fill="auto"/>
            <w:vAlign w:val="center"/>
            <w:hideMark/>
          </w:tcPr>
          <w:p w:rsidR="002D26B7" w:rsidRPr="00577417" w:rsidRDefault="002D26B7" w:rsidP="003611B4">
            <w:pPr>
              <w:spacing w:after="0" w:line="240" w:lineRule="auto"/>
              <w:jc w:val="center"/>
              <w:rPr>
                <w:rFonts w:cs="Arial"/>
                <w:color w:val="000000"/>
                <w:sz w:val="16"/>
                <w:szCs w:val="16"/>
              </w:rPr>
            </w:pPr>
            <w:r w:rsidRPr="00577417">
              <w:rPr>
                <w:rFonts w:cs="Arial"/>
                <w:color w:val="000000"/>
                <w:sz w:val="16"/>
                <w:szCs w:val="16"/>
              </w:rPr>
              <w:t>104,8</w:t>
            </w:r>
          </w:p>
        </w:tc>
        <w:tc>
          <w:tcPr>
            <w:tcW w:w="737" w:type="dxa"/>
            <w:tcBorders>
              <w:top w:val="nil"/>
              <w:left w:val="nil"/>
              <w:bottom w:val="nil"/>
              <w:right w:val="nil"/>
            </w:tcBorders>
            <w:shd w:val="clear" w:color="auto" w:fill="auto"/>
            <w:vAlign w:val="center"/>
            <w:hideMark/>
          </w:tcPr>
          <w:p w:rsidR="002D26B7" w:rsidRPr="00577417" w:rsidRDefault="002D26B7" w:rsidP="003611B4">
            <w:pPr>
              <w:spacing w:after="0" w:line="240" w:lineRule="auto"/>
              <w:jc w:val="center"/>
              <w:rPr>
                <w:rFonts w:cs="Arial"/>
                <w:color w:val="000000"/>
                <w:sz w:val="16"/>
                <w:szCs w:val="16"/>
              </w:rPr>
            </w:pPr>
            <w:r w:rsidRPr="00577417">
              <w:rPr>
                <w:rFonts w:cs="Arial"/>
                <w:color w:val="000000"/>
                <w:sz w:val="16"/>
                <w:szCs w:val="16"/>
              </w:rPr>
              <w:t>164,2</w:t>
            </w:r>
          </w:p>
        </w:tc>
        <w:tc>
          <w:tcPr>
            <w:tcW w:w="736" w:type="dxa"/>
            <w:tcBorders>
              <w:top w:val="nil"/>
              <w:left w:val="nil"/>
              <w:bottom w:val="nil"/>
              <w:right w:val="nil"/>
            </w:tcBorders>
            <w:shd w:val="clear" w:color="auto" w:fill="auto"/>
            <w:vAlign w:val="center"/>
            <w:hideMark/>
          </w:tcPr>
          <w:p w:rsidR="002D26B7" w:rsidRPr="00577417" w:rsidRDefault="002D26B7" w:rsidP="003611B4">
            <w:pPr>
              <w:spacing w:after="0" w:line="240" w:lineRule="auto"/>
              <w:jc w:val="center"/>
              <w:rPr>
                <w:rFonts w:cs="Arial"/>
                <w:color w:val="000000"/>
                <w:sz w:val="16"/>
                <w:szCs w:val="16"/>
              </w:rPr>
            </w:pPr>
            <w:r w:rsidRPr="00577417">
              <w:rPr>
                <w:rFonts w:cs="Arial"/>
                <w:color w:val="000000"/>
                <w:sz w:val="16"/>
                <w:szCs w:val="16"/>
              </w:rPr>
              <w:t>69,4</w:t>
            </w:r>
          </w:p>
        </w:tc>
        <w:tc>
          <w:tcPr>
            <w:tcW w:w="736" w:type="dxa"/>
            <w:tcBorders>
              <w:top w:val="nil"/>
              <w:left w:val="nil"/>
              <w:bottom w:val="nil"/>
              <w:right w:val="nil"/>
            </w:tcBorders>
            <w:shd w:val="clear" w:color="auto" w:fill="auto"/>
            <w:vAlign w:val="center"/>
            <w:hideMark/>
          </w:tcPr>
          <w:p w:rsidR="002D26B7" w:rsidRPr="00577417" w:rsidRDefault="002D26B7" w:rsidP="003611B4">
            <w:pPr>
              <w:spacing w:after="0" w:line="240" w:lineRule="auto"/>
              <w:jc w:val="center"/>
              <w:rPr>
                <w:rFonts w:cs="Arial"/>
                <w:color w:val="000000"/>
                <w:sz w:val="16"/>
                <w:szCs w:val="16"/>
              </w:rPr>
            </w:pPr>
            <w:r w:rsidRPr="00577417">
              <w:rPr>
                <w:rFonts w:cs="Arial"/>
                <w:color w:val="000000"/>
                <w:sz w:val="16"/>
                <w:szCs w:val="16"/>
              </w:rPr>
              <w:t>94,8</w:t>
            </w:r>
          </w:p>
        </w:tc>
        <w:tc>
          <w:tcPr>
            <w:tcW w:w="754" w:type="dxa"/>
            <w:tcBorders>
              <w:top w:val="nil"/>
              <w:left w:val="single" w:sz="4" w:space="0" w:color="auto"/>
              <w:bottom w:val="nil"/>
              <w:right w:val="nil"/>
            </w:tcBorders>
            <w:shd w:val="clear" w:color="auto" w:fill="auto"/>
            <w:vAlign w:val="center"/>
            <w:hideMark/>
          </w:tcPr>
          <w:p w:rsidR="002D26B7" w:rsidRPr="00577417" w:rsidRDefault="002D26B7" w:rsidP="003611B4">
            <w:pPr>
              <w:spacing w:after="0" w:line="240" w:lineRule="auto"/>
              <w:jc w:val="center"/>
              <w:rPr>
                <w:rFonts w:cs="Arial"/>
                <w:color w:val="000000"/>
                <w:sz w:val="16"/>
                <w:szCs w:val="16"/>
              </w:rPr>
            </w:pPr>
            <w:r w:rsidRPr="00577417">
              <w:rPr>
                <w:rFonts w:cs="Arial"/>
                <w:color w:val="000000"/>
                <w:sz w:val="16"/>
                <w:szCs w:val="16"/>
              </w:rPr>
              <w:t>7,0</w:t>
            </w:r>
          </w:p>
        </w:tc>
        <w:tc>
          <w:tcPr>
            <w:tcW w:w="737" w:type="dxa"/>
            <w:tcBorders>
              <w:top w:val="nil"/>
              <w:left w:val="nil"/>
              <w:bottom w:val="nil"/>
              <w:right w:val="nil"/>
            </w:tcBorders>
            <w:shd w:val="clear" w:color="auto" w:fill="auto"/>
            <w:vAlign w:val="center"/>
            <w:hideMark/>
          </w:tcPr>
          <w:p w:rsidR="002D26B7" w:rsidRPr="00577417" w:rsidRDefault="002D26B7" w:rsidP="003611B4">
            <w:pPr>
              <w:spacing w:after="0" w:line="240" w:lineRule="auto"/>
              <w:jc w:val="center"/>
              <w:rPr>
                <w:rFonts w:cs="Arial"/>
                <w:color w:val="000000"/>
                <w:sz w:val="16"/>
                <w:szCs w:val="16"/>
              </w:rPr>
            </w:pPr>
            <w:r w:rsidRPr="00577417">
              <w:rPr>
                <w:rFonts w:cs="Arial"/>
                <w:color w:val="000000"/>
                <w:sz w:val="16"/>
                <w:szCs w:val="16"/>
              </w:rPr>
              <w:t>4,8</w:t>
            </w:r>
          </w:p>
        </w:tc>
        <w:tc>
          <w:tcPr>
            <w:tcW w:w="737" w:type="dxa"/>
            <w:tcBorders>
              <w:top w:val="nil"/>
              <w:left w:val="nil"/>
              <w:bottom w:val="nil"/>
              <w:right w:val="single" w:sz="4" w:space="0" w:color="auto"/>
            </w:tcBorders>
            <w:shd w:val="clear" w:color="auto" w:fill="auto"/>
            <w:vAlign w:val="center"/>
            <w:hideMark/>
          </w:tcPr>
          <w:p w:rsidR="002D26B7" w:rsidRPr="00577417" w:rsidRDefault="002D26B7" w:rsidP="003611B4">
            <w:pPr>
              <w:spacing w:after="0" w:line="240" w:lineRule="auto"/>
              <w:jc w:val="center"/>
              <w:rPr>
                <w:rFonts w:cs="Arial"/>
                <w:color w:val="000000"/>
                <w:sz w:val="16"/>
                <w:szCs w:val="16"/>
              </w:rPr>
            </w:pPr>
            <w:r w:rsidRPr="00577417">
              <w:rPr>
                <w:rFonts w:cs="Arial"/>
                <w:color w:val="000000"/>
                <w:sz w:val="16"/>
                <w:szCs w:val="16"/>
              </w:rPr>
              <w:t>2,2</w:t>
            </w:r>
          </w:p>
        </w:tc>
        <w:tc>
          <w:tcPr>
            <w:tcW w:w="737" w:type="dxa"/>
            <w:tcBorders>
              <w:top w:val="nil"/>
              <w:left w:val="nil"/>
              <w:bottom w:val="nil"/>
              <w:right w:val="nil"/>
            </w:tcBorders>
            <w:shd w:val="clear" w:color="auto" w:fill="auto"/>
            <w:vAlign w:val="center"/>
            <w:hideMark/>
          </w:tcPr>
          <w:p w:rsidR="002D26B7" w:rsidRPr="00577417" w:rsidRDefault="002D26B7" w:rsidP="003611B4">
            <w:pPr>
              <w:spacing w:after="0" w:line="240" w:lineRule="auto"/>
              <w:jc w:val="center"/>
              <w:rPr>
                <w:rFonts w:cs="Arial"/>
                <w:color w:val="000000"/>
                <w:sz w:val="16"/>
                <w:szCs w:val="16"/>
              </w:rPr>
            </w:pPr>
            <w:r w:rsidRPr="00577417">
              <w:rPr>
                <w:rFonts w:cs="Arial"/>
                <w:color w:val="000000"/>
                <w:sz w:val="16"/>
                <w:szCs w:val="16"/>
              </w:rPr>
              <w:t>20,7</w:t>
            </w:r>
          </w:p>
        </w:tc>
        <w:tc>
          <w:tcPr>
            <w:tcW w:w="737" w:type="dxa"/>
            <w:tcBorders>
              <w:top w:val="nil"/>
              <w:left w:val="nil"/>
              <w:bottom w:val="nil"/>
              <w:right w:val="nil"/>
            </w:tcBorders>
            <w:shd w:val="clear" w:color="auto" w:fill="auto"/>
            <w:vAlign w:val="center"/>
            <w:hideMark/>
          </w:tcPr>
          <w:p w:rsidR="002D26B7" w:rsidRPr="00577417" w:rsidRDefault="002D26B7" w:rsidP="003611B4">
            <w:pPr>
              <w:spacing w:after="0" w:line="240" w:lineRule="auto"/>
              <w:jc w:val="center"/>
              <w:rPr>
                <w:rFonts w:cs="Arial"/>
                <w:color w:val="000000"/>
                <w:sz w:val="16"/>
                <w:szCs w:val="16"/>
              </w:rPr>
            </w:pPr>
            <w:r w:rsidRPr="00577417">
              <w:rPr>
                <w:rFonts w:cs="Arial"/>
                <w:color w:val="000000"/>
                <w:sz w:val="16"/>
                <w:szCs w:val="16"/>
              </w:rPr>
              <w:t>12,9</w:t>
            </w:r>
          </w:p>
        </w:tc>
        <w:tc>
          <w:tcPr>
            <w:tcW w:w="737" w:type="dxa"/>
            <w:tcBorders>
              <w:top w:val="nil"/>
              <w:left w:val="nil"/>
              <w:bottom w:val="nil"/>
              <w:right w:val="nil"/>
            </w:tcBorders>
            <w:shd w:val="clear" w:color="auto" w:fill="auto"/>
            <w:vAlign w:val="center"/>
            <w:hideMark/>
          </w:tcPr>
          <w:p w:rsidR="002D26B7" w:rsidRPr="00577417" w:rsidRDefault="002D26B7" w:rsidP="003611B4">
            <w:pPr>
              <w:spacing w:after="0" w:line="240" w:lineRule="auto"/>
              <w:jc w:val="center"/>
              <w:rPr>
                <w:rFonts w:cs="Arial"/>
                <w:color w:val="000000"/>
                <w:sz w:val="16"/>
                <w:szCs w:val="16"/>
              </w:rPr>
            </w:pPr>
            <w:r w:rsidRPr="00577417">
              <w:rPr>
                <w:rFonts w:cs="Arial"/>
                <w:color w:val="000000"/>
                <w:sz w:val="16"/>
                <w:szCs w:val="16"/>
              </w:rPr>
              <w:t>7,8</w:t>
            </w:r>
          </w:p>
        </w:tc>
      </w:tr>
      <w:tr w:rsidR="002D26B7" w:rsidRPr="00577417" w:rsidTr="003611B4">
        <w:trPr>
          <w:trHeight w:val="300"/>
        </w:trPr>
        <w:tc>
          <w:tcPr>
            <w:tcW w:w="737" w:type="dxa"/>
            <w:tcBorders>
              <w:top w:val="nil"/>
              <w:left w:val="nil"/>
              <w:bottom w:val="nil"/>
              <w:right w:val="nil"/>
            </w:tcBorders>
            <w:shd w:val="clear" w:color="auto" w:fill="auto"/>
            <w:vAlign w:val="center"/>
            <w:hideMark/>
          </w:tcPr>
          <w:p w:rsidR="002D26B7" w:rsidRPr="00577417" w:rsidRDefault="002D26B7" w:rsidP="003611B4">
            <w:pPr>
              <w:spacing w:after="0" w:line="240" w:lineRule="auto"/>
              <w:jc w:val="center"/>
              <w:rPr>
                <w:rFonts w:cs="Arial"/>
                <w:color w:val="000000"/>
                <w:sz w:val="16"/>
                <w:szCs w:val="16"/>
              </w:rPr>
            </w:pPr>
            <w:r w:rsidRPr="00577417">
              <w:rPr>
                <w:rFonts w:cs="Arial"/>
                <w:color w:val="000000"/>
                <w:sz w:val="16"/>
                <w:szCs w:val="16"/>
              </w:rPr>
              <w:t>2017</w:t>
            </w:r>
          </w:p>
        </w:tc>
        <w:tc>
          <w:tcPr>
            <w:tcW w:w="737" w:type="dxa"/>
            <w:tcBorders>
              <w:top w:val="nil"/>
              <w:left w:val="single" w:sz="4" w:space="0" w:color="auto"/>
              <w:bottom w:val="nil"/>
              <w:right w:val="nil"/>
            </w:tcBorders>
            <w:shd w:val="clear" w:color="auto" w:fill="auto"/>
            <w:vAlign w:val="center"/>
            <w:hideMark/>
          </w:tcPr>
          <w:p w:rsidR="002D26B7" w:rsidRPr="00577417" w:rsidRDefault="002D26B7" w:rsidP="003611B4">
            <w:pPr>
              <w:spacing w:after="0" w:line="240" w:lineRule="auto"/>
              <w:jc w:val="center"/>
              <w:rPr>
                <w:rFonts w:cs="Arial"/>
                <w:color w:val="000000"/>
                <w:sz w:val="16"/>
                <w:szCs w:val="16"/>
              </w:rPr>
            </w:pPr>
            <w:r w:rsidRPr="00577417">
              <w:rPr>
                <w:rFonts w:cs="Arial"/>
                <w:color w:val="000000"/>
                <w:sz w:val="16"/>
                <w:szCs w:val="16"/>
              </w:rPr>
              <w:t>199,1</w:t>
            </w:r>
          </w:p>
        </w:tc>
        <w:tc>
          <w:tcPr>
            <w:tcW w:w="736" w:type="dxa"/>
            <w:tcBorders>
              <w:top w:val="nil"/>
              <w:left w:val="nil"/>
              <w:bottom w:val="nil"/>
              <w:right w:val="nil"/>
            </w:tcBorders>
            <w:shd w:val="clear" w:color="auto" w:fill="auto"/>
            <w:vAlign w:val="center"/>
            <w:hideMark/>
          </w:tcPr>
          <w:p w:rsidR="002D26B7" w:rsidRPr="00577417" w:rsidRDefault="002D26B7" w:rsidP="003611B4">
            <w:pPr>
              <w:spacing w:after="0" w:line="240" w:lineRule="auto"/>
              <w:jc w:val="center"/>
              <w:rPr>
                <w:rFonts w:cs="Arial"/>
                <w:color w:val="000000"/>
                <w:sz w:val="16"/>
                <w:szCs w:val="16"/>
              </w:rPr>
            </w:pPr>
            <w:r w:rsidRPr="00577417">
              <w:rPr>
                <w:rFonts w:cs="Arial"/>
                <w:color w:val="000000"/>
                <w:sz w:val="16"/>
                <w:szCs w:val="16"/>
              </w:rPr>
              <w:t>90,6</w:t>
            </w:r>
          </w:p>
        </w:tc>
        <w:tc>
          <w:tcPr>
            <w:tcW w:w="736" w:type="dxa"/>
            <w:tcBorders>
              <w:top w:val="nil"/>
              <w:left w:val="nil"/>
              <w:bottom w:val="nil"/>
              <w:right w:val="single" w:sz="4" w:space="0" w:color="auto"/>
            </w:tcBorders>
            <w:shd w:val="clear" w:color="auto" w:fill="auto"/>
            <w:vAlign w:val="center"/>
            <w:hideMark/>
          </w:tcPr>
          <w:p w:rsidR="002D26B7" w:rsidRPr="00577417" w:rsidRDefault="002D26B7" w:rsidP="003611B4">
            <w:pPr>
              <w:spacing w:after="0" w:line="240" w:lineRule="auto"/>
              <w:jc w:val="center"/>
              <w:rPr>
                <w:rFonts w:cs="Arial"/>
                <w:color w:val="000000"/>
                <w:sz w:val="16"/>
                <w:szCs w:val="16"/>
              </w:rPr>
            </w:pPr>
            <w:r w:rsidRPr="00577417">
              <w:rPr>
                <w:rFonts w:cs="Arial"/>
                <w:color w:val="000000"/>
                <w:sz w:val="16"/>
                <w:szCs w:val="16"/>
              </w:rPr>
              <w:t>108,5</w:t>
            </w:r>
          </w:p>
        </w:tc>
        <w:tc>
          <w:tcPr>
            <w:tcW w:w="737" w:type="dxa"/>
            <w:tcBorders>
              <w:top w:val="nil"/>
              <w:left w:val="nil"/>
              <w:bottom w:val="nil"/>
              <w:right w:val="nil"/>
            </w:tcBorders>
            <w:shd w:val="clear" w:color="auto" w:fill="auto"/>
            <w:vAlign w:val="center"/>
            <w:hideMark/>
          </w:tcPr>
          <w:p w:rsidR="002D26B7" w:rsidRPr="00577417" w:rsidRDefault="002D26B7" w:rsidP="003611B4">
            <w:pPr>
              <w:spacing w:after="0" w:line="240" w:lineRule="auto"/>
              <w:jc w:val="center"/>
              <w:rPr>
                <w:rFonts w:cs="Arial"/>
                <w:color w:val="000000"/>
                <w:sz w:val="16"/>
                <w:szCs w:val="16"/>
              </w:rPr>
            </w:pPr>
            <w:r w:rsidRPr="00577417">
              <w:rPr>
                <w:rFonts w:cs="Arial"/>
                <w:color w:val="000000"/>
                <w:sz w:val="16"/>
                <w:szCs w:val="16"/>
              </w:rPr>
              <w:t>170,2</w:t>
            </w:r>
          </w:p>
        </w:tc>
        <w:tc>
          <w:tcPr>
            <w:tcW w:w="736" w:type="dxa"/>
            <w:tcBorders>
              <w:top w:val="nil"/>
              <w:left w:val="nil"/>
              <w:bottom w:val="nil"/>
              <w:right w:val="nil"/>
            </w:tcBorders>
            <w:shd w:val="clear" w:color="auto" w:fill="auto"/>
            <w:vAlign w:val="center"/>
            <w:hideMark/>
          </w:tcPr>
          <w:p w:rsidR="002D26B7" w:rsidRPr="00577417" w:rsidRDefault="002D26B7" w:rsidP="003611B4">
            <w:pPr>
              <w:spacing w:after="0" w:line="240" w:lineRule="auto"/>
              <w:jc w:val="center"/>
              <w:rPr>
                <w:rFonts w:cs="Arial"/>
                <w:color w:val="000000"/>
                <w:sz w:val="16"/>
                <w:szCs w:val="16"/>
              </w:rPr>
            </w:pPr>
            <w:r w:rsidRPr="00577417">
              <w:rPr>
                <w:rFonts w:cs="Arial"/>
                <w:color w:val="000000"/>
                <w:sz w:val="16"/>
                <w:szCs w:val="16"/>
              </w:rPr>
              <w:t>72,5</w:t>
            </w:r>
          </w:p>
        </w:tc>
        <w:tc>
          <w:tcPr>
            <w:tcW w:w="736" w:type="dxa"/>
            <w:tcBorders>
              <w:top w:val="nil"/>
              <w:left w:val="nil"/>
              <w:bottom w:val="nil"/>
              <w:right w:val="nil"/>
            </w:tcBorders>
            <w:shd w:val="clear" w:color="auto" w:fill="auto"/>
            <w:vAlign w:val="center"/>
            <w:hideMark/>
          </w:tcPr>
          <w:p w:rsidR="002D26B7" w:rsidRPr="00577417" w:rsidRDefault="002D26B7" w:rsidP="003611B4">
            <w:pPr>
              <w:spacing w:after="0" w:line="240" w:lineRule="auto"/>
              <w:jc w:val="center"/>
              <w:rPr>
                <w:rFonts w:cs="Arial"/>
                <w:color w:val="000000"/>
                <w:sz w:val="16"/>
                <w:szCs w:val="16"/>
              </w:rPr>
            </w:pPr>
            <w:r w:rsidRPr="00577417">
              <w:rPr>
                <w:rFonts w:cs="Arial"/>
                <w:color w:val="000000"/>
                <w:sz w:val="16"/>
                <w:szCs w:val="16"/>
              </w:rPr>
              <w:t>97,7</w:t>
            </w:r>
          </w:p>
        </w:tc>
        <w:tc>
          <w:tcPr>
            <w:tcW w:w="754" w:type="dxa"/>
            <w:tcBorders>
              <w:top w:val="nil"/>
              <w:left w:val="single" w:sz="4" w:space="0" w:color="auto"/>
              <w:bottom w:val="nil"/>
              <w:right w:val="nil"/>
            </w:tcBorders>
            <w:shd w:val="clear" w:color="auto" w:fill="auto"/>
            <w:vAlign w:val="center"/>
            <w:hideMark/>
          </w:tcPr>
          <w:p w:rsidR="002D26B7" w:rsidRPr="00577417" w:rsidRDefault="002D26B7" w:rsidP="003611B4">
            <w:pPr>
              <w:spacing w:after="0" w:line="240" w:lineRule="auto"/>
              <w:jc w:val="center"/>
              <w:rPr>
                <w:rFonts w:cs="Arial"/>
                <w:color w:val="000000"/>
                <w:sz w:val="16"/>
                <w:szCs w:val="16"/>
              </w:rPr>
            </w:pPr>
            <w:r w:rsidRPr="00577417">
              <w:rPr>
                <w:rFonts w:cs="Arial"/>
                <w:color w:val="000000"/>
                <w:sz w:val="16"/>
                <w:szCs w:val="16"/>
              </w:rPr>
              <w:t>7,1</w:t>
            </w:r>
          </w:p>
        </w:tc>
        <w:tc>
          <w:tcPr>
            <w:tcW w:w="737" w:type="dxa"/>
            <w:tcBorders>
              <w:top w:val="nil"/>
              <w:left w:val="nil"/>
              <w:bottom w:val="nil"/>
              <w:right w:val="nil"/>
            </w:tcBorders>
            <w:shd w:val="clear" w:color="auto" w:fill="auto"/>
            <w:vAlign w:val="center"/>
            <w:hideMark/>
          </w:tcPr>
          <w:p w:rsidR="002D26B7" w:rsidRPr="00577417" w:rsidRDefault="002D26B7" w:rsidP="003611B4">
            <w:pPr>
              <w:spacing w:after="0" w:line="240" w:lineRule="auto"/>
              <w:jc w:val="center"/>
              <w:rPr>
                <w:rFonts w:cs="Arial"/>
                <w:color w:val="000000"/>
                <w:sz w:val="16"/>
                <w:szCs w:val="16"/>
              </w:rPr>
            </w:pPr>
            <w:r w:rsidRPr="00577417">
              <w:rPr>
                <w:rFonts w:cs="Arial"/>
                <w:color w:val="000000"/>
                <w:sz w:val="16"/>
                <w:szCs w:val="16"/>
              </w:rPr>
              <w:t>4,8</w:t>
            </w:r>
          </w:p>
        </w:tc>
        <w:tc>
          <w:tcPr>
            <w:tcW w:w="737" w:type="dxa"/>
            <w:tcBorders>
              <w:top w:val="nil"/>
              <w:left w:val="nil"/>
              <w:bottom w:val="nil"/>
              <w:right w:val="single" w:sz="4" w:space="0" w:color="auto"/>
            </w:tcBorders>
            <w:shd w:val="clear" w:color="auto" w:fill="auto"/>
            <w:vAlign w:val="center"/>
            <w:hideMark/>
          </w:tcPr>
          <w:p w:rsidR="002D26B7" w:rsidRPr="00577417" w:rsidRDefault="002D26B7" w:rsidP="003611B4">
            <w:pPr>
              <w:spacing w:after="0" w:line="240" w:lineRule="auto"/>
              <w:jc w:val="center"/>
              <w:rPr>
                <w:rFonts w:cs="Arial"/>
                <w:color w:val="000000"/>
                <w:sz w:val="16"/>
                <w:szCs w:val="16"/>
              </w:rPr>
            </w:pPr>
            <w:r w:rsidRPr="00577417">
              <w:rPr>
                <w:rFonts w:cs="Arial"/>
                <w:color w:val="000000"/>
                <w:sz w:val="16"/>
                <w:szCs w:val="16"/>
              </w:rPr>
              <w:t>2,3</w:t>
            </w:r>
          </w:p>
        </w:tc>
        <w:tc>
          <w:tcPr>
            <w:tcW w:w="737" w:type="dxa"/>
            <w:tcBorders>
              <w:top w:val="nil"/>
              <w:left w:val="nil"/>
              <w:bottom w:val="nil"/>
              <w:right w:val="nil"/>
            </w:tcBorders>
            <w:shd w:val="clear" w:color="auto" w:fill="auto"/>
            <w:vAlign w:val="center"/>
            <w:hideMark/>
          </w:tcPr>
          <w:p w:rsidR="002D26B7" w:rsidRPr="00577417" w:rsidRDefault="002D26B7" w:rsidP="003611B4">
            <w:pPr>
              <w:spacing w:after="0" w:line="240" w:lineRule="auto"/>
              <w:jc w:val="center"/>
              <w:rPr>
                <w:rFonts w:cs="Arial"/>
                <w:color w:val="000000"/>
                <w:sz w:val="16"/>
                <w:szCs w:val="16"/>
              </w:rPr>
            </w:pPr>
            <w:r w:rsidRPr="00577417">
              <w:rPr>
                <w:rFonts w:cs="Arial"/>
                <w:color w:val="000000"/>
                <w:sz w:val="16"/>
                <w:szCs w:val="16"/>
              </w:rPr>
              <w:t>21,8</w:t>
            </w:r>
          </w:p>
        </w:tc>
        <w:tc>
          <w:tcPr>
            <w:tcW w:w="737" w:type="dxa"/>
            <w:tcBorders>
              <w:top w:val="nil"/>
              <w:left w:val="nil"/>
              <w:bottom w:val="nil"/>
              <w:right w:val="nil"/>
            </w:tcBorders>
            <w:shd w:val="clear" w:color="auto" w:fill="auto"/>
            <w:vAlign w:val="center"/>
            <w:hideMark/>
          </w:tcPr>
          <w:p w:rsidR="002D26B7" w:rsidRPr="00577417" w:rsidRDefault="002D26B7" w:rsidP="003611B4">
            <w:pPr>
              <w:spacing w:after="0" w:line="240" w:lineRule="auto"/>
              <w:jc w:val="center"/>
              <w:rPr>
                <w:rFonts w:cs="Arial"/>
                <w:color w:val="000000"/>
                <w:sz w:val="16"/>
                <w:szCs w:val="16"/>
              </w:rPr>
            </w:pPr>
            <w:r w:rsidRPr="00577417">
              <w:rPr>
                <w:rFonts w:cs="Arial"/>
                <w:color w:val="000000"/>
                <w:sz w:val="16"/>
                <w:szCs w:val="16"/>
              </w:rPr>
              <w:t>13,3</w:t>
            </w:r>
          </w:p>
        </w:tc>
        <w:tc>
          <w:tcPr>
            <w:tcW w:w="737" w:type="dxa"/>
            <w:tcBorders>
              <w:top w:val="nil"/>
              <w:left w:val="nil"/>
              <w:bottom w:val="nil"/>
              <w:right w:val="nil"/>
            </w:tcBorders>
            <w:shd w:val="clear" w:color="auto" w:fill="auto"/>
            <w:vAlign w:val="center"/>
            <w:hideMark/>
          </w:tcPr>
          <w:p w:rsidR="002D26B7" w:rsidRPr="00577417" w:rsidRDefault="002D26B7" w:rsidP="003611B4">
            <w:pPr>
              <w:spacing w:after="0" w:line="240" w:lineRule="auto"/>
              <w:jc w:val="center"/>
              <w:rPr>
                <w:rFonts w:cs="Arial"/>
                <w:color w:val="000000"/>
                <w:sz w:val="16"/>
                <w:szCs w:val="16"/>
              </w:rPr>
            </w:pPr>
            <w:r w:rsidRPr="00577417">
              <w:rPr>
                <w:rFonts w:cs="Arial"/>
                <w:color w:val="000000"/>
                <w:sz w:val="16"/>
                <w:szCs w:val="16"/>
              </w:rPr>
              <w:t>8,5</w:t>
            </w:r>
          </w:p>
        </w:tc>
      </w:tr>
      <w:tr w:rsidR="002D26B7" w:rsidRPr="00577417" w:rsidTr="003611B4">
        <w:trPr>
          <w:trHeight w:val="300"/>
        </w:trPr>
        <w:tc>
          <w:tcPr>
            <w:tcW w:w="737" w:type="dxa"/>
            <w:tcBorders>
              <w:top w:val="nil"/>
              <w:left w:val="nil"/>
              <w:bottom w:val="nil"/>
              <w:right w:val="nil"/>
            </w:tcBorders>
            <w:shd w:val="clear" w:color="auto" w:fill="auto"/>
            <w:vAlign w:val="center"/>
            <w:hideMark/>
          </w:tcPr>
          <w:p w:rsidR="002D26B7" w:rsidRPr="00577417" w:rsidRDefault="002D26B7" w:rsidP="003611B4">
            <w:pPr>
              <w:spacing w:after="0" w:line="240" w:lineRule="auto"/>
              <w:jc w:val="center"/>
              <w:rPr>
                <w:rFonts w:cs="Arial"/>
                <w:color w:val="000000"/>
                <w:sz w:val="16"/>
                <w:szCs w:val="16"/>
              </w:rPr>
            </w:pPr>
            <w:r w:rsidRPr="00577417">
              <w:rPr>
                <w:rFonts w:cs="Arial"/>
                <w:color w:val="000000"/>
                <w:sz w:val="16"/>
                <w:szCs w:val="16"/>
              </w:rPr>
              <w:t>2018</w:t>
            </w:r>
          </w:p>
        </w:tc>
        <w:tc>
          <w:tcPr>
            <w:tcW w:w="737" w:type="dxa"/>
            <w:tcBorders>
              <w:top w:val="nil"/>
              <w:left w:val="single" w:sz="4" w:space="0" w:color="auto"/>
              <w:bottom w:val="nil"/>
              <w:right w:val="nil"/>
            </w:tcBorders>
            <w:shd w:val="clear" w:color="auto" w:fill="auto"/>
            <w:vAlign w:val="center"/>
            <w:hideMark/>
          </w:tcPr>
          <w:p w:rsidR="002D26B7" w:rsidRPr="00577417" w:rsidRDefault="002D26B7" w:rsidP="003611B4">
            <w:pPr>
              <w:spacing w:after="0" w:line="240" w:lineRule="auto"/>
              <w:jc w:val="center"/>
              <w:rPr>
                <w:rFonts w:cs="Arial"/>
                <w:color w:val="000000"/>
                <w:sz w:val="16"/>
                <w:szCs w:val="16"/>
              </w:rPr>
            </w:pPr>
            <w:r w:rsidRPr="00577417">
              <w:rPr>
                <w:rFonts w:cs="Arial"/>
                <w:color w:val="000000"/>
                <w:sz w:val="16"/>
                <w:szCs w:val="16"/>
              </w:rPr>
              <w:t>211,4</w:t>
            </w:r>
          </w:p>
        </w:tc>
        <w:tc>
          <w:tcPr>
            <w:tcW w:w="736" w:type="dxa"/>
            <w:tcBorders>
              <w:top w:val="nil"/>
              <w:left w:val="nil"/>
              <w:bottom w:val="nil"/>
              <w:right w:val="nil"/>
            </w:tcBorders>
            <w:shd w:val="clear" w:color="auto" w:fill="auto"/>
            <w:vAlign w:val="center"/>
            <w:hideMark/>
          </w:tcPr>
          <w:p w:rsidR="002D26B7" w:rsidRPr="00577417" w:rsidRDefault="002D26B7" w:rsidP="003611B4">
            <w:pPr>
              <w:spacing w:after="0" w:line="240" w:lineRule="auto"/>
              <w:jc w:val="center"/>
              <w:rPr>
                <w:rFonts w:cs="Arial"/>
                <w:color w:val="000000"/>
                <w:sz w:val="16"/>
                <w:szCs w:val="16"/>
              </w:rPr>
            </w:pPr>
            <w:r w:rsidRPr="00577417">
              <w:rPr>
                <w:rFonts w:cs="Arial"/>
                <w:color w:val="000000"/>
                <w:sz w:val="16"/>
                <w:szCs w:val="16"/>
              </w:rPr>
              <w:t>96,5</w:t>
            </w:r>
          </w:p>
        </w:tc>
        <w:tc>
          <w:tcPr>
            <w:tcW w:w="736" w:type="dxa"/>
            <w:tcBorders>
              <w:top w:val="nil"/>
              <w:left w:val="nil"/>
              <w:bottom w:val="nil"/>
              <w:right w:val="single" w:sz="4" w:space="0" w:color="auto"/>
            </w:tcBorders>
            <w:shd w:val="clear" w:color="auto" w:fill="auto"/>
            <w:vAlign w:val="center"/>
            <w:hideMark/>
          </w:tcPr>
          <w:p w:rsidR="002D26B7" w:rsidRPr="00577417" w:rsidRDefault="002D26B7" w:rsidP="003611B4">
            <w:pPr>
              <w:spacing w:after="0" w:line="240" w:lineRule="auto"/>
              <w:jc w:val="center"/>
              <w:rPr>
                <w:rFonts w:cs="Arial"/>
                <w:color w:val="000000"/>
                <w:sz w:val="16"/>
                <w:szCs w:val="16"/>
              </w:rPr>
            </w:pPr>
            <w:r w:rsidRPr="00577417">
              <w:rPr>
                <w:rFonts w:cs="Arial"/>
                <w:color w:val="000000"/>
                <w:sz w:val="16"/>
                <w:szCs w:val="16"/>
              </w:rPr>
              <w:t>114,9</w:t>
            </w:r>
          </w:p>
        </w:tc>
        <w:tc>
          <w:tcPr>
            <w:tcW w:w="737" w:type="dxa"/>
            <w:tcBorders>
              <w:top w:val="nil"/>
              <w:left w:val="nil"/>
              <w:bottom w:val="nil"/>
              <w:right w:val="nil"/>
            </w:tcBorders>
            <w:shd w:val="clear" w:color="auto" w:fill="auto"/>
            <w:vAlign w:val="center"/>
            <w:hideMark/>
          </w:tcPr>
          <w:p w:rsidR="002D26B7" w:rsidRPr="00577417" w:rsidRDefault="002D26B7" w:rsidP="003611B4">
            <w:pPr>
              <w:spacing w:after="0" w:line="240" w:lineRule="auto"/>
              <w:jc w:val="center"/>
              <w:rPr>
                <w:rFonts w:cs="Arial"/>
                <w:color w:val="000000"/>
                <w:sz w:val="16"/>
                <w:szCs w:val="16"/>
              </w:rPr>
            </w:pPr>
            <w:r w:rsidRPr="00577417">
              <w:rPr>
                <w:rFonts w:cs="Arial"/>
                <w:color w:val="000000"/>
                <w:sz w:val="16"/>
                <w:szCs w:val="16"/>
              </w:rPr>
              <w:t>181,4</w:t>
            </w:r>
          </w:p>
        </w:tc>
        <w:tc>
          <w:tcPr>
            <w:tcW w:w="736" w:type="dxa"/>
            <w:tcBorders>
              <w:top w:val="nil"/>
              <w:left w:val="nil"/>
              <w:bottom w:val="nil"/>
              <w:right w:val="nil"/>
            </w:tcBorders>
            <w:shd w:val="clear" w:color="auto" w:fill="auto"/>
            <w:vAlign w:val="center"/>
            <w:hideMark/>
          </w:tcPr>
          <w:p w:rsidR="002D26B7" w:rsidRPr="00577417" w:rsidRDefault="002D26B7" w:rsidP="003611B4">
            <w:pPr>
              <w:spacing w:after="0" w:line="240" w:lineRule="auto"/>
              <w:jc w:val="center"/>
              <w:rPr>
                <w:rFonts w:cs="Arial"/>
                <w:color w:val="000000"/>
                <w:sz w:val="16"/>
                <w:szCs w:val="16"/>
              </w:rPr>
            </w:pPr>
            <w:r w:rsidRPr="00577417">
              <w:rPr>
                <w:rFonts w:cs="Arial"/>
                <w:color w:val="000000"/>
                <w:sz w:val="16"/>
                <w:szCs w:val="16"/>
              </w:rPr>
              <w:t>77,8</w:t>
            </w:r>
          </w:p>
        </w:tc>
        <w:tc>
          <w:tcPr>
            <w:tcW w:w="736" w:type="dxa"/>
            <w:tcBorders>
              <w:top w:val="nil"/>
              <w:left w:val="nil"/>
              <w:bottom w:val="nil"/>
              <w:right w:val="nil"/>
            </w:tcBorders>
            <w:shd w:val="clear" w:color="auto" w:fill="auto"/>
            <w:vAlign w:val="center"/>
            <w:hideMark/>
          </w:tcPr>
          <w:p w:rsidR="002D26B7" w:rsidRPr="00577417" w:rsidRDefault="002D26B7" w:rsidP="003611B4">
            <w:pPr>
              <w:spacing w:after="0" w:line="240" w:lineRule="auto"/>
              <w:jc w:val="center"/>
              <w:rPr>
                <w:rFonts w:cs="Arial"/>
                <w:color w:val="000000"/>
                <w:sz w:val="16"/>
                <w:szCs w:val="16"/>
              </w:rPr>
            </w:pPr>
            <w:r w:rsidRPr="00577417">
              <w:rPr>
                <w:rFonts w:cs="Arial"/>
                <w:color w:val="000000"/>
                <w:sz w:val="16"/>
                <w:szCs w:val="16"/>
              </w:rPr>
              <w:t>103,7</w:t>
            </w:r>
          </w:p>
        </w:tc>
        <w:tc>
          <w:tcPr>
            <w:tcW w:w="754" w:type="dxa"/>
            <w:tcBorders>
              <w:top w:val="nil"/>
              <w:left w:val="single" w:sz="4" w:space="0" w:color="auto"/>
              <w:bottom w:val="nil"/>
              <w:right w:val="nil"/>
            </w:tcBorders>
            <w:shd w:val="clear" w:color="auto" w:fill="auto"/>
            <w:vAlign w:val="center"/>
            <w:hideMark/>
          </w:tcPr>
          <w:p w:rsidR="002D26B7" w:rsidRPr="00577417" w:rsidRDefault="002D26B7" w:rsidP="003611B4">
            <w:pPr>
              <w:spacing w:after="0" w:line="240" w:lineRule="auto"/>
              <w:jc w:val="center"/>
              <w:rPr>
                <w:rFonts w:cs="Arial"/>
                <w:color w:val="000000"/>
                <w:sz w:val="16"/>
                <w:szCs w:val="16"/>
              </w:rPr>
            </w:pPr>
            <w:r w:rsidRPr="00577417">
              <w:rPr>
                <w:rFonts w:cs="Arial"/>
                <w:color w:val="000000"/>
                <w:sz w:val="16"/>
                <w:szCs w:val="16"/>
              </w:rPr>
              <w:t>7,0</w:t>
            </w:r>
          </w:p>
        </w:tc>
        <w:tc>
          <w:tcPr>
            <w:tcW w:w="737" w:type="dxa"/>
            <w:tcBorders>
              <w:top w:val="nil"/>
              <w:left w:val="nil"/>
              <w:bottom w:val="nil"/>
              <w:right w:val="nil"/>
            </w:tcBorders>
            <w:shd w:val="clear" w:color="auto" w:fill="auto"/>
            <w:vAlign w:val="center"/>
            <w:hideMark/>
          </w:tcPr>
          <w:p w:rsidR="002D26B7" w:rsidRPr="00577417" w:rsidRDefault="002D26B7" w:rsidP="003611B4">
            <w:pPr>
              <w:spacing w:after="0" w:line="240" w:lineRule="auto"/>
              <w:jc w:val="center"/>
              <w:rPr>
                <w:rFonts w:cs="Arial"/>
                <w:color w:val="000000"/>
                <w:sz w:val="16"/>
                <w:szCs w:val="16"/>
              </w:rPr>
            </w:pPr>
            <w:r w:rsidRPr="00577417">
              <w:rPr>
                <w:rFonts w:cs="Arial"/>
                <w:color w:val="000000"/>
                <w:sz w:val="16"/>
                <w:szCs w:val="16"/>
              </w:rPr>
              <w:t>4,8</w:t>
            </w:r>
          </w:p>
        </w:tc>
        <w:tc>
          <w:tcPr>
            <w:tcW w:w="737" w:type="dxa"/>
            <w:tcBorders>
              <w:top w:val="nil"/>
              <w:left w:val="nil"/>
              <w:bottom w:val="nil"/>
              <w:right w:val="single" w:sz="4" w:space="0" w:color="auto"/>
            </w:tcBorders>
            <w:shd w:val="clear" w:color="auto" w:fill="auto"/>
            <w:vAlign w:val="center"/>
            <w:hideMark/>
          </w:tcPr>
          <w:p w:rsidR="002D26B7" w:rsidRPr="00577417" w:rsidRDefault="002D26B7" w:rsidP="003611B4">
            <w:pPr>
              <w:spacing w:after="0" w:line="240" w:lineRule="auto"/>
              <w:jc w:val="center"/>
              <w:rPr>
                <w:rFonts w:cs="Arial"/>
                <w:color w:val="000000"/>
                <w:sz w:val="16"/>
                <w:szCs w:val="16"/>
              </w:rPr>
            </w:pPr>
            <w:r w:rsidRPr="00577417">
              <w:rPr>
                <w:rFonts w:cs="Arial"/>
                <w:color w:val="000000"/>
                <w:sz w:val="16"/>
                <w:szCs w:val="16"/>
              </w:rPr>
              <w:t>2,3</w:t>
            </w:r>
          </w:p>
        </w:tc>
        <w:tc>
          <w:tcPr>
            <w:tcW w:w="737" w:type="dxa"/>
            <w:tcBorders>
              <w:top w:val="nil"/>
              <w:left w:val="nil"/>
              <w:bottom w:val="nil"/>
              <w:right w:val="nil"/>
            </w:tcBorders>
            <w:shd w:val="clear" w:color="auto" w:fill="auto"/>
            <w:vAlign w:val="center"/>
            <w:hideMark/>
          </w:tcPr>
          <w:p w:rsidR="002D26B7" w:rsidRPr="00577417" w:rsidRDefault="002D26B7" w:rsidP="003611B4">
            <w:pPr>
              <w:spacing w:after="0" w:line="240" w:lineRule="auto"/>
              <w:jc w:val="center"/>
              <w:rPr>
                <w:rFonts w:cs="Arial"/>
                <w:color w:val="000000"/>
                <w:sz w:val="16"/>
                <w:szCs w:val="16"/>
              </w:rPr>
            </w:pPr>
            <w:r w:rsidRPr="00577417">
              <w:rPr>
                <w:rFonts w:cs="Arial"/>
                <w:color w:val="000000"/>
                <w:sz w:val="16"/>
                <w:szCs w:val="16"/>
              </w:rPr>
              <w:t>22,9</w:t>
            </w:r>
          </w:p>
        </w:tc>
        <w:tc>
          <w:tcPr>
            <w:tcW w:w="737" w:type="dxa"/>
            <w:tcBorders>
              <w:top w:val="nil"/>
              <w:left w:val="nil"/>
              <w:bottom w:val="nil"/>
              <w:right w:val="nil"/>
            </w:tcBorders>
            <w:shd w:val="clear" w:color="auto" w:fill="auto"/>
            <w:vAlign w:val="center"/>
            <w:hideMark/>
          </w:tcPr>
          <w:p w:rsidR="002D26B7" w:rsidRPr="00577417" w:rsidRDefault="002D26B7" w:rsidP="003611B4">
            <w:pPr>
              <w:spacing w:after="0" w:line="240" w:lineRule="auto"/>
              <w:jc w:val="center"/>
              <w:rPr>
                <w:rFonts w:cs="Arial"/>
                <w:color w:val="000000"/>
                <w:sz w:val="16"/>
                <w:szCs w:val="16"/>
              </w:rPr>
            </w:pPr>
            <w:r w:rsidRPr="00577417">
              <w:rPr>
                <w:rFonts w:cs="Arial"/>
                <w:color w:val="000000"/>
                <w:sz w:val="16"/>
                <w:szCs w:val="16"/>
              </w:rPr>
              <w:t>14,0</w:t>
            </w:r>
          </w:p>
        </w:tc>
        <w:tc>
          <w:tcPr>
            <w:tcW w:w="737" w:type="dxa"/>
            <w:tcBorders>
              <w:top w:val="nil"/>
              <w:left w:val="nil"/>
              <w:bottom w:val="nil"/>
              <w:right w:val="nil"/>
            </w:tcBorders>
            <w:shd w:val="clear" w:color="auto" w:fill="auto"/>
            <w:vAlign w:val="center"/>
            <w:hideMark/>
          </w:tcPr>
          <w:p w:rsidR="002D26B7" w:rsidRPr="00577417" w:rsidRDefault="002D26B7" w:rsidP="003611B4">
            <w:pPr>
              <w:spacing w:after="0" w:line="240" w:lineRule="auto"/>
              <w:jc w:val="center"/>
              <w:rPr>
                <w:rFonts w:cs="Arial"/>
                <w:color w:val="000000"/>
                <w:sz w:val="16"/>
                <w:szCs w:val="16"/>
              </w:rPr>
            </w:pPr>
            <w:r w:rsidRPr="00577417">
              <w:rPr>
                <w:rFonts w:cs="Arial"/>
                <w:color w:val="000000"/>
                <w:sz w:val="16"/>
                <w:szCs w:val="16"/>
              </w:rPr>
              <w:t>8,9</w:t>
            </w:r>
          </w:p>
        </w:tc>
      </w:tr>
      <w:tr w:rsidR="002D26B7" w:rsidRPr="00577417" w:rsidTr="003611B4">
        <w:trPr>
          <w:trHeight w:val="300"/>
        </w:trPr>
        <w:tc>
          <w:tcPr>
            <w:tcW w:w="737" w:type="dxa"/>
            <w:tcBorders>
              <w:top w:val="nil"/>
              <w:left w:val="nil"/>
              <w:bottom w:val="nil"/>
              <w:right w:val="nil"/>
            </w:tcBorders>
            <w:shd w:val="clear" w:color="auto" w:fill="auto"/>
            <w:vAlign w:val="center"/>
            <w:hideMark/>
          </w:tcPr>
          <w:p w:rsidR="002D26B7" w:rsidRPr="00577417" w:rsidRDefault="002D26B7" w:rsidP="003611B4">
            <w:pPr>
              <w:spacing w:after="0" w:line="240" w:lineRule="auto"/>
              <w:jc w:val="center"/>
              <w:rPr>
                <w:rFonts w:cs="Arial"/>
                <w:color w:val="000000"/>
                <w:sz w:val="16"/>
                <w:szCs w:val="16"/>
              </w:rPr>
            </w:pPr>
            <w:r w:rsidRPr="00577417">
              <w:rPr>
                <w:rFonts w:cs="Arial"/>
                <w:color w:val="000000"/>
                <w:sz w:val="16"/>
                <w:szCs w:val="16"/>
              </w:rPr>
              <w:t>2019</w:t>
            </w:r>
          </w:p>
        </w:tc>
        <w:tc>
          <w:tcPr>
            <w:tcW w:w="737" w:type="dxa"/>
            <w:tcBorders>
              <w:top w:val="nil"/>
              <w:left w:val="single" w:sz="4" w:space="0" w:color="auto"/>
              <w:bottom w:val="nil"/>
              <w:right w:val="nil"/>
            </w:tcBorders>
            <w:shd w:val="clear" w:color="auto" w:fill="auto"/>
            <w:vAlign w:val="center"/>
            <w:hideMark/>
          </w:tcPr>
          <w:p w:rsidR="002D26B7" w:rsidRPr="00577417" w:rsidRDefault="002D26B7" w:rsidP="003611B4">
            <w:pPr>
              <w:spacing w:after="0" w:line="240" w:lineRule="auto"/>
              <w:jc w:val="center"/>
              <w:rPr>
                <w:rFonts w:cs="Arial"/>
                <w:color w:val="000000"/>
                <w:sz w:val="16"/>
                <w:szCs w:val="16"/>
              </w:rPr>
            </w:pPr>
            <w:r w:rsidRPr="00577417">
              <w:rPr>
                <w:rFonts w:cs="Arial"/>
                <w:color w:val="000000"/>
                <w:sz w:val="16"/>
                <w:szCs w:val="16"/>
              </w:rPr>
              <w:t>222,5</w:t>
            </w:r>
          </w:p>
        </w:tc>
        <w:tc>
          <w:tcPr>
            <w:tcW w:w="736" w:type="dxa"/>
            <w:tcBorders>
              <w:top w:val="nil"/>
              <w:left w:val="nil"/>
              <w:bottom w:val="nil"/>
              <w:right w:val="nil"/>
            </w:tcBorders>
            <w:shd w:val="clear" w:color="auto" w:fill="auto"/>
            <w:vAlign w:val="center"/>
            <w:hideMark/>
          </w:tcPr>
          <w:p w:rsidR="002D26B7" w:rsidRPr="00577417" w:rsidRDefault="002D26B7" w:rsidP="003611B4">
            <w:pPr>
              <w:spacing w:after="0" w:line="240" w:lineRule="auto"/>
              <w:jc w:val="center"/>
              <w:rPr>
                <w:rFonts w:cs="Arial"/>
                <w:color w:val="000000"/>
                <w:sz w:val="16"/>
                <w:szCs w:val="16"/>
              </w:rPr>
            </w:pPr>
            <w:r w:rsidRPr="00577417">
              <w:rPr>
                <w:rFonts w:cs="Arial"/>
                <w:color w:val="000000"/>
                <w:sz w:val="16"/>
                <w:szCs w:val="16"/>
              </w:rPr>
              <w:t>101,5</w:t>
            </w:r>
          </w:p>
        </w:tc>
        <w:tc>
          <w:tcPr>
            <w:tcW w:w="736" w:type="dxa"/>
            <w:tcBorders>
              <w:top w:val="nil"/>
              <w:left w:val="nil"/>
              <w:bottom w:val="nil"/>
              <w:right w:val="single" w:sz="4" w:space="0" w:color="auto"/>
            </w:tcBorders>
            <w:shd w:val="clear" w:color="auto" w:fill="auto"/>
            <w:vAlign w:val="center"/>
            <w:hideMark/>
          </w:tcPr>
          <w:p w:rsidR="002D26B7" w:rsidRPr="00577417" w:rsidRDefault="002D26B7" w:rsidP="003611B4">
            <w:pPr>
              <w:spacing w:after="0" w:line="240" w:lineRule="auto"/>
              <w:jc w:val="center"/>
              <w:rPr>
                <w:rFonts w:cs="Arial"/>
                <w:color w:val="000000"/>
                <w:sz w:val="16"/>
                <w:szCs w:val="16"/>
              </w:rPr>
            </w:pPr>
            <w:r w:rsidRPr="00577417">
              <w:rPr>
                <w:rFonts w:cs="Arial"/>
                <w:color w:val="000000"/>
                <w:sz w:val="16"/>
                <w:szCs w:val="16"/>
              </w:rPr>
              <w:t>121,0</w:t>
            </w:r>
          </w:p>
        </w:tc>
        <w:tc>
          <w:tcPr>
            <w:tcW w:w="737" w:type="dxa"/>
            <w:tcBorders>
              <w:top w:val="nil"/>
              <w:left w:val="nil"/>
              <w:bottom w:val="nil"/>
              <w:right w:val="nil"/>
            </w:tcBorders>
            <w:shd w:val="clear" w:color="auto" w:fill="auto"/>
            <w:vAlign w:val="center"/>
            <w:hideMark/>
          </w:tcPr>
          <w:p w:rsidR="002D26B7" w:rsidRPr="00577417" w:rsidRDefault="002D26B7" w:rsidP="003611B4">
            <w:pPr>
              <w:spacing w:after="0" w:line="240" w:lineRule="auto"/>
              <w:jc w:val="center"/>
              <w:rPr>
                <w:rFonts w:cs="Arial"/>
                <w:color w:val="000000"/>
                <w:sz w:val="16"/>
                <w:szCs w:val="16"/>
              </w:rPr>
            </w:pPr>
            <w:r w:rsidRPr="00577417">
              <w:rPr>
                <w:rFonts w:cs="Arial"/>
                <w:color w:val="000000"/>
                <w:sz w:val="16"/>
                <w:szCs w:val="16"/>
              </w:rPr>
              <w:t>191,5</w:t>
            </w:r>
          </w:p>
        </w:tc>
        <w:tc>
          <w:tcPr>
            <w:tcW w:w="736" w:type="dxa"/>
            <w:tcBorders>
              <w:top w:val="nil"/>
              <w:left w:val="nil"/>
              <w:bottom w:val="nil"/>
              <w:right w:val="nil"/>
            </w:tcBorders>
            <w:shd w:val="clear" w:color="auto" w:fill="auto"/>
            <w:vAlign w:val="center"/>
            <w:hideMark/>
          </w:tcPr>
          <w:p w:rsidR="002D26B7" w:rsidRPr="00577417" w:rsidRDefault="002D26B7" w:rsidP="003611B4">
            <w:pPr>
              <w:spacing w:after="0" w:line="240" w:lineRule="auto"/>
              <w:jc w:val="center"/>
              <w:rPr>
                <w:rFonts w:cs="Arial"/>
                <w:color w:val="000000"/>
                <w:sz w:val="16"/>
                <w:szCs w:val="16"/>
              </w:rPr>
            </w:pPr>
            <w:r w:rsidRPr="00577417">
              <w:rPr>
                <w:rFonts w:cs="Arial"/>
                <w:color w:val="000000"/>
                <w:sz w:val="16"/>
                <w:szCs w:val="16"/>
              </w:rPr>
              <w:t>82,2</w:t>
            </w:r>
          </w:p>
        </w:tc>
        <w:tc>
          <w:tcPr>
            <w:tcW w:w="736" w:type="dxa"/>
            <w:tcBorders>
              <w:top w:val="nil"/>
              <w:left w:val="nil"/>
              <w:bottom w:val="nil"/>
              <w:right w:val="nil"/>
            </w:tcBorders>
            <w:shd w:val="clear" w:color="auto" w:fill="auto"/>
            <w:vAlign w:val="center"/>
            <w:hideMark/>
          </w:tcPr>
          <w:p w:rsidR="002D26B7" w:rsidRPr="00577417" w:rsidRDefault="002D26B7" w:rsidP="003611B4">
            <w:pPr>
              <w:spacing w:after="0" w:line="240" w:lineRule="auto"/>
              <w:jc w:val="center"/>
              <w:rPr>
                <w:rFonts w:cs="Arial"/>
                <w:color w:val="000000"/>
                <w:sz w:val="16"/>
                <w:szCs w:val="16"/>
              </w:rPr>
            </w:pPr>
            <w:r w:rsidRPr="00577417">
              <w:rPr>
                <w:rFonts w:cs="Arial"/>
                <w:color w:val="000000"/>
                <w:sz w:val="16"/>
                <w:szCs w:val="16"/>
              </w:rPr>
              <w:t>109,3</w:t>
            </w:r>
          </w:p>
        </w:tc>
        <w:tc>
          <w:tcPr>
            <w:tcW w:w="754" w:type="dxa"/>
            <w:tcBorders>
              <w:top w:val="nil"/>
              <w:left w:val="single" w:sz="4" w:space="0" w:color="auto"/>
              <w:bottom w:val="nil"/>
              <w:right w:val="nil"/>
            </w:tcBorders>
            <w:shd w:val="clear" w:color="auto" w:fill="auto"/>
            <w:vAlign w:val="center"/>
            <w:hideMark/>
          </w:tcPr>
          <w:p w:rsidR="002D26B7" w:rsidRPr="00577417" w:rsidRDefault="002D26B7" w:rsidP="003611B4">
            <w:pPr>
              <w:spacing w:after="0" w:line="240" w:lineRule="auto"/>
              <w:jc w:val="center"/>
              <w:rPr>
                <w:rFonts w:cs="Arial"/>
                <w:color w:val="000000"/>
                <w:sz w:val="16"/>
                <w:szCs w:val="16"/>
              </w:rPr>
            </w:pPr>
            <w:r w:rsidRPr="00577417">
              <w:rPr>
                <w:rFonts w:cs="Arial"/>
                <w:color w:val="000000"/>
                <w:sz w:val="16"/>
                <w:szCs w:val="16"/>
              </w:rPr>
              <w:t>6,9</w:t>
            </w:r>
          </w:p>
        </w:tc>
        <w:tc>
          <w:tcPr>
            <w:tcW w:w="737" w:type="dxa"/>
            <w:tcBorders>
              <w:top w:val="nil"/>
              <w:left w:val="nil"/>
              <w:bottom w:val="nil"/>
              <w:right w:val="nil"/>
            </w:tcBorders>
            <w:shd w:val="clear" w:color="auto" w:fill="auto"/>
            <w:vAlign w:val="center"/>
            <w:hideMark/>
          </w:tcPr>
          <w:p w:rsidR="002D26B7" w:rsidRPr="00577417" w:rsidRDefault="002D26B7" w:rsidP="003611B4">
            <w:pPr>
              <w:spacing w:after="0" w:line="240" w:lineRule="auto"/>
              <w:jc w:val="center"/>
              <w:rPr>
                <w:rFonts w:cs="Arial"/>
                <w:color w:val="000000"/>
                <w:sz w:val="16"/>
                <w:szCs w:val="16"/>
              </w:rPr>
            </w:pPr>
            <w:r w:rsidRPr="00577417">
              <w:rPr>
                <w:rFonts w:cs="Arial"/>
                <w:color w:val="000000"/>
                <w:sz w:val="16"/>
                <w:szCs w:val="16"/>
              </w:rPr>
              <w:t>4,7</w:t>
            </w:r>
          </w:p>
        </w:tc>
        <w:tc>
          <w:tcPr>
            <w:tcW w:w="737" w:type="dxa"/>
            <w:tcBorders>
              <w:top w:val="nil"/>
              <w:left w:val="nil"/>
              <w:bottom w:val="nil"/>
              <w:right w:val="single" w:sz="4" w:space="0" w:color="auto"/>
            </w:tcBorders>
            <w:shd w:val="clear" w:color="auto" w:fill="auto"/>
            <w:vAlign w:val="center"/>
            <w:hideMark/>
          </w:tcPr>
          <w:p w:rsidR="002D26B7" w:rsidRPr="00577417" w:rsidRDefault="002D26B7" w:rsidP="003611B4">
            <w:pPr>
              <w:spacing w:after="0" w:line="240" w:lineRule="auto"/>
              <w:jc w:val="center"/>
              <w:rPr>
                <w:rFonts w:cs="Arial"/>
                <w:color w:val="000000"/>
                <w:sz w:val="16"/>
                <w:szCs w:val="16"/>
              </w:rPr>
            </w:pPr>
            <w:r w:rsidRPr="00577417">
              <w:rPr>
                <w:rFonts w:cs="Arial"/>
                <w:color w:val="000000"/>
                <w:sz w:val="16"/>
                <w:szCs w:val="16"/>
              </w:rPr>
              <w:t>2,3</w:t>
            </w:r>
          </w:p>
        </w:tc>
        <w:tc>
          <w:tcPr>
            <w:tcW w:w="737" w:type="dxa"/>
            <w:tcBorders>
              <w:top w:val="nil"/>
              <w:left w:val="nil"/>
              <w:bottom w:val="nil"/>
              <w:right w:val="nil"/>
            </w:tcBorders>
            <w:shd w:val="clear" w:color="auto" w:fill="auto"/>
            <w:vAlign w:val="center"/>
            <w:hideMark/>
          </w:tcPr>
          <w:p w:rsidR="002D26B7" w:rsidRPr="00577417" w:rsidRDefault="002D26B7" w:rsidP="003611B4">
            <w:pPr>
              <w:spacing w:after="0" w:line="240" w:lineRule="auto"/>
              <w:jc w:val="center"/>
              <w:rPr>
                <w:rFonts w:cs="Arial"/>
                <w:color w:val="000000"/>
                <w:sz w:val="16"/>
                <w:szCs w:val="16"/>
              </w:rPr>
            </w:pPr>
            <w:r w:rsidRPr="00577417">
              <w:rPr>
                <w:rFonts w:cs="Arial"/>
                <w:color w:val="000000"/>
                <w:sz w:val="16"/>
                <w:szCs w:val="16"/>
              </w:rPr>
              <w:t>24,0</w:t>
            </w:r>
          </w:p>
        </w:tc>
        <w:tc>
          <w:tcPr>
            <w:tcW w:w="737" w:type="dxa"/>
            <w:tcBorders>
              <w:top w:val="nil"/>
              <w:left w:val="nil"/>
              <w:bottom w:val="nil"/>
              <w:right w:val="nil"/>
            </w:tcBorders>
            <w:shd w:val="clear" w:color="auto" w:fill="auto"/>
            <w:vAlign w:val="center"/>
            <w:hideMark/>
          </w:tcPr>
          <w:p w:rsidR="002D26B7" w:rsidRPr="00577417" w:rsidRDefault="002D26B7" w:rsidP="003611B4">
            <w:pPr>
              <w:spacing w:after="0" w:line="240" w:lineRule="auto"/>
              <w:jc w:val="center"/>
              <w:rPr>
                <w:rFonts w:cs="Arial"/>
                <w:color w:val="000000"/>
                <w:sz w:val="16"/>
                <w:szCs w:val="16"/>
              </w:rPr>
            </w:pPr>
            <w:r w:rsidRPr="00577417">
              <w:rPr>
                <w:rFonts w:cs="Arial"/>
                <w:color w:val="000000"/>
                <w:sz w:val="16"/>
                <w:szCs w:val="16"/>
              </w:rPr>
              <w:t>14,6</w:t>
            </w:r>
          </w:p>
        </w:tc>
        <w:tc>
          <w:tcPr>
            <w:tcW w:w="737" w:type="dxa"/>
            <w:tcBorders>
              <w:top w:val="nil"/>
              <w:left w:val="nil"/>
              <w:bottom w:val="nil"/>
              <w:right w:val="nil"/>
            </w:tcBorders>
            <w:shd w:val="clear" w:color="auto" w:fill="auto"/>
            <w:vAlign w:val="center"/>
            <w:hideMark/>
          </w:tcPr>
          <w:p w:rsidR="002D26B7" w:rsidRPr="00577417" w:rsidRDefault="002D26B7" w:rsidP="003611B4">
            <w:pPr>
              <w:spacing w:after="0" w:line="240" w:lineRule="auto"/>
              <w:jc w:val="center"/>
              <w:rPr>
                <w:rFonts w:cs="Arial"/>
                <w:color w:val="000000"/>
                <w:sz w:val="16"/>
                <w:szCs w:val="16"/>
              </w:rPr>
            </w:pPr>
            <w:r w:rsidRPr="00577417">
              <w:rPr>
                <w:rFonts w:cs="Arial"/>
                <w:color w:val="000000"/>
                <w:sz w:val="16"/>
                <w:szCs w:val="16"/>
              </w:rPr>
              <w:t>9,4</w:t>
            </w:r>
          </w:p>
        </w:tc>
      </w:tr>
      <w:tr w:rsidR="002D26B7" w:rsidRPr="00577417" w:rsidTr="003611B4">
        <w:trPr>
          <w:trHeight w:val="300"/>
        </w:trPr>
        <w:tc>
          <w:tcPr>
            <w:tcW w:w="737" w:type="dxa"/>
            <w:tcBorders>
              <w:top w:val="nil"/>
              <w:left w:val="nil"/>
              <w:bottom w:val="nil"/>
              <w:right w:val="single" w:sz="4" w:space="0" w:color="auto"/>
            </w:tcBorders>
            <w:shd w:val="clear" w:color="auto" w:fill="auto"/>
            <w:vAlign w:val="center"/>
            <w:hideMark/>
          </w:tcPr>
          <w:p w:rsidR="002D26B7" w:rsidRPr="00577417" w:rsidRDefault="002D26B7" w:rsidP="003611B4">
            <w:pPr>
              <w:spacing w:after="0" w:line="240" w:lineRule="auto"/>
              <w:jc w:val="center"/>
              <w:rPr>
                <w:rFonts w:cs="Arial"/>
                <w:color w:val="000000"/>
                <w:sz w:val="16"/>
                <w:szCs w:val="16"/>
              </w:rPr>
            </w:pPr>
            <w:r w:rsidRPr="00577417">
              <w:rPr>
                <w:rFonts w:cs="Arial"/>
                <w:color w:val="000000"/>
                <w:sz w:val="16"/>
                <w:szCs w:val="16"/>
              </w:rPr>
              <w:t>2020</w:t>
            </w:r>
          </w:p>
        </w:tc>
        <w:tc>
          <w:tcPr>
            <w:tcW w:w="737" w:type="dxa"/>
            <w:tcBorders>
              <w:top w:val="nil"/>
              <w:left w:val="nil"/>
              <w:bottom w:val="nil"/>
              <w:right w:val="nil"/>
            </w:tcBorders>
            <w:shd w:val="clear" w:color="auto" w:fill="auto"/>
            <w:vAlign w:val="center"/>
            <w:hideMark/>
          </w:tcPr>
          <w:p w:rsidR="002D26B7" w:rsidRPr="00577417" w:rsidRDefault="002D26B7" w:rsidP="003611B4">
            <w:pPr>
              <w:spacing w:after="0" w:line="240" w:lineRule="auto"/>
              <w:jc w:val="center"/>
              <w:rPr>
                <w:rFonts w:cs="Arial"/>
                <w:color w:val="000000"/>
                <w:sz w:val="16"/>
                <w:szCs w:val="16"/>
              </w:rPr>
            </w:pPr>
            <w:r w:rsidRPr="00577417">
              <w:rPr>
                <w:rFonts w:cs="Arial"/>
                <w:color w:val="000000"/>
                <w:sz w:val="16"/>
                <w:szCs w:val="16"/>
              </w:rPr>
              <w:t>257,5</w:t>
            </w:r>
          </w:p>
        </w:tc>
        <w:tc>
          <w:tcPr>
            <w:tcW w:w="736" w:type="dxa"/>
            <w:tcBorders>
              <w:top w:val="nil"/>
              <w:left w:val="nil"/>
              <w:bottom w:val="nil"/>
              <w:right w:val="nil"/>
            </w:tcBorders>
            <w:shd w:val="clear" w:color="auto" w:fill="auto"/>
            <w:vAlign w:val="center"/>
            <w:hideMark/>
          </w:tcPr>
          <w:p w:rsidR="002D26B7" w:rsidRPr="00577417" w:rsidRDefault="002D26B7" w:rsidP="003611B4">
            <w:pPr>
              <w:spacing w:after="0" w:line="240" w:lineRule="auto"/>
              <w:jc w:val="center"/>
              <w:rPr>
                <w:rFonts w:cs="Arial"/>
                <w:color w:val="000000"/>
                <w:sz w:val="16"/>
                <w:szCs w:val="16"/>
              </w:rPr>
            </w:pPr>
            <w:r w:rsidRPr="00577417">
              <w:rPr>
                <w:rFonts w:cs="Arial"/>
                <w:color w:val="000000"/>
                <w:sz w:val="16"/>
                <w:szCs w:val="16"/>
              </w:rPr>
              <w:t>118,1</w:t>
            </w:r>
          </w:p>
        </w:tc>
        <w:tc>
          <w:tcPr>
            <w:tcW w:w="736" w:type="dxa"/>
            <w:tcBorders>
              <w:top w:val="nil"/>
              <w:left w:val="nil"/>
              <w:bottom w:val="nil"/>
              <w:right w:val="single" w:sz="4" w:space="0" w:color="auto"/>
            </w:tcBorders>
            <w:shd w:val="clear" w:color="auto" w:fill="auto"/>
            <w:vAlign w:val="center"/>
            <w:hideMark/>
          </w:tcPr>
          <w:p w:rsidR="002D26B7" w:rsidRPr="00577417" w:rsidRDefault="002D26B7" w:rsidP="003611B4">
            <w:pPr>
              <w:spacing w:after="0" w:line="240" w:lineRule="auto"/>
              <w:jc w:val="center"/>
              <w:rPr>
                <w:rFonts w:cs="Arial"/>
                <w:color w:val="000000"/>
                <w:sz w:val="16"/>
                <w:szCs w:val="16"/>
              </w:rPr>
            </w:pPr>
            <w:r w:rsidRPr="00577417">
              <w:rPr>
                <w:rFonts w:cs="Arial"/>
                <w:color w:val="000000"/>
                <w:sz w:val="16"/>
                <w:szCs w:val="16"/>
              </w:rPr>
              <w:t>139,4</w:t>
            </w:r>
          </w:p>
        </w:tc>
        <w:tc>
          <w:tcPr>
            <w:tcW w:w="737" w:type="dxa"/>
            <w:tcBorders>
              <w:top w:val="nil"/>
              <w:left w:val="nil"/>
              <w:bottom w:val="nil"/>
              <w:right w:val="nil"/>
            </w:tcBorders>
            <w:shd w:val="clear" w:color="auto" w:fill="auto"/>
            <w:vAlign w:val="center"/>
            <w:hideMark/>
          </w:tcPr>
          <w:p w:rsidR="002D26B7" w:rsidRPr="00577417" w:rsidRDefault="002D26B7" w:rsidP="003611B4">
            <w:pPr>
              <w:spacing w:after="0" w:line="240" w:lineRule="auto"/>
              <w:jc w:val="center"/>
              <w:rPr>
                <w:rFonts w:cs="Arial"/>
                <w:color w:val="000000"/>
                <w:sz w:val="16"/>
                <w:szCs w:val="16"/>
              </w:rPr>
            </w:pPr>
            <w:r w:rsidRPr="00577417">
              <w:rPr>
                <w:rFonts w:cs="Arial"/>
                <w:color w:val="000000"/>
                <w:sz w:val="16"/>
                <w:szCs w:val="16"/>
              </w:rPr>
              <w:t>224,8</w:t>
            </w:r>
          </w:p>
        </w:tc>
        <w:tc>
          <w:tcPr>
            <w:tcW w:w="736" w:type="dxa"/>
            <w:tcBorders>
              <w:top w:val="nil"/>
              <w:left w:val="nil"/>
              <w:bottom w:val="nil"/>
              <w:right w:val="nil"/>
            </w:tcBorders>
            <w:shd w:val="clear" w:color="auto" w:fill="auto"/>
            <w:vAlign w:val="center"/>
            <w:hideMark/>
          </w:tcPr>
          <w:p w:rsidR="002D26B7" w:rsidRPr="00577417" w:rsidRDefault="002D26B7" w:rsidP="003611B4">
            <w:pPr>
              <w:spacing w:after="0" w:line="240" w:lineRule="auto"/>
              <w:jc w:val="center"/>
              <w:rPr>
                <w:rFonts w:cs="Arial"/>
                <w:color w:val="000000"/>
                <w:sz w:val="16"/>
                <w:szCs w:val="16"/>
              </w:rPr>
            </w:pPr>
            <w:r w:rsidRPr="00577417">
              <w:rPr>
                <w:rFonts w:cs="Arial"/>
                <w:color w:val="000000"/>
                <w:sz w:val="16"/>
                <w:szCs w:val="16"/>
              </w:rPr>
              <w:t>98,0</w:t>
            </w:r>
          </w:p>
        </w:tc>
        <w:tc>
          <w:tcPr>
            <w:tcW w:w="736" w:type="dxa"/>
            <w:tcBorders>
              <w:top w:val="nil"/>
              <w:left w:val="nil"/>
              <w:bottom w:val="nil"/>
              <w:right w:val="nil"/>
            </w:tcBorders>
            <w:shd w:val="clear" w:color="auto" w:fill="auto"/>
            <w:vAlign w:val="center"/>
            <w:hideMark/>
          </w:tcPr>
          <w:p w:rsidR="002D26B7" w:rsidRPr="00577417" w:rsidRDefault="002D26B7" w:rsidP="003611B4">
            <w:pPr>
              <w:spacing w:after="0" w:line="240" w:lineRule="auto"/>
              <w:jc w:val="center"/>
              <w:rPr>
                <w:rFonts w:cs="Arial"/>
                <w:color w:val="000000"/>
                <w:sz w:val="16"/>
                <w:szCs w:val="16"/>
              </w:rPr>
            </w:pPr>
            <w:r w:rsidRPr="00577417">
              <w:rPr>
                <w:rFonts w:cs="Arial"/>
                <w:color w:val="000000"/>
                <w:sz w:val="16"/>
                <w:szCs w:val="16"/>
              </w:rPr>
              <w:t>126,9</w:t>
            </w:r>
          </w:p>
        </w:tc>
        <w:tc>
          <w:tcPr>
            <w:tcW w:w="754" w:type="dxa"/>
            <w:tcBorders>
              <w:top w:val="nil"/>
              <w:left w:val="single" w:sz="4" w:space="0" w:color="auto"/>
              <w:bottom w:val="nil"/>
              <w:right w:val="nil"/>
            </w:tcBorders>
            <w:shd w:val="clear" w:color="auto" w:fill="auto"/>
            <w:vAlign w:val="center"/>
            <w:hideMark/>
          </w:tcPr>
          <w:p w:rsidR="002D26B7" w:rsidRPr="00577417" w:rsidRDefault="002D26B7" w:rsidP="003611B4">
            <w:pPr>
              <w:spacing w:after="0" w:line="240" w:lineRule="auto"/>
              <w:jc w:val="center"/>
              <w:rPr>
                <w:rFonts w:cs="Arial"/>
                <w:color w:val="000000"/>
                <w:sz w:val="16"/>
                <w:szCs w:val="16"/>
              </w:rPr>
            </w:pPr>
            <w:r w:rsidRPr="00577417">
              <w:rPr>
                <w:rFonts w:cs="Arial"/>
                <w:color w:val="000000"/>
                <w:sz w:val="16"/>
                <w:szCs w:val="16"/>
              </w:rPr>
              <w:t>7,1</w:t>
            </w:r>
          </w:p>
        </w:tc>
        <w:tc>
          <w:tcPr>
            <w:tcW w:w="737" w:type="dxa"/>
            <w:tcBorders>
              <w:top w:val="nil"/>
              <w:left w:val="nil"/>
              <w:bottom w:val="nil"/>
              <w:right w:val="nil"/>
            </w:tcBorders>
            <w:shd w:val="clear" w:color="auto" w:fill="auto"/>
            <w:vAlign w:val="center"/>
            <w:hideMark/>
          </w:tcPr>
          <w:p w:rsidR="002D26B7" w:rsidRPr="00577417" w:rsidRDefault="002D26B7" w:rsidP="003611B4">
            <w:pPr>
              <w:spacing w:after="0" w:line="240" w:lineRule="auto"/>
              <w:jc w:val="center"/>
              <w:rPr>
                <w:rFonts w:cs="Arial"/>
                <w:color w:val="000000"/>
                <w:sz w:val="16"/>
                <w:szCs w:val="16"/>
              </w:rPr>
            </w:pPr>
            <w:r w:rsidRPr="00577417">
              <w:rPr>
                <w:rFonts w:cs="Arial"/>
                <w:color w:val="000000"/>
                <w:sz w:val="16"/>
                <w:szCs w:val="16"/>
              </w:rPr>
              <w:t>4,8</w:t>
            </w:r>
          </w:p>
        </w:tc>
        <w:tc>
          <w:tcPr>
            <w:tcW w:w="737" w:type="dxa"/>
            <w:tcBorders>
              <w:top w:val="nil"/>
              <w:left w:val="nil"/>
              <w:bottom w:val="nil"/>
              <w:right w:val="single" w:sz="4" w:space="0" w:color="auto"/>
            </w:tcBorders>
            <w:shd w:val="clear" w:color="auto" w:fill="auto"/>
            <w:vAlign w:val="center"/>
            <w:hideMark/>
          </w:tcPr>
          <w:p w:rsidR="002D26B7" w:rsidRPr="00577417" w:rsidRDefault="002D26B7" w:rsidP="003611B4">
            <w:pPr>
              <w:spacing w:after="0" w:line="240" w:lineRule="auto"/>
              <w:jc w:val="center"/>
              <w:rPr>
                <w:rFonts w:cs="Arial"/>
                <w:color w:val="000000"/>
                <w:sz w:val="16"/>
                <w:szCs w:val="16"/>
              </w:rPr>
            </w:pPr>
            <w:r w:rsidRPr="00577417">
              <w:rPr>
                <w:rFonts w:cs="Arial"/>
                <w:color w:val="000000"/>
                <w:sz w:val="16"/>
                <w:szCs w:val="16"/>
              </w:rPr>
              <w:t>2,2</w:t>
            </w:r>
          </w:p>
        </w:tc>
        <w:tc>
          <w:tcPr>
            <w:tcW w:w="737" w:type="dxa"/>
            <w:tcBorders>
              <w:top w:val="nil"/>
              <w:left w:val="nil"/>
              <w:bottom w:val="nil"/>
              <w:right w:val="nil"/>
            </w:tcBorders>
            <w:shd w:val="clear" w:color="auto" w:fill="auto"/>
            <w:vAlign w:val="center"/>
            <w:hideMark/>
          </w:tcPr>
          <w:p w:rsidR="002D26B7" w:rsidRPr="00577417" w:rsidRDefault="002D26B7" w:rsidP="003611B4">
            <w:pPr>
              <w:spacing w:after="0" w:line="240" w:lineRule="auto"/>
              <w:jc w:val="center"/>
              <w:rPr>
                <w:rFonts w:cs="Arial"/>
                <w:color w:val="000000"/>
                <w:sz w:val="16"/>
                <w:szCs w:val="16"/>
              </w:rPr>
            </w:pPr>
            <w:r w:rsidRPr="00577417">
              <w:rPr>
                <w:rFonts w:cs="Arial"/>
                <w:color w:val="000000"/>
                <w:sz w:val="16"/>
                <w:szCs w:val="16"/>
              </w:rPr>
              <w:t>25,6</w:t>
            </w:r>
          </w:p>
        </w:tc>
        <w:tc>
          <w:tcPr>
            <w:tcW w:w="737" w:type="dxa"/>
            <w:tcBorders>
              <w:top w:val="nil"/>
              <w:left w:val="nil"/>
              <w:bottom w:val="nil"/>
              <w:right w:val="nil"/>
            </w:tcBorders>
            <w:shd w:val="clear" w:color="auto" w:fill="auto"/>
            <w:vAlign w:val="center"/>
            <w:hideMark/>
          </w:tcPr>
          <w:p w:rsidR="002D26B7" w:rsidRPr="00577417" w:rsidRDefault="002D26B7" w:rsidP="003611B4">
            <w:pPr>
              <w:spacing w:after="0" w:line="240" w:lineRule="auto"/>
              <w:jc w:val="center"/>
              <w:rPr>
                <w:rFonts w:cs="Arial"/>
                <w:color w:val="000000"/>
                <w:sz w:val="16"/>
                <w:szCs w:val="16"/>
              </w:rPr>
            </w:pPr>
            <w:r w:rsidRPr="00577417">
              <w:rPr>
                <w:rFonts w:cs="Arial"/>
                <w:color w:val="000000"/>
                <w:sz w:val="16"/>
                <w:szCs w:val="16"/>
              </w:rPr>
              <w:t>15,3</w:t>
            </w:r>
          </w:p>
        </w:tc>
        <w:tc>
          <w:tcPr>
            <w:tcW w:w="737" w:type="dxa"/>
            <w:tcBorders>
              <w:top w:val="nil"/>
              <w:left w:val="nil"/>
              <w:bottom w:val="nil"/>
              <w:right w:val="nil"/>
            </w:tcBorders>
            <w:shd w:val="clear" w:color="auto" w:fill="auto"/>
            <w:vAlign w:val="center"/>
            <w:hideMark/>
          </w:tcPr>
          <w:p w:rsidR="002D26B7" w:rsidRPr="00577417" w:rsidRDefault="002D26B7" w:rsidP="003611B4">
            <w:pPr>
              <w:spacing w:after="0" w:line="240" w:lineRule="auto"/>
              <w:jc w:val="center"/>
              <w:rPr>
                <w:rFonts w:cs="Arial"/>
                <w:color w:val="000000"/>
                <w:sz w:val="16"/>
                <w:szCs w:val="16"/>
              </w:rPr>
            </w:pPr>
            <w:r w:rsidRPr="00577417">
              <w:rPr>
                <w:rFonts w:cs="Arial"/>
                <w:color w:val="000000"/>
                <w:sz w:val="16"/>
                <w:szCs w:val="16"/>
              </w:rPr>
              <w:t>10,3</w:t>
            </w:r>
          </w:p>
        </w:tc>
      </w:tr>
      <w:tr w:rsidR="002D26B7" w:rsidRPr="00577417" w:rsidTr="003611B4">
        <w:trPr>
          <w:trHeight w:val="300"/>
        </w:trPr>
        <w:tc>
          <w:tcPr>
            <w:tcW w:w="737" w:type="dxa"/>
            <w:tcBorders>
              <w:top w:val="nil"/>
              <w:left w:val="nil"/>
              <w:bottom w:val="nil"/>
              <w:right w:val="single" w:sz="4" w:space="0" w:color="auto"/>
            </w:tcBorders>
            <w:shd w:val="clear" w:color="auto" w:fill="auto"/>
            <w:vAlign w:val="center"/>
            <w:hideMark/>
          </w:tcPr>
          <w:p w:rsidR="002D26B7" w:rsidRPr="00577417" w:rsidRDefault="002D26B7" w:rsidP="003611B4">
            <w:pPr>
              <w:spacing w:after="0" w:line="240" w:lineRule="auto"/>
              <w:jc w:val="center"/>
              <w:rPr>
                <w:rFonts w:cs="Arial"/>
                <w:color w:val="000000"/>
                <w:sz w:val="16"/>
                <w:szCs w:val="16"/>
              </w:rPr>
            </w:pPr>
            <w:r w:rsidRPr="00577417">
              <w:rPr>
                <w:rFonts w:cs="Arial"/>
                <w:color w:val="000000"/>
                <w:sz w:val="16"/>
                <w:szCs w:val="16"/>
              </w:rPr>
              <w:t>2021</w:t>
            </w:r>
          </w:p>
        </w:tc>
        <w:tc>
          <w:tcPr>
            <w:tcW w:w="737" w:type="dxa"/>
            <w:tcBorders>
              <w:top w:val="nil"/>
              <w:left w:val="nil"/>
              <w:bottom w:val="nil"/>
              <w:right w:val="nil"/>
            </w:tcBorders>
            <w:shd w:val="clear" w:color="auto" w:fill="auto"/>
            <w:vAlign w:val="center"/>
            <w:hideMark/>
          </w:tcPr>
          <w:p w:rsidR="002D26B7" w:rsidRPr="00577417" w:rsidRDefault="002D26B7" w:rsidP="003611B4">
            <w:pPr>
              <w:spacing w:after="0" w:line="240" w:lineRule="auto"/>
              <w:jc w:val="center"/>
              <w:rPr>
                <w:rFonts w:cs="Arial"/>
                <w:color w:val="000000"/>
                <w:sz w:val="16"/>
                <w:szCs w:val="16"/>
              </w:rPr>
            </w:pPr>
            <w:r w:rsidRPr="00577417">
              <w:rPr>
                <w:rFonts w:cs="Arial"/>
                <w:color w:val="000000"/>
                <w:sz w:val="16"/>
                <w:szCs w:val="16"/>
              </w:rPr>
              <w:t>260,1</w:t>
            </w:r>
          </w:p>
        </w:tc>
        <w:tc>
          <w:tcPr>
            <w:tcW w:w="736" w:type="dxa"/>
            <w:tcBorders>
              <w:top w:val="nil"/>
              <w:left w:val="nil"/>
              <w:bottom w:val="nil"/>
              <w:right w:val="nil"/>
            </w:tcBorders>
            <w:shd w:val="clear" w:color="auto" w:fill="auto"/>
            <w:vAlign w:val="center"/>
            <w:hideMark/>
          </w:tcPr>
          <w:p w:rsidR="002D26B7" w:rsidRPr="00577417" w:rsidRDefault="002D26B7" w:rsidP="003611B4">
            <w:pPr>
              <w:spacing w:after="0" w:line="240" w:lineRule="auto"/>
              <w:jc w:val="center"/>
              <w:rPr>
                <w:rFonts w:cs="Arial"/>
                <w:color w:val="000000"/>
                <w:sz w:val="16"/>
                <w:szCs w:val="16"/>
              </w:rPr>
            </w:pPr>
            <w:r w:rsidRPr="00577417">
              <w:rPr>
                <w:rFonts w:cs="Arial"/>
                <w:color w:val="000000"/>
                <w:sz w:val="16"/>
                <w:szCs w:val="16"/>
              </w:rPr>
              <w:t>121,2</w:t>
            </w:r>
          </w:p>
        </w:tc>
        <w:tc>
          <w:tcPr>
            <w:tcW w:w="736" w:type="dxa"/>
            <w:tcBorders>
              <w:top w:val="nil"/>
              <w:left w:val="nil"/>
              <w:bottom w:val="nil"/>
              <w:right w:val="single" w:sz="4" w:space="0" w:color="auto"/>
            </w:tcBorders>
            <w:shd w:val="clear" w:color="auto" w:fill="auto"/>
            <w:vAlign w:val="center"/>
            <w:hideMark/>
          </w:tcPr>
          <w:p w:rsidR="002D26B7" w:rsidRPr="00577417" w:rsidRDefault="002D26B7" w:rsidP="003611B4">
            <w:pPr>
              <w:spacing w:after="0" w:line="240" w:lineRule="auto"/>
              <w:jc w:val="center"/>
              <w:rPr>
                <w:rFonts w:cs="Arial"/>
                <w:color w:val="000000"/>
                <w:sz w:val="16"/>
                <w:szCs w:val="16"/>
              </w:rPr>
            </w:pPr>
            <w:r w:rsidRPr="00577417">
              <w:rPr>
                <w:rFonts w:cs="Arial"/>
                <w:color w:val="000000"/>
                <w:sz w:val="16"/>
                <w:szCs w:val="16"/>
              </w:rPr>
              <w:t>138,9</w:t>
            </w:r>
          </w:p>
        </w:tc>
        <w:tc>
          <w:tcPr>
            <w:tcW w:w="737" w:type="dxa"/>
            <w:tcBorders>
              <w:top w:val="nil"/>
              <w:left w:val="nil"/>
              <w:bottom w:val="nil"/>
              <w:right w:val="nil"/>
            </w:tcBorders>
            <w:shd w:val="clear" w:color="auto" w:fill="auto"/>
            <w:vAlign w:val="center"/>
            <w:hideMark/>
          </w:tcPr>
          <w:p w:rsidR="002D26B7" w:rsidRPr="00577417" w:rsidRDefault="002D26B7" w:rsidP="003611B4">
            <w:pPr>
              <w:spacing w:after="0" w:line="240" w:lineRule="auto"/>
              <w:jc w:val="center"/>
              <w:rPr>
                <w:rFonts w:cs="Arial"/>
                <w:color w:val="000000"/>
                <w:sz w:val="16"/>
                <w:szCs w:val="16"/>
              </w:rPr>
            </w:pPr>
            <w:r w:rsidRPr="00577417">
              <w:rPr>
                <w:rFonts w:cs="Arial"/>
                <w:color w:val="000000"/>
                <w:sz w:val="16"/>
                <w:szCs w:val="16"/>
              </w:rPr>
              <w:t>228,4</w:t>
            </w:r>
          </w:p>
        </w:tc>
        <w:tc>
          <w:tcPr>
            <w:tcW w:w="736" w:type="dxa"/>
            <w:tcBorders>
              <w:top w:val="nil"/>
              <w:left w:val="nil"/>
              <w:bottom w:val="nil"/>
              <w:right w:val="nil"/>
            </w:tcBorders>
            <w:shd w:val="clear" w:color="auto" w:fill="auto"/>
            <w:vAlign w:val="center"/>
            <w:hideMark/>
          </w:tcPr>
          <w:p w:rsidR="002D26B7" w:rsidRPr="00577417" w:rsidRDefault="002D26B7" w:rsidP="003611B4">
            <w:pPr>
              <w:spacing w:after="0" w:line="240" w:lineRule="auto"/>
              <w:jc w:val="center"/>
              <w:rPr>
                <w:rFonts w:cs="Arial"/>
                <w:color w:val="000000"/>
                <w:sz w:val="16"/>
                <w:szCs w:val="16"/>
              </w:rPr>
            </w:pPr>
            <w:r w:rsidRPr="00577417">
              <w:rPr>
                <w:rFonts w:cs="Arial"/>
                <w:color w:val="000000"/>
                <w:sz w:val="16"/>
                <w:szCs w:val="16"/>
              </w:rPr>
              <w:t>101,9</w:t>
            </w:r>
          </w:p>
        </w:tc>
        <w:tc>
          <w:tcPr>
            <w:tcW w:w="736" w:type="dxa"/>
            <w:tcBorders>
              <w:top w:val="nil"/>
              <w:left w:val="nil"/>
              <w:bottom w:val="nil"/>
              <w:right w:val="nil"/>
            </w:tcBorders>
            <w:shd w:val="clear" w:color="auto" w:fill="auto"/>
            <w:vAlign w:val="center"/>
            <w:hideMark/>
          </w:tcPr>
          <w:p w:rsidR="002D26B7" w:rsidRPr="00577417" w:rsidRDefault="002D26B7" w:rsidP="003611B4">
            <w:pPr>
              <w:spacing w:after="0" w:line="240" w:lineRule="auto"/>
              <w:jc w:val="center"/>
              <w:rPr>
                <w:rFonts w:cs="Arial"/>
                <w:color w:val="000000"/>
                <w:sz w:val="16"/>
                <w:szCs w:val="16"/>
              </w:rPr>
            </w:pPr>
            <w:r w:rsidRPr="00577417">
              <w:rPr>
                <w:rFonts w:cs="Arial"/>
                <w:color w:val="000000"/>
                <w:sz w:val="16"/>
                <w:szCs w:val="16"/>
              </w:rPr>
              <w:t>126,4</w:t>
            </w:r>
          </w:p>
        </w:tc>
        <w:tc>
          <w:tcPr>
            <w:tcW w:w="754" w:type="dxa"/>
            <w:tcBorders>
              <w:top w:val="nil"/>
              <w:left w:val="single" w:sz="4" w:space="0" w:color="auto"/>
              <w:bottom w:val="nil"/>
              <w:right w:val="nil"/>
            </w:tcBorders>
            <w:shd w:val="clear" w:color="auto" w:fill="auto"/>
            <w:vAlign w:val="center"/>
            <w:hideMark/>
          </w:tcPr>
          <w:p w:rsidR="002D26B7" w:rsidRPr="00577417" w:rsidRDefault="002D26B7" w:rsidP="003611B4">
            <w:pPr>
              <w:spacing w:after="0" w:line="240" w:lineRule="auto"/>
              <w:jc w:val="center"/>
              <w:rPr>
                <w:rFonts w:cs="Arial"/>
                <w:color w:val="000000"/>
                <w:sz w:val="16"/>
                <w:szCs w:val="16"/>
              </w:rPr>
            </w:pPr>
            <w:r w:rsidRPr="00577417">
              <w:rPr>
                <w:rFonts w:cs="Arial"/>
                <w:color w:val="000000"/>
                <w:sz w:val="16"/>
                <w:szCs w:val="16"/>
              </w:rPr>
              <w:t>7,1</w:t>
            </w:r>
          </w:p>
        </w:tc>
        <w:tc>
          <w:tcPr>
            <w:tcW w:w="737" w:type="dxa"/>
            <w:tcBorders>
              <w:top w:val="nil"/>
              <w:left w:val="nil"/>
              <w:bottom w:val="nil"/>
              <w:right w:val="nil"/>
            </w:tcBorders>
            <w:shd w:val="clear" w:color="auto" w:fill="auto"/>
            <w:vAlign w:val="center"/>
            <w:hideMark/>
          </w:tcPr>
          <w:p w:rsidR="002D26B7" w:rsidRPr="00577417" w:rsidRDefault="002D26B7" w:rsidP="003611B4">
            <w:pPr>
              <w:spacing w:after="0" w:line="240" w:lineRule="auto"/>
              <w:jc w:val="center"/>
              <w:rPr>
                <w:rFonts w:cs="Arial"/>
                <w:color w:val="000000"/>
                <w:sz w:val="16"/>
                <w:szCs w:val="16"/>
              </w:rPr>
            </w:pPr>
            <w:r w:rsidRPr="00577417">
              <w:rPr>
                <w:rFonts w:cs="Arial"/>
                <w:color w:val="000000"/>
                <w:sz w:val="16"/>
                <w:szCs w:val="16"/>
              </w:rPr>
              <w:t>4,9</w:t>
            </w:r>
          </w:p>
        </w:tc>
        <w:tc>
          <w:tcPr>
            <w:tcW w:w="737" w:type="dxa"/>
            <w:tcBorders>
              <w:top w:val="nil"/>
              <w:left w:val="nil"/>
              <w:bottom w:val="nil"/>
              <w:right w:val="single" w:sz="4" w:space="0" w:color="auto"/>
            </w:tcBorders>
            <w:shd w:val="clear" w:color="auto" w:fill="auto"/>
            <w:vAlign w:val="center"/>
            <w:hideMark/>
          </w:tcPr>
          <w:p w:rsidR="002D26B7" w:rsidRPr="00577417" w:rsidRDefault="002D26B7" w:rsidP="003611B4">
            <w:pPr>
              <w:spacing w:after="0" w:line="240" w:lineRule="auto"/>
              <w:jc w:val="center"/>
              <w:rPr>
                <w:rFonts w:cs="Arial"/>
                <w:color w:val="000000"/>
                <w:sz w:val="16"/>
                <w:szCs w:val="16"/>
              </w:rPr>
            </w:pPr>
            <w:r w:rsidRPr="00577417">
              <w:rPr>
                <w:rFonts w:cs="Arial"/>
                <w:color w:val="000000"/>
                <w:sz w:val="16"/>
                <w:szCs w:val="16"/>
              </w:rPr>
              <w:t>2,2</w:t>
            </w:r>
          </w:p>
        </w:tc>
        <w:tc>
          <w:tcPr>
            <w:tcW w:w="737" w:type="dxa"/>
            <w:tcBorders>
              <w:top w:val="nil"/>
              <w:left w:val="nil"/>
              <w:bottom w:val="nil"/>
              <w:right w:val="nil"/>
            </w:tcBorders>
            <w:shd w:val="clear" w:color="auto" w:fill="auto"/>
            <w:vAlign w:val="center"/>
            <w:hideMark/>
          </w:tcPr>
          <w:p w:rsidR="002D26B7" w:rsidRPr="00577417" w:rsidRDefault="002D26B7" w:rsidP="003611B4">
            <w:pPr>
              <w:spacing w:after="0" w:line="240" w:lineRule="auto"/>
              <w:jc w:val="center"/>
              <w:rPr>
                <w:rFonts w:cs="Arial"/>
                <w:color w:val="000000"/>
                <w:sz w:val="16"/>
                <w:szCs w:val="16"/>
              </w:rPr>
            </w:pPr>
            <w:r w:rsidRPr="00577417">
              <w:rPr>
                <w:rFonts w:cs="Arial"/>
                <w:color w:val="000000"/>
                <w:sz w:val="16"/>
                <w:szCs w:val="16"/>
              </w:rPr>
              <w:t>24,6</w:t>
            </w:r>
          </w:p>
        </w:tc>
        <w:tc>
          <w:tcPr>
            <w:tcW w:w="737" w:type="dxa"/>
            <w:tcBorders>
              <w:top w:val="nil"/>
              <w:left w:val="nil"/>
              <w:bottom w:val="nil"/>
              <w:right w:val="nil"/>
            </w:tcBorders>
            <w:shd w:val="clear" w:color="auto" w:fill="auto"/>
            <w:vAlign w:val="center"/>
            <w:hideMark/>
          </w:tcPr>
          <w:p w:rsidR="002D26B7" w:rsidRPr="00577417" w:rsidRDefault="002D26B7" w:rsidP="003611B4">
            <w:pPr>
              <w:spacing w:after="0" w:line="240" w:lineRule="auto"/>
              <w:jc w:val="center"/>
              <w:rPr>
                <w:rFonts w:cs="Arial"/>
                <w:color w:val="000000"/>
                <w:sz w:val="16"/>
                <w:szCs w:val="16"/>
              </w:rPr>
            </w:pPr>
            <w:r w:rsidRPr="00577417">
              <w:rPr>
                <w:rFonts w:cs="Arial"/>
                <w:color w:val="000000"/>
                <w:sz w:val="16"/>
                <w:szCs w:val="16"/>
              </w:rPr>
              <w:t>14,4</w:t>
            </w:r>
          </w:p>
        </w:tc>
        <w:tc>
          <w:tcPr>
            <w:tcW w:w="737" w:type="dxa"/>
            <w:tcBorders>
              <w:top w:val="nil"/>
              <w:left w:val="nil"/>
              <w:bottom w:val="nil"/>
              <w:right w:val="nil"/>
            </w:tcBorders>
            <w:shd w:val="clear" w:color="auto" w:fill="auto"/>
            <w:vAlign w:val="center"/>
            <w:hideMark/>
          </w:tcPr>
          <w:p w:rsidR="002D26B7" w:rsidRPr="00577417" w:rsidRDefault="002D26B7" w:rsidP="003611B4">
            <w:pPr>
              <w:spacing w:after="0" w:line="240" w:lineRule="auto"/>
              <w:jc w:val="center"/>
              <w:rPr>
                <w:rFonts w:cs="Arial"/>
                <w:color w:val="000000"/>
                <w:sz w:val="16"/>
                <w:szCs w:val="16"/>
              </w:rPr>
            </w:pPr>
            <w:r w:rsidRPr="00577417">
              <w:rPr>
                <w:rFonts w:cs="Arial"/>
                <w:color w:val="000000"/>
                <w:sz w:val="16"/>
                <w:szCs w:val="16"/>
              </w:rPr>
              <w:t>10,2</w:t>
            </w:r>
          </w:p>
        </w:tc>
      </w:tr>
      <w:tr w:rsidR="002D26B7" w:rsidRPr="00577417" w:rsidTr="003611B4">
        <w:trPr>
          <w:trHeight w:val="300"/>
        </w:trPr>
        <w:tc>
          <w:tcPr>
            <w:tcW w:w="737" w:type="dxa"/>
            <w:tcBorders>
              <w:top w:val="nil"/>
              <w:left w:val="nil"/>
              <w:bottom w:val="nil"/>
              <w:right w:val="single" w:sz="4" w:space="0" w:color="auto"/>
            </w:tcBorders>
            <w:shd w:val="clear" w:color="auto" w:fill="auto"/>
            <w:vAlign w:val="center"/>
          </w:tcPr>
          <w:p w:rsidR="002D26B7" w:rsidRPr="00577417" w:rsidRDefault="002D26B7" w:rsidP="003611B4">
            <w:pPr>
              <w:spacing w:after="0" w:line="240" w:lineRule="auto"/>
              <w:jc w:val="center"/>
              <w:rPr>
                <w:rFonts w:cs="Arial"/>
                <w:color w:val="000000"/>
                <w:sz w:val="16"/>
                <w:szCs w:val="16"/>
              </w:rPr>
            </w:pPr>
            <w:r w:rsidRPr="00577417">
              <w:rPr>
                <w:rFonts w:cs="Arial"/>
                <w:color w:val="000000"/>
                <w:sz w:val="16"/>
                <w:szCs w:val="16"/>
              </w:rPr>
              <w:t>2022</w:t>
            </w:r>
            <w:r>
              <w:rPr>
                <w:rFonts w:cs="Arial"/>
                <w:color w:val="000000"/>
                <w:sz w:val="16"/>
                <w:szCs w:val="16"/>
              </w:rPr>
              <w:t>*</w:t>
            </w:r>
          </w:p>
        </w:tc>
        <w:tc>
          <w:tcPr>
            <w:tcW w:w="737" w:type="dxa"/>
            <w:tcBorders>
              <w:top w:val="nil"/>
              <w:left w:val="nil"/>
              <w:bottom w:val="nil"/>
              <w:right w:val="nil"/>
            </w:tcBorders>
            <w:shd w:val="clear" w:color="auto" w:fill="auto"/>
            <w:vAlign w:val="center"/>
          </w:tcPr>
          <w:p w:rsidR="002D26B7" w:rsidRPr="00577417" w:rsidRDefault="002D26B7" w:rsidP="003611B4">
            <w:pPr>
              <w:spacing w:after="0" w:line="240" w:lineRule="auto"/>
              <w:jc w:val="center"/>
              <w:rPr>
                <w:rFonts w:cs="Arial"/>
                <w:color w:val="000000"/>
                <w:sz w:val="16"/>
                <w:szCs w:val="16"/>
              </w:rPr>
            </w:pPr>
            <w:r w:rsidRPr="00577417">
              <w:rPr>
                <w:rFonts w:cs="Arial"/>
                <w:color w:val="000000"/>
                <w:sz w:val="16"/>
                <w:szCs w:val="16"/>
              </w:rPr>
              <w:t>249,5</w:t>
            </w:r>
          </w:p>
        </w:tc>
        <w:tc>
          <w:tcPr>
            <w:tcW w:w="736" w:type="dxa"/>
            <w:tcBorders>
              <w:top w:val="nil"/>
              <w:left w:val="nil"/>
              <w:bottom w:val="nil"/>
              <w:right w:val="nil"/>
            </w:tcBorders>
            <w:shd w:val="clear" w:color="auto" w:fill="auto"/>
            <w:vAlign w:val="center"/>
          </w:tcPr>
          <w:p w:rsidR="002D26B7" w:rsidRPr="00577417" w:rsidRDefault="002D26B7" w:rsidP="003611B4">
            <w:pPr>
              <w:spacing w:after="0" w:line="240" w:lineRule="auto"/>
              <w:jc w:val="center"/>
              <w:rPr>
                <w:rFonts w:cs="Arial"/>
                <w:color w:val="000000"/>
                <w:sz w:val="16"/>
                <w:szCs w:val="16"/>
              </w:rPr>
            </w:pPr>
            <w:r w:rsidRPr="00577417">
              <w:rPr>
                <w:rFonts w:cs="Arial"/>
                <w:color w:val="000000"/>
                <w:sz w:val="16"/>
                <w:szCs w:val="16"/>
              </w:rPr>
              <w:t>113,4</w:t>
            </w:r>
          </w:p>
        </w:tc>
        <w:tc>
          <w:tcPr>
            <w:tcW w:w="736" w:type="dxa"/>
            <w:tcBorders>
              <w:top w:val="nil"/>
              <w:left w:val="nil"/>
              <w:bottom w:val="nil"/>
              <w:right w:val="single" w:sz="4" w:space="0" w:color="auto"/>
            </w:tcBorders>
            <w:shd w:val="clear" w:color="auto" w:fill="auto"/>
            <w:vAlign w:val="center"/>
          </w:tcPr>
          <w:p w:rsidR="002D26B7" w:rsidRPr="00577417" w:rsidRDefault="002D26B7" w:rsidP="003611B4">
            <w:pPr>
              <w:spacing w:after="0" w:line="240" w:lineRule="auto"/>
              <w:jc w:val="center"/>
              <w:rPr>
                <w:rFonts w:cs="Arial"/>
                <w:color w:val="000000"/>
                <w:sz w:val="16"/>
                <w:szCs w:val="16"/>
              </w:rPr>
            </w:pPr>
            <w:r w:rsidRPr="00577417">
              <w:rPr>
                <w:rFonts w:cs="Arial"/>
                <w:color w:val="000000"/>
                <w:sz w:val="16"/>
                <w:szCs w:val="16"/>
              </w:rPr>
              <w:t>136,1</w:t>
            </w:r>
          </w:p>
        </w:tc>
        <w:tc>
          <w:tcPr>
            <w:tcW w:w="737" w:type="dxa"/>
            <w:tcBorders>
              <w:top w:val="nil"/>
              <w:left w:val="nil"/>
              <w:bottom w:val="nil"/>
              <w:right w:val="nil"/>
            </w:tcBorders>
            <w:shd w:val="clear" w:color="auto" w:fill="auto"/>
            <w:vAlign w:val="center"/>
          </w:tcPr>
          <w:p w:rsidR="002D26B7" w:rsidRPr="00577417" w:rsidRDefault="002D26B7" w:rsidP="003611B4">
            <w:pPr>
              <w:spacing w:after="0" w:line="240" w:lineRule="auto"/>
              <w:jc w:val="center"/>
              <w:rPr>
                <w:rFonts w:cs="Arial"/>
                <w:color w:val="000000"/>
                <w:sz w:val="16"/>
                <w:szCs w:val="16"/>
              </w:rPr>
            </w:pPr>
            <w:r w:rsidRPr="00577417">
              <w:rPr>
                <w:rFonts w:cs="Arial"/>
                <w:color w:val="000000"/>
                <w:sz w:val="16"/>
                <w:szCs w:val="16"/>
              </w:rPr>
              <w:t>217,0</w:t>
            </w:r>
          </w:p>
        </w:tc>
        <w:tc>
          <w:tcPr>
            <w:tcW w:w="736" w:type="dxa"/>
            <w:tcBorders>
              <w:top w:val="nil"/>
              <w:left w:val="nil"/>
              <w:bottom w:val="nil"/>
              <w:right w:val="nil"/>
            </w:tcBorders>
            <w:shd w:val="clear" w:color="auto" w:fill="auto"/>
            <w:vAlign w:val="center"/>
          </w:tcPr>
          <w:p w:rsidR="002D26B7" w:rsidRPr="00577417" w:rsidRDefault="002D26B7" w:rsidP="003611B4">
            <w:pPr>
              <w:spacing w:after="0" w:line="240" w:lineRule="auto"/>
              <w:jc w:val="center"/>
              <w:rPr>
                <w:rFonts w:cs="Arial"/>
                <w:color w:val="000000"/>
                <w:sz w:val="16"/>
                <w:szCs w:val="16"/>
              </w:rPr>
            </w:pPr>
            <w:r w:rsidRPr="00577417">
              <w:rPr>
                <w:rFonts w:cs="Arial"/>
                <w:color w:val="000000"/>
                <w:sz w:val="16"/>
                <w:szCs w:val="16"/>
              </w:rPr>
              <w:t>93,7</w:t>
            </w:r>
          </w:p>
        </w:tc>
        <w:tc>
          <w:tcPr>
            <w:tcW w:w="736" w:type="dxa"/>
            <w:tcBorders>
              <w:top w:val="nil"/>
              <w:left w:val="nil"/>
              <w:bottom w:val="nil"/>
              <w:right w:val="nil"/>
            </w:tcBorders>
            <w:shd w:val="clear" w:color="auto" w:fill="auto"/>
            <w:vAlign w:val="center"/>
          </w:tcPr>
          <w:p w:rsidR="002D26B7" w:rsidRPr="00577417" w:rsidRDefault="002D26B7" w:rsidP="003611B4">
            <w:pPr>
              <w:spacing w:after="0" w:line="240" w:lineRule="auto"/>
              <w:jc w:val="center"/>
              <w:rPr>
                <w:rFonts w:cs="Arial"/>
                <w:color w:val="000000"/>
                <w:sz w:val="16"/>
                <w:szCs w:val="16"/>
              </w:rPr>
            </w:pPr>
            <w:r w:rsidRPr="00577417">
              <w:rPr>
                <w:rFonts w:cs="Arial"/>
                <w:color w:val="000000"/>
                <w:sz w:val="16"/>
                <w:szCs w:val="16"/>
              </w:rPr>
              <w:t>123,2</w:t>
            </w:r>
          </w:p>
        </w:tc>
        <w:tc>
          <w:tcPr>
            <w:tcW w:w="754" w:type="dxa"/>
            <w:tcBorders>
              <w:top w:val="nil"/>
              <w:left w:val="single" w:sz="4" w:space="0" w:color="auto"/>
              <w:bottom w:val="nil"/>
              <w:right w:val="nil"/>
            </w:tcBorders>
            <w:shd w:val="clear" w:color="auto" w:fill="auto"/>
            <w:vAlign w:val="center"/>
          </w:tcPr>
          <w:p w:rsidR="002D26B7" w:rsidRPr="00577417" w:rsidRDefault="002D26B7" w:rsidP="003611B4">
            <w:pPr>
              <w:spacing w:after="0" w:line="240" w:lineRule="auto"/>
              <w:jc w:val="center"/>
              <w:rPr>
                <w:rFonts w:cs="Arial"/>
                <w:color w:val="000000"/>
                <w:sz w:val="16"/>
                <w:szCs w:val="16"/>
              </w:rPr>
            </w:pPr>
            <w:r w:rsidRPr="00577417">
              <w:rPr>
                <w:rFonts w:cs="Arial"/>
                <w:color w:val="000000"/>
                <w:sz w:val="16"/>
                <w:szCs w:val="16"/>
              </w:rPr>
              <w:t>6,9</w:t>
            </w:r>
          </w:p>
        </w:tc>
        <w:tc>
          <w:tcPr>
            <w:tcW w:w="737" w:type="dxa"/>
            <w:tcBorders>
              <w:top w:val="nil"/>
              <w:left w:val="nil"/>
              <w:bottom w:val="nil"/>
              <w:right w:val="nil"/>
            </w:tcBorders>
            <w:shd w:val="clear" w:color="auto" w:fill="auto"/>
            <w:vAlign w:val="center"/>
          </w:tcPr>
          <w:p w:rsidR="002D26B7" w:rsidRPr="00577417" w:rsidRDefault="002D26B7" w:rsidP="003611B4">
            <w:pPr>
              <w:spacing w:after="0" w:line="240" w:lineRule="auto"/>
              <w:jc w:val="center"/>
              <w:rPr>
                <w:rFonts w:cs="Arial"/>
                <w:color w:val="000000"/>
                <w:sz w:val="16"/>
                <w:szCs w:val="16"/>
              </w:rPr>
            </w:pPr>
            <w:r w:rsidRPr="00577417">
              <w:rPr>
                <w:rFonts w:cs="Arial"/>
                <w:color w:val="000000"/>
                <w:sz w:val="16"/>
                <w:szCs w:val="16"/>
              </w:rPr>
              <w:t>4,6</w:t>
            </w:r>
          </w:p>
        </w:tc>
        <w:tc>
          <w:tcPr>
            <w:tcW w:w="737" w:type="dxa"/>
            <w:tcBorders>
              <w:top w:val="nil"/>
              <w:left w:val="nil"/>
              <w:bottom w:val="nil"/>
              <w:right w:val="single" w:sz="4" w:space="0" w:color="auto"/>
            </w:tcBorders>
            <w:shd w:val="clear" w:color="auto" w:fill="auto"/>
            <w:vAlign w:val="center"/>
          </w:tcPr>
          <w:p w:rsidR="002D26B7" w:rsidRPr="00577417" w:rsidRDefault="002D26B7" w:rsidP="003611B4">
            <w:pPr>
              <w:spacing w:after="0" w:line="240" w:lineRule="auto"/>
              <w:jc w:val="center"/>
              <w:rPr>
                <w:rFonts w:cs="Arial"/>
                <w:color w:val="000000"/>
                <w:sz w:val="16"/>
                <w:szCs w:val="16"/>
              </w:rPr>
            </w:pPr>
            <w:r w:rsidRPr="00577417">
              <w:rPr>
                <w:rFonts w:cs="Arial"/>
                <w:color w:val="000000"/>
                <w:sz w:val="16"/>
                <w:szCs w:val="16"/>
              </w:rPr>
              <w:t>2,3</w:t>
            </w:r>
          </w:p>
        </w:tc>
        <w:tc>
          <w:tcPr>
            <w:tcW w:w="737" w:type="dxa"/>
            <w:tcBorders>
              <w:top w:val="nil"/>
              <w:left w:val="nil"/>
              <w:bottom w:val="nil"/>
              <w:right w:val="nil"/>
            </w:tcBorders>
            <w:shd w:val="clear" w:color="auto" w:fill="auto"/>
            <w:vAlign w:val="center"/>
          </w:tcPr>
          <w:p w:rsidR="002D26B7" w:rsidRPr="00577417" w:rsidRDefault="002D26B7" w:rsidP="003611B4">
            <w:pPr>
              <w:spacing w:after="0" w:line="240" w:lineRule="auto"/>
              <w:jc w:val="center"/>
              <w:rPr>
                <w:rFonts w:cs="Arial"/>
                <w:color w:val="000000"/>
                <w:sz w:val="16"/>
                <w:szCs w:val="16"/>
              </w:rPr>
            </w:pPr>
            <w:r w:rsidRPr="00577417">
              <w:rPr>
                <w:rFonts w:cs="Arial"/>
                <w:color w:val="000000"/>
                <w:sz w:val="16"/>
                <w:szCs w:val="16"/>
              </w:rPr>
              <w:t>25,6</w:t>
            </w:r>
          </w:p>
        </w:tc>
        <w:tc>
          <w:tcPr>
            <w:tcW w:w="737" w:type="dxa"/>
            <w:tcBorders>
              <w:top w:val="nil"/>
              <w:left w:val="nil"/>
              <w:bottom w:val="nil"/>
              <w:right w:val="nil"/>
            </w:tcBorders>
            <w:shd w:val="clear" w:color="auto" w:fill="auto"/>
            <w:vAlign w:val="center"/>
          </w:tcPr>
          <w:p w:rsidR="002D26B7" w:rsidRPr="00577417" w:rsidRDefault="002D26B7" w:rsidP="003611B4">
            <w:pPr>
              <w:spacing w:after="0" w:line="240" w:lineRule="auto"/>
              <w:jc w:val="center"/>
              <w:rPr>
                <w:rFonts w:cs="Arial"/>
                <w:color w:val="000000"/>
                <w:sz w:val="16"/>
                <w:szCs w:val="16"/>
              </w:rPr>
            </w:pPr>
            <w:r w:rsidRPr="00577417">
              <w:rPr>
                <w:rFonts w:cs="Arial"/>
                <w:color w:val="000000"/>
                <w:sz w:val="16"/>
                <w:szCs w:val="16"/>
              </w:rPr>
              <w:t>15,0</w:t>
            </w:r>
          </w:p>
        </w:tc>
        <w:tc>
          <w:tcPr>
            <w:tcW w:w="737" w:type="dxa"/>
            <w:tcBorders>
              <w:top w:val="nil"/>
              <w:left w:val="nil"/>
              <w:bottom w:val="nil"/>
              <w:right w:val="nil"/>
            </w:tcBorders>
            <w:shd w:val="clear" w:color="auto" w:fill="auto"/>
            <w:vAlign w:val="center"/>
          </w:tcPr>
          <w:p w:rsidR="002D26B7" w:rsidRPr="00577417" w:rsidRDefault="002D26B7" w:rsidP="003611B4">
            <w:pPr>
              <w:spacing w:after="0" w:line="240" w:lineRule="auto"/>
              <w:jc w:val="center"/>
              <w:rPr>
                <w:rFonts w:cs="Arial"/>
                <w:color w:val="000000"/>
                <w:sz w:val="16"/>
                <w:szCs w:val="16"/>
              </w:rPr>
            </w:pPr>
            <w:r w:rsidRPr="00577417">
              <w:rPr>
                <w:rFonts w:cs="Arial"/>
                <w:color w:val="000000"/>
                <w:sz w:val="16"/>
                <w:szCs w:val="16"/>
              </w:rPr>
              <w:t>10,6</w:t>
            </w:r>
          </w:p>
        </w:tc>
      </w:tr>
      <w:tr w:rsidR="002D26B7" w:rsidRPr="005D05AB" w:rsidTr="003611B4">
        <w:trPr>
          <w:trHeight w:val="300"/>
        </w:trPr>
        <w:tc>
          <w:tcPr>
            <w:tcW w:w="737" w:type="dxa"/>
            <w:tcBorders>
              <w:top w:val="nil"/>
              <w:left w:val="nil"/>
              <w:bottom w:val="nil"/>
              <w:right w:val="single" w:sz="4" w:space="0" w:color="auto"/>
            </w:tcBorders>
            <w:shd w:val="clear" w:color="auto" w:fill="auto"/>
            <w:vAlign w:val="center"/>
          </w:tcPr>
          <w:p w:rsidR="002D26B7" w:rsidRPr="005D05AB" w:rsidRDefault="002D26B7" w:rsidP="003611B4">
            <w:pPr>
              <w:spacing w:after="0" w:line="240" w:lineRule="auto"/>
              <w:jc w:val="center"/>
              <w:rPr>
                <w:rFonts w:cs="Arial"/>
                <w:color w:val="000000"/>
                <w:sz w:val="16"/>
                <w:szCs w:val="16"/>
              </w:rPr>
            </w:pPr>
            <w:r w:rsidRPr="005D05AB">
              <w:rPr>
                <w:sz w:val="16"/>
              </w:rPr>
              <w:t>2023</w:t>
            </w:r>
          </w:p>
        </w:tc>
        <w:tc>
          <w:tcPr>
            <w:tcW w:w="737" w:type="dxa"/>
            <w:tcBorders>
              <w:top w:val="nil"/>
              <w:left w:val="nil"/>
              <w:bottom w:val="nil"/>
              <w:right w:val="nil"/>
            </w:tcBorders>
            <w:shd w:val="clear" w:color="auto" w:fill="auto"/>
            <w:vAlign w:val="center"/>
          </w:tcPr>
          <w:p w:rsidR="002D26B7" w:rsidRPr="005D05AB" w:rsidRDefault="002D26B7" w:rsidP="003611B4">
            <w:pPr>
              <w:spacing w:after="0" w:line="240" w:lineRule="auto"/>
              <w:jc w:val="center"/>
              <w:rPr>
                <w:rFonts w:cs="Arial"/>
                <w:color w:val="000000"/>
                <w:sz w:val="16"/>
                <w:szCs w:val="16"/>
              </w:rPr>
            </w:pPr>
            <w:r w:rsidRPr="005D05AB">
              <w:rPr>
                <w:sz w:val="16"/>
              </w:rPr>
              <w:t>218,0</w:t>
            </w:r>
          </w:p>
        </w:tc>
        <w:tc>
          <w:tcPr>
            <w:tcW w:w="736" w:type="dxa"/>
            <w:tcBorders>
              <w:top w:val="nil"/>
              <w:left w:val="nil"/>
              <w:bottom w:val="nil"/>
              <w:right w:val="nil"/>
            </w:tcBorders>
            <w:shd w:val="clear" w:color="auto" w:fill="auto"/>
            <w:vAlign w:val="center"/>
          </w:tcPr>
          <w:p w:rsidR="002D26B7" w:rsidRPr="005D05AB" w:rsidRDefault="002D26B7" w:rsidP="003611B4">
            <w:pPr>
              <w:spacing w:after="0" w:line="240" w:lineRule="auto"/>
              <w:jc w:val="center"/>
              <w:rPr>
                <w:rFonts w:cs="Arial"/>
                <w:color w:val="000000"/>
                <w:sz w:val="16"/>
                <w:szCs w:val="16"/>
              </w:rPr>
            </w:pPr>
            <w:r w:rsidRPr="005D05AB">
              <w:rPr>
                <w:sz w:val="16"/>
              </w:rPr>
              <w:t>99,0</w:t>
            </w:r>
          </w:p>
        </w:tc>
        <w:tc>
          <w:tcPr>
            <w:tcW w:w="736" w:type="dxa"/>
            <w:tcBorders>
              <w:top w:val="nil"/>
              <w:left w:val="nil"/>
              <w:bottom w:val="nil"/>
              <w:right w:val="single" w:sz="4" w:space="0" w:color="auto"/>
            </w:tcBorders>
            <w:shd w:val="clear" w:color="auto" w:fill="auto"/>
            <w:vAlign w:val="center"/>
          </w:tcPr>
          <w:p w:rsidR="002D26B7" w:rsidRPr="005D05AB" w:rsidRDefault="002D26B7" w:rsidP="003611B4">
            <w:pPr>
              <w:spacing w:after="0" w:line="240" w:lineRule="auto"/>
              <w:jc w:val="center"/>
              <w:rPr>
                <w:rFonts w:cs="Arial"/>
                <w:color w:val="000000"/>
                <w:sz w:val="16"/>
                <w:szCs w:val="16"/>
              </w:rPr>
            </w:pPr>
            <w:r w:rsidRPr="005D05AB">
              <w:rPr>
                <w:sz w:val="16"/>
              </w:rPr>
              <w:t>119,0</w:t>
            </w:r>
          </w:p>
        </w:tc>
        <w:tc>
          <w:tcPr>
            <w:tcW w:w="737" w:type="dxa"/>
            <w:tcBorders>
              <w:top w:val="nil"/>
              <w:left w:val="nil"/>
              <w:bottom w:val="nil"/>
              <w:right w:val="nil"/>
            </w:tcBorders>
            <w:shd w:val="clear" w:color="auto" w:fill="auto"/>
            <w:vAlign w:val="center"/>
          </w:tcPr>
          <w:p w:rsidR="002D26B7" w:rsidRPr="005D05AB" w:rsidRDefault="002D26B7" w:rsidP="003611B4">
            <w:pPr>
              <w:spacing w:after="0" w:line="240" w:lineRule="auto"/>
              <w:jc w:val="center"/>
              <w:rPr>
                <w:rFonts w:cs="Arial"/>
                <w:color w:val="000000"/>
                <w:sz w:val="16"/>
                <w:szCs w:val="16"/>
              </w:rPr>
            </w:pPr>
            <w:r w:rsidRPr="005D05AB">
              <w:rPr>
                <w:sz w:val="16"/>
              </w:rPr>
              <w:t>185,9</w:t>
            </w:r>
          </w:p>
        </w:tc>
        <w:tc>
          <w:tcPr>
            <w:tcW w:w="736" w:type="dxa"/>
            <w:tcBorders>
              <w:top w:val="nil"/>
              <w:left w:val="nil"/>
              <w:bottom w:val="nil"/>
              <w:right w:val="nil"/>
            </w:tcBorders>
            <w:shd w:val="clear" w:color="auto" w:fill="auto"/>
            <w:vAlign w:val="center"/>
          </w:tcPr>
          <w:p w:rsidR="002D26B7" w:rsidRPr="005D05AB" w:rsidRDefault="002D26B7" w:rsidP="003611B4">
            <w:pPr>
              <w:spacing w:after="0" w:line="240" w:lineRule="auto"/>
              <w:jc w:val="center"/>
              <w:rPr>
                <w:rFonts w:cs="Arial"/>
                <w:color w:val="000000"/>
                <w:sz w:val="16"/>
                <w:szCs w:val="16"/>
              </w:rPr>
            </w:pPr>
            <w:r w:rsidRPr="005D05AB">
              <w:rPr>
                <w:sz w:val="16"/>
              </w:rPr>
              <w:t>79,9</w:t>
            </w:r>
          </w:p>
        </w:tc>
        <w:tc>
          <w:tcPr>
            <w:tcW w:w="736" w:type="dxa"/>
            <w:tcBorders>
              <w:top w:val="nil"/>
              <w:left w:val="nil"/>
              <w:bottom w:val="nil"/>
              <w:right w:val="nil"/>
            </w:tcBorders>
            <w:shd w:val="clear" w:color="auto" w:fill="auto"/>
            <w:vAlign w:val="center"/>
          </w:tcPr>
          <w:p w:rsidR="002D26B7" w:rsidRPr="005D05AB" w:rsidRDefault="002D26B7" w:rsidP="003611B4">
            <w:pPr>
              <w:spacing w:after="0" w:line="240" w:lineRule="auto"/>
              <w:jc w:val="center"/>
              <w:rPr>
                <w:rFonts w:cs="Arial"/>
                <w:color w:val="000000"/>
                <w:sz w:val="16"/>
                <w:szCs w:val="16"/>
              </w:rPr>
            </w:pPr>
            <w:r w:rsidRPr="005D05AB">
              <w:rPr>
                <w:sz w:val="16"/>
              </w:rPr>
              <w:t>106,0</w:t>
            </w:r>
          </w:p>
        </w:tc>
        <w:tc>
          <w:tcPr>
            <w:tcW w:w="754" w:type="dxa"/>
            <w:tcBorders>
              <w:top w:val="nil"/>
              <w:left w:val="single" w:sz="4" w:space="0" w:color="auto"/>
              <w:bottom w:val="nil"/>
              <w:right w:val="nil"/>
            </w:tcBorders>
            <w:shd w:val="clear" w:color="auto" w:fill="auto"/>
            <w:vAlign w:val="center"/>
          </w:tcPr>
          <w:p w:rsidR="002D26B7" w:rsidRPr="005D05AB" w:rsidRDefault="002D26B7" w:rsidP="003611B4">
            <w:pPr>
              <w:spacing w:after="0" w:line="240" w:lineRule="auto"/>
              <w:jc w:val="center"/>
              <w:rPr>
                <w:rFonts w:cs="Arial"/>
                <w:color w:val="000000"/>
                <w:sz w:val="16"/>
                <w:szCs w:val="16"/>
              </w:rPr>
            </w:pPr>
            <w:r w:rsidRPr="005D05AB">
              <w:rPr>
                <w:sz w:val="16"/>
              </w:rPr>
              <w:t>6,7</w:t>
            </w:r>
          </w:p>
        </w:tc>
        <w:tc>
          <w:tcPr>
            <w:tcW w:w="737" w:type="dxa"/>
            <w:tcBorders>
              <w:top w:val="nil"/>
              <w:left w:val="nil"/>
              <w:bottom w:val="nil"/>
              <w:right w:val="nil"/>
            </w:tcBorders>
            <w:shd w:val="clear" w:color="auto" w:fill="auto"/>
            <w:vAlign w:val="center"/>
          </w:tcPr>
          <w:p w:rsidR="002D26B7" w:rsidRPr="005D05AB" w:rsidRDefault="002D26B7" w:rsidP="003611B4">
            <w:pPr>
              <w:spacing w:after="0" w:line="240" w:lineRule="auto"/>
              <w:jc w:val="center"/>
              <w:rPr>
                <w:rFonts w:cs="Arial"/>
                <w:color w:val="000000"/>
                <w:sz w:val="16"/>
                <w:szCs w:val="16"/>
              </w:rPr>
            </w:pPr>
            <w:r w:rsidRPr="005D05AB">
              <w:rPr>
                <w:sz w:val="16"/>
              </w:rPr>
              <w:t>4,4</w:t>
            </w:r>
          </w:p>
        </w:tc>
        <w:tc>
          <w:tcPr>
            <w:tcW w:w="737" w:type="dxa"/>
            <w:tcBorders>
              <w:top w:val="nil"/>
              <w:left w:val="nil"/>
              <w:bottom w:val="nil"/>
              <w:right w:val="single" w:sz="4" w:space="0" w:color="auto"/>
            </w:tcBorders>
            <w:shd w:val="clear" w:color="auto" w:fill="auto"/>
            <w:vAlign w:val="center"/>
          </w:tcPr>
          <w:p w:rsidR="002D26B7" w:rsidRPr="005D05AB" w:rsidRDefault="002D26B7" w:rsidP="003611B4">
            <w:pPr>
              <w:spacing w:after="0" w:line="240" w:lineRule="auto"/>
              <w:jc w:val="center"/>
              <w:rPr>
                <w:rFonts w:cs="Arial"/>
                <w:color w:val="000000"/>
                <w:sz w:val="16"/>
                <w:szCs w:val="16"/>
              </w:rPr>
            </w:pPr>
            <w:r w:rsidRPr="005D05AB">
              <w:rPr>
                <w:sz w:val="16"/>
              </w:rPr>
              <w:t>2,3</w:t>
            </w:r>
          </w:p>
        </w:tc>
        <w:tc>
          <w:tcPr>
            <w:tcW w:w="737" w:type="dxa"/>
            <w:tcBorders>
              <w:top w:val="nil"/>
              <w:left w:val="nil"/>
              <w:bottom w:val="nil"/>
              <w:right w:val="nil"/>
            </w:tcBorders>
            <w:shd w:val="clear" w:color="auto" w:fill="auto"/>
            <w:vAlign w:val="center"/>
          </w:tcPr>
          <w:p w:rsidR="002D26B7" w:rsidRPr="005D05AB" w:rsidRDefault="002D26B7" w:rsidP="003611B4">
            <w:pPr>
              <w:spacing w:after="0" w:line="240" w:lineRule="auto"/>
              <w:jc w:val="center"/>
              <w:rPr>
                <w:rFonts w:cs="Arial"/>
                <w:color w:val="000000"/>
                <w:sz w:val="16"/>
                <w:szCs w:val="16"/>
              </w:rPr>
            </w:pPr>
            <w:r w:rsidRPr="005D05AB">
              <w:rPr>
                <w:sz w:val="16"/>
              </w:rPr>
              <w:t>25,4</w:t>
            </w:r>
          </w:p>
        </w:tc>
        <w:tc>
          <w:tcPr>
            <w:tcW w:w="737" w:type="dxa"/>
            <w:tcBorders>
              <w:top w:val="nil"/>
              <w:left w:val="nil"/>
              <w:bottom w:val="nil"/>
              <w:right w:val="nil"/>
            </w:tcBorders>
            <w:shd w:val="clear" w:color="auto" w:fill="auto"/>
            <w:vAlign w:val="center"/>
          </w:tcPr>
          <w:p w:rsidR="002D26B7" w:rsidRPr="005D05AB" w:rsidRDefault="002D26B7" w:rsidP="003611B4">
            <w:pPr>
              <w:spacing w:after="0" w:line="240" w:lineRule="auto"/>
              <w:jc w:val="center"/>
              <w:rPr>
                <w:rFonts w:cs="Arial"/>
                <w:color w:val="000000"/>
                <w:sz w:val="16"/>
                <w:szCs w:val="16"/>
              </w:rPr>
            </w:pPr>
            <w:r w:rsidRPr="005D05AB">
              <w:rPr>
                <w:sz w:val="16"/>
              </w:rPr>
              <w:t>14,6</w:t>
            </w:r>
          </w:p>
        </w:tc>
        <w:tc>
          <w:tcPr>
            <w:tcW w:w="737" w:type="dxa"/>
            <w:tcBorders>
              <w:top w:val="nil"/>
              <w:left w:val="nil"/>
              <w:bottom w:val="nil"/>
              <w:right w:val="nil"/>
            </w:tcBorders>
            <w:shd w:val="clear" w:color="auto" w:fill="auto"/>
            <w:vAlign w:val="center"/>
          </w:tcPr>
          <w:p w:rsidR="002D26B7" w:rsidRPr="005D05AB" w:rsidRDefault="002D26B7" w:rsidP="003611B4">
            <w:pPr>
              <w:spacing w:after="0" w:line="240" w:lineRule="auto"/>
              <w:jc w:val="center"/>
              <w:rPr>
                <w:rFonts w:cs="Arial"/>
                <w:color w:val="000000"/>
                <w:sz w:val="16"/>
                <w:szCs w:val="16"/>
              </w:rPr>
            </w:pPr>
            <w:r w:rsidRPr="005D05AB">
              <w:rPr>
                <w:sz w:val="16"/>
              </w:rPr>
              <w:t>10,7</w:t>
            </w:r>
          </w:p>
        </w:tc>
      </w:tr>
      <w:tr w:rsidR="002D26B7" w:rsidRPr="005D05AB" w:rsidTr="003611B4">
        <w:trPr>
          <w:trHeight w:val="300"/>
        </w:trPr>
        <w:tc>
          <w:tcPr>
            <w:tcW w:w="737" w:type="dxa"/>
            <w:tcBorders>
              <w:top w:val="nil"/>
              <w:left w:val="nil"/>
              <w:bottom w:val="nil"/>
              <w:right w:val="single" w:sz="4" w:space="0" w:color="auto"/>
            </w:tcBorders>
            <w:shd w:val="clear" w:color="auto" w:fill="auto"/>
            <w:vAlign w:val="center"/>
          </w:tcPr>
          <w:p w:rsidR="002D26B7" w:rsidRPr="002F2CC5" w:rsidRDefault="002D26B7" w:rsidP="003611B4">
            <w:pPr>
              <w:spacing w:after="0" w:line="240" w:lineRule="auto"/>
              <w:jc w:val="center"/>
              <w:rPr>
                <w:sz w:val="16"/>
              </w:rPr>
            </w:pPr>
            <w:r w:rsidRPr="002F2CC5">
              <w:rPr>
                <w:sz w:val="16"/>
              </w:rPr>
              <w:t>2024</w:t>
            </w:r>
          </w:p>
        </w:tc>
        <w:tc>
          <w:tcPr>
            <w:tcW w:w="737" w:type="dxa"/>
            <w:tcBorders>
              <w:top w:val="nil"/>
              <w:left w:val="nil"/>
              <w:bottom w:val="nil"/>
              <w:right w:val="nil"/>
            </w:tcBorders>
            <w:shd w:val="clear" w:color="auto" w:fill="auto"/>
            <w:vAlign w:val="center"/>
          </w:tcPr>
          <w:p w:rsidR="002D26B7" w:rsidRPr="002F2CC5" w:rsidRDefault="002F2CC5" w:rsidP="003611B4">
            <w:pPr>
              <w:spacing w:after="0" w:line="240" w:lineRule="auto"/>
              <w:jc w:val="center"/>
              <w:rPr>
                <w:sz w:val="16"/>
              </w:rPr>
            </w:pPr>
            <w:r w:rsidRPr="002F2CC5">
              <w:rPr>
                <w:sz w:val="16"/>
              </w:rPr>
              <w:t>214,4</w:t>
            </w:r>
          </w:p>
        </w:tc>
        <w:tc>
          <w:tcPr>
            <w:tcW w:w="736" w:type="dxa"/>
            <w:tcBorders>
              <w:top w:val="nil"/>
              <w:left w:val="nil"/>
              <w:bottom w:val="nil"/>
              <w:right w:val="nil"/>
            </w:tcBorders>
            <w:shd w:val="clear" w:color="auto" w:fill="auto"/>
            <w:vAlign w:val="center"/>
          </w:tcPr>
          <w:p w:rsidR="002D26B7" w:rsidRPr="002F2CC5" w:rsidRDefault="002F2CC5" w:rsidP="003611B4">
            <w:pPr>
              <w:spacing w:after="0" w:line="240" w:lineRule="auto"/>
              <w:jc w:val="center"/>
              <w:rPr>
                <w:sz w:val="16"/>
              </w:rPr>
            </w:pPr>
            <w:r w:rsidRPr="002F2CC5">
              <w:rPr>
                <w:sz w:val="16"/>
              </w:rPr>
              <w:t>97,6</w:t>
            </w:r>
          </w:p>
        </w:tc>
        <w:tc>
          <w:tcPr>
            <w:tcW w:w="736" w:type="dxa"/>
            <w:tcBorders>
              <w:top w:val="nil"/>
              <w:left w:val="nil"/>
              <w:bottom w:val="nil"/>
              <w:right w:val="single" w:sz="4" w:space="0" w:color="auto"/>
            </w:tcBorders>
            <w:shd w:val="clear" w:color="auto" w:fill="auto"/>
            <w:vAlign w:val="center"/>
          </w:tcPr>
          <w:p w:rsidR="002D26B7" w:rsidRPr="002F2CC5" w:rsidRDefault="002F2CC5" w:rsidP="003611B4">
            <w:pPr>
              <w:spacing w:after="0" w:line="240" w:lineRule="auto"/>
              <w:jc w:val="center"/>
              <w:rPr>
                <w:sz w:val="16"/>
              </w:rPr>
            </w:pPr>
            <w:r w:rsidRPr="002F2CC5">
              <w:rPr>
                <w:sz w:val="16"/>
              </w:rPr>
              <w:t>116,9</w:t>
            </w:r>
          </w:p>
        </w:tc>
        <w:tc>
          <w:tcPr>
            <w:tcW w:w="737" w:type="dxa"/>
            <w:tcBorders>
              <w:top w:val="nil"/>
              <w:left w:val="nil"/>
              <w:bottom w:val="nil"/>
              <w:right w:val="nil"/>
            </w:tcBorders>
            <w:shd w:val="clear" w:color="auto" w:fill="auto"/>
            <w:vAlign w:val="center"/>
          </w:tcPr>
          <w:p w:rsidR="002D26B7" w:rsidRPr="002F2CC5" w:rsidRDefault="002F2CC5" w:rsidP="003611B4">
            <w:pPr>
              <w:spacing w:after="0" w:line="240" w:lineRule="auto"/>
              <w:jc w:val="center"/>
              <w:rPr>
                <w:sz w:val="16"/>
              </w:rPr>
            </w:pPr>
            <w:r w:rsidRPr="002F2CC5">
              <w:rPr>
                <w:sz w:val="16"/>
              </w:rPr>
              <w:t>182,9</w:t>
            </w:r>
          </w:p>
        </w:tc>
        <w:tc>
          <w:tcPr>
            <w:tcW w:w="736" w:type="dxa"/>
            <w:tcBorders>
              <w:top w:val="nil"/>
              <w:left w:val="nil"/>
              <w:bottom w:val="nil"/>
              <w:right w:val="nil"/>
            </w:tcBorders>
            <w:shd w:val="clear" w:color="auto" w:fill="auto"/>
            <w:vAlign w:val="center"/>
          </w:tcPr>
          <w:p w:rsidR="002D26B7" w:rsidRPr="002F2CC5" w:rsidRDefault="002F2CC5" w:rsidP="003611B4">
            <w:pPr>
              <w:spacing w:after="0" w:line="240" w:lineRule="auto"/>
              <w:jc w:val="center"/>
              <w:rPr>
                <w:sz w:val="16"/>
              </w:rPr>
            </w:pPr>
            <w:r w:rsidRPr="002F2CC5">
              <w:rPr>
                <w:sz w:val="16"/>
              </w:rPr>
              <w:t>79,0</w:t>
            </w:r>
          </w:p>
        </w:tc>
        <w:tc>
          <w:tcPr>
            <w:tcW w:w="736" w:type="dxa"/>
            <w:tcBorders>
              <w:top w:val="nil"/>
              <w:left w:val="nil"/>
              <w:bottom w:val="nil"/>
              <w:right w:val="nil"/>
            </w:tcBorders>
            <w:shd w:val="clear" w:color="auto" w:fill="auto"/>
            <w:vAlign w:val="center"/>
          </w:tcPr>
          <w:p w:rsidR="002D26B7" w:rsidRPr="002F2CC5" w:rsidRDefault="002F2CC5" w:rsidP="003611B4">
            <w:pPr>
              <w:spacing w:after="0" w:line="240" w:lineRule="auto"/>
              <w:jc w:val="center"/>
              <w:rPr>
                <w:sz w:val="16"/>
              </w:rPr>
            </w:pPr>
            <w:r w:rsidRPr="002F2CC5">
              <w:rPr>
                <w:sz w:val="16"/>
              </w:rPr>
              <w:t>103,9</w:t>
            </w:r>
          </w:p>
        </w:tc>
        <w:tc>
          <w:tcPr>
            <w:tcW w:w="754" w:type="dxa"/>
            <w:tcBorders>
              <w:top w:val="nil"/>
              <w:left w:val="single" w:sz="4" w:space="0" w:color="auto"/>
              <w:bottom w:val="nil"/>
              <w:right w:val="nil"/>
            </w:tcBorders>
            <w:shd w:val="clear" w:color="auto" w:fill="auto"/>
            <w:vAlign w:val="center"/>
          </w:tcPr>
          <w:p w:rsidR="002D26B7" w:rsidRPr="002F2CC5" w:rsidRDefault="002F2CC5" w:rsidP="003611B4">
            <w:pPr>
              <w:spacing w:after="0" w:line="240" w:lineRule="auto"/>
              <w:jc w:val="center"/>
              <w:rPr>
                <w:sz w:val="16"/>
              </w:rPr>
            </w:pPr>
            <w:r w:rsidRPr="002F2CC5">
              <w:rPr>
                <w:sz w:val="16"/>
              </w:rPr>
              <w:t>6,8</w:t>
            </w:r>
          </w:p>
        </w:tc>
        <w:tc>
          <w:tcPr>
            <w:tcW w:w="737" w:type="dxa"/>
            <w:tcBorders>
              <w:top w:val="nil"/>
              <w:left w:val="nil"/>
              <w:bottom w:val="nil"/>
              <w:right w:val="nil"/>
            </w:tcBorders>
            <w:shd w:val="clear" w:color="auto" w:fill="auto"/>
            <w:vAlign w:val="center"/>
          </w:tcPr>
          <w:p w:rsidR="002D26B7" w:rsidRPr="002F2CC5" w:rsidRDefault="00E266E9" w:rsidP="003611B4">
            <w:pPr>
              <w:spacing w:after="0" w:line="240" w:lineRule="auto"/>
              <w:jc w:val="center"/>
              <w:rPr>
                <w:sz w:val="16"/>
              </w:rPr>
            </w:pPr>
            <w:r w:rsidRPr="002F2CC5">
              <w:rPr>
                <w:sz w:val="16"/>
              </w:rPr>
              <w:t>4,5</w:t>
            </w:r>
          </w:p>
        </w:tc>
        <w:tc>
          <w:tcPr>
            <w:tcW w:w="737" w:type="dxa"/>
            <w:tcBorders>
              <w:top w:val="nil"/>
              <w:left w:val="nil"/>
              <w:bottom w:val="nil"/>
              <w:right w:val="single" w:sz="4" w:space="0" w:color="auto"/>
            </w:tcBorders>
            <w:shd w:val="clear" w:color="auto" w:fill="auto"/>
            <w:vAlign w:val="center"/>
          </w:tcPr>
          <w:p w:rsidR="002D26B7" w:rsidRPr="002F2CC5" w:rsidRDefault="002F2CC5" w:rsidP="003611B4">
            <w:pPr>
              <w:spacing w:after="0" w:line="240" w:lineRule="auto"/>
              <w:jc w:val="center"/>
              <w:rPr>
                <w:sz w:val="16"/>
              </w:rPr>
            </w:pPr>
            <w:r w:rsidRPr="002F2CC5">
              <w:rPr>
                <w:sz w:val="16"/>
              </w:rPr>
              <w:t>2,3</w:t>
            </w:r>
          </w:p>
        </w:tc>
        <w:tc>
          <w:tcPr>
            <w:tcW w:w="737" w:type="dxa"/>
            <w:tcBorders>
              <w:top w:val="nil"/>
              <w:left w:val="nil"/>
              <w:bottom w:val="nil"/>
              <w:right w:val="nil"/>
            </w:tcBorders>
            <w:shd w:val="clear" w:color="auto" w:fill="auto"/>
            <w:vAlign w:val="center"/>
          </w:tcPr>
          <w:p w:rsidR="002D26B7" w:rsidRPr="002F2CC5" w:rsidRDefault="002F2CC5" w:rsidP="003611B4">
            <w:pPr>
              <w:spacing w:after="0" w:line="240" w:lineRule="auto"/>
              <w:jc w:val="center"/>
              <w:rPr>
                <w:sz w:val="16"/>
              </w:rPr>
            </w:pPr>
            <w:r w:rsidRPr="002F2CC5">
              <w:rPr>
                <w:sz w:val="16"/>
              </w:rPr>
              <w:t>24,7</w:t>
            </w:r>
          </w:p>
        </w:tc>
        <w:tc>
          <w:tcPr>
            <w:tcW w:w="737" w:type="dxa"/>
            <w:tcBorders>
              <w:top w:val="nil"/>
              <w:left w:val="nil"/>
              <w:bottom w:val="nil"/>
              <w:right w:val="nil"/>
            </w:tcBorders>
            <w:shd w:val="clear" w:color="auto" w:fill="auto"/>
            <w:vAlign w:val="center"/>
          </w:tcPr>
          <w:p w:rsidR="002D26B7" w:rsidRPr="002F2CC5" w:rsidRDefault="002F2CC5" w:rsidP="003611B4">
            <w:pPr>
              <w:spacing w:after="0" w:line="240" w:lineRule="auto"/>
              <w:jc w:val="center"/>
              <w:rPr>
                <w:sz w:val="16"/>
              </w:rPr>
            </w:pPr>
            <w:r w:rsidRPr="002F2CC5">
              <w:rPr>
                <w:sz w:val="16"/>
              </w:rPr>
              <w:t>14,1</w:t>
            </w:r>
          </w:p>
        </w:tc>
        <w:tc>
          <w:tcPr>
            <w:tcW w:w="737" w:type="dxa"/>
            <w:tcBorders>
              <w:top w:val="nil"/>
              <w:left w:val="nil"/>
              <w:bottom w:val="nil"/>
              <w:right w:val="nil"/>
            </w:tcBorders>
            <w:shd w:val="clear" w:color="auto" w:fill="auto"/>
            <w:vAlign w:val="center"/>
          </w:tcPr>
          <w:p w:rsidR="002D26B7" w:rsidRPr="002F2CC5" w:rsidRDefault="002F2CC5" w:rsidP="003611B4">
            <w:pPr>
              <w:spacing w:after="0" w:line="240" w:lineRule="auto"/>
              <w:jc w:val="center"/>
              <w:rPr>
                <w:sz w:val="16"/>
              </w:rPr>
            </w:pPr>
            <w:r w:rsidRPr="002F2CC5">
              <w:rPr>
                <w:sz w:val="16"/>
              </w:rPr>
              <w:t>10,6</w:t>
            </w:r>
          </w:p>
        </w:tc>
      </w:tr>
    </w:tbl>
    <w:p w:rsidR="00922C12" w:rsidRPr="00922C12" w:rsidRDefault="00922C12" w:rsidP="00922C12">
      <w:pPr>
        <w:spacing w:before="60" w:after="0"/>
        <w:rPr>
          <w:rFonts w:cs="Arial"/>
          <w:color w:val="000000" w:themeColor="text1"/>
          <w:sz w:val="16"/>
          <w:szCs w:val="16"/>
        </w:rPr>
      </w:pPr>
      <w:r w:rsidRPr="00922C12">
        <w:rPr>
          <w:rFonts w:cs="Arial"/>
          <w:color w:val="000000" w:themeColor="text1"/>
          <w:sz w:val="16"/>
          <w:szCs w:val="16"/>
        </w:rPr>
        <w:t>* Údaje za rok 2022 (celkem a pro nemoc) nejsou srovnatelné s údaji za ostatní roky.</w:t>
      </w:r>
    </w:p>
    <w:p w:rsidR="00922C12" w:rsidRDefault="00922C12" w:rsidP="00922C12">
      <w:pPr>
        <w:rPr>
          <w:rFonts w:cs="Arial"/>
          <w:color w:val="000000" w:themeColor="text1"/>
          <w:szCs w:val="16"/>
        </w:rPr>
      </w:pPr>
      <w:r w:rsidRPr="00922C12">
        <w:rPr>
          <w:rFonts w:cs="Arial"/>
          <w:color w:val="000000" w:themeColor="text1"/>
          <w:sz w:val="16"/>
          <w:szCs w:val="16"/>
        </w:rPr>
        <w:t>Zdroj: ČSÚ</w:t>
      </w:r>
    </w:p>
    <w:p w:rsidR="00922C12" w:rsidRDefault="00922C12">
      <w:pPr>
        <w:spacing w:after="0" w:line="240" w:lineRule="auto"/>
        <w:jc w:val="left"/>
        <w:rPr>
          <w:rFonts w:cs="Arial"/>
          <w:color w:val="000000" w:themeColor="text1"/>
          <w:szCs w:val="16"/>
        </w:rPr>
      </w:pPr>
      <w:r>
        <w:rPr>
          <w:rFonts w:cs="Arial"/>
          <w:color w:val="000000" w:themeColor="text1"/>
          <w:szCs w:val="16"/>
        </w:rPr>
        <w:br w:type="page"/>
      </w:r>
    </w:p>
    <w:p w:rsidR="002D26B7" w:rsidRDefault="001116FC" w:rsidP="00922C12">
      <w:pPr>
        <w:rPr>
          <w:color w:val="000000" w:themeColor="text1"/>
        </w:rPr>
      </w:pPr>
      <w:r w:rsidRPr="00EE50AD">
        <w:rPr>
          <w:rFonts w:cs="Arial"/>
          <w:color w:val="000000" w:themeColor="text1"/>
          <w:szCs w:val="16"/>
        </w:rPr>
        <w:lastRenderedPageBreak/>
        <w:t>V roce 2024</w:t>
      </w:r>
      <w:r w:rsidR="002D26B7" w:rsidRPr="00EE50AD">
        <w:rPr>
          <w:rFonts w:cs="Arial"/>
          <w:color w:val="000000" w:themeColor="text1"/>
          <w:szCs w:val="16"/>
        </w:rPr>
        <w:t xml:space="preserve"> </w:t>
      </w:r>
      <w:r w:rsidR="00EE50AD" w:rsidRPr="00EE50AD">
        <w:rPr>
          <w:rFonts w:cs="Arial"/>
          <w:color w:val="000000" w:themeColor="text1"/>
          <w:szCs w:val="16"/>
        </w:rPr>
        <w:t xml:space="preserve">chybělo </w:t>
      </w:r>
      <w:r w:rsidR="00EE50AD">
        <w:rPr>
          <w:rFonts w:cs="Arial"/>
          <w:color w:val="000000" w:themeColor="text1"/>
          <w:szCs w:val="16"/>
        </w:rPr>
        <w:t>denně</w:t>
      </w:r>
      <w:r w:rsidR="00EE50AD" w:rsidRPr="00EE50AD">
        <w:rPr>
          <w:rFonts w:cs="Arial"/>
          <w:color w:val="000000" w:themeColor="text1"/>
          <w:szCs w:val="16"/>
        </w:rPr>
        <w:t xml:space="preserve"> na pracovištíc</w:t>
      </w:r>
      <w:r w:rsidR="00EE50AD">
        <w:rPr>
          <w:rFonts w:cs="Arial"/>
          <w:color w:val="000000" w:themeColor="text1"/>
          <w:szCs w:val="16"/>
        </w:rPr>
        <w:t xml:space="preserve">h </w:t>
      </w:r>
      <w:r w:rsidRPr="00EE50AD">
        <w:rPr>
          <w:rFonts w:cs="Arial"/>
          <w:color w:val="000000" w:themeColor="text1"/>
          <w:szCs w:val="16"/>
        </w:rPr>
        <w:t xml:space="preserve">z důvodu </w:t>
      </w:r>
      <w:r w:rsidR="002D26B7" w:rsidRPr="00EE50AD">
        <w:rPr>
          <w:rFonts w:cs="Arial"/>
          <w:color w:val="000000" w:themeColor="text1"/>
          <w:szCs w:val="16"/>
        </w:rPr>
        <w:t xml:space="preserve">dočasné pracovní neschopnosti způsobené nemocí či </w:t>
      </w:r>
      <w:r w:rsidR="002D26B7" w:rsidRPr="002F2CC5">
        <w:rPr>
          <w:rFonts w:cs="Arial"/>
          <w:color w:val="000000" w:themeColor="text1"/>
          <w:szCs w:val="16"/>
        </w:rPr>
        <w:t>úrazem 2</w:t>
      </w:r>
      <w:r w:rsidR="002F2CC5" w:rsidRPr="002F2CC5">
        <w:rPr>
          <w:rFonts w:cs="Arial"/>
          <w:color w:val="000000" w:themeColor="text1"/>
          <w:szCs w:val="16"/>
        </w:rPr>
        <w:t>14,4</w:t>
      </w:r>
      <w:r w:rsidR="00EE50AD" w:rsidRPr="002F2CC5">
        <w:rPr>
          <w:rFonts w:cs="Arial"/>
          <w:color w:val="000000" w:themeColor="text1"/>
          <w:szCs w:val="16"/>
        </w:rPr>
        <w:t xml:space="preserve"> tisíc</w:t>
      </w:r>
      <w:r w:rsidR="00EE50AD">
        <w:rPr>
          <w:rFonts w:cs="Arial"/>
          <w:color w:val="000000" w:themeColor="text1"/>
          <w:szCs w:val="16"/>
        </w:rPr>
        <w:t xml:space="preserve"> </w:t>
      </w:r>
      <w:r w:rsidR="002D26B7" w:rsidRPr="00EE50AD">
        <w:rPr>
          <w:rFonts w:cs="Arial"/>
          <w:color w:val="000000" w:themeColor="text1"/>
          <w:szCs w:val="16"/>
        </w:rPr>
        <w:t xml:space="preserve">nemocensky pojištěných osob. Oproti roku 2019, kdy </w:t>
      </w:r>
      <w:r w:rsidR="00EE50AD">
        <w:rPr>
          <w:rFonts w:cs="Arial"/>
          <w:color w:val="000000" w:themeColor="text1"/>
          <w:szCs w:val="16"/>
        </w:rPr>
        <w:t xml:space="preserve">tato </w:t>
      </w:r>
      <w:r w:rsidR="002D26B7" w:rsidRPr="00EE50AD">
        <w:rPr>
          <w:rFonts w:cs="Arial"/>
          <w:color w:val="000000" w:themeColor="text1"/>
          <w:szCs w:val="16"/>
        </w:rPr>
        <w:t xml:space="preserve">hodnota činila </w:t>
      </w:r>
      <w:r w:rsidRPr="00EE50AD">
        <w:rPr>
          <w:rFonts w:cs="Arial"/>
          <w:color w:val="000000" w:themeColor="text1"/>
          <w:szCs w:val="16"/>
        </w:rPr>
        <w:t>222</w:t>
      </w:r>
      <w:r w:rsidR="00EE50AD">
        <w:rPr>
          <w:rFonts w:cs="Arial"/>
          <w:color w:val="000000" w:themeColor="text1"/>
          <w:szCs w:val="16"/>
        </w:rPr>
        <w:t xml:space="preserve">,5 tisíc </w:t>
      </w:r>
      <w:r w:rsidRPr="00EE50AD">
        <w:rPr>
          <w:rFonts w:cs="Arial"/>
          <w:color w:val="000000" w:themeColor="text1"/>
          <w:szCs w:val="16"/>
        </w:rPr>
        <w:t>pojištěnců, se jedn</w:t>
      </w:r>
      <w:r w:rsidR="00EE50AD">
        <w:rPr>
          <w:rFonts w:cs="Arial"/>
          <w:color w:val="000000" w:themeColor="text1"/>
          <w:szCs w:val="16"/>
        </w:rPr>
        <w:t>alo</w:t>
      </w:r>
      <w:r w:rsidRPr="00EE50AD">
        <w:rPr>
          <w:rFonts w:cs="Arial"/>
          <w:color w:val="000000" w:themeColor="text1"/>
          <w:szCs w:val="16"/>
        </w:rPr>
        <w:t xml:space="preserve"> </w:t>
      </w:r>
      <w:r w:rsidRPr="002F2CC5">
        <w:rPr>
          <w:rFonts w:cs="Arial"/>
          <w:color w:val="000000" w:themeColor="text1"/>
          <w:szCs w:val="16"/>
        </w:rPr>
        <w:t>o 3</w:t>
      </w:r>
      <w:r w:rsidR="002F2CC5" w:rsidRPr="002F2CC5">
        <w:rPr>
          <w:rFonts w:cs="Arial"/>
          <w:color w:val="000000" w:themeColor="text1"/>
          <w:szCs w:val="16"/>
        </w:rPr>
        <w:t>,6</w:t>
      </w:r>
      <w:r w:rsidRPr="002F2CC5">
        <w:rPr>
          <w:rFonts w:cs="Arial"/>
          <w:color w:val="000000" w:themeColor="text1"/>
          <w:szCs w:val="16"/>
        </w:rPr>
        <w:t xml:space="preserve">% pokles (o </w:t>
      </w:r>
      <w:r w:rsidR="002F2CC5" w:rsidRPr="002F2CC5">
        <w:rPr>
          <w:rFonts w:cs="Arial"/>
          <w:color w:val="000000" w:themeColor="text1"/>
          <w:szCs w:val="16"/>
        </w:rPr>
        <w:t>8,1</w:t>
      </w:r>
      <w:r w:rsidR="002D26B7" w:rsidRPr="002F2CC5">
        <w:rPr>
          <w:rFonts w:cs="Arial"/>
          <w:color w:val="000000" w:themeColor="text1"/>
          <w:szCs w:val="16"/>
        </w:rPr>
        <w:t xml:space="preserve"> tis</w:t>
      </w:r>
      <w:r w:rsidRPr="002F2CC5">
        <w:rPr>
          <w:rFonts w:cs="Arial"/>
          <w:color w:val="000000" w:themeColor="text1"/>
          <w:szCs w:val="16"/>
        </w:rPr>
        <w:t>íc osob</w:t>
      </w:r>
      <w:r w:rsidR="002D26B7" w:rsidRPr="002F2CC5">
        <w:rPr>
          <w:rFonts w:cs="Arial"/>
          <w:color w:val="000000" w:themeColor="text1"/>
          <w:szCs w:val="16"/>
        </w:rPr>
        <w:t>).</w:t>
      </w:r>
      <w:r w:rsidR="002D26B7" w:rsidRPr="00EE50AD">
        <w:rPr>
          <w:rFonts w:cs="Arial"/>
          <w:color w:val="000000" w:themeColor="text1"/>
          <w:szCs w:val="16"/>
        </w:rPr>
        <w:t xml:space="preserve"> Naopak </w:t>
      </w:r>
      <w:r w:rsidRPr="00EE50AD">
        <w:rPr>
          <w:rFonts w:cs="Arial"/>
          <w:color w:val="000000" w:themeColor="text1"/>
          <w:szCs w:val="16"/>
        </w:rPr>
        <w:t>při</w:t>
      </w:r>
      <w:r w:rsidR="002D26B7" w:rsidRPr="00EE50AD">
        <w:rPr>
          <w:rFonts w:cs="Arial"/>
          <w:color w:val="000000" w:themeColor="text1"/>
          <w:szCs w:val="16"/>
        </w:rPr>
        <w:t xml:space="preserve"> srovnání s rokem 201</w:t>
      </w:r>
      <w:r w:rsidRPr="00EE50AD">
        <w:rPr>
          <w:rFonts w:cs="Arial"/>
          <w:color w:val="000000" w:themeColor="text1"/>
          <w:szCs w:val="16"/>
        </w:rPr>
        <w:t>4</w:t>
      </w:r>
      <w:r w:rsidR="002D26B7" w:rsidRPr="00EE50AD">
        <w:rPr>
          <w:rFonts w:cs="Arial"/>
          <w:color w:val="000000" w:themeColor="text1"/>
          <w:szCs w:val="16"/>
        </w:rPr>
        <w:t xml:space="preserve"> přibylo </w:t>
      </w:r>
      <w:r w:rsidR="002F2CC5">
        <w:rPr>
          <w:rFonts w:cs="Arial"/>
          <w:color w:val="000000" w:themeColor="text1"/>
          <w:szCs w:val="16"/>
        </w:rPr>
        <w:t>více než</w:t>
      </w:r>
      <w:r w:rsidRPr="00EE50AD">
        <w:rPr>
          <w:rFonts w:cs="Arial"/>
          <w:color w:val="000000" w:themeColor="text1"/>
          <w:szCs w:val="16"/>
        </w:rPr>
        <w:t xml:space="preserve"> </w:t>
      </w:r>
      <w:r w:rsidR="002F2CC5" w:rsidRPr="002F2CC5">
        <w:rPr>
          <w:rFonts w:cs="Arial"/>
          <w:color w:val="000000" w:themeColor="text1"/>
          <w:szCs w:val="16"/>
        </w:rPr>
        <w:t>49</w:t>
      </w:r>
      <w:r w:rsidR="00EE50AD" w:rsidRPr="002F2CC5">
        <w:rPr>
          <w:rFonts w:cs="Arial"/>
          <w:color w:val="000000" w:themeColor="text1"/>
          <w:szCs w:val="16"/>
        </w:rPr>
        <w:t> </w:t>
      </w:r>
      <w:r w:rsidRPr="002F2CC5">
        <w:rPr>
          <w:rFonts w:cs="Arial"/>
          <w:color w:val="000000" w:themeColor="text1"/>
          <w:szCs w:val="16"/>
        </w:rPr>
        <w:t>tisíc</w:t>
      </w:r>
      <w:r w:rsidR="002D26B7" w:rsidRPr="002F2CC5">
        <w:rPr>
          <w:rFonts w:cs="Arial"/>
          <w:color w:val="000000" w:themeColor="text1"/>
          <w:szCs w:val="16"/>
        </w:rPr>
        <w:t xml:space="preserve"> </w:t>
      </w:r>
      <w:r w:rsidRPr="002F2CC5">
        <w:rPr>
          <w:rFonts w:cs="Arial"/>
          <w:color w:val="000000" w:themeColor="text1"/>
          <w:szCs w:val="16"/>
        </w:rPr>
        <w:t xml:space="preserve">denně </w:t>
      </w:r>
      <w:r w:rsidR="002D26B7" w:rsidRPr="002F2CC5">
        <w:rPr>
          <w:rFonts w:cs="Arial"/>
          <w:color w:val="000000" w:themeColor="text1"/>
          <w:szCs w:val="16"/>
        </w:rPr>
        <w:t>dočasně práce neschopných</w:t>
      </w:r>
      <w:r w:rsidRPr="002F2CC5">
        <w:rPr>
          <w:rFonts w:cs="Arial"/>
          <w:color w:val="000000" w:themeColor="text1"/>
          <w:szCs w:val="16"/>
        </w:rPr>
        <w:t xml:space="preserve"> </w:t>
      </w:r>
      <w:r w:rsidR="002F2CC5" w:rsidRPr="002F2CC5">
        <w:rPr>
          <w:rFonts w:cs="Arial"/>
          <w:color w:val="000000" w:themeColor="text1"/>
          <w:szCs w:val="16"/>
        </w:rPr>
        <w:t>(tj. 30</w:t>
      </w:r>
      <w:r w:rsidRPr="002F2CC5">
        <w:rPr>
          <w:rFonts w:cs="Arial"/>
          <w:color w:val="000000" w:themeColor="text1"/>
          <w:szCs w:val="16"/>
        </w:rPr>
        <w:t xml:space="preserve"> %)</w:t>
      </w:r>
      <w:r w:rsidR="002D26B7" w:rsidRPr="002F2CC5">
        <w:rPr>
          <w:rFonts w:cs="Arial"/>
          <w:color w:val="000000" w:themeColor="text1"/>
          <w:szCs w:val="16"/>
        </w:rPr>
        <w:t>.</w:t>
      </w:r>
      <w:r w:rsidR="002D26B7" w:rsidRPr="00EE50AD">
        <w:rPr>
          <w:rFonts w:cs="Arial"/>
          <w:color w:val="000000" w:themeColor="text1"/>
          <w:szCs w:val="16"/>
        </w:rPr>
        <w:t xml:space="preserve"> Na tomto nárůstu se podílely především neschopenky zapříčiněné </w:t>
      </w:r>
      <w:r w:rsidRPr="002F2CC5">
        <w:rPr>
          <w:rFonts w:cs="Arial"/>
          <w:color w:val="000000" w:themeColor="text1"/>
          <w:szCs w:val="16"/>
        </w:rPr>
        <w:t>nemocí (</w:t>
      </w:r>
      <w:r w:rsidR="002F2CC5" w:rsidRPr="002F2CC5">
        <w:rPr>
          <w:rFonts w:cs="Arial"/>
          <w:color w:val="000000" w:themeColor="text1"/>
          <w:szCs w:val="16"/>
        </w:rPr>
        <w:t>o 43</w:t>
      </w:r>
      <w:r w:rsidR="002D26B7" w:rsidRPr="002F2CC5">
        <w:rPr>
          <w:rFonts w:cs="Arial"/>
          <w:color w:val="000000" w:themeColor="text1"/>
          <w:szCs w:val="16"/>
        </w:rPr>
        <w:t xml:space="preserve"> tis</w:t>
      </w:r>
      <w:r w:rsidRPr="002F2CC5">
        <w:rPr>
          <w:rFonts w:cs="Arial"/>
          <w:color w:val="000000" w:themeColor="text1"/>
          <w:szCs w:val="16"/>
        </w:rPr>
        <w:t>íc</w:t>
      </w:r>
      <w:r w:rsidR="002D26B7" w:rsidRPr="002F2CC5">
        <w:rPr>
          <w:rFonts w:cs="Arial"/>
          <w:color w:val="000000" w:themeColor="text1"/>
          <w:szCs w:val="16"/>
        </w:rPr>
        <w:t>), o </w:t>
      </w:r>
      <w:r w:rsidRPr="002F2CC5">
        <w:rPr>
          <w:rFonts w:cs="Arial"/>
          <w:color w:val="000000" w:themeColor="text1"/>
          <w:szCs w:val="16"/>
        </w:rPr>
        <w:t>více než třetinu</w:t>
      </w:r>
      <w:r w:rsidR="002D26B7" w:rsidRPr="002F2CC5">
        <w:rPr>
          <w:rFonts w:cs="Arial"/>
          <w:color w:val="000000" w:themeColor="text1"/>
          <w:szCs w:val="16"/>
        </w:rPr>
        <w:t xml:space="preserve"> vzrostl </w:t>
      </w:r>
      <w:r w:rsidR="00EE50AD" w:rsidRPr="002F2CC5">
        <w:rPr>
          <w:rFonts w:cs="Arial"/>
          <w:color w:val="000000" w:themeColor="text1"/>
          <w:szCs w:val="16"/>
        </w:rPr>
        <w:t xml:space="preserve">i </w:t>
      </w:r>
      <w:r w:rsidR="002D26B7" w:rsidRPr="002F2CC5">
        <w:rPr>
          <w:rFonts w:cs="Arial"/>
          <w:color w:val="000000" w:themeColor="text1"/>
          <w:szCs w:val="16"/>
        </w:rPr>
        <w:t>den</w:t>
      </w:r>
      <w:r w:rsidRPr="002F2CC5">
        <w:rPr>
          <w:rFonts w:cs="Arial"/>
          <w:color w:val="000000" w:themeColor="text1"/>
          <w:szCs w:val="16"/>
        </w:rPr>
        <w:t>ní počet práce neschopných osob z důvodu mimopracovního úrazu (</w:t>
      </w:r>
      <w:r w:rsidR="002F2CC5" w:rsidRPr="002F2CC5">
        <w:rPr>
          <w:rFonts w:cs="Arial"/>
          <w:color w:val="000000" w:themeColor="text1"/>
          <w:szCs w:val="16"/>
        </w:rPr>
        <w:t>o 6,3</w:t>
      </w:r>
      <w:r w:rsidRPr="002F2CC5">
        <w:rPr>
          <w:rFonts w:cs="Arial"/>
          <w:color w:val="000000" w:themeColor="text1"/>
          <w:szCs w:val="16"/>
        </w:rPr>
        <w:t xml:space="preserve"> tisíc</w:t>
      </w:r>
      <w:r w:rsidR="002D26B7" w:rsidRPr="002F2CC5">
        <w:rPr>
          <w:rFonts w:cs="Arial"/>
          <w:color w:val="000000" w:themeColor="text1"/>
          <w:szCs w:val="16"/>
        </w:rPr>
        <w:t>).</w:t>
      </w:r>
      <w:r w:rsidR="00EE50AD" w:rsidRPr="00922C12">
        <w:rPr>
          <w:noProof/>
          <w:color w:val="000000" w:themeColor="text1"/>
        </w:rPr>
        <w:t xml:space="preserve"> </w:t>
      </w:r>
      <w:r w:rsidR="00EE50AD" w:rsidRPr="00922C12">
        <w:rPr>
          <w:rFonts w:cs="Arial"/>
          <w:color w:val="000000" w:themeColor="text1"/>
          <w:szCs w:val="16"/>
        </w:rPr>
        <w:t>Pro nemoc bylo v roce 2024</w:t>
      </w:r>
      <w:r w:rsidR="002D26B7" w:rsidRPr="00922C12">
        <w:rPr>
          <w:rFonts w:cs="Arial"/>
          <w:color w:val="000000" w:themeColor="text1"/>
          <w:szCs w:val="16"/>
        </w:rPr>
        <w:t xml:space="preserve"> p</w:t>
      </w:r>
      <w:r w:rsidR="00EE50AD" w:rsidRPr="00922C12">
        <w:rPr>
          <w:rFonts w:cs="Arial"/>
          <w:color w:val="000000" w:themeColor="text1"/>
          <w:szCs w:val="16"/>
        </w:rPr>
        <w:t>růměrně denně v </w:t>
      </w:r>
      <w:r w:rsidR="00EE50AD" w:rsidRPr="002F2CC5">
        <w:rPr>
          <w:rFonts w:cs="Arial"/>
          <w:color w:val="000000" w:themeColor="text1"/>
          <w:szCs w:val="16"/>
        </w:rPr>
        <w:t xml:space="preserve">neschopnosti </w:t>
      </w:r>
      <w:r w:rsidR="002F2CC5" w:rsidRPr="002F2CC5">
        <w:rPr>
          <w:rFonts w:cs="Arial"/>
          <w:color w:val="000000" w:themeColor="text1"/>
          <w:szCs w:val="16"/>
        </w:rPr>
        <w:t>182,9</w:t>
      </w:r>
      <w:r w:rsidR="00EE50AD" w:rsidRPr="002F2CC5">
        <w:rPr>
          <w:rFonts w:cs="Arial"/>
          <w:color w:val="000000" w:themeColor="text1"/>
          <w:szCs w:val="16"/>
        </w:rPr>
        <w:t xml:space="preserve"> tisíc</w:t>
      </w:r>
      <w:r w:rsidR="00922C12" w:rsidRPr="00922C12">
        <w:rPr>
          <w:rFonts w:cs="Arial"/>
          <w:color w:val="000000" w:themeColor="text1"/>
          <w:szCs w:val="16"/>
        </w:rPr>
        <w:t xml:space="preserve"> pojištěnců,</w:t>
      </w:r>
      <w:r w:rsidR="002D26B7" w:rsidRPr="00922C12">
        <w:rPr>
          <w:rFonts w:cs="Arial"/>
          <w:color w:val="000000" w:themeColor="text1"/>
          <w:szCs w:val="16"/>
        </w:rPr>
        <w:t xml:space="preserve"> v důsledku pracovního úrazu </w:t>
      </w:r>
      <w:r w:rsidR="00922C12" w:rsidRPr="00922C12">
        <w:rPr>
          <w:rFonts w:cs="Arial"/>
          <w:color w:val="000000" w:themeColor="text1"/>
          <w:szCs w:val="16"/>
        </w:rPr>
        <w:t xml:space="preserve">a ostatních </w:t>
      </w:r>
      <w:r w:rsidR="00922C12" w:rsidRPr="002F2CC5">
        <w:rPr>
          <w:rFonts w:cs="Arial"/>
          <w:color w:val="000000" w:themeColor="text1"/>
          <w:szCs w:val="16"/>
        </w:rPr>
        <w:t xml:space="preserve">úrazů poté </w:t>
      </w:r>
      <w:r w:rsidR="002D26B7" w:rsidRPr="002F2CC5">
        <w:rPr>
          <w:rFonts w:cs="Arial"/>
          <w:color w:val="000000" w:themeColor="text1"/>
          <w:szCs w:val="16"/>
        </w:rPr>
        <w:t>6</w:t>
      </w:r>
      <w:r w:rsidR="002F2CC5" w:rsidRPr="002F2CC5">
        <w:rPr>
          <w:rFonts w:cs="Arial"/>
          <w:color w:val="000000" w:themeColor="text1"/>
          <w:szCs w:val="16"/>
        </w:rPr>
        <w:t>,8</w:t>
      </w:r>
      <w:r w:rsidR="00EE50AD" w:rsidRPr="002F2CC5">
        <w:rPr>
          <w:rFonts w:cs="Arial"/>
          <w:color w:val="000000" w:themeColor="text1"/>
          <w:szCs w:val="16"/>
        </w:rPr>
        <w:t xml:space="preserve"> tisíc</w:t>
      </w:r>
      <w:r w:rsidR="00922C12" w:rsidRPr="002F2CC5">
        <w:rPr>
          <w:rFonts w:cs="Arial"/>
          <w:color w:val="000000" w:themeColor="text1"/>
          <w:szCs w:val="16"/>
        </w:rPr>
        <w:t xml:space="preserve">, resp. </w:t>
      </w:r>
      <w:r w:rsidR="002F2CC5" w:rsidRPr="002F2CC5">
        <w:rPr>
          <w:rFonts w:cs="Arial"/>
          <w:color w:val="000000" w:themeColor="text1"/>
          <w:szCs w:val="16"/>
        </w:rPr>
        <w:t>24,7</w:t>
      </w:r>
      <w:r w:rsidR="00922C12" w:rsidRPr="002F2CC5">
        <w:rPr>
          <w:rFonts w:cs="Arial"/>
          <w:color w:val="000000" w:themeColor="text1"/>
          <w:szCs w:val="16"/>
        </w:rPr>
        <w:t xml:space="preserve"> tisíc nemocensky</w:t>
      </w:r>
      <w:r w:rsidR="00922C12" w:rsidRPr="00922C12">
        <w:rPr>
          <w:rFonts w:cs="Arial"/>
          <w:color w:val="000000" w:themeColor="text1"/>
          <w:szCs w:val="16"/>
        </w:rPr>
        <w:t xml:space="preserve"> pojištěných osob. V odvětví Zpracovatelský </w:t>
      </w:r>
      <w:r w:rsidR="002D26B7" w:rsidRPr="00922C12">
        <w:rPr>
          <w:rFonts w:cs="Arial"/>
          <w:color w:val="000000" w:themeColor="text1"/>
          <w:szCs w:val="16"/>
        </w:rPr>
        <w:t xml:space="preserve">průmysl chybělo denně </w:t>
      </w:r>
      <w:r w:rsidR="00922C12" w:rsidRPr="00922C12">
        <w:rPr>
          <w:rFonts w:cs="Arial"/>
          <w:color w:val="000000" w:themeColor="text1"/>
          <w:szCs w:val="16"/>
        </w:rPr>
        <w:t xml:space="preserve">z důvodu </w:t>
      </w:r>
      <w:r w:rsidR="002D26B7" w:rsidRPr="002F2CC5">
        <w:rPr>
          <w:rFonts w:cs="Arial"/>
          <w:color w:val="000000" w:themeColor="text1"/>
          <w:szCs w:val="16"/>
        </w:rPr>
        <w:t>pracovní neschopnost</w:t>
      </w:r>
      <w:r w:rsidR="00922C12" w:rsidRPr="002F2CC5">
        <w:rPr>
          <w:rFonts w:cs="Arial"/>
          <w:color w:val="000000" w:themeColor="text1"/>
          <w:szCs w:val="16"/>
        </w:rPr>
        <w:t>i</w:t>
      </w:r>
      <w:r w:rsidR="002D26B7" w:rsidRPr="002F2CC5">
        <w:rPr>
          <w:rFonts w:cs="Arial"/>
          <w:color w:val="000000" w:themeColor="text1"/>
          <w:szCs w:val="16"/>
        </w:rPr>
        <w:t xml:space="preserve"> </w:t>
      </w:r>
      <w:r w:rsidR="00922C12" w:rsidRPr="002F2CC5">
        <w:rPr>
          <w:rFonts w:cs="Arial"/>
          <w:color w:val="000000" w:themeColor="text1"/>
          <w:szCs w:val="16"/>
        </w:rPr>
        <w:t>69</w:t>
      </w:r>
      <w:r w:rsidR="002D26B7" w:rsidRPr="002F2CC5">
        <w:rPr>
          <w:rFonts w:cs="Arial"/>
          <w:color w:val="000000" w:themeColor="text1"/>
          <w:szCs w:val="16"/>
        </w:rPr>
        <w:t> tis</w:t>
      </w:r>
      <w:r w:rsidR="00922C12" w:rsidRPr="002F2CC5">
        <w:rPr>
          <w:rFonts w:cs="Arial"/>
          <w:color w:val="000000" w:themeColor="text1"/>
          <w:szCs w:val="16"/>
        </w:rPr>
        <w:t>íc</w:t>
      </w:r>
      <w:r w:rsidR="002D26B7" w:rsidRPr="002F2CC5">
        <w:rPr>
          <w:rFonts w:cs="Arial"/>
          <w:color w:val="000000" w:themeColor="text1"/>
          <w:szCs w:val="16"/>
        </w:rPr>
        <w:t xml:space="preserve"> pojištěnců, v</w:t>
      </w:r>
      <w:r w:rsidR="00922C12" w:rsidRPr="002F2CC5">
        <w:rPr>
          <w:rFonts w:cs="Arial"/>
          <w:color w:val="000000" w:themeColor="text1"/>
          <w:szCs w:val="16"/>
        </w:rPr>
        <w:t>e</w:t>
      </w:r>
      <w:r w:rsidR="002D26B7" w:rsidRPr="002F2CC5">
        <w:rPr>
          <w:rFonts w:cs="Arial"/>
          <w:color w:val="000000" w:themeColor="text1"/>
          <w:szCs w:val="16"/>
        </w:rPr>
        <w:t xml:space="preserve"> Velkoobchod</w:t>
      </w:r>
      <w:r w:rsidR="00922C12" w:rsidRPr="002F2CC5">
        <w:rPr>
          <w:rFonts w:cs="Arial"/>
          <w:color w:val="000000" w:themeColor="text1"/>
          <w:szCs w:val="16"/>
        </w:rPr>
        <w:t>ě</w:t>
      </w:r>
      <w:r w:rsidR="002D26B7" w:rsidRPr="002F2CC5">
        <w:rPr>
          <w:rFonts w:cs="Arial"/>
          <w:color w:val="000000" w:themeColor="text1"/>
          <w:szCs w:val="16"/>
        </w:rPr>
        <w:t xml:space="preserve"> a maloobchod</w:t>
      </w:r>
      <w:r w:rsidR="00922C12" w:rsidRPr="002F2CC5">
        <w:rPr>
          <w:rFonts w:cs="Arial"/>
          <w:color w:val="000000" w:themeColor="text1"/>
          <w:szCs w:val="16"/>
        </w:rPr>
        <w:t>ě</w:t>
      </w:r>
      <w:r w:rsidR="002D26B7" w:rsidRPr="002F2CC5">
        <w:rPr>
          <w:rFonts w:cs="Arial"/>
          <w:color w:val="000000" w:themeColor="text1"/>
          <w:szCs w:val="16"/>
        </w:rPr>
        <w:t>, oprav</w:t>
      </w:r>
      <w:r w:rsidR="00922C12" w:rsidRPr="002F2CC5">
        <w:rPr>
          <w:rFonts w:cs="Arial"/>
          <w:color w:val="000000" w:themeColor="text1"/>
          <w:szCs w:val="16"/>
        </w:rPr>
        <w:t>ách</w:t>
      </w:r>
      <w:r w:rsidR="002D26B7" w:rsidRPr="002F2CC5">
        <w:rPr>
          <w:rFonts w:cs="Arial"/>
          <w:color w:val="000000" w:themeColor="text1"/>
          <w:szCs w:val="16"/>
        </w:rPr>
        <w:t xml:space="preserve"> a údržb</w:t>
      </w:r>
      <w:r w:rsidR="00922C12" w:rsidRPr="002F2CC5">
        <w:rPr>
          <w:rFonts w:cs="Arial"/>
          <w:color w:val="000000" w:themeColor="text1"/>
          <w:szCs w:val="16"/>
        </w:rPr>
        <w:t>ě</w:t>
      </w:r>
      <w:r w:rsidR="002D26B7" w:rsidRPr="002F2CC5">
        <w:rPr>
          <w:rFonts w:cs="Arial"/>
          <w:color w:val="000000" w:themeColor="text1"/>
          <w:szCs w:val="16"/>
        </w:rPr>
        <w:t xml:space="preserve"> motorových vozidel </w:t>
      </w:r>
      <w:r w:rsidR="002F2CC5" w:rsidRPr="002F2CC5">
        <w:rPr>
          <w:rFonts w:cs="Arial"/>
          <w:color w:val="000000" w:themeColor="text1"/>
          <w:szCs w:val="16"/>
        </w:rPr>
        <w:t>téměř 28</w:t>
      </w:r>
      <w:r w:rsidR="002D26B7" w:rsidRPr="002F2CC5">
        <w:rPr>
          <w:rFonts w:cs="Arial"/>
          <w:color w:val="000000" w:themeColor="text1"/>
          <w:szCs w:val="16"/>
        </w:rPr>
        <w:t> tis</w:t>
      </w:r>
      <w:r w:rsidR="00922C12" w:rsidRPr="002F2CC5">
        <w:rPr>
          <w:rFonts w:cs="Arial"/>
          <w:color w:val="000000" w:themeColor="text1"/>
          <w:szCs w:val="16"/>
        </w:rPr>
        <w:t>íc</w:t>
      </w:r>
      <w:r w:rsidR="00922C12" w:rsidRPr="00922C12">
        <w:rPr>
          <w:rFonts w:cs="Arial"/>
          <w:color w:val="000000" w:themeColor="text1"/>
          <w:szCs w:val="16"/>
        </w:rPr>
        <w:t> osob. H</w:t>
      </w:r>
      <w:r w:rsidR="002D26B7" w:rsidRPr="00922C12">
        <w:rPr>
          <w:rFonts w:cs="Arial"/>
          <w:color w:val="000000" w:themeColor="text1"/>
          <w:szCs w:val="16"/>
        </w:rPr>
        <w:t xml:space="preserve">odnoty jsou </w:t>
      </w:r>
      <w:r w:rsidR="00922C12" w:rsidRPr="00922C12">
        <w:rPr>
          <w:rFonts w:cs="Arial"/>
          <w:color w:val="000000" w:themeColor="text1"/>
          <w:szCs w:val="16"/>
        </w:rPr>
        <w:t xml:space="preserve">nicméně </w:t>
      </w:r>
      <w:r w:rsidR="002D26B7" w:rsidRPr="00922C12">
        <w:rPr>
          <w:rFonts w:cs="Arial"/>
          <w:color w:val="000000" w:themeColor="text1"/>
          <w:spacing w:val="-2"/>
          <w:szCs w:val="16"/>
        </w:rPr>
        <w:t>značně ovlivněn</w:t>
      </w:r>
      <w:r w:rsidR="00922C12" w:rsidRPr="00922C12">
        <w:rPr>
          <w:rFonts w:cs="Arial"/>
          <w:color w:val="000000" w:themeColor="text1"/>
          <w:spacing w:val="-2"/>
          <w:szCs w:val="16"/>
        </w:rPr>
        <w:t>y</w:t>
      </w:r>
      <w:r w:rsidR="002D26B7" w:rsidRPr="00922C12">
        <w:rPr>
          <w:rFonts w:cs="Arial"/>
          <w:color w:val="000000" w:themeColor="text1"/>
          <w:spacing w:val="-2"/>
          <w:szCs w:val="16"/>
        </w:rPr>
        <w:t xml:space="preserve"> velikostí </w:t>
      </w:r>
      <w:r w:rsidR="00922C12" w:rsidRPr="00922C12">
        <w:rPr>
          <w:rFonts w:cs="Arial"/>
          <w:color w:val="000000" w:themeColor="text1"/>
          <w:spacing w:val="-2"/>
          <w:szCs w:val="16"/>
        </w:rPr>
        <w:t xml:space="preserve">obou </w:t>
      </w:r>
      <w:r w:rsidR="002D26B7" w:rsidRPr="00922C12">
        <w:rPr>
          <w:rFonts w:cs="Arial"/>
          <w:color w:val="000000" w:themeColor="text1"/>
          <w:spacing w:val="-2"/>
          <w:szCs w:val="16"/>
        </w:rPr>
        <w:t>odvětví.</w:t>
      </w:r>
      <w:r w:rsidR="00EE50AD" w:rsidRPr="00922C12">
        <w:rPr>
          <w:color w:val="000000" w:themeColor="text1"/>
          <w:spacing w:val="-2"/>
        </w:rPr>
        <w:t xml:space="preserve"> Vývoj hodnot </w:t>
      </w:r>
      <w:r w:rsidR="00922C12" w:rsidRPr="00922C12">
        <w:rPr>
          <w:color w:val="000000" w:themeColor="text1"/>
          <w:spacing w:val="-2"/>
        </w:rPr>
        <w:t xml:space="preserve">průměrného denního stavu dočasně práce neschopných </w:t>
      </w:r>
      <w:r w:rsidR="00EE50AD" w:rsidRPr="00922C12">
        <w:rPr>
          <w:color w:val="000000" w:themeColor="text1"/>
          <w:spacing w:val="-2"/>
        </w:rPr>
        <w:t>v ob</w:t>
      </w:r>
      <w:r w:rsidR="00EE50AD" w:rsidRPr="00922C12">
        <w:rPr>
          <w:color w:val="000000" w:themeColor="text1"/>
        </w:rPr>
        <w:t xml:space="preserve">dobí let 2014–2024 podle příčiny a pohlaví </w:t>
      </w:r>
      <w:r w:rsidR="00922C12" w:rsidRPr="00922C12">
        <w:rPr>
          <w:color w:val="000000" w:themeColor="text1"/>
        </w:rPr>
        <w:t>zobrazuje</w:t>
      </w:r>
      <w:r w:rsidR="00EE50AD" w:rsidRPr="00922C12">
        <w:rPr>
          <w:color w:val="000000" w:themeColor="text1"/>
        </w:rPr>
        <w:t xml:space="preserve"> tabulka </w:t>
      </w:r>
      <w:r w:rsidR="00EE50AD" w:rsidRPr="00EE50AD">
        <w:rPr>
          <w:color w:val="000000" w:themeColor="text1"/>
        </w:rPr>
        <w:t>2.7.</w:t>
      </w:r>
    </w:p>
    <w:p w:rsidR="00C0356A" w:rsidRDefault="00C0356A" w:rsidP="00C0356A">
      <w:pPr>
        <w:pStyle w:val="Nadpis3"/>
      </w:pPr>
      <w:bookmarkStart w:id="6" w:name="_Toc198986219"/>
      <w:r>
        <w:t>4.3 Ukončené případy dočasné pracovní neschopnosti</w:t>
      </w:r>
      <w:bookmarkEnd w:id="6"/>
    </w:p>
    <w:p w:rsidR="00DE1026" w:rsidRPr="00DE1026" w:rsidRDefault="00DE1026" w:rsidP="00DE1026">
      <w:r w:rsidRPr="00DE1026">
        <w:t xml:space="preserve">Zatímco doposud se analýza týkala </w:t>
      </w:r>
      <w:r w:rsidRPr="00DE1026">
        <w:rPr>
          <w:b/>
        </w:rPr>
        <w:t>nově hlášených případů</w:t>
      </w:r>
      <w:r w:rsidRPr="00DE1026">
        <w:t xml:space="preserve"> dočasné pracovní neschopnosti (kapitola 4.2), které ČSÚ zpracovává z evidence ČSSZ, jiný pohled </w:t>
      </w:r>
      <w:r>
        <w:t xml:space="preserve">na problematiku pracovní neschopnosti pro nemoc a úraz poskytují </w:t>
      </w:r>
      <w:r w:rsidRPr="00DE1026">
        <w:t xml:space="preserve">data o </w:t>
      </w:r>
      <w:r w:rsidRPr="00DE1026">
        <w:rPr>
          <w:b/>
        </w:rPr>
        <w:t>ukončených případech pracovní neschopnosti</w:t>
      </w:r>
      <w:r w:rsidRPr="00DE1026">
        <w:t xml:space="preserve"> publikovaná ČSSZ. Rozdíly v počtech nově hlášených a ukončených případů dočasné pracovní neschopnosti jsou dány odlišnou metodikou sběru dat. </w:t>
      </w:r>
      <w:r>
        <w:t>Vývojové trendy</w:t>
      </w:r>
      <w:r w:rsidRPr="00DE1026">
        <w:t xml:space="preserve"> </w:t>
      </w:r>
      <w:r>
        <w:t>obou</w:t>
      </w:r>
      <w:r w:rsidRPr="00DE1026">
        <w:t xml:space="preserve"> ukazatelů jsou však konzistentní.</w:t>
      </w:r>
    </w:p>
    <w:p w:rsidR="00DE1026" w:rsidRPr="00DE1026" w:rsidRDefault="00DE1026" w:rsidP="00DE1026">
      <w:pPr>
        <w:spacing w:before="120"/>
      </w:pPr>
      <w:r w:rsidRPr="00DE1026">
        <w:t xml:space="preserve">Na rozdíl od statistik nově hlášených případů, ČSSZ publikuje údaje z hlediska </w:t>
      </w:r>
      <w:r w:rsidRPr="00DE1026">
        <w:rPr>
          <w:b/>
        </w:rPr>
        <w:t>případů ukončených ve sledovaném roce</w:t>
      </w:r>
      <w:r w:rsidRPr="00DE1026">
        <w:t>. Případy vzniklé na konci roku</w:t>
      </w:r>
      <w:r>
        <w:t>, které</w:t>
      </w:r>
      <w:r w:rsidRPr="00DE1026">
        <w:t xml:space="preserve"> </w:t>
      </w:r>
      <w:r>
        <w:t>přesahují</w:t>
      </w:r>
      <w:r w:rsidRPr="00DE1026">
        <w:t xml:space="preserve"> do roku dalšího</w:t>
      </w:r>
      <w:r>
        <w:t>,</w:t>
      </w:r>
      <w:r w:rsidRPr="00DE1026">
        <w:t xml:space="preserve"> jsou evidovány až ve zpracování dat následujícího roku.</w:t>
      </w:r>
      <w:r>
        <w:t xml:space="preserve"> Je nutné upozornit, že d</w:t>
      </w:r>
      <w:r w:rsidRPr="00DE1026">
        <w:t xml:space="preserve">ata </w:t>
      </w:r>
      <w:r>
        <w:t>týkající se ukončených případů</w:t>
      </w:r>
      <w:r w:rsidRPr="00DE1026">
        <w:t xml:space="preserve"> jsou k dispozici v třídění z pohledu pojištěnce, nikoliv zaměstnavatele, jak tomu bylo u nově hlášených případů. ČSSZ třídí data např. podle věku dočasně práce neschopných, krajů místní příslušnosti lékaře či skupin diagnóz.</w:t>
      </w:r>
    </w:p>
    <w:p w:rsidR="00DE1026" w:rsidRPr="00904E35" w:rsidRDefault="00DE1026" w:rsidP="00904E35">
      <w:pPr>
        <w:pStyle w:val="Box1"/>
        <w:spacing w:before="0" w:after="120"/>
        <w:ind w:left="0"/>
        <w:contextualSpacing w:val="0"/>
        <w:jc w:val="both"/>
        <w:rPr>
          <w:i/>
        </w:rPr>
      </w:pPr>
      <w:r w:rsidRPr="00904E35">
        <w:rPr>
          <w:b/>
          <w:i/>
        </w:rPr>
        <w:t xml:space="preserve">Ukončené případy pracovní neschopnosti </w:t>
      </w:r>
      <w:r w:rsidRPr="00904E35">
        <w:rPr>
          <w:i/>
        </w:rPr>
        <w:t>– zahrnují veškerá onemocnění a úrazy, které zapříčinily alespoň jednodenní pracovní neschopnost u nemocensky pojištěných osob ukončenou v daném roce</w:t>
      </w:r>
      <w:r w:rsidR="00904E35">
        <w:rPr>
          <w:i/>
        </w:rPr>
        <w:t>. Nezahrnuje</w:t>
      </w:r>
      <w:r w:rsidRPr="00904E35">
        <w:rPr>
          <w:i/>
        </w:rPr>
        <w:t xml:space="preserve"> onemocnění a úrazy, u nichž pracovní neschopnost přesahovala do dalšího roku/období, ani ty případy, kdy nebylo vystaveno „Rozhodnutí o dočasné pracovní neschopnosti“.</w:t>
      </w:r>
    </w:p>
    <w:p w:rsidR="00C0356A" w:rsidRDefault="00DE1026" w:rsidP="00AD25A6">
      <w:pPr>
        <w:spacing w:after="100"/>
      </w:pPr>
      <w:r w:rsidRPr="00DE1026">
        <w:t>ČSSZ za rok 202</w:t>
      </w:r>
      <w:r w:rsidR="005776CD">
        <w:t xml:space="preserve">4 </w:t>
      </w:r>
      <w:r w:rsidRPr="00DE1026">
        <w:t xml:space="preserve">evidovala 2 </w:t>
      </w:r>
      <w:r w:rsidR="00724361">
        <w:t>435</w:t>
      </w:r>
      <w:r w:rsidRPr="00DE1026">
        <w:t xml:space="preserve"> tis</w:t>
      </w:r>
      <w:r w:rsidR="00724361">
        <w:t>íc</w:t>
      </w:r>
      <w:r w:rsidRPr="00DE1026">
        <w:t xml:space="preserve"> ukončených případů dočasné pracovní neschopnosti, což je o 3</w:t>
      </w:r>
      <w:r w:rsidR="00724361">
        <w:t>3 % více než v roce 2019 (</w:t>
      </w:r>
      <w:r w:rsidRPr="00DE1026">
        <w:t xml:space="preserve">před vypuknutím </w:t>
      </w:r>
      <w:proofErr w:type="spellStart"/>
      <w:r w:rsidR="00724361">
        <w:t>koronavirové</w:t>
      </w:r>
      <w:proofErr w:type="spellEnd"/>
      <w:r w:rsidR="00724361">
        <w:t xml:space="preserve"> </w:t>
      </w:r>
      <w:r w:rsidRPr="00DE1026">
        <w:t>pandemie). Ne</w:t>
      </w:r>
      <w:r w:rsidR="00724361">
        <w:t>jvyšší</w:t>
      </w:r>
      <w:r w:rsidRPr="00DE1026">
        <w:t xml:space="preserve"> </w:t>
      </w:r>
      <w:r w:rsidR="00724361">
        <w:t>nárůst počtu ukončených případů mezi lety 2019 a 2024</w:t>
      </w:r>
      <w:r w:rsidRPr="00DE1026">
        <w:t xml:space="preserve"> zaznamenala Praha (</w:t>
      </w:r>
      <w:r w:rsidR="00EF33ED">
        <w:t xml:space="preserve">o </w:t>
      </w:r>
      <w:r w:rsidRPr="00DE1026">
        <w:t>61 %</w:t>
      </w:r>
      <w:r w:rsidR="00EF33ED">
        <w:t>) a Jihomoravský kraj (o 42</w:t>
      </w:r>
      <w:r w:rsidRPr="00DE1026">
        <w:t xml:space="preserve"> %).</w:t>
      </w:r>
    </w:p>
    <w:p w:rsidR="00D62D99" w:rsidRDefault="00D62D99" w:rsidP="00443707">
      <w:pPr>
        <w:spacing w:after="0"/>
        <w:rPr>
          <w:b/>
        </w:rPr>
      </w:pPr>
      <w:r w:rsidRPr="00056FF3">
        <w:rPr>
          <w:b/>
        </w:rPr>
        <w:t>Tab. 3.1: Ukončené případy dočasné pracovní neschopnosti podle krajů Česka, 2019, 2021, 2024</w:t>
      </w:r>
    </w:p>
    <w:tbl>
      <w:tblPr>
        <w:tblW w:w="9633" w:type="dxa"/>
        <w:tblCellMar>
          <w:left w:w="70" w:type="dxa"/>
          <w:right w:w="70" w:type="dxa"/>
        </w:tblCellMar>
        <w:tblLook w:val="04A0" w:firstRow="1" w:lastRow="0" w:firstColumn="1" w:lastColumn="0" w:noHBand="0" w:noVBand="1"/>
      </w:tblPr>
      <w:tblGrid>
        <w:gridCol w:w="1980"/>
        <w:gridCol w:w="850"/>
        <w:gridCol w:w="850"/>
        <w:gridCol w:w="851"/>
        <w:gridCol w:w="850"/>
        <w:gridCol w:w="850"/>
        <w:gridCol w:w="851"/>
        <w:gridCol w:w="850"/>
        <w:gridCol w:w="850"/>
        <w:gridCol w:w="851"/>
      </w:tblGrid>
      <w:tr w:rsidR="00D62D99" w:rsidRPr="00056FF3" w:rsidTr="00D62D99">
        <w:trPr>
          <w:trHeight w:val="567"/>
        </w:trPr>
        <w:tc>
          <w:tcPr>
            <w:tcW w:w="1980" w:type="dxa"/>
            <w:vMerge w:val="restart"/>
            <w:tcBorders>
              <w:top w:val="single" w:sz="4" w:space="0" w:color="auto"/>
              <w:left w:val="nil"/>
              <w:bottom w:val="single" w:sz="4" w:space="0" w:color="000000"/>
              <w:right w:val="single" w:sz="4" w:space="0" w:color="auto"/>
            </w:tcBorders>
            <w:shd w:val="clear" w:color="auto" w:fill="E6C483"/>
            <w:vAlign w:val="center"/>
            <w:hideMark/>
          </w:tcPr>
          <w:p w:rsidR="00D62D99" w:rsidRPr="00056FF3" w:rsidRDefault="00D62D99" w:rsidP="00D62D99">
            <w:pPr>
              <w:spacing w:after="0" w:line="240" w:lineRule="auto"/>
              <w:jc w:val="center"/>
              <w:rPr>
                <w:rFonts w:cs="Arial"/>
                <w:color w:val="000000"/>
                <w:sz w:val="16"/>
                <w:szCs w:val="16"/>
              </w:rPr>
            </w:pPr>
            <w:r>
              <w:rPr>
                <w:rFonts w:cs="Arial"/>
                <w:color w:val="000000"/>
                <w:sz w:val="16"/>
                <w:szCs w:val="16"/>
              </w:rPr>
              <w:t>Kraj Česka</w:t>
            </w:r>
          </w:p>
        </w:tc>
        <w:tc>
          <w:tcPr>
            <w:tcW w:w="2551" w:type="dxa"/>
            <w:gridSpan w:val="3"/>
            <w:tcBorders>
              <w:top w:val="single" w:sz="4" w:space="0" w:color="auto"/>
              <w:left w:val="nil"/>
              <w:bottom w:val="single" w:sz="4" w:space="0" w:color="auto"/>
              <w:right w:val="single" w:sz="4" w:space="0" w:color="000000"/>
            </w:tcBorders>
            <w:shd w:val="clear" w:color="auto" w:fill="E6C483"/>
            <w:vAlign w:val="center"/>
            <w:hideMark/>
          </w:tcPr>
          <w:p w:rsidR="00D62D99" w:rsidRPr="00056FF3" w:rsidRDefault="00D62D99" w:rsidP="00D62D99">
            <w:pPr>
              <w:spacing w:after="0" w:line="240" w:lineRule="auto"/>
              <w:jc w:val="center"/>
              <w:rPr>
                <w:rFonts w:cs="Arial"/>
                <w:color w:val="000000"/>
                <w:sz w:val="16"/>
                <w:szCs w:val="16"/>
              </w:rPr>
            </w:pPr>
            <w:r w:rsidRPr="00056FF3">
              <w:rPr>
                <w:rFonts w:cs="Arial"/>
                <w:color w:val="000000"/>
                <w:sz w:val="16"/>
                <w:szCs w:val="16"/>
              </w:rPr>
              <w:t>Počet ukončených případů DPN (tis.)</w:t>
            </w:r>
          </w:p>
        </w:tc>
        <w:tc>
          <w:tcPr>
            <w:tcW w:w="2551" w:type="dxa"/>
            <w:gridSpan w:val="3"/>
            <w:tcBorders>
              <w:top w:val="single" w:sz="4" w:space="0" w:color="auto"/>
              <w:left w:val="nil"/>
              <w:bottom w:val="single" w:sz="4" w:space="0" w:color="auto"/>
              <w:right w:val="single" w:sz="4" w:space="0" w:color="000000"/>
            </w:tcBorders>
            <w:shd w:val="clear" w:color="auto" w:fill="E6C483"/>
            <w:vAlign w:val="center"/>
            <w:hideMark/>
          </w:tcPr>
          <w:p w:rsidR="00D62D99" w:rsidRPr="00056FF3" w:rsidRDefault="00D62D99" w:rsidP="00D62D99">
            <w:pPr>
              <w:spacing w:after="0" w:line="240" w:lineRule="auto"/>
              <w:jc w:val="center"/>
              <w:rPr>
                <w:rFonts w:cs="Arial"/>
                <w:color w:val="000000"/>
                <w:sz w:val="16"/>
                <w:szCs w:val="16"/>
              </w:rPr>
            </w:pPr>
            <w:r w:rsidRPr="00056FF3">
              <w:rPr>
                <w:rFonts w:cs="Arial"/>
                <w:color w:val="000000"/>
                <w:sz w:val="16"/>
                <w:szCs w:val="16"/>
              </w:rPr>
              <w:t>Počet prostonaných dnů (tis.)</w:t>
            </w:r>
          </w:p>
        </w:tc>
        <w:tc>
          <w:tcPr>
            <w:tcW w:w="2551" w:type="dxa"/>
            <w:gridSpan w:val="3"/>
            <w:tcBorders>
              <w:top w:val="single" w:sz="4" w:space="0" w:color="auto"/>
              <w:left w:val="nil"/>
              <w:bottom w:val="single" w:sz="4" w:space="0" w:color="auto"/>
              <w:right w:val="nil"/>
            </w:tcBorders>
            <w:shd w:val="clear" w:color="auto" w:fill="E6C483"/>
            <w:vAlign w:val="center"/>
            <w:hideMark/>
          </w:tcPr>
          <w:p w:rsidR="00D62D99" w:rsidRPr="00056FF3" w:rsidRDefault="00D62D99" w:rsidP="00D62D99">
            <w:pPr>
              <w:spacing w:after="0" w:line="240" w:lineRule="auto"/>
              <w:jc w:val="center"/>
              <w:rPr>
                <w:rFonts w:cs="Arial"/>
                <w:color w:val="000000"/>
                <w:sz w:val="16"/>
                <w:szCs w:val="16"/>
              </w:rPr>
            </w:pPr>
            <w:r w:rsidRPr="00056FF3">
              <w:rPr>
                <w:rFonts w:cs="Arial"/>
                <w:color w:val="000000"/>
                <w:sz w:val="16"/>
                <w:szCs w:val="16"/>
              </w:rPr>
              <w:t>Průměrná délka trvání 1 případu DPN ve dnech</w:t>
            </w:r>
          </w:p>
        </w:tc>
      </w:tr>
      <w:tr w:rsidR="00D62D99" w:rsidRPr="00056FF3" w:rsidTr="00D62D99">
        <w:trPr>
          <w:trHeight w:val="283"/>
        </w:trPr>
        <w:tc>
          <w:tcPr>
            <w:tcW w:w="1980" w:type="dxa"/>
            <w:vMerge/>
            <w:tcBorders>
              <w:top w:val="single" w:sz="4" w:space="0" w:color="auto"/>
              <w:left w:val="nil"/>
              <w:bottom w:val="single" w:sz="4" w:space="0" w:color="000000"/>
              <w:right w:val="single" w:sz="4" w:space="0" w:color="auto"/>
            </w:tcBorders>
            <w:shd w:val="clear" w:color="auto" w:fill="E6C483"/>
            <w:vAlign w:val="center"/>
            <w:hideMark/>
          </w:tcPr>
          <w:p w:rsidR="00D62D99" w:rsidRPr="00056FF3" w:rsidRDefault="00D62D99" w:rsidP="00D62D99">
            <w:pPr>
              <w:spacing w:after="0" w:line="240" w:lineRule="auto"/>
              <w:jc w:val="left"/>
              <w:rPr>
                <w:rFonts w:cs="Arial"/>
                <w:color w:val="000000"/>
                <w:sz w:val="16"/>
                <w:szCs w:val="16"/>
              </w:rPr>
            </w:pPr>
          </w:p>
        </w:tc>
        <w:tc>
          <w:tcPr>
            <w:tcW w:w="850" w:type="dxa"/>
            <w:tcBorders>
              <w:top w:val="nil"/>
              <w:left w:val="nil"/>
              <w:bottom w:val="single" w:sz="4" w:space="0" w:color="auto"/>
              <w:right w:val="single" w:sz="4" w:space="0" w:color="auto"/>
            </w:tcBorders>
            <w:shd w:val="clear" w:color="auto" w:fill="E6C483"/>
            <w:vAlign w:val="center"/>
            <w:hideMark/>
          </w:tcPr>
          <w:p w:rsidR="00D62D99" w:rsidRPr="00056FF3" w:rsidRDefault="00D62D99" w:rsidP="00D62D99">
            <w:pPr>
              <w:spacing w:after="0" w:line="240" w:lineRule="auto"/>
              <w:jc w:val="center"/>
              <w:rPr>
                <w:rFonts w:cs="Arial"/>
                <w:color w:val="000000"/>
                <w:sz w:val="16"/>
                <w:szCs w:val="16"/>
              </w:rPr>
            </w:pPr>
            <w:r w:rsidRPr="00056FF3">
              <w:rPr>
                <w:rFonts w:cs="Arial"/>
                <w:color w:val="000000"/>
                <w:sz w:val="16"/>
                <w:szCs w:val="16"/>
              </w:rPr>
              <w:t>2019</w:t>
            </w:r>
          </w:p>
        </w:tc>
        <w:tc>
          <w:tcPr>
            <w:tcW w:w="850" w:type="dxa"/>
            <w:tcBorders>
              <w:top w:val="single" w:sz="4" w:space="0" w:color="auto"/>
              <w:left w:val="nil"/>
              <w:bottom w:val="single" w:sz="4" w:space="0" w:color="auto"/>
              <w:right w:val="single" w:sz="4" w:space="0" w:color="auto"/>
            </w:tcBorders>
            <w:shd w:val="clear" w:color="auto" w:fill="E6C483"/>
            <w:vAlign w:val="center"/>
            <w:hideMark/>
          </w:tcPr>
          <w:p w:rsidR="00D62D99" w:rsidRPr="00056FF3" w:rsidRDefault="00D62D99" w:rsidP="00D62D99">
            <w:pPr>
              <w:spacing w:after="0" w:line="240" w:lineRule="auto"/>
              <w:jc w:val="center"/>
              <w:rPr>
                <w:rFonts w:cs="Arial"/>
                <w:color w:val="000000"/>
                <w:sz w:val="16"/>
                <w:szCs w:val="16"/>
              </w:rPr>
            </w:pPr>
            <w:r w:rsidRPr="00056FF3">
              <w:rPr>
                <w:rFonts w:cs="Arial"/>
                <w:color w:val="000000"/>
                <w:sz w:val="16"/>
                <w:szCs w:val="16"/>
              </w:rPr>
              <w:t>2021</w:t>
            </w:r>
          </w:p>
        </w:tc>
        <w:tc>
          <w:tcPr>
            <w:tcW w:w="851" w:type="dxa"/>
            <w:tcBorders>
              <w:top w:val="nil"/>
              <w:left w:val="nil"/>
              <w:bottom w:val="single" w:sz="4" w:space="0" w:color="auto"/>
              <w:right w:val="single" w:sz="4" w:space="0" w:color="auto"/>
            </w:tcBorders>
            <w:shd w:val="clear" w:color="auto" w:fill="E6C483"/>
            <w:vAlign w:val="center"/>
          </w:tcPr>
          <w:p w:rsidR="00D62D99" w:rsidRPr="00056FF3" w:rsidRDefault="00D62D99" w:rsidP="00D62D99">
            <w:pPr>
              <w:spacing w:after="0" w:line="240" w:lineRule="auto"/>
              <w:jc w:val="center"/>
              <w:rPr>
                <w:rFonts w:cs="Arial"/>
                <w:color w:val="000000"/>
                <w:sz w:val="16"/>
                <w:szCs w:val="16"/>
              </w:rPr>
            </w:pPr>
            <w:r>
              <w:rPr>
                <w:rFonts w:cs="Arial"/>
                <w:color w:val="000000"/>
                <w:sz w:val="16"/>
                <w:szCs w:val="16"/>
              </w:rPr>
              <w:t>2024</w:t>
            </w:r>
          </w:p>
        </w:tc>
        <w:tc>
          <w:tcPr>
            <w:tcW w:w="850" w:type="dxa"/>
            <w:tcBorders>
              <w:top w:val="nil"/>
              <w:left w:val="nil"/>
              <w:bottom w:val="single" w:sz="4" w:space="0" w:color="auto"/>
              <w:right w:val="single" w:sz="4" w:space="0" w:color="auto"/>
            </w:tcBorders>
            <w:shd w:val="clear" w:color="auto" w:fill="E6C483"/>
            <w:vAlign w:val="center"/>
            <w:hideMark/>
          </w:tcPr>
          <w:p w:rsidR="00D62D99" w:rsidRPr="00056FF3" w:rsidRDefault="00D62D99" w:rsidP="00D62D99">
            <w:pPr>
              <w:spacing w:after="0" w:line="240" w:lineRule="auto"/>
              <w:jc w:val="center"/>
              <w:rPr>
                <w:rFonts w:cs="Arial"/>
                <w:color w:val="000000"/>
                <w:sz w:val="16"/>
                <w:szCs w:val="16"/>
              </w:rPr>
            </w:pPr>
            <w:r w:rsidRPr="00056FF3">
              <w:rPr>
                <w:rFonts w:cs="Arial"/>
                <w:color w:val="000000"/>
                <w:sz w:val="16"/>
                <w:szCs w:val="16"/>
              </w:rPr>
              <w:t>2019</w:t>
            </w:r>
          </w:p>
        </w:tc>
        <w:tc>
          <w:tcPr>
            <w:tcW w:w="850" w:type="dxa"/>
            <w:tcBorders>
              <w:top w:val="single" w:sz="4" w:space="0" w:color="auto"/>
              <w:left w:val="nil"/>
              <w:bottom w:val="single" w:sz="4" w:space="0" w:color="auto"/>
              <w:right w:val="single" w:sz="4" w:space="0" w:color="auto"/>
            </w:tcBorders>
            <w:shd w:val="clear" w:color="auto" w:fill="E6C483"/>
            <w:vAlign w:val="center"/>
            <w:hideMark/>
          </w:tcPr>
          <w:p w:rsidR="00D62D99" w:rsidRPr="00056FF3" w:rsidRDefault="00D62D99" w:rsidP="00D62D99">
            <w:pPr>
              <w:spacing w:after="0" w:line="240" w:lineRule="auto"/>
              <w:jc w:val="center"/>
              <w:rPr>
                <w:rFonts w:cs="Arial"/>
                <w:color w:val="000000"/>
                <w:sz w:val="16"/>
                <w:szCs w:val="16"/>
              </w:rPr>
            </w:pPr>
            <w:r w:rsidRPr="00056FF3">
              <w:rPr>
                <w:rFonts w:cs="Arial"/>
                <w:color w:val="000000"/>
                <w:sz w:val="16"/>
                <w:szCs w:val="16"/>
              </w:rPr>
              <w:t>2021</w:t>
            </w:r>
          </w:p>
        </w:tc>
        <w:tc>
          <w:tcPr>
            <w:tcW w:w="851" w:type="dxa"/>
            <w:tcBorders>
              <w:top w:val="nil"/>
              <w:left w:val="nil"/>
              <w:bottom w:val="single" w:sz="4" w:space="0" w:color="auto"/>
              <w:right w:val="single" w:sz="4" w:space="0" w:color="auto"/>
            </w:tcBorders>
            <w:shd w:val="clear" w:color="auto" w:fill="E6C483"/>
            <w:vAlign w:val="center"/>
          </w:tcPr>
          <w:p w:rsidR="00D62D99" w:rsidRPr="00056FF3" w:rsidRDefault="00D62D99" w:rsidP="00D62D99">
            <w:pPr>
              <w:spacing w:after="0" w:line="240" w:lineRule="auto"/>
              <w:jc w:val="center"/>
              <w:rPr>
                <w:rFonts w:cs="Arial"/>
                <w:color w:val="000000"/>
                <w:sz w:val="16"/>
                <w:szCs w:val="16"/>
              </w:rPr>
            </w:pPr>
            <w:r>
              <w:rPr>
                <w:rFonts w:cs="Arial"/>
                <w:color w:val="000000"/>
                <w:sz w:val="16"/>
                <w:szCs w:val="16"/>
              </w:rPr>
              <w:t>2024</w:t>
            </w:r>
          </w:p>
        </w:tc>
        <w:tc>
          <w:tcPr>
            <w:tcW w:w="850" w:type="dxa"/>
            <w:tcBorders>
              <w:top w:val="nil"/>
              <w:left w:val="nil"/>
              <w:bottom w:val="single" w:sz="4" w:space="0" w:color="auto"/>
              <w:right w:val="single" w:sz="4" w:space="0" w:color="auto"/>
            </w:tcBorders>
            <w:shd w:val="clear" w:color="auto" w:fill="E6C483"/>
            <w:vAlign w:val="center"/>
            <w:hideMark/>
          </w:tcPr>
          <w:p w:rsidR="00D62D99" w:rsidRPr="00056FF3" w:rsidRDefault="00D62D99" w:rsidP="00D62D99">
            <w:pPr>
              <w:spacing w:after="0" w:line="240" w:lineRule="auto"/>
              <w:jc w:val="center"/>
              <w:rPr>
                <w:rFonts w:cs="Arial"/>
                <w:color w:val="000000"/>
                <w:sz w:val="16"/>
                <w:szCs w:val="16"/>
              </w:rPr>
            </w:pPr>
            <w:r w:rsidRPr="00056FF3">
              <w:rPr>
                <w:rFonts w:cs="Arial"/>
                <w:color w:val="000000"/>
                <w:sz w:val="16"/>
                <w:szCs w:val="16"/>
              </w:rPr>
              <w:t>2019</w:t>
            </w:r>
          </w:p>
        </w:tc>
        <w:tc>
          <w:tcPr>
            <w:tcW w:w="850" w:type="dxa"/>
            <w:tcBorders>
              <w:top w:val="single" w:sz="4" w:space="0" w:color="auto"/>
              <w:left w:val="nil"/>
              <w:bottom w:val="single" w:sz="4" w:space="0" w:color="auto"/>
              <w:right w:val="nil"/>
            </w:tcBorders>
            <w:shd w:val="clear" w:color="auto" w:fill="E6C483"/>
            <w:vAlign w:val="center"/>
            <w:hideMark/>
          </w:tcPr>
          <w:p w:rsidR="00D62D99" w:rsidRPr="00056FF3" w:rsidRDefault="00D62D99" w:rsidP="00D62D99">
            <w:pPr>
              <w:spacing w:after="0" w:line="240" w:lineRule="auto"/>
              <w:jc w:val="center"/>
              <w:rPr>
                <w:rFonts w:cs="Arial"/>
                <w:color w:val="000000"/>
                <w:sz w:val="16"/>
                <w:szCs w:val="16"/>
              </w:rPr>
            </w:pPr>
            <w:r w:rsidRPr="00056FF3">
              <w:rPr>
                <w:rFonts w:cs="Arial"/>
                <w:color w:val="000000"/>
                <w:sz w:val="16"/>
                <w:szCs w:val="16"/>
              </w:rPr>
              <w:t>2021</w:t>
            </w:r>
          </w:p>
        </w:tc>
        <w:tc>
          <w:tcPr>
            <w:tcW w:w="851" w:type="dxa"/>
            <w:tcBorders>
              <w:top w:val="nil"/>
              <w:left w:val="single" w:sz="4" w:space="0" w:color="auto"/>
              <w:bottom w:val="single" w:sz="4" w:space="0" w:color="auto"/>
              <w:right w:val="nil"/>
            </w:tcBorders>
            <w:shd w:val="clear" w:color="auto" w:fill="E6C483"/>
            <w:vAlign w:val="center"/>
          </w:tcPr>
          <w:p w:rsidR="00D62D99" w:rsidRPr="00056FF3" w:rsidRDefault="00D62D99" w:rsidP="00D62D99">
            <w:pPr>
              <w:spacing w:after="0" w:line="240" w:lineRule="auto"/>
              <w:jc w:val="center"/>
              <w:rPr>
                <w:rFonts w:cs="Arial"/>
                <w:color w:val="000000"/>
                <w:sz w:val="16"/>
                <w:szCs w:val="16"/>
              </w:rPr>
            </w:pPr>
            <w:r>
              <w:rPr>
                <w:rFonts w:cs="Arial"/>
                <w:color w:val="000000"/>
                <w:sz w:val="16"/>
                <w:szCs w:val="16"/>
              </w:rPr>
              <w:t>2024</w:t>
            </w:r>
          </w:p>
        </w:tc>
      </w:tr>
      <w:tr w:rsidR="00D62D99" w:rsidRPr="00056FF3" w:rsidTr="00D62D99">
        <w:trPr>
          <w:trHeight w:val="283"/>
        </w:trPr>
        <w:tc>
          <w:tcPr>
            <w:tcW w:w="1980" w:type="dxa"/>
            <w:tcBorders>
              <w:top w:val="single" w:sz="4" w:space="0" w:color="auto"/>
              <w:bottom w:val="nil"/>
              <w:right w:val="single" w:sz="4" w:space="0" w:color="auto"/>
            </w:tcBorders>
            <w:shd w:val="clear" w:color="auto" w:fill="auto"/>
            <w:noWrap/>
            <w:vAlign w:val="center"/>
            <w:hideMark/>
          </w:tcPr>
          <w:p w:rsidR="00D62D99" w:rsidRPr="00056FF3" w:rsidRDefault="00D62D99" w:rsidP="00D62D99">
            <w:pPr>
              <w:spacing w:after="0" w:line="240" w:lineRule="auto"/>
              <w:jc w:val="left"/>
              <w:rPr>
                <w:rFonts w:cs="Arial"/>
                <w:b/>
                <w:bCs/>
                <w:color w:val="000000"/>
                <w:sz w:val="16"/>
                <w:szCs w:val="16"/>
              </w:rPr>
            </w:pPr>
            <w:r w:rsidRPr="00056FF3">
              <w:rPr>
                <w:rFonts w:cs="Arial"/>
                <w:b/>
                <w:bCs/>
                <w:color w:val="000000"/>
                <w:sz w:val="16"/>
                <w:szCs w:val="16"/>
              </w:rPr>
              <w:t>ČR celkem</w:t>
            </w:r>
          </w:p>
        </w:tc>
        <w:tc>
          <w:tcPr>
            <w:tcW w:w="850" w:type="dxa"/>
            <w:tcBorders>
              <w:top w:val="single" w:sz="4" w:space="0" w:color="auto"/>
              <w:left w:val="single" w:sz="4" w:space="0" w:color="auto"/>
              <w:bottom w:val="nil"/>
            </w:tcBorders>
            <w:shd w:val="clear" w:color="auto" w:fill="auto"/>
            <w:noWrap/>
            <w:vAlign w:val="center"/>
            <w:hideMark/>
          </w:tcPr>
          <w:p w:rsidR="00D62D99" w:rsidRPr="00056FF3" w:rsidRDefault="00D62D99" w:rsidP="00D62D99">
            <w:pPr>
              <w:spacing w:after="0" w:line="240" w:lineRule="auto"/>
              <w:jc w:val="right"/>
              <w:rPr>
                <w:rFonts w:cs="Arial"/>
                <w:b/>
                <w:bCs/>
                <w:color w:val="000000"/>
                <w:sz w:val="16"/>
                <w:szCs w:val="16"/>
              </w:rPr>
            </w:pPr>
            <w:r w:rsidRPr="00056FF3">
              <w:rPr>
                <w:rFonts w:cs="Arial"/>
                <w:b/>
                <w:bCs/>
                <w:color w:val="000000"/>
                <w:sz w:val="16"/>
                <w:szCs w:val="16"/>
              </w:rPr>
              <w:t>1 832,4</w:t>
            </w:r>
          </w:p>
        </w:tc>
        <w:tc>
          <w:tcPr>
            <w:tcW w:w="850" w:type="dxa"/>
            <w:tcBorders>
              <w:top w:val="single" w:sz="4" w:space="0" w:color="auto"/>
              <w:bottom w:val="nil"/>
            </w:tcBorders>
            <w:shd w:val="clear" w:color="auto" w:fill="auto"/>
            <w:noWrap/>
            <w:vAlign w:val="center"/>
            <w:hideMark/>
          </w:tcPr>
          <w:p w:rsidR="00D62D99" w:rsidRPr="00056FF3" w:rsidRDefault="00D62D99" w:rsidP="00D62D99">
            <w:pPr>
              <w:spacing w:after="0" w:line="240" w:lineRule="auto"/>
              <w:jc w:val="right"/>
              <w:rPr>
                <w:rFonts w:cs="Arial"/>
                <w:b/>
                <w:bCs/>
                <w:color w:val="000000"/>
                <w:sz w:val="16"/>
                <w:szCs w:val="16"/>
              </w:rPr>
            </w:pPr>
            <w:r w:rsidRPr="00056FF3">
              <w:rPr>
                <w:rFonts w:cs="Arial"/>
                <w:b/>
                <w:bCs/>
                <w:color w:val="000000"/>
                <w:sz w:val="16"/>
                <w:szCs w:val="16"/>
              </w:rPr>
              <w:t>2 718,0</w:t>
            </w:r>
          </w:p>
        </w:tc>
        <w:tc>
          <w:tcPr>
            <w:tcW w:w="851" w:type="dxa"/>
            <w:tcBorders>
              <w:top w:val="single" w:sz="4" w:space="0" w:color="auto"/>
              <w:left w:val="nil"/>
              <w:bottom w:val="nil"/>
              <w:right w:val="single" w:sz="4" w:space="0" w:color="auto"/>
            </w:tcBorders>
            <w:shd w:val="clear" w:color="auto" w:fill="auto"/>
            <w:noWrap/>
            <w:vAlign w:val="center"/>
          </w:tcPr>
          <w:p w:rsidR="00D62D99" w:rsidRPr="00056FF3" w:rsidRDefault="00D62D99" w:rsidP="00D62D99">
            <w:pPr>
              <w:spacing w:after="0" w:line="240" w:lineRule="auto"/>
              <w:jc w:val="right"/>
              <w:rPr>
                <w:rFonts w:cs="Arial"/>
                <w:b/>
                <w:bCs/>
                <w:color w:val="000000"/>
                <w:sz w:val="16"/>
                <w:szCs w:val="16"/>
              </w:rPr>
            </w:pPr>
            <w:r>
              <w:rPr>
                <w:rFonts w:cs="Arial"/>
                <w:b/>
                <w:bCs/>
                <w:color w:val="000000"/>
                <w:sz w:val="16"/>
                <w:szCs w:val="16"/>
              </w:rPr>
              <w:t>2 435,4</w:t>
            </w:r>
          </w:p>
        </w:tc>
        <w:tc>
          <w:tcPr>
            <w:tcW w:w="850" w:type="dxa"/>
            <w:tcBorders>
              <w:top w:val="single" w:sz="4" w:space="0" w:color="auto"/>
              <w:left w:val="nil"/>
              <w:bottom w:val="nil"/>
            </w:tcBorders>
            <w:shd w:val="clear" w:color="auto" w:fill="auto"/>
            <w:noWrap/>
            <w:vAlign w:val="center"/>
            <w:hideMark/>
          </w:tcPr>
          <w:p w:rsidR="00D62D99" w:rsidRPr="00056FF3" w:rsidRDefault="00D62D99" w:rsidP="00D62D99">
            <w:pPr>
              <w:spacing w:after="0" w:line="240" w:lineRule="auto"/>
              <w:jc w:val="right"/>
              <w:rPr>
                <w:rFonts w:cs="Arial"/>
                <w:b/>
                <w:bCs/>
                <w:color w:val="000000"/>
                <w:sz w:val="16"/>
                <w:szCs w:val="16"/>
              </w:rPr>
            </w:pPr>
            <w:r w:rsidRPr="00056FF3">
              <w:rPr>
                <w:rFonts w:cs="Arial"/>
                <w:b/>
                <w:bCs/>
                <w:color w:val="000000"/>
                <w:sz w:val="16"/>
                <w:szCs w:val="16"/>
              </w:rPr>
              <w:t>75 058,7</w:t>
            </w:r>
          </w:p>
        </w:tc>
        <w:tc>
          <w:tcPr>
            <w:tcW w:w="850" w:type="dxa"/>
            <w:tcBorders>
              <w:top w:val="single" w:sz="4" w:space="0" w:color="auto"/>
              <w:bottom w:val="nil"/>
            </w:tcBorders>
            <w:shd w:val="clear" w:color="auto" w:fill="auto"/>
            <w:noWrap/>
            <w:vAlign w:val="center"/>
            <w:hideMark/>
          </w:tcPr>
          <w:p w:rsidR="00D62D99" w:rsidRPr="00056FF3" w:rsidRDefault="00D62D99" w:rsidP="00D62D99">
            <w:pPr>
              <w:spacing w:after="0" w:line="240" w:lineRule="auto"/>
              <w:jc w:val="right"/>
              <w:rPr>
                <w:rFonts w:cs="Arial"/>
                <w:b/>
                <w:bCs/>
                <w:color w:val="000000"/>
                <w:sz w:val="16"/>
                <w:szCs w:val="16"/>
              </w:rPr>
            </w:pPr>
            <w:r w:rsidRPr="00056FF3">
              <w:rPr>
                <w:rFonts w:cs="Arial"/>
                <w:b/>
                <w:bCs/>
                <w:color w:val="000000"/>
                <w:sz w:val="16"/>
                <w:szCs w:val="16"/>
              </w:rPr>
              <w:t>93 699,2</w:t>
            </w:r>
          </w:p>
        </w:tc>
        <w:tc>
          <w:tcPr>
            <w:tcW w:w="851" w:type="dxa"/>
            <w:tcBorders>
              <w:top w:val="single" w:sz="4" w:space="0" w:color="auto"/>
              <w:left w:val="nil"/>
              <w:bottom w:val="nil"/>
              <w:right w:val="single" w:sz="4" w:space="0" w:color="auto"/>
            </w:tcBorders>
            <w:shd w:val="clear" w:color="auto" w:fill="auto"/>
            <w:noWrap/>
            <w:vAlign w:val="center"/>
          </w:tcPr>
          <w:p w:rsidR="00D62D99" w:rsidRPr="00056FF3" w:rsidRDefault="00D62D99" w:rsidP="00D62D99">
            <w:pPr>
              <w:spacing w:after="0" w:line="240" w:lineRule="auto"/>
              <w:jc w:val="right"/>
              <w:rPr>
                <w:rFonts w:cs="Arial"/>
                <w:b/>
                <w:bCs/>
                <w:color w:val="000000"/>
                <w:sz w:val="16"/>
                <w:szCs w:val="16"/>
              </w:rPr>
            </w:pPr>
            <w:r>
              <w:rPr>
                <w:rFonts w:cs="Arial"/>
                <w:b/>
                <w:bCs/>
                <w:color w:val="000000"/>
                <w:sz w:val="16"/>
                <w:szCs w:val="16"/>
              </w:rPr>
              <w:t>76 013,6</w:t>
            </w:r>
          </w:p>
        </w:tc>
        <w:tc>
          <w:tcPr>
            <w:tcW w:w="850" w:type="dxa"/>
            <w:tcBorders>
              <w:top w:val="single" w:sz="4" w:space="0" w:color="auto"/>
              <w:left w:val="nil"/>
              <w:bottom w:val="nil"/>
            </w:tcBorders>
            <w:shd w:val="clear" w:color="auto" w:fill="auto"/>
            <w:noWrap/>
            <w:vAlign w:val="center"/>
            <w:hideMark/>
          </w:tcPr>
          <w:p w:rsidR="00D62D99" w:rsidRPr="00056FF3" w:rsidRDefault="00D62D99" w:rsidP="00D62D99">
            <w:pPr>
              <w:spacing w:after="0" w:line="240" w:lineRule="auto"/>
              <w:jc w:val="right"/>
              <w:rPr>
                <w:rFonts w:cs="Arial"/>
                <w:b/>
                <w:bCs/>
                <w:color w:val="000000"/>
                <w:sz w:val="16"/>
                <w:szCs w:val="16"/>
              </w:rPr>
            </w:pPr>
            <w:r w:rsidRPr="00056FF3">
              <w:rPr>
                <w:rFonts w:cs="Arial"/>
                <w:b/>
                <w:bCs/>
                <w:color w:val="000000"/>
                <w:sz w:val="16"/>
                <w:szCs w:val="16"/>
              </w:rPr>
              <w:t>41,0</w:t>
            </w:r>
          </w:p>
        </w:tc>
        <w:tc>
          <w:tcPr>
            <w:tcW w:w="850" w:type="dxa"/>
            <w:tcBorders>
              <w:top w:val="single" w:sz="4" w:space="0" w:color="auto"/>
              <w:bottom w:val="nil"/>
            </w:tcBorders>
            <w:shd w:val="clear" w:color="auto" w:fill="auto"/>
            <w:noWrap/>
            <w:vAlign w:val="center"/>
            <w:hideMark/>
          </w:tcPr>
          <w:p w:rsidR="00D62D99" w:rsidRPr="00056FF3" w:rsidRDefault="00D62D99" w:rsidP="00D62D99">
            <w:pPr>
              <w:spacing w:after="0" w:line="240" w:lineRule="auto"/>
              <w:jc w:val="right"/>
              <w:rPr>
                <w:rFonts w:cs="Arial"/>
                <w:b/>
                <w:bCs/>
                <w:color w:val="000000"/>
                <w:sz w:val="16"/>
                <w:szCs w:val="16"/>
              </w:rPr>
            </w:pPr>
            <w:r w:rsidRPr="00056FF3">
              <w:rPr>
                <w:rFonts w:cs="Arial"/>
                <w:b/>
                <w:bCs/>
                <w:color w:val="000000"/>
                <w:sz w:val="16"/>
                <w:szCs w:val="16"/>
              </w:rPr>
              <w:t>34,5</w:t>
            </w:r>
          </w:p>
        </w:tc>
        <w:tc>
          <w:tcPr>
            <w:tcW w:w="851" w:type="dxa"/>
            <w:tcBorders>
              <w:top w:val="nil"/>
              <w:left w:val="nil"/>
              <w:bottom w:val="nil"/>
              <w:right w:val="nil"/>
            </w:tcBorders>
            <w:shd w:val="clear" w:color="auto" w:fill="auto"/>
            <w:noWrap/>
            <w:vAlign w:val="center"/>
          </w:tcPr>
          <w:p w:rsidR="00D62D99" w:rsidRPr="00056FF3" w:rsidRDefault="00D62D99" w:rsidP="00D62D99">
            <w:pPr>
              <w:spacing w:after="0" w:line="240" w:lineRule="auto"/>
              <w:jc w:val="right"/>
              <w:rPr>
                <w:rFonts w:cs="Arial"/>
                <w:b/>
                <w:bCs/>
                <w:color w:val="000000"/>
                <w:sz w:val="16"/>
                <w:szCs w:val="16"/>
              </w:rPr>
            </w:pPr>
            <w:r>
              <w:rPr>
                <w:rFonts w:cs="Arial"/>
                <w:b/>
                <w:bCs/>
                <w:color w:val="000000"/>
                <w:sz w:val="16"/>
                <w:szCs w:val="16"/>
              </w:rPr>
              <w:t>31,2</w:t>
            </w:r>
          </w:p>
        </w:tc>
      </w:tr>
      <w:tr w:rsidR="00D62D99" w:rsidRPr="00056FF3" w:rsidTr="00D62D99">
        <w:trPr>
          <w:trHeight w:val="283"/>
        </w:trPr>
        <w:tc>
          <w:tcPr>
            <w:tcW w:w="1980" w:type="dxa"/>
            <w:tcBorders>
              <w:top w:val="nil"/>
              <w:bottom w:val="nil"/>
              <w:right w:val="single" w:sz="4" w:space="0" w:color="auto"/>
            </w:tcBorders>
            <w:shd w:val="clear" w:color="auto" w:fill="auto"/>
            <w:noWrap/>
            <w:vAlign w:val="center"/>
            <w:hideMark/>
          </w:tcPr>
          <w:p w:rsidR="00D62D99" w:rsidRPr="00056FF3" w:rsidRDefault="00D62D99" w:rsidP="00D62D99">
            <w:pPr>
              <w:spacing w:after="0" w:line="240" w:lineRule="auto"/>
              <w:ind w:firstLineChars="100" w:firstLine="160"/>
              <w:jc w:val="left"/>
              <w:rPr>
                <w:rFonts w:cs="Arial"/>
                <w:color w:val="000000"/>
                <w:sz w:val="16"/>
                <w:szCs w:val="16"/>
              </w:rPr>
            </w:pPr>
            <w:r w:rsidRPr="00056FF3">
              <w:rPr>
                <w:rFonts w:cs="Arial"/>
                <w:color w:val="000000"/>
                <w:sz w:val="16"/>
                <w:szCs w:val="16"/>
              </w:rPr>
              <w:t>Hl. m. Praha</w:t>
            </w:r>
          </w:p>
        </w:tc>
        <w:tc>
          <w:tcPr>
            <w:tcW w:w="850" w:type="dxa"/>
            <w:tcBorders>
              <w:top w:val="nil"/>
              <w:left w:val="nil"/>
              <w:bottom w:val="nil"/>
            </w:tcBorders>
            <w:shd w:val="clear" w:color="auto" w:fill="auto"/>
            <w:noWrap/>
            <w:vAlign w:val="center"/>
            <w:hideMark/>
          </w:tcPr>
          <w:p w:rsidR="00D62D99" w:rsidRPr="00056FF3" w:rsidRDefault="00D62D99" w:rsidP="00D62D99">
            <w:pPr>
              <w:spacing w:after="0" w:line="240" w:lineRule="auto"/>
              <w:jc w:val="right"/>
              <w:rPr>
                <w:rFonts w:cs="Arial"/>
                <w:color w:val="000000"/>
                <w:sz w:val="16"/>
                <w:szCs w:val="16"/>
              </w:rPr>
            </w:pPr>
            <w:r w:rsidRPr="00056FF3">
              <w:rPr>
                <w:rFonts w:cs="Arial"/>
                <w:color w:val="000000"/>
                <w:sz w:val="16"/>
                <w:szCs w:val="16"/>
              </w:rPr>
              <w:t>198,1</w:t>
            </w:r>
          </w:p>
        </w:tc>
        <w:tc>
          <w:tcPr>
            <w:tcW w:w="850" w:type="dxa"/>
            <w:tcBorders>
              <w:top w:val="nil"/>
              <w:bottom w:val="nil"/>
            </w:tcBorders>
            <w:shd w:val="clear" w:color="auto" w:fill="auto"/>
            <w:noWrap/>
            <w:vAlign w:val="center"/>
            <w:hideMark/>
          </w:tcPr>
          <w:p w:rsidR="00D62D99" w:rsidRPr="00056FF3" w:rsidRDefault="00D62D99" w:rsidP="00D62D99">
            <w:pPr>
              <w:spacing w:after="0" w:line="240" w:lineRule="auto"/>
              <w:jc w:val="right"/>
              <w:rPr>
                <w:rFonts w:cs="Arial"/>
                <w:color w:val="000000"/>
                <w:sz w:val="16"/>
                <w:szCs w:val="16"/>
              </w:rPr>
            </w:pPr>
            <w:r w:rsidRPr="00056FF3">
              <w:rPr>
                <w:rFonts w:cs="Arial"/>
                <w:color w:val="000000"/>
                <w:sz w:val="16"/>
                <w:szCs w:val="16"/>
              </w:rPr>
              <w:t>294,8</w:t>
            </w:r>
          </w:p>
        </w:tc>
        <w:tc>
          <w:tcPr>
            <w:tcW w:w="851" w:type="dxa"/>
            <w:tcBorders>
              <w:top w:val="nil"/>
              <w:left w:val="nil"/>
              <w:bottom w:val="nil"/>
              <w:right w:val="single" w:sz="4" w:space="0" w:color="auto"/>
            </w:tcBorders>
            <w:shd w:val="clear" w:color="auto" w:fill="auto"/>
            <w:noWrap/>
            <w:vAlign w:val="center"/>
          </w:tcPr>
          <w:p w:rsidR="00D62D99" w:rsidRPr="00056FF3" w:rsidRDefault="00D62D99" w:rsidP="00D62D99">
            <w:pPr>
              <w:spacing w:after="0" w:line="240" w:lineRule="auto"/>
              <w:jc w:val="right"/>
              <w:rPr>
                <w:rFonts w:cs="Arial"/>
                <w:color w:val="000000"/>
                <w:sz w:val="16"/>
                <w:szCs w:val="16"/>
              </w:rPr>
            </w:pPr>
            <w:r>
              <w:rPr>
                <w:rFonts w:cs="Arial"/>
                <w:color w:val="000000"/>
                <w:sz w:val="16"/>
                <w:szCs w:val="16"/>
              </w:rPr>
              <w:t>318,2</w:t>
            </w:r>
          </w:p>
        </w:tc>
        <w:tc>
          <w:tcPr>
            <w:tcW w:w="850" w:type="dxa"/>
            <w:tcBorders>
              <w:top w:val="nil"/>
              <w:left w:val="nil"/>
              <w:bottom w:val="nil"/>
            </w:tcBorders>
            <w:shd w:val="clear" w:color="auto" w:fill="auto"/>
            <w:noWrap/>
            <w:vAlign w:val="center"/>
            <w:hideMark/>
          </w:tcPr>
          <w:p w:rsidR="00D62D99" w:rsidRPr="00056FF3" w:rsidRDefault="00D62D99" w:rsidP="00D62D99">
            <w:pPr>
              <w:spacing w:after="0" w:line="240" w:lineRule="auto"/>
              <w:jc w:val="right"/>
              <w:rPr>
                <w:rFonts w:cs="Arial"/>
                <w:color w:val="000000"/>
                <w:sz w:val="16"/>
                <w:szCs w:val="16"/>
              </w:rPr>
            </w:pPr>
            <w:r w:rsidRPr="00056FF3">
              <w:rPr>
                <w:rFonts w:cs="Arial"/>
                <w:color w:val="000000"/>
                <w:sz w:val="16"/>
                <w:szCs w:val="16"/>
              </w:rPr>
              <w:t>6 161,0</w:t>
            </w:r>
          </w:p>
        </w:tc>
        <w:tc>
          <w:tcPr>
            <w:tcW w:w="850" w:type="dxa"/>
            <w:tcBorders>
              <w:top w:val="nil"/>
              <w:bottom w:val="nil"/>
            </w:tcBorders>
            <w:shd w:val="clear" w:color="auto" w:fill="auto"/>
            <w:noWrap/>
            <w:vAlign w:val="center"/>
            <w:hideMark/>
          </w:tcPr>
          <w:p w:rsidR="00D62D99" w:rsidRPr="00056FF3" w:rsidRDefault="00D62D99" w:rsidP="00D62D99">
            <w:pPr>
              <w:spacing w:after="0" w:line="240" w:lineRule="auto"/>
              <w:jc w:val="right"/>
              <w:rPr>
                <w:rFonts w:cs="Arial"/>
                <w:color w:val="000000"/>
                <w:sz w:val="16"/>
                <w:szCs w:val="16"/>
              </w:rPr>
            </w:pPr>
            <w:r w:rsidRPr="00056FF3">
              <w:rPr>
                <w:rFonts w:cs="Arial"/>
                <w:color w:val="000000"/>
                <w:sz w:val="16"/>
                <w:szCs w:val="16"/>
              </w:rPr>
              <w:t>8 637,3</w:t>
            </w:r>
          </w:p>
        </w:tc>
        <w:tc>
          <w:tcPr>
            <w:tcW w:w="851" w:type="dxa"/>
            <w:tcBorders>
              <w:top w:val="nil"/>
              <w:left w:val="nil"/>
              <w:bottom w:val="nil"/>
              <w:right w:val="single" w:sz="4" w:space="0" w:color="auto"/>
            </w:tcBorders>
            <w:shd w:val="clear" w:color="auto" w:fill="auto"/>
            <w:noWrap/>
            <w:vAlign w:val="center"/>
          </w:tcPr>
          <w:p w:rsidR="00D62D99" w:rsidRPr="00056FF3" w:rsidRDefault="00D62D99" w:rsidP="00D62D99">
            <w:pPr>
              <w:spacing w:after="0" w:line="240" w:lineRule="auto"/>
              <w:jc w:val="right"/>
              <w:rPr>
                <w:rFonts w:cs="Arial"/>
                <w:color w:val="000000"/>
                <w:sz w:val="16"/>
                <w:szCs w:val="16"/>
              </w:rPr>
            </w:pPr>
            <w:r>
              <w:rPr>
                <w:rFonts w:cs="Arial"/>
                <w:color w:val="000000"/>
                <w:sz w:val="16"/>
                <w:szCs w:val="16"/>
              </w:rPr>
              <w:t>7 487,9</w:t>
            </w:r>
          </w:p>
        </w:tc>
        <w:tc>
          <w:tcPr>
            <w:tcW w:w="850" w:type="dxa"/>
            <w:tcBorders>
              <w:top w:val="nil"/>
              <w:left w:val="nil"/>
              <w:bottom w:val="nil"/>
            </w:tcBorders>
            <w:shd w:val="clear" w:color="auto" w:fill="auto"/>
            <w:noWrap/>
            <w:vAlign w:val="center"/>
            <w:hideMark/>
          </w:tcPr>
          <w:p w:rsidR="00D62D99" w:rsidRPr="00056FF3" w:rsidRDefault="00D62D99" w:rsidP="00D62D99">
            <w:pPr>
              <w:spacing w:after="0" w:line="240" w:lineRule="auto"/>
              <w:jc w:val="right"/>
              <w:rPr>
                <w:rFonts w:cs="Arial"/>
                <w:color w:val="000000"/>
                <w:sz w:val="16"/>
                <w:szCs w:val="16"/>
              </w:rPr>
            </w:pPr>
            <w:r w:rsidRPr="00056FF3">
              <w:rPr>
                <w:rFonts w:cs="Arial"/>
                <w:color w:val="000000"/>
                <w:sz w:val="16"/>
                <w:szCs w:val="16"/>
              </w:rPr>
              <w:t>31,1</w:t>
            </w:r>
          </w:p>
        </w:tc>
        <w:tc>
          <w:tcPr>
            <w:tcW w:w="850" w:type="dxa"/>
            <w:tcBorders>
              <w:top w:val="nil"/>
              <w:bottom w:val="nil"/>
            </w:tcBorders>
            <w:shd w:val="clear" w:color="auto" w:fill="auto"/>
            <w:noWrap/>
            <w:vAlign w:val="center"/>
            <w:hideMark/>
          </w:tcPr>
          <w:p w:rsidR="00D62D99" w:rsidRPr="00056FF3" w:rsidRDefault="00D62D99" w:rsidP="00D62D99">
            <w:pPr>
              <w:spacing w:after="0" w:line="240" w:lineRule="auto"/>
              <w:jc w:val="right"/>
              <w:rPr>
                <w:rFonts w:cs="Arial"/>
                <w:color w:val="000000"/>
                <w:sz w:val="16"/>
                <w:szCs w:val="16"/>
              </w:rPr>
            </w:pPr>
            <w:r w:rsidRPr="00056FF3">
              <w:rPr>
                <w:rFonts w:cs="Arial"/>
                <w:color w:val="000000"/>
                <w:sz w:val="16"/>
                <w:szCs w:val="16"/>
              </w:rPr>
              <w:t>29,3</w:t>
            </w:r>
          </w:p>
        </w:tc>
        <w:tc>
          <w:tcPr>
            <w:tcW w:w="851" w:type="dxa"/>
            <w:tcBorders>
              <w:top w:val="nil"/>
              <w:left w:val="nil"/>
              <w:bottom w:val="nil"/>
              <w:right w:val="nil"/>
            </w:tcBorders>
            <w:shd w:val="clear" w:color="auto" w:fill="auto"/>
            <w:noWrap/>
            <w:vAlign w:val="center"/>
          </w:tcPr>
          <w:p w:rsidR="00D62D99" w:rsidRPr="00056FF3" w:rsidRDefault="00D62D99" w:rsidP="00D62D99">
            <w:pPr>
              <w:spacing w:after="0" w:line="240" w:lineRule="auto"/>
              <w:jc w:val="right"/>
              <w:rPr>
                <w:rFonts w:cs="Arial"/>
                <w:color w:val="000000"/>
                <w:sz w:val="16"/>
                <w:szCs w:val="16"/>
              </w:rPr>
            </w:pPr>
            <w:r>
              <w:rPr>
                <w:rFonts w:cs="Arial"/>
                <w:color w:val="000000"/>
                <w:sz w:val="16"/>
                <w:szCs w:val="16"/>
              </w:rPr>
              <w:t>23,5</w:t>
            </w:r>
          </w:p>
        </w:tc>
      </w:tr>
      <w:tr w:rsidR="00D62D99" w:rsidRPr="00056FF3" w:rsidTr="00D62D99">
        <w:trPr>
          <w:trHeight w:val="283"/>
        </w:trPr>
        <w:tc>
          <w:tcPr>
            <w:tcW w:w="1980" w:type="dxa"/>
            <w:tcBorders>
              <w:top w:val="nil"/>
              <w:bottom w:val="nil"/>
              <w:right w:val="single" w:sz="4" w:space="0" w:color="auto"/>
            </w:tcBorders>
            <w:shd w:val="clear" w:color="auto" w:fill="auto"/>
            <w:noWrap/>
            <w:vAlign w:val="center"/>
            <w:hideMark/>
          </w:tcPr>
          <w:p w:rsidR="00D62D99" w:rsidRPr="00056FF3" w:rsidRDefault="00D62D99" w:rsidP="00D62D99">
            <w:pPr>
              <w:spacing w:after="0" w:line="240" w:lineRule="auto"/>
              <w:ind w:firstLineChars="100" w:firstLine="160"/>
              <w:jc w:val="left"/>
              <w:rPr>
                <w:rFonts w:cs="Arial"/>
                <w:color w:val="000000"/>
                <w:sz w:val="16"/>
                <w:szCs w:val="16"/>
              </w:rPr>
            </w:pPr>
            <w:r w:rsidRPr="00056FF3">
              <w:rPr>
                <w:rFonts w:cs="Arial"/>
                <w:color w:val="000000"/>
                <w:sz w:val="16"/>
                <w:szCs w:val="16"/>
              </w:rPr>
              <w:t>Středočeský kraj</w:t>
            </w:r>
          </w:p>
        </w:tc>
        <w:tc>
          <w:tcPr>
            <w:tcW w:w="850" w:type="dxa"/>
            <w:tcBorders>
              <w:top w:val="nil"/>
              <w:left w:val="nil"/>
              <w:bottom w:val="nil"/>
            </w:tcBorders>
            <w:shd w:val="clear" w:color="auto" w:fill="auto"/>
            <w:noWrap/>
            <w:vAlign w:val="center"/>
            <w:hideMark/>
          </w:tcPr>
          <w:p w:rsidR="00D62D99" w:rsidRPr="00056FF3" w:rsidRDefault="00D62D99" w:rsidP="00D62D99">
            <w:pPr>
              <w:spacing w:after="0" w:line="240" w:lineRule="auto"/>
              <w:jc w:val="right"/>
              <w:rPr>
                <w:rFonts w:cs="Arial"/>
                <w:color w:val="000000"/>
                <w:sz w:val="16"/>
                <w:szCs w:val="16"/>
              </w:rPr>
            </w:pPr>
            <w:r w:rsidRPr="00056FF3">
              <w:rPr>
                <w:rFonts w:cs="Arial"/>
                <w:color w:val="000000"/>
                <w:sz w:val="16"/>
                <w:szCs w:val="16"/>
              </w:rPr>
              <w:t>219,5</w:t>
            </w:r>
          </w:p>
        </w:tc>
        <w:tc>
          <w:tcPr>
            <w:tcW w:w="850" w:type="dxa"/>
            <w:tcBorders>
              <w:top w:val="nil"/>
              <w:bottom w:val="nil"/>
            </w:tcBorders>
            <w:shd w:val="clear" w:color="auto" w:fill="auto"/>
            <w:noWrap/>
            <w:vAlign w:val="center"/>
            <w:hideMark/>
          </w:tcPr>
          <w:p w:rsidR="00D62D99" w:rsidRPr="00056FF3" w:rsidRDefault="00D62D99" w:rsidP="00D62D99">
            <w:pPr>
              <w:spacing w:after="0" w:line="240" w:lineRule="auto"/>
              <w:jc w:val="right"/>
              <w:rPr>
                <w:rFonts w:cs="Arial"/>
                <w:color w:val="000000"/>
                <w:sz w:val="16"/>
                <w:szCs w:val="16"/>
              </w:rPr>
            </w:pPr>
            <w:r w:rsidRPr="00056FF3">
              <w:rPr>
                <w:rFonts w:cs="Arial"/>
                <w:color w:val="000000"/>
                <w:sz w:val="16"/>
                <w:szCs w:val="16"/>
              </w:rPr>
              <w:t>304,4</w:t>
            </w:r>
          </w:p>
        </w:tc>
        <w:tc>
          <w:tcPr>
            <w:tcW w:w="851" w:type="dxa"/>
            <w:tcBorders>
              <w:top w:val="nil"/>
              <w:left w:val="nil"/>
              <w:bottom w:val="nil"/>
              <w:right w:val="single" w:sz="4" w:space="0" w:color="auto"/>
            </w:tcBorders>
            <w:shd w:val="clear" w:color="auto" w:fill="auto"/>
            <w:noWrap/>
            <w:vAlign w:val="center"/>
          </w:tcPr>
          <w:p w:rsidR="00D62D99" w:rsidRPr="00056FF3" w:rsidRDefault="00D62D99" w:rsidP="00D62D99">
            <w:pPr>
              <w:spacing w:after="0" w:line="240" w:lineRule="auto"/>
              <w:jc w:val="right"/>
              <w:rPr>
                <w:rFonts w:cs="Arial"/>
                <w:color w:val="000000"/>
                <w:sz w:val="16"/>
                <w:szCs w:val="16"/>
              </w:rPr>
            </w:pPr>
            <w:r>
              <w:rPr>
                <w:rFonts w:cs="Arial"/>
                <w:color w:val="000000"/>
                <w:sz w:val="16"/>
                <w:szCs w:val="16"/>
              </w:rPr>
              <w:t>281,1</w:t>
            </w:r>
          </w:p>
        </w:tc>
        <w:tc>
          <w:tcPr>
            <w:tcW w:w="850" w:type="dxa"/>
            <w:tcBorders>
              <w:top w:val="nil"/>
              <w:left w:val="nil"/>
              <w:bottom w:val="nil"/>
            </w:tcBorders>
            <w:shd w:val="clear" w:color="auto" w:fill="auto"/>
            <w:noWrap/>
            <w:vAlign w:val="center"/>
            <w:hideMark/>
          </w:tcPr>
          <w:p w:rsidR="00D62D99" w:rsidRPr="00056FF3" w:rsidRDefault="00D62D99" w:rsidP="00D62D99">
            <w:pPr>
              <w:spacing w:after="0" w:line="240" w:lineRule="auto"/>
              <w:jc w:val="right"/>
              <w:rPr>
                <w:rFonts w:cs="Arial"/>
                <w:color w:val="000000"/>
                <w:sz w:val="16"/>
                <w:szCs w:val="16"/>
              </w:rPr>
            </w:pPr>
            <w:r w:rsidRPr="00056FF3">
              <w:rPr>
                <w:rFonts w:cs="Arial"/>
                <w:color w:val="000000"/>
                <w:sz w:val="16"/>
                <w:szCs w:val="16"/>
              </w:rPr>
              <w:t>8 152,9</w:t>
            </w:r>
          </w:p>
        </w:tc>
        <w:tc>
          <w:tcPr>
            <w:tcW w:w="850" w:type="dxa"/>
            <w:tcBorders>
              <w:top w:val="nil"/>
              <w:bottom w:val="nil"/>
            </w:tcBorders>
            <w:shd w:val="clear" w:color="auto" w:fill="auto"/>
            <w:noWrap/>
            <w:vAlign w:val="center"/>
            <w:hideMark/>
          </w:tcPr>
          <w:p w:rsidR="00D62D99" w:rsidRPr="00056FF3" w:rsidRDefault="00D62D99" w:rsidP="00D62D99">
            <w:pPr>
              <w:spacing w:after="0" w:line="240" w:lineRule="auto"/>
              <w:jc w:val="right"/>
              <w:rPr>
                <w:rFonts w:cs="Arial"/>
                <w:color w:val="000000"/>
                <w:sz w:val="16"/>
                <w:szCs w:val="16"/>
              </w:rPr>
            </w:pPr>
            <w:r w:rsidRPr="00056FF3">
              <w:rPr>
                <w:rFonts w:cs="Arial"/>
                <w:color w:val="000000"/>
                <w:sz w:val="16"/>
                <w:szCs w:val="16"/>
              </w:rPr>
              <w:t>9 633,1</w:t>
            </w:r>
          </w:p>
        </w:tc>
        <w:tc>
          <w:tcPr>
            <w:tcW w:w="851" w:type="dxa"/>
            <w:tcBorders>
              <w:top w:val="nil"/>
              <w:left w:val="nil"/>
              <w:bottom w:val="nil"/>
              <w:right w:val="single" w:sz="4" w:space="0" w:color="auto"/>
            </w:tcBorders>
            <w:shd w:val="clear" w:color="auto" w:fill="auto"/>
            <w:noWrap/>
            <w:vAlign w:val="center"/>
          </w:tcPr>
          <w:p w:rsidR="00D62D99" w:rsidRPr="00056FF3" w:rsidRDefault="00D62D99" w:rsidP="00D62D99">
            <w:pPr>
              <w:spacing w:after="0" w:line="240" w:lineRule="auto"/>
              <w:jc w:val="right"/>
              <w:rPr>
                <w:rFonts w:cs="Arial"/>
                <w:color w:val="000000"/>
                <w:sz w:val="16"/>
                <w:szCs w:val="16"/>
              </w:rPr>
            </w:pPr>
            <w:r>
              <w:rPr>
                <w:rFonts w:cs="Arial"/>
                <w:color w:val="000000"/>
                <w:sz w:val="16"/>
                <w:szCs w:val="16"/>
              </w:rPr>
              <w:t>7 745,5</w:t>
            </w:r>
          </w:p>
        </w:tc>
        <w:tc>
          <w:tcPr>
            <w:tcW w:w="850" w:type="dxa"/>
            <w:tcBorders>
              <w:top w:val="nil"/>
              <w:left w:val="nil"/>
              <w:bottom w:val="nil"/>
            </w:tcBorders>
            <w:shd w:val="clear" w:color="auto" w:fill="auto"/>
            <w:noWrap/>
            <w:vAlign w:val="center"/>
            <w:hideMark/>
          </w:tcPr>
          <w:p w:rsidR="00D62D99" w:rsidRPr="00056FF3" w:rsidRDefault="00D62D99" w:rsidP="00D62D99">
            <w:pPr>
              <w:spacing w:after="0" w:line="240" w:lineRule="auto"/>
              <w:jc w:val="right"/>
              <w:rPr>
                <w:rFonts w:cs="Arial"/>
                <w:color w:val="000000"/>
                <w:sz w:val="16"/>
                <w:szCs w:val="16"/>
              </w:rPr>
            </w:pPr>
            <w:r w:rsidRPr="00056FF3">
              <w:rPr>
                <w:rFonts w:cs="Arial"/>
                <w:color w:val="000000"/>
                <w:sz w:val="16"/>
                <w:szCs w:val="16"/>
              </w:rPr>
              <w:t>37,2</w:t>
            </w:r>
          </w:p>
        </w:tc>
        <w:tc>
          <w:tcPr>
            <w:tcW w:w="850" w:type="dxa"/>
            <w:tcBorders>
              <w:top w:val="nil"/>
              <w:bottom w:val="nil"/>
            </w:tcBorders>
            <w:shd w:val="clear" w:color="auto" w:fill="auto"/>
            <w:noWrap/>
            <w:vAlign w:val="center"/>
            <w:hideMark/>
          </w:tcPr>
          <w:p w:rsidR="00D62D99" w:rsidRPr="00056FF3" w:rsidRDefault="00D62D99" w:rsidP="00D62D99">
            <w:pPr>
              <w:spacing w:after="0" w:line="240" w:lineRule="auto"/>
              <w:jc w:val="right"/>
              <w:rPr>
                <w:rFonts w:cs="Arial"/>
                <w:color w:val="000000"/>
                <w:sz w:val="16"/>
                <w:szCs w:val="16"/>
              </w:rPr>
            </w:pPr>
            <w:r w:rsidRPr="00056FF3">
              <w:rPr>
                <w:rFonts w:cs="Arial"/>
                <w:color w:val="000000"/>
                <w:sz w:val="16"/>
                <w:szCs w:val="16"/>
              </w:rPr>
              <w:t>31,6</w:t>
            </w:r>
          </w:p>
        </w:tc>
        <w:tc>
          <w:tcPr>
            <w:tcW w:w="851" w:type="dxa"/>
            <w:tcBorders>
              <w:top w:val="nil"/>
              <w:left w:val="nil"/>
              <w:bottom w:val="nil"/>
              <w:right w:val="nil"/>
            </w:tcBorders>
            <w:shd w:val="clear" w:color="auto" w:fill="auto"/>
            <w:noWrap/>
            <w:vAlign w:val="center"/>
          </w:tcPr>
          <w:p w:rsidR="00D62D99" w:rsidRPr="00056FF3" w:rsidRDefault="00D62D99" w:rsidP="00D62D99">
            <w:pPr>
              <w:spacing w:after="0" w:line="240" w:lineRule="auto"/>
              <w:jc w:val="right"/>
              <w:rPr>
                <w:rFonts w:cs="Arial"/>
                <w:color w:val="000000"/>
                <w:sz w:val="16"/>
                <w:szCs w:val="16"/>
              </w:rPr>
            </w:pPr>
            <w:r>
              <w:rPr>
                <w:rFonts w:cs="Arial"/>
                <w:color w:val="000000"/>
                <w:sz w:val="16"/>
                <w:szCs w:val="16"/>
              </w:rPr>
              <w:t>27,6</w:t>
            </w:r>
          </w:p>
        </w:tc>
      </w:tr>
      <w:tr w:rsidR="00D62D99" w:rsidRPr="00056FF3" w:rsidTr="00D62D99">
        <w:trPr>
          <w:trHeight w:val="283"/>
        </w:trPr>
        <w:tc>
          <w:tcPr>
            <w:tcW w:w="1980" w:type="dxa"/>
            <w:tcBorders>
              <w:top w:val="nil"/>
              <w:bottom w:val="nil"/>
              <w:right w:val="single" w:sz="4" w:space="0" w:color="auto"/>
            </w:tcBorders>
            <w:shd w:val="clear" w:color="auto" w:fill="auto"/>
            <w:noWrap/>
            <w:vAlign w:val="center"/>
            <w:hideMark/>
          </w:tcPr>
          <w:p w:rsidR="00D62D99" w:rsidRPr="00056FF3" w:rsidRDefault="00D62D99" w:rsidP="00D62D99">
            <w:pPr>
              <w:spacing w:after="0" w:line="240" w:lineRule="auto"/>
              <w:ind w:firstLineChars="100" w:firstLine="160"/>
              <w:jc w:val="left"/>
              <w:rPr>
                <w:rFonts w:cs="Arial"/>
                <w:color w:val="000000"/>
                <w:sz w:val="16"/>
                <w:szCs w:val="16"/>
              </w:rPr>
            </w:pPr>
            <w:r w:rsidRPr="00056FF3">
              <w:rPr>
                <w:rFonts w:cs="Arial"/>
                <w:color w:val="000000"/>
                <w:sz w:val="16"/>
                <w:szCs w:val="16"/>
              </w:rPr>
              <w:t>Jihočeský kraj</w:t>
            </w:r>
          </w:p>
        </w:tc>
        <w:tc>
          <w:tcPr>
            <w:tcW w:w="850" w:type="dxa"/>
            <w:tcBorders>
              <w:top w:val="nil"/>
              <w:left w:val="nil"/>
              <w:bottom w:val="nil"/>
            </w:tcBorders>
            <w:shd w:val="clear" w:color="auto" w:fill="auto"/>
            <w:noWrap/>
            <w:vAlign w:val="center"/>
            <w:hideMark/>
          </w:tcPr>
          <w:p w:rsidR="00D62D99" w:rsidRPr="00056FF3" w:rsidRDefault="00D62D99" w:rsidP="00D62D99">
            <w:pPr>
              <w:spacing w:after="0" w:line="240" w:lineRule="auto"/>
              <w:jc w:val="right"/>
              <w:rPr>
                <w:rFonts w:cs="Arial"/>
                <w:color w:val="000000"/>
                <w:sz w:val="16"/>
                <w:szCs w:val="16"/>
              </w:rPr>
            </w:pPr>
            <w:r w:rsidRPr="00056FF3">
              <w:rPr>
                <w:rFonts w:cs="Arial"/>
                <w:color w:val="000000"/>
                <w:sz w:val="16"/>
                <w:szCs w:val="16"/>
              </w:rPr>
              <w:t>117,3</w:t>
            </w:r>
          </w:p>
        </w:tc>
        <w:tc>
          <w:tcPr>
            <w:tcW w:w="850" w:type="dxa"/>
            <w:tcBorders>
              <w:top w:val="nil"/>
              <w:bottom w:val="nil"/>
            </w:tcBorders>
            <w:shd w:val="clear" w:color="auto" w:fill="auto"/>
            <w:noWrap/>
            <w:vAlign w:val="center"/>
            <w:hideMark/>
          </w:tcPr>
          <w:p w:rsidR="00D62D99" w:rsidRPr="00056FF3" w:rsidRDefault="00D62D99" w:rsidP="00D62D99">
            <w:pPr>
              <w:spacing w:after="0" w:line="240" w:lineRule="auto"/>
              <w:jc w:val="right"/>
              <w:rPr>
                <w:rFonts w:cs="Arial"/>
                <w:color w:val="000000"/>
                <w:sz w:val="16"/>
                <w:szCs w:val="16"/>
              </w:rPr>
            </w:pPr>
            <w:r w:rsidRPr="00056FF3">
              <w:rPr>
                <w:rFonts w:cs="Arial"/>
                <w:color w:val="000000"/>
                <w:sz w:val="16"/>
                <w:szCs w:val="16"/>
              </w:rPr>
              <w:t>170,3</w:t>
            </w:r>
          </w:p>
        </w:tc>
        <w:tc>
          <w:tcPr>
            <w:tcW w:w="851" w:type="dxa"/>
            <w:tcBorders>
              <w:top w:val="nil"/>
              <w:left w:val="nil"/>
              <w:bottom w:val="nil"/>
              <w:right w:val="single" w:sz="4" w:space="0" w:color="auto"/>
            </w:tcBorders>
            <w:shd w:val="clear" w:color="auto" w:fill="auto"/>
            <w:noWrap/>
            <w:vAlign w:val="center"/>
          </w:tcPr>
          <w:p w:rsidR="00D62D99" w:rsidRPr="00056FF3" w:rsidRDefault="00D62D99" w:rsidP="00D62D99">
            <w:pPr>
              <w:spacing w:after="0" w:line="240" w:lineRule="auto"/>
              <w:jc w:val="right"/>
              <w:rPr>
                <w:rFonts w:cs="Arial"/>
                <w:color w:val="000000"/>
                <w:sz w:val="16"/>
                <w:szCs w:val="16"/>
              </w:rPr>
            </w:pPr>
            <w:r>
              <w:rPr>
                <w:rFonts w:cs="Arial"/>
                <w:color w:val="000000"/>
                <w:sz w:val="16"/>
                <w:szCs w:val="16"/>
              </w:rPr>
              <w:t>146,4</w:t>
            </w:r>
          </w:p>
        </w:tc>
        <w:tc>
          <w:tcPr>
            <w:tcW w:w="850" w:type="dxa"/>
            <w:tcBorders>
              <w:top w:val="nil"/>
              <w:left w:val="nil"/>
              <w:bottom w:val="nil"/>
            </w:tcBorders>
            <w:shd w:val="clear" w:color="auto" w:fill="auto"/>
            <w:noWrap/>
            <w:vAlign w:val="center"/>
            <w:hideMark/>
          </w:tcPr>
          <w:p w:rsidR="00D62D99" w:rsidRPr="00056FF3" w:rsidRDefault="00D62D99" w:rsidP="00D62D99">
            <w:pPr>
              <w:spacing w:after="0" w:line="240" w:lineRule="auto"/>
              <w:jc w:val="right"/>
              <w:rPr>
                <w:rFonts w:cs="Arial"/>
                <w:color w:val="000000"/>
                <w:sz w:val="16"/>
                <w:szCs w:val="16"/>
              </w:rPr>
            </w:pPr>
            <w:r w:rsidRPr="00056FF3">
              <w:rPr>
                <w:rFonts w:cs="Arial"/>
                <w:color w:val="000000"/>
                <w:sz w:val="16"/>
                <w:szCs w:val="16"/>
              </w:rPr>
              <w:t>5 060,8</w:t>
            </w:r>
          </w:p>
        </w:tc>
        <w:tc>
          <w:tcPr>
            <w:tcW w:w="850" w:type="dxa"/>
            <w:tcBorders>
              <w:top w:val="nil"/>
              <w:bottom w:val="nil"/>
            </w:tcBorders>
            <w:shd w:val="clear" w:color="auto" w:fill="auto"/>
            <w:noWrap/>
            <w:vAlign w:val="center"/>
            <w:hideMark/>
          </w:tcPr>
          <w:p w:rsidR="00D62D99" w:rsidRPr="00056FF3" w:rsidRDefault="00D62D99" w:rsidP="00D62D99">
            <w:pPr>
              <w:spacing w:after="0" w:line="240" w:lineRule="auto"/>
              <w:jc w:val="right"/>
              <w:rPr>
                <w:rFonts w:cs="Arial"/>
                <w:color w:val="000000"/>
                <w:sz w:val="16"/>
                <w:szCs w:val="16"/>
              </w:rPr>
            </w:pPr>
            <w:r w:rsidRPr="00056FF3">
              <w:rPr>
                <w:rFonts w:cs="Arial"/>
                <w:color w:val="000000"/>
                <w:sz w:val="16"/>
                <w:szCs w:val="16"/>
              </w:rPr>
              <w:t>6 069,7</w:t>
            </w:r>
          </w:p>
        </w:tc>
        <w:tc>
          <w:tcPr>
            <w:tcW w:w="851" w:type="dxa"/>
            <w:tcBorders>
              <w:top w:val="nil"/>
              <w:left w:val="nil"/>
              <w:bottom w:val="nil"/>
              <w:right w:val="single" w:sz="4" w:space="0" w:color="auto"/>
            </w:tcBorders>
            <w:shd w:val="clear" w:color="auto" w:fill="auto"/>
            <w:noWrap/>
            <w:vAlign w:val="center"/>
          </w:tcPr>
          <w:p w:rsidR="00D62D99" w:rsidRPr="00056FF3" w:rsidRDefault="00D62D99" w:rsidP="00D62D99">
            <w:pPr>
              <w:spacing w:after="0" w:line="240" w:lineRule="auto"/>
              <w:jc w:val="right"/>
              <w:rPr>
                <w:rFonts w:cs="Arial"/>
                <w:color w:val="000000"/>
                <w:sz w:val="16"/>
                <w:szCs w:val="16"/>
              </w:rPr>
            </w:pPr>
            <w:r>
              <w:rPr>
                <w:rFonts w:cs="Arial"/>
                <w:color w:val="000000"/>
                <w:sz w:val="16"/>
                <w:szCs w:val="16"/>
              </w:rPr>
              <w:t>4 857,1</w:t>
            </w:r>
          </w:p>
        </w:tc>
        <w:tc>
          <w:tcPr>
            <w:tcW w:w="850" w:type="dxa"/>
            <w:tcBorders>
              <w:top w:val="nil"/>
              <w:left w:val="nil"/>
              <w:bottom w:val="nil"/>
            </w:tcBorders>
            <w:shd w:val="clear" w:color="auto" w:fill="auto"/>
            <w:noWrap/>
            <w:vAlign w:val="center"/>
            <w:hideMark/>
          </w:tcPr>
          <w:p w:rsidR="00D62D99" w:rsidRPr="00056FF3" w:rsidRDefault="00D62D99" w:rsidP="00D62D99">
            <w:pPr>
              <w:spacing w:after="0" w:line="240" w:lineRule="auto"/>
              <w:jc w:val="right"/>
              <w:rPr>
                <w:rFonts w:cs="Arial"/>
                <w:color w:val="000000"/>
                <w:sz w:val="16"/>
                <w:szCs w:val="16"/>
              </w:rPr>
            </w:pPr>
            <w:r w:rsidRPr="00056FF3">
              <w:rPr>
                <w:rFonts w:cs="Arial"/>
                <w:color w:val="000000"/>
                <w:sz w:val="16"/>
                <w:szCs w:val="16"/>
              </w:rPr>
              <w:t>43,2</w:t>
            </w:r>
          </w:p>
        </w:tc>
        <w:tc>
          <w:tcPr>
            <w:tcW w:w="850" w:type="dxa"/>
            <w:tcBorders>
              <w:top w:val="nil"/>
              <w:bottom w:val="nil"/>
            </w:tcBorders>
            <w:shd w:val="clear" w:color="auto" w:fill="auto"/>
            <w:noWrap/>
            <w:vAlign w:val="center"/>
            <w:hideMark/>
          </w:tcPr>
          <w:p w:rsidR="00D62D99" w:rsidRPr="00056FF3" w:rsidRDefault="00D62D99" w:rsidP="00D62D99">
            <w:pPr>
              <w:spacing w:after="0" w:line="240" w:lineRule="auto"/>
              <w:jc w:val="right"/>
              <w:rPr>
                <w:rFonts w:cs="Arial"/>
                <w:color w:val="000000"/>
                <w:sz w:val="16"/>
                <w:szCs w:val="16"/>
              </w:rPr>
            </w:pPr>
            <w:r w:rsidRPr="00056FF3">
              <w:rPr>
                <w:rFonts w:cs="Arial"/>
                <w:color w:val="000000"/>
                <w:sz w:val="16"/>
                <w:szCs w:val="16"/>
              </w:rPr>
              <w:t>35,6</w:t>
            </w:r>
          </w:p>
        </w:tc>
        <w:tc>
          <w:tcPr>
            <w:tcW w:w="851" w:type="dxa"/>
            <w:tcBorders>
              <w:top w:val="nil"/>
              <w:left w:val="nil"/>
              <w:bottom w:val="nil"/>
              <w:right w:val="nil"/>
            </w:tcBorders>
            <w:shd w:val="clear" w:color="auto" w:fill="auto"/>
            <w:noWrap/>
            <w:vAlign w:val="center"/>
          </w:tcPr>
          <w:p w:rsidR="00D62D99" w:rsidRPr="00056FF3" w:rsidRDefault="00D62D99" w:rsidP="00D62D99">
            <w:pPr>
              <w:spacing w:after="0" w:line="240" w:lineRule="auto"/>
              <w:jc w:val="right"/>
              <w:rPr>
                <w:rFonts w:cs="Arial"/>
                <w:color w:val="000000"/>
                <w:sz w:val="16"/>
                <w:szCs w:val="16"/>
              </w:rPr>
            </w:pPr>
            <w:r>
              <w:rPr>
                <w:rFonts w:cs="Arial"/>
                <w:color w:val="000000"/>
                <w:sz w:val="16"/>
                <w:szCs w:val="16"/>
              </w:rPr>
              <w:t>33,2</w:t>
            </w:r>
          </w:p>
        </w:tc>
      </w:tr>
      <w:tr w:rsidR="00D62D99" w:rsidRPr="00056FF3" w:rsidTr="00D62D99">
        <w:trPr>
          <w:trHeight w:val="283"/>
        </w:trPr>
        <w:tc>
          <w:tcPr>
            <w:tcW w:w="1980" w:type="dxa"/>
            <w:tcBorders>
              <w:top w:val="nil"/>
              <w:bottom w:val="nil"/>
              <w:right w:val="single" w:sz="4" w:space="0" w:color="auto"/>
            </w:tcBorders>
            <w:shd w:val="clear" w:color="auto" w:fill="auto"/>
            <w:noWrap/>
            <w:vAlign w:val="center"/>
            <w:hideMark/>
          </w:tcPr>
          <w:p w:rsidR="00D62D99" w:rsidRPr="00056FF3" w:rsidRDefault="00D62D99" w:rsidP="00D62D99">
            <w:pPr>
              <w:spacing w:after="0" w:line="240" w:lineRule="auto"/>
              <w:ind w:firstLineChars="100" w:firstLine="160"/>
              <w:jc w:val="left"/>
              <w:rPr>
                <w:rFonts w:cs="Arial"/>
                <w:color w:val="000000"/>
                <w:sz w:val="16"/>
                <w:szCs w:val="16"/>
              </w:rPr>
            </w:pPr>
            <w:r w:rsidRPr="00056FF3">
              <w:rPr>
                <w:rFonts w:cs="Arial"/>
                <w:color w:val="000000"/>
                <w:sz w:val="16"/>
                <w:szCs w:val="16"/>
              </w:rPr>
              <w:t>Plzeňský kraj</w:t>
            </w:r>
          </w:p>
        </w:tc>
        <w:tc>
          <w:tcPr>
            <w:tcW w:w="850" w:type="dxa"/>
            <w:tcBorders>
              <w:top w:val="nil"/>
              <w:left w:val="nil"/>
              <w:bottom w:val="nil"/>
            </w:tcBorders>
            <w:shd w:val="clear" w:color="auto" w:fill="auto"/>
            <w:noWrap/>
            <w:vAlign w:val="center"/>
            <w:hideMark/>
          </w:tcPr>
          <w:p w:rsidR="00D62D99" w:rsidRPr="00056FF3" w:rsidRDefault="00D62D99" w:rsidP="00D62D99">
            <w:pPr>
              <w:spacing w:after="0" w:line="240" w:lineRule="auto"/>
              <w:jc w:val="right"/>
              <w:rPr>
                <w:rFonts w:cs="Arial"/>
                <w:color w:val="000000"/>
                <w:sz w:val="16"/>
                <w:szCs w:val="16"/>
              </w:rPr>
            </w:pPr>
            <w:r w:rsidRPr="00056FF3">
              <w:rPr>
                <w:rFonts w:cs="Arial"/>
                <w:color w:val="000000"/>
                <w:sz w:val="16"/>
                <w:szCs w:val="16"/>
              </w:rPr>
              <w:t>120,2</w:t>
            </w:r>
          </w:p>
        </w:tc>
        <w:tc>
          <w:tcPr>
            <w:tcW w:w="850" w:type="dxa"/>
            <w:tcBorders>
              <w:top w:val="nil"/>
              <w:bottom w:val="nil"/>
            </w:tcBorders>
            <w:shd w:val="clear" w:color="auto" w:fill="auto"/>
            <w:noWrap/>
            <w:vAlign w:val="center"/>
            <w:hideMark/>
          </w:tcPr>
          <w:p w:rsidR="00D62D99" w:rsidRPr="00056FF3" w:rsidRDefault="00D62D99" w:rsidP="00D62D99">
            <w:pPr>
              <w:spacing w:after="0" w:line="240" w:lineRule="auto"/>
              <w:jc w:val="right"/>
              <w:rPr>
                <w:rFonts w:cs="Arial"/>
                <w:color w:val="000000"/>
                <w:sz w:val="16"/>
                <w:szCs w:val="16"/>
              </w:rPr>
            </w:pPr>
            <w:r w:rsidRPr="00056FF3">
              <w:rPr>
                <w:rFonts w:cs="Arial"/>
                <w:color w:val="000000"/>
                <w:sz w:val="16"/>
                <w:szCs w:val="16"/>
              </w:rPr>
              <w:t>170,3</w:t>
            </w:r>
          </w:p>
        </w:tc>
        <w:tc>
          <w:tcPr>
            <w:tcW w:w="851" w:type="dxa"/>
            <w:tcBorders>
              <w:top w:val="nil"/>
              <w:left w:val="nil"/>
              <w:bottom w:val="nil"/>
              <w:right w:val="single" w:sz="4" w:space="0" w:color="auto"/>
            </w:tcBorders>
            <w:shd w:val="clear" w:color="auto" w:fill="auto"/>
            <w:noWrap/>
            <w:vAlign w:val="center"/>
          </w:tcPr>
          <w:p w:rsidR="00D62D99" w:rsidRPr="00056FF3" w:rsidRDefault="00D62D99" w:rsidP="00D62D99">
            <w:pPr>
              <w:spacing w:after="0" w:line="240" w:lineRule="auto"/>
              <w:jc w:val="right"/>
              <w:rPr>
                <w:rFonts w:cs="Arial"/>
                <w:color w:val="000000"/>
                <w:sz w:val="16"/>
                <w:szCs w:val="16"/>
              </w:rPr>
            </w:pPr>
            <w:r>
              <w:rPr>
                <w:rFonts w:cs="Arial"/>
                <w:color w:val="000000"/>
                <w:sz w:val="16"/>
                <w:szCs w:val="16"/>
              </w:rPr>
              <w:t>155,9</w:t>
            </w:r>
          </w:p>
        </w:tc>
        <w:tc>
          <w:tcPr>
            <w:tcW w:w="850" w:type="dxa"/>
            <w:tcBorders>
              <w:top w:val="nil"/>
              <w:left w:val="nil"/>
              <w:bottom w:val="nil"/>
            </w:tcBorders>
            <w:shd w:val="clear" w:color="auto" w:fill="auto"/>
            <w:noWrap/>
            <w:vAlign w:val="center"/>
            <w:hideMark/>
          </w:tcPr>
          <w:p w:rsidR="00D62D99" w:rsidRPr="00056FF3" w:rsidRDefault="00D62D99" w:rsidP="00D62D99">
            <w:pPr>
              <w:spacing w:after="0" w:line="240" w:lineRule="auto"/>
              <w:jc w:val="right"/>
              <w:rPr>
                <w:rFonts w:cs="Arial"/>
                <w:color w:val="000000"/>
                <w:sz w:val="16"/>
                <w:szCs w:val="16"/>
              </w:rPr>
            </w:pPr>
            <w:r w:rsidRPr="00056FF3">
              <w:rPr>
                <w:rFonts w:cs="Arial"/>
                <w:color w:val="000000"/>
                <w:sz w:val="16"/>
                <w:szCs w:val="16"/>
              </w:rPr>
              <w:t>4 645,1</w:t>
            </w:r>
          </w:p>
        </w:tc>
        <w:tc>
          <w:tcPr>
            <w:tcW w:w="850" w:type="dxa"/>
            <w:tcBorders>
              <w:top w:val="nil"/>
              <w:bottom w:val="nil"/>
            </w:tcBorders>
            <w:shd w:val="clear" w:color="auto" w:fill="auto"/>
            <w:noWrap/>
            <w:vAlign w:val="center"/>
            <w:hideMark/>
          </w:tcPr>
          <w:p w:rsidR="00D62D99" w:rsidRPr="00056FF3" w:rsidRDefault="00D62D99" w:rsidP="00D62D99">
            <w:pPr>
              <w:spacing w:after="0" w:line="240" w:lineRule="auto"/>
              <w:jc w:val="right"/>
              <w:rPr>
                <w:rFonts w:cs="Arial"/>
                <w:color w:val="000000"/>
                <w:sz w:val="16"/>
                <w:szCs w:val="16"/>
              </w:rPr>
            </w:pPr>
            <w:r w:rsidRPr="00056FF3">
              <w:rPr>
                <w:rFonts w:cs="Arial"/>
                <w:color w:val="000000"/>
                <w:sz w:val="16"/>
                <w:szCs w:val="16"/>
              </w:rPr>
              <w:t>5 713,5</w:t>
            </w:r>
          </w:p>
        </w:tc>
        <w:tc>
          <w:tcPr>
            <w:tcW w:w="851" w:type="dxa"/>
            <w:tcBorders>
              <w:top w:val="nil"/>
              <w:left w:val="nil"/>
              <w:bottom w:val="nil"/>
              <w:right w:val="single" w:sz="4" w:space="0" w:color="auto"/>
            </w:tcBorders>
            <w:shd w:val="clear" w:color="auto" w:fill="auto"/>
            <w:noWrap/>
            <w:vAlign w:val="center"/>
          </w:tcPr>
          <w:p w:rsidR="00D62D99" w:rsidRPr="00056FF3" w:rsidRDefault="00D62D99" w:rsidP="00D62D99">
            <w:pPr>
              <w:spacing w:after="0" w:line="240" w:lineRule="auto"/>
              <w:jc w:val="right"/>
              <w:rPr>
                <w:rFonts w:cs="Arial"/>
                <w:color w:val="000000"/>
                <w:sz w:val="16"/>
                <w:szCs w:val="16"/>
              </w:rPr>
            </w:pPr>
            <w:r>
              <w:rPr>
                <w:rFonts w:cs="Arial"/>
                <w:color w:val="000000"/>
                <w:sz w:val="16"/>
                <w:szCs w:val="16"/>
              </w:rPr>
              <w:t>4 591,4</w:t>
            </w:r>
          </w:p>
        </w:tc>
        <w:tc>
          <w:tcPr>
            <w:tcW w:w="850" w:type="dxa"/>
            <w:tcBorders>
              <w:top w:val="nil"/>
              <w:left w:val="nil"/>
              <w:bottom w:val="nil"/>
            </w:tcBorders>
            <w:shd w:val="clear" w:color="auto" w:fill="auto"/>
            <w:noWrap/>
            <w:vAlign w:val="center"/>
            <w:hideMark/>
          </w:tcPr>
          <w:p w:rsidR="00D62D99" w:rsidRPr="00056FF3" w:rsidRDefault="00D62D99" w:rsidP="00D62D99">
            <w:pPr>
              <w:spacing w:after="0" w:line="240" w:lineRule="auto"/>
              <w:jc w:val="right"/>
              <w:rPr>
                <w:rFonts w:cs="Arial"/>
                <w:color w:val="000000"/>
                <w:sz w:val="16"/>
                <w:szCs w:val="16"/>
              </w:rPr>
            </w:pPr>
            <w:r w:rsidRPr="00056FF3">
              <w:rPr>
                <w:rFonts w:cs="Arial"/>
                <w:color w:val="000000"/>
                <w:sz w:val="16"/>
                <w:szCs w:val="16"/>
              </w:rPr>
              <w:t>38,6</w:t>
            </w:r>
          </w:p>
        </w:tc>
        <w:tc>
          <w:tcPr>
            <w:tcW w:w="850" w:type="dxa"/>
            <w:tcBorders>
              <w:top w:val="nil"/>
              <w:bottom w:val="nil"/>
            </w:tcBorders>
            <w:shd w:val="clear" w:color="auto" w:fill="auto"/>
            <w:noWrap/>
            <w:vAlign w:val="center"/>
            <w:hideMark/>
          </w:tcPr>
          <w:p w:rsidR="00D62D99" w:rsidRPr="00056FF3" w:rsidRDefault="00D62D99" w:rsidP="00D62D99">
            <w:pPr>
              <w:spacing w:after="0" w:line="240" w:lineRule="auto"/>
              <w:jc w:val="right"/>
              <w:rPr>
                <w:rFonts w:cs="Arial"/>
                <w:color w:val="000000"/>
                <w:sz w:val="16"/>
                <w:szCs w:val="16"/>
              </w:rPr>
            </w:pPr>
            <w:r w:rsidRPr="00056FF3">
              <w:rPr>
                <w:rFonts w:cs="Arial"/>
                <w:color w:val="000000"/>
                <w:sz w:val="16"/>
                <w:szCs w:val="16"/>
              </w:rPr>
              <w:t>33,5</w:t>
            </w:r>
          </w:p>
        </w:tc>
        <w:tc>
          <w:tcPr>
            <w:tcW w:w="851" w:type="dxa"/>
            <w:tcBorders>
              <w:top w:val="nil"/>
              <w:left w:val="nil"/>
              <w:bottom w:val="nil"/>
              <w:right w:val="nil"/>
            </w:tcBorders>
            <w:shd w:val="clear" w:color="auto" w:fill="auto"/>
            <w:noWrap/>
            <w:vAlign w:val="center"/>
          </w:tcPr>
          <w:p w:rsidR="00D62D99" w:rsidRPr="00056FF3" w:rsidRDefault="00D62D99" w:rsidP="00D62D99">
            <w:pPr>
              <w:spacing w:after="0" w:line="240" w:lineRule="auto"/>
              <w:jc w:val="right"/>
              <w:rPr>
                <w:rFonts w:cs="Arial"/>
                <w:color w:val="000000"/>
                <w:sz w:val="16"/>
                <w:szCs w:val="16"/>
              </w:rPr>
            </w:pPr>
            <w:r>
              <w:rPr>
                <w:rFonts w:cs="Arial"/>
                <w:color w:val="000000"/>
                <w:sz w:val="16"/>
                <w:szCs w:val="16"/>
              </w:rPr>
              <w:t>29,5</w:t>
            </w:r>
          </w:p>
        </w:tc>
      </w:tr>
      <w:tr w:rsidR="00D62D99" w:rsidRPr="00056FF3" w:rsidTr="00D62D99">
        <w:trPr>
          <w:trHeight w:val="283"/>
        </w:trPr>
        <w:tc>
          <w:tcPr>
            <w:tcW w:w="1980" w:type="dxa"/>
            <w:tcBorders>
              <w:top w:val="nil"/>
              <w:bottom w:val="nil"/>
              <w:right w:val="single" w:sz="4" w:space="0" w:color="auto"/>
            </w:tcBorders>
            <w:shd w:val="clear" w:color="auto" w:fill="auto"/>
            <w:noWrap/>
            <w:vAlign w:val="center"/>
            <w:hideMark/>
          </w:tcPr>
          <w:p w:rsidR="00D62D99" w:rsidRPr="00056FF3" w:rsidRDefault="00D62D99" w:rsidP="00D62D99">
            <w:pPr>
              <w:spacing w:after="0" w:line="240" w:lineRule="auto"/>
              <w:ind w:firstLineChars="100" w:firstLine="160"/>
              <w:jc w:val="left"/>
              <w:rPr>
                <w:rFonts w:cs="Arial"/>
                <w:color w:val="000000"/>
                <w:sz w:val="16"/>
                <w:szCs w:val="16"/>
              </w:rPr>
            </w:pPr>
            <w:r w:rsidRPr="00056FF3">
              <w:rPr>
                <w:rFonts w:cs="Arial"/>
                <w:color w:val="000000"/>
                <w:sz w:val="16"/>
                <w:szCs w:val="16"/>
              </w:rPr>
              <w:t>Karlovarský kraj</w:t>
            </w:r>
          </w:p>
        </w:tc>
        <w:tc>
          <w:tcPr>
            <w:tcW w:w="850" w:type="dxa"/>
            <w:tcBorders>
              <w:top w:val="nil"/>
              <w:left w:val="nil"/>
              <w:bottom w:val="nil"/>
            </w:tcBorders>
            <w:shd w:val="clear" w:color="auto" w:fill="auto"/>
            <w:noWrap/>
            <w:vAlign w:val="center"/>
            <w:hideMark/>
          </w:tcPr>
          <w:p w:rsidR="00D62D99" w:rsidRPr="00056FF3" w:rsidRDefault="00D62D99" w:rsidP="00D62D99">
            <w:pPr>
              <w:spacing w:after="0" w:line="240" w:lineRule="auto"/>
              <w:jc w:val="right"/>
              <w:rPr>
                <w:rFonts w:cs="Arial"/>
                <w:color w:val="000000"/>
                <w:sz w:val="16"/>
                <w:szCs w:val="16"/>
              </w:rPr>
            </w:pPr>
            <w:r w:rsidRPr="00056FF3">
              <w:rPr>
                <w:rFonts w:cs="Arial"/>
                <w:color w:val="000000"/>
                <w:sz w:val="16"/>
                <w:szCs w:val="16"/>
              </w:rPr>
              <w:t>49,4</w:t>
            </w:r>
          </w:p>
        </w:tc>
        <w:tc>
          <w:tcPr>
            <w:tcW w:w="850" w:type="dxa"/>
            <w:tcBorders>
              <w:top w:val="nil"/>
              <w:bottom w:val="nil"/>
            </w:tcBorders>
            <w:shd w:val="clear" w:color="auto" w:fill="auto"/>
            <w:noWrap/>
            <w:vAlign w:val="center"/>
            <w:hideMark/>
          </w:tcPr>
          <w:p w:rsidR="00D62D99" w:rsidRPr="00056FF3" w:rsidRDefault="00D62D99" w:rsidP="00D62D99">
            <w:pPr>
              <w:spacing w:after="0" w:line="240" w:lineRule="auto"/>
              <w:jc w:val="right"/>
              <w:rPr>
                <w:rFonts w:cs="Arial"/>
                <w:color w:val="000000"/>
                <w:sz w:val="16"/>
                <w:szCs w:val="16"/>
              </w:rPr>
            </w:pPr>
            <w:r w:rsidRPr="00056FF3">
              <w:rPr>
                <w:rFonts w:cs="Arial"/>
                <w:color w:val="000000"/>
                <w:sz w:val="16"/>
                <w:szCs w:val="16"/>
              </w:rPr>
              <w:t>65,2</w:t>
            </w:r>
          </w:p>
        </w:tc>
        <w:tc>
          <w:tcPr>
            <w:tcW w:w="851" w:type="dxa"/>
            <w:tcBorders>
              <w:top w:val="nil"/>
              <w:left w:val="nil"/>
              <w:bottom w:val="nil"/>
              <w:right w:val="single" w:sz="4" w:space="0" w:color="auto"/>
            </w:tcBorders>
            <w:shd w:val="clear" w:color="auto" w:fill="auto"/>
            <w:noWrap/>
            <w:vAlign w:val="center"/>
          </w:tcPr>
          <w:p w:rsidR="00D62D99" w:rsidRPr="00056FF3" w:rsidRDefault="00D62D99" w:rsidP="00D62D99">
            <w:pPr>
              <w:spacing w:after="0" w:line="240" w:lineRule="auto"/>
              <w:jc w:val="right"/>
              <w:rPr>
                <w:rFonts w:cs="Arial"/>
                <w:color w:val="000000"/>
                <w:sz w:val="16"/>
                <w:szCs w:val="16"/>
              </w:rPr>
            </w:pPr>
            <w:r>
              <w:rPr>
                <w:rFonts w:cs="Arial"/>
                <w:color w:val="000000"/>
                <w:sz w:val="16"/>
                <w:szCs w:val="16"/>
              </w:rPr>
              <w:t>61,8</w:t>
            </w:r>
          </w:p>
        </w:tc>
        <w:tc>
          <w:tcPr>
            <w:tcW w:w="850" w:type="dxa"/>
            <w:tcBorders>
              <w:top w:val="nil"/>
              <w:left w:val="nil"/>
              <w:bottom w:val="nil"/>
            </w:tcBorders>
            <w:shd w:val="clear" w:color="auto" w:fill="auto"/>
            <w:noWrap/>
            <w:vAlign w:val="center"/>
            <w:hideMark/>
          </w:tcPr>
          <w:p w:rsidR="00D62D99" w:rsidRPr="00056FF3" w:rsidRDefault="00D62D99" w:rsidP="00D62D99">
            <w:pPr>
              <w:spacing w:after="0" w:line="240" w:lineRule="auto"/>
              <w:jc w:val="right"/>
              <w:rPr>
                <w:rFonts w:cs="Arial"/>
                <w:color w:val="000000"/>
                <w:sz w:val="16"/>
                <w:szCs w:val="16"/>
              </w:rPr>
            </w:pPr>
            <w:r w:rsidRPr="00056FF3">
              <w:rPr>
                <w:rFonts w:cs="Arial"/>
                <w:color w:val="000000"/>
                <w:sz w:val="16"/>
                <w:szCs w:val="16"/>
              </w:rPr>
              <w:t>1 891,6</w:t>
            </w:r>
          </w:p>
        </w:tc>
        <w:tc>
          <w:tcPr>
            <w:tcW w:w="850" w:type="dxa"/>
            <w:tcBorders>
              <w:top w:val="nil"/>
              <w:bottom w:val="nil"/>
            </w:tcBorders>
            <w:shd w:val="clear" w:color="auto" w:fill="auto"/>
            <w:noWrap/>
            <w:vAlign w:val="center"/>
            <w:hideMark/>
          </w:tcPr>
          <w:p w:rsidR="00D62D99" w:rsidRPr="00056FF3" w:rsidRDefault="00D62D99" w:rsidP="00D62D99">
            <w:pPr>
              <w:spacing w:after="0" w:line="240" w:lineRule="auto"/>
              <w:jc w:val="right"/>
              <w:rPr>
                <w:rFonts w:cs="Arial"/>
                <w:color w:val="000000"/>
                <w:sz w:val="16"/>
                <w:szCs w:val="16"/>
              </w:rPr>
            </w:pPr>
            <w:r w:rsidRPr="00056FF3">
              <w:rPr>
                <w:rFonts w:cs="Arial"/>
                <w:color w:val="000000"/>
                <w:sz w:val="16"/>
                <w:szCs w:val="16"/>
              </w:rPr>
              <w:t>2 258,1</w:t>
            </w:r>
          </w:p>
        </w:tc>
        <w:tc>
          <w:tcPr>
            <w:tcW w:w="851" w:type="dxa"/>
            <w:tcBorders>
              <w:top w:val="nil"/>
              <w:left w:val="nil"/>
              <w:bottom w:val="nil"/>
              <w:right w:val="single" w:sz="4" w:space="0" w:color="auto"/>
            </w:tcBorders>
            <w:shd w:val="clear" w:color="auto" w:fill="auto"/>
            <w:noWrap/>
            <w:vAlign w:val="center"/>
          </w:tcPr>
          <w:p w:rsidR="00D62D99" w:rsidRPr="00056FF3" w:rsidRDefault="00D62D99" w:rsidP="00D62D99">
            <w:pPr>
              <w:spacing w:after="0" w:line="240" w:lineRule="auto"/>
              <w:jc w:val="right"/>
              <w:rPr>
                <w:rFonts w:cs="Arial"/>
                <w:color w:val="000000"/>
                <w:sz w:val="16"/>
                <w:szCs w:val="16"/>
              </w:rPr>
            </w:pPr>
            <w:r>
              <w:rPr>
                <w:rFonts w:cs="Arial"/>
                <w:color w:val="000000"/>
                <w:sz w:val="16"/>
                <w:szCs w:val="16"/>
              </w:rPr>
              <w:t>1 895,0</w:t>
            </w:r>
          </w:p>
        </w:tc>
        <w:tc>
          <w:tcPr>
            <w:tcW w:w="850" w:type="dxa"/>
            <w:tcBorders>
              <w:top w:val="nil"/>
              <w:left w:val="nil"/>
              <w:bottom w:val="nil"/>
            </w:tcBorders>
            <w:shd w:val="clear" w:color="auto" w:fill="auto"/>
            <w:noWrap/>
            <w:vAlign w:val="center"/>
            <w:hideMark/>
          </w:tcPr>
          <w:p w:rsidR="00D62D99" w:rsidRPr="00056FF3" w:rsidRDefault="00D62D99" w:rsidP="00D62D99">
            <w:pPr>
              <w:spacing w:after="0" w:line="240" w:lineRule="auto"/>
              <w:jc w:val="right"/>
              <w:rPr>
                <w:rFonts w:cs="Arial"/>
                <w:color w:val="000000"/>
                <w:sz w:val="16"/>
                <w:szCs w:val="16"/>
              </w:rPr>
            </w:pPr>
            <w:r w:rsidRPr="00056FF3">
              <w:rPr>
                <w:rFonts w:cs="Arial"/>
                <w:color w:val="000000"/>
                <w:sz w:val="16"/>
                <w:szCs w:val="16"/>
              </w:rPr>
              <w:t>38,3</w:t>
            </w:r>
          </w:p>
        </w:tc>
        <w:tc>
          <w:tcPr>
            <w:tcW w:w="850" w:type="dxa"/>
            <w:tcBorders>
              <w:top w:val="nil"/>
              <w:bottom w:val="nil"/>
            </w:tcBorders>
            <w:shd w:val="clear" w:color="auto" w:fill="auto"/>
            <w:noWrap/>
            <w:vAlign w:val="center"/>
            <w:hideMark/>
          </w:tcPr>
          <w:p w:rsidR="00D62D99" w:rsidRPr="00056FF3" w:rsidRDefault="00D62D99" w:rsidP="00D62D99">
            <w:pPr>
              <w:spacing w:after="0" w:line="240" w:lineRule="auto"/>
              <w:jc w:val="right"/>
              <w:rPr>
                <w:rFonts w:cs="Arial"/>
                <w:color w:val="000000"/>
                <w:sz w:val="16"/>
                <w:szCs w:val="16"/>
              </w:rPr>
            </w:pPr>
            <w:r w:rsidRPr="00056FF3">
              <w:rPr>
                <w:rFonts w:cs="Arial"/>
                <w:color w:val="000000"/>
                <w:sz w:val="16"/>
                <w:szCs w:val="16"/>
              </w:rPr>
              <w:t>34,6</w:t>
            </w:r>
          </w:p>
        </w:tc>
        <w:tc>
          <w:tcPr>
            <w:tcW w:w="851" w:type="dxa"/>
            <w:tcBorders>
              <w:top w:val="nil"/>
              <w:left w:val="nil"/>
              <w:bottom w:val="nil"/>
              <w:right w:val="nil"/>
            </w:tcBorders>
            <w:shd w:val="clear" w:color="auto" w:fill="auto"/>
            <w:noWrap/>
            <w:vAlign w:val="center"/>
          </w:tcPr>
          <w:p w:rsidR="00D62D99" w:rsidRPr="00056FF3" w:rsidRDefault="00D62D99" w:rsidP="00D62D99">
            <w:pPr>
              <w:spacing w:after="0" w:line="240" w:lineRule="auto"/>
              <w:jc w:val="right"/>
              <w:rPr>
                <w:rFonts w:cs="Arial"/>
                <w:color w:val="000000"/>
                <w:sz w:val="16"/>
                <w:szCs w:val="16"/>
              </w:rPr>
            </w:pPr>
            <w:r>
              <w:rPr>
                <w:rFonts w:cs="Arial"/>
                <w:color w:val="000000"/>
                <w:sz w:val="16"/>
                <w:szCs w:val="16"/>
              </w:rPr>
              <w:t>30,7</w:t>
            </w:r>
          </w:p>
        </w:tc>
      </w:tr>
      <w:tr w:rsidR="00D62D99" w:rsidRPr="00056FF3" w:rsidTr="00D62D99">
        <w:trPr>
          <w:trHeight w:val="283"/>
        </w:trPr>
        <w:tc>
          <w:tcPr>
            <w:tcW w:w="1980" w:type="dxa"/>
            <w:tcBorders>
              <w:top w:val="nil"/>
              <w:bottom w:val="nil"/>
              <w:right w:val="single" w:sz="4" w:space="0" w:color="auto"/>
            </w:tcBorders>
            <w:shd w:val="clear" w:color="auto" w:fill="auto"/>
            <w:noWrap/>
            <w:vAlign w:val="center"/>
            <w:hideMark/>
          </w:tcPr>
          <w:p w:rsidR="00D62D99" w:rsidRPr="00056FF3" w:rsidRDefault="00D62D99" w:rsidP="00D62D99">
            <w:pPr>
              <w:spacing w:after="0" w:line="240" w:lineRule="auto"/>
              <w:ind w:firstLineChars="100" w:firstLine="160"/>
              <w:jc w:val="left"/>
              <w:rPr>
                <w:rFonts w:cs="Arial"/>
                <w:color w:val="000000"/>
                <w:sz w:val="16"/>
                <w:szCs w:val="16"/>
              </w:rPr>
            </w:pPr>
            <w:r w:rsidRPr="00056FF3">
              <w:rPr>
                <w:rFonts w:cs="Arial"/>
                <w:color w:val="000000"/>
                <w:sz w:val="16"/>
                <w:szCs w:val="16"/>
              </w:rPr>
              <w:t>Ústecký kraj</w:t>
            </w:r>
          </w:p>
        </w:tc>
        <w:tc>
          <w:tcPr>
            <w:tcW w:w="850" w:type="dxa"/>
            <w:tcBorders>
              <w:top w:val="nil"/>
              <w:left w:val="nil"/>
              <w:bottom w:val="nil"/>
            </w:tcBorders>
            <w:shd w:val="clear" w:color="auto" w:fill="auto"/>
            <w:noWrap/>
            <w:vAlign w:val="center"/>
            <w:hideMark/>
          </w:tcPr>
          <w:p w:rsidR="00D62D99" w:rsidRPr="00056FF3" w:rsidRDefault="00D62D99" w:rsidP="00D62D99">
            <w:pPr>
              <w:spacing w:after="0" w:line="240" w:lineRule="auto"/>
              <w:jc w:val="right"/>
              <w:rPr>
                <w:rFonts w:cs="Arial"/>
                <w:color w:val="000000"/>
                <w:sz w:val="16"/>
                <w:szCs w:val="16"/>
              </w:rPr>
            </w:pPr>
            <w:r w:rsidRPr="00056FF3">
              <w:rPr>
                <w:rFonts w:cs="Arial"/>
                <w:color w:val="000000"/>
                <w:sz w:val="16"/>
                <w:szCs w:val="16"/>
              </w:rPr>
              <w:t>146,6</w:t>
            </w:r>
          </w:p>
        </w:tc>
        <w:tc>
          <w:tcPr>
            <w:tcW w:w="850" w:type="dxa"/>
            <w:tcBorders>
              <w:top w:val="nil"/>
              <w:bottom w:val="nil"/>
            </w:tcBorders>
            <w:shd w:val="clear" w:color="auto" w:fill="auto"/>
            <w:noWrap/>
            <w:vAlign w:val="center"/>
            <w:hideMark/>
          </w:tcPr>
          <w:p w:rsidR="00D62D99" w:rsidRPr="00056FF3" w:rsidRDefault="00D62D99" w:rsidP="00D62D99">
            <w:pPr>
              <w:spacing w:after="0" w:line="240" w:lineRule="auto"/>
              <w:jc w:val="right"/>
              <w:rPr>
                <w:rFonts w:cs="Arial"/>
                <w:color w:val="000000"/>
                <w:sz w:val="16"/>
                <w:szCs w:val="16"/>
              </w:rPr>
            </w:pPr>
            <w:r w:rsidRPr="00056FF3">
              <w:rPr>
                <w:rFonts w:cs="Arial"/>
                <w:color w:val="000000"/>
                <w:sz w:val="16"/>
                <w:szCs w:val="16"/>
              </w:rPr>
              <w:t>211,4</w:t>
            </w:r>
          </w:p>
        </w:tc>
        <w:tc>
          <w:tcPr>
            <w:tcW w:w="851" w:type="dxa"/>
            <w:tcBorders>
              <w:top w:val="nil"/>
              <w:left w:val="nil"/>
              <w:bottom w:val="nil"/>
              <w:right w:val="single" w:sz="4" w:space="0" w:color="auto"/>
            </w:tcBorders>
            <w:shd w:val="clear" w:color="auto" w:fill="auto"/>
            <w:noWrap/>
            <w:vAlign w:val="center"/>
          </w:tcPr>
          <w:p w:rsidR="00D62D99" w:rsidRPr="00056FF3" w:rsidRDefault="00D62D99" w:rsidP="00D62D99">
            <w:pPr>
              <w:spacing w:after="0" w:line="240" w:lineRule="auto"/>
              <w:jc w:val="right"/>
              <w:rPr>
                <w:rFonts w:cs="Arial"/>
                <w:color w:val="000000"/>
                <w:sz w:val="16"/>
                <w:szCs w:val="16"/>
              </w:rPr>
            </w:pPr>
            <w:r>
              <w:rPr>
                <w:rFonts w:cs="Arial"/>
                <w:color w:val="000000"/>
                <w:sz w:val="16"/>
                <w:szCs w:val="16"/>
              </w:rPr>
              <w:t>181,8</w:t>
            </w:r>
          </w:p>
        </w:tc>
        <w:tc>
          <w:tcPr>
            <w:tcW w:w="850" w:type="dxa"/>
            <w:tcBorders>
              <w:top w:val="nil"/>
              <w:left w:val="nil"/>
              <w:bottom w:val="nil"/>
            </w:tcBorders>
            <w:shd w:val="clear" w:color="auto" w:fill="auto"/>
            <w:noWrap/>
            <w:vAlign w:val="center"/>
            <w:hideMark/>
          </w:tcPr>
          <w:p w:rsidR="00D62D99" w:rsidRPr="00056FF3" w:rsidRDefault="00D62D99" w:rsidP="00D62D99">
            <w:pPr>
              <w:spacing w:after="0" w:line="240" w:lineRule="auto"/>
              <w:jc w:val="right"/>
              <w:rPr>
                <w:rFonts w:cs="Arial"/>
                <w:color w:val="000000"/>
                <w:sz w:val="16"/>
                <w:szCs w:val="16"/>
              </w:rPr>
            </w:pPr>
            <w:r w:rsidRPr="00056FF3">
              <w:rPr>
                <w:rFonts w:cs="Arial"/>
                <w:color w:val="000000"/>
                <w:sz w:val="16"/>
                <w:szCs w:val="16"/>
              </w:rPr>
              <w:t>5 862,2</w:t>
            </w:r>
          </w:p>
        </w:tc>
        <w:tc>
          <w:tcPr>
            <w:tcW w:w="850" w:type="dxa"/>
            <w:tcBorders>
              <w:top w:val="nil"/>
              <w:bottom w:val="nil"/>
            </w:tcBorders>
            <w:shd w:val="clear" w:color="auto" w:fill="auto"/>
            <w:noWrap/>
            <w:vAlign w:val="center"/>
            <w:hideMark/>
          </w:tcPr>
          <w:p w:rsidR="00D62D99" w:rsidRPr="00056FF3" w:rsidRDefault="00D62D99" w:rsidP="00D62D99">
            <w:pPr>
              <w:spacing w:after="0" w:line="240" w:lineRule="auto"/>
              <w:jc w:val="right"/>
              <w:rPr>
                <w:rFonts w:cs="Arial"/>
                <w:color w:val="000000"/>
                <w:sz w:val="16"/>
                <w:szCs w:val="16"/>
              </w:rPr>
            </w:pPr>
            <w:r w:rsidRPr="00056FF3">
              <w:rPr>
                <w:rFonts w:cs="Arial"/>
                <w:color w:val="000000"/>
                <w:sz w:val="16"/>
                <w:szCs w:val="16"/>
              </w:rPr>
              <w:t>7 058,8</w:t>
            </w:r>
          </w:p>
        </w:tc>
        <w:tc>
          <w:tcPr>
            <w:tcW w:w="851" w:type="dxa"/>
            <w:tcBorders>
              <w:top w:val="nil"/>
              <w:left w:val="nil"/>
              <w:bottom w:val="nil"/>
              <w:right w:val="single" w:sz="4" w:space="0" w:color="auto"/>
            </w:tcBorders>
            <w:shd w:val="clear" w:color="auto" w:fill="auto"/>
            <w:noWrap/>
            <w:vAlign w:val="center"/>
          </w:tcPr>
          <w:p w:rsidR="00D62D99" w:rsidRPr="00056FF3" w:rsidRDefault="00D62D99" w:rsidP="00D62D99">
            <w:pPr>
              <w:spacing w:after="0" w:line="240" w:lineRule="auto"/>
              <w:jc w:val="right"/>
              <w:rPr>
                <w:rFonts w:cs="Arial"/>
                <w:color w:val="000000"/>
                <w:sz w:val="16"/>
                <w:szCs w:val="16"/>
              </w:rPr>
            </w:pPr>
            <w:r>
              <w:rPr>
                <w:rFonts w:cs="Arial"/>
                <w:color w:val="000000"/>
                <w:sz w:val="16"/>
                <w:szCs w:val="16"/>
              </w:rPr>
              <w:t>5 600,9</w:t>
            </w:r>
          </w:p>
        </w:tc>
        <w:tc>
          <w:tcPr>
            <w:tcW w:w="850" w:type="dxa"/>
            <w:tcBorders>
              <w:top w:val="nil"/>
              <w:left w:val="nil"/>
              <w:bottom w:val="nil"/>
            </w:tcBorders>
            <w:shd w:val="clear" w:color="auto" w:fill="auto"/>
            <w:noWrap/>
            <w:vAlign w:val="center"/>
            <w:hideMark/>
          </w:tcPr>
          <w:p w:rsidR="00D62D99" w:rsidRPr="00056FF3" w:rsidRDefault="00D62D99" w:rsidP="00D62D99">
            <w:pPr>
              <w:spacing w:after="0" w:line="240" w:lineRule="auto"/>
              <w:jc w:val="right"/>
              <w:rPr>
                <w:rFonts w:cs="Arial"/>
                <w:color w:val="000000"/>
                <w:sz w:val="16"/>
                <w:szCs w:val="16"/>
              </w:rPr>
            </w:pPr>
            <w:r w:rsidRPr="00056FF3">
              <w:rPr>
                <w:rFonts w:cs="Arial"/>
                <w:color w:val="000000"/>
                <w:sz w:val="16"/>
                <w:szCs w:val="16"/>
              </w:rPr>
              <w:t>40,0</w:t>
            </w:r>
          </w:p>
        </w:tc>
        <w:tc>
          <w:tcPr>
            <w:tcW w:w="850" w:type="dxa"/>
            <w:tcBorders>
              <w:top w:val="nil"/>
              <w:bottom w:val="nil"/>
            </w:tcBorders>
            <w:shd w:val="clear" w:color="auto" w:fill="auto"/>
            <w:noWrap/>
            <w:vAlign w:val="center"/>
            <w:hideMark/>
          </w:tcPr>
          <w:p w:rsidR="00D62D99" w:rsidRPr="00056FF3" w:rsidRDefault="00D62D99" w:rsidP="00D62D99">
            <w:pPr>
              <w:spacing w:after="0" w:line="240" w:lineRule="auto"/>
              <w:jc w:val="right"/>
              <w:rPr>
                <w:rFonts w:cs="Arial"/>
                <w:color w:val="000000"/>
                <w:sz w:val="16"/>
                <w:szCs w:val="16"/>
              </w:rPr>
            </w:pPr>
            <w:r w:rsidRPr="00056FF3">
              <w:rPr>
                <w:rFonts w:cs="Arial"/>
                <w:color w:val="000000"/>
                <w:sz w:val="16"/>
                <w:szCs w:val="16"/>
              </w:rPr>
              <w:t>33,4</w:t>
            </w:r>
          </w:p>
        </w:tc>
        <w:tc>
          <w:tcPr>
            <w:tcW w:w="851" w:type="dxa"/>
            <w:tcBorders>
              <w:top w:val="nil"/>
              <w:left w:val="nil"/>
              <w:bottom w:val="nil"/>
              <w:right w:val="nil"/>
            </w:tcBorders>
            <w:shd w:val="clear" w:color="auto" w:fill="auto"/>
            <w:noWrap/>
            <w:vAlign w:val="center"/>
          </w:tcPr>
          <w:p w:rsidR="00D62D99" w:rsidRPr="00056FF3" w:rsidRDefault="00D62D99" w:rsidP="00D62D99">
            <w:pPr>
              <w:spacing w:after="0" w:line="240" w:lineRule="auto"/>
              <w:jc w:val="right"/>
              <w:rPr>
                <w:rFonts w:cs="Arial"/>
                <w:color w:val="000000"/>
                <w:sz w:val="16"/>
                <w:szCs w:val="16"/>
              </w:rPr>
            </w:pPr>
            <w:r>
              <w:rPr>
                <w:rFonts w:cs="Arial"/>
                <w:color w:val="000000"/>
                <w:sz w:val="16"/>
                <w:szCs w:val="16"/>
              </w:rPr>
              <w:t>30,8</w:t>
            </w:r>
          </w:p>
        </w:tc>
      </w:tr>
      <w:tr w:rsidR="00D62D99" w:rsidRPr="00056FF3" w:rsidTr="00D62D99">
        <w:trPr>
          <w:trHeight w:val="283"/>
        </w:trPr>
        <w:tc>
          <w:tcPr>
            <w:tcW w:w="1980" w:type="dxa"/>
            <w:tcBorders>
              <w:top w:val="nil"/>
              <w:bottom w:val="nil"/>
              <w:right w:val="single" w:sz="4" w:space="0" w:color="auto"/>
            </w:tcBorders>
            <w:shd w:val="clear" w:color="auto" w:fill="auto"/>
            <w:noWrap/>
            <w:vAlign w:val="center"/>
            <w:hideMark/>
          </w:tcPr>
          <w:p w:rsidR="00D62D99" w:rsidRPr="00056FF3" w:rsidRDefault="00D62D99" w:rsidP="00D62D99">
            <w:pPr>
              <w:spacing w:after="0" w:line="240" w:lineRule="auto"/>
              <w:ind w:firstLineChars="100" w:firstLine="160"/>
              <w:jc w:val="left"/>
              <w:rPr>
                <w:rFonts w:cs="Arial"/>
                <w:color w:val="000000"/>
                <w:sz w:val="16"/>
                <w:szCs w:val="16"/>
              </w:rPr>
            </w:pPr>
            <w:r w:rsidRPr="00056FF3">
              <w:rPr>
                <w:rFonts w:cs="Arial"/>
                <w:color w:val="000000"/>
                <w:sz w:val="16"/>
                <w:szCs w:val="16"/>
              </w:rPr>
              <w:t>Liberecký kraj</w:t>
            </w:r>
          </w:p>
        </w:tc>
        <w:tc>
          <w:tcPr>
            <w:tcW w:w="850" w:type="dxa"/>
            <w:tcBorders>
              <w:top w:val="nil"/>
              <w:left w:val="nil"/>
              <w:bottom w:val="nil"/>
            </w:tcBorders>
            <w:shd w:val="clear" w:color="auto" w:fill="auto"/>
            <w:noWrap/>
            <w:vAlign w:val="center"/>
            <w:hideMark/>
          </w:tcPr>
          <w:p w:rsidR="00D62D99" w:rsidRPr="00056FF3" w:rsidRDefault="00D62D99" w:rsidP="00D62D99">
            <w:pPr>
              <w:spacing w:after="0" w:line="240" w:lineRule="auto"/>
              <w:jc w:val="right"/>
              <w:rPr>
                <w:rFonts w:cs="Arial"/>
                <w:color w:val="000000"/>
                <w:sz w:val="16"/>
                <w:szCs w:val="16"/>
              </w:rPr>
            </w:pPr>
            <w:r w:rsidRPr="00056FF3">
              <w:rPr>
                <w:rFonts w:cs="Arial"/>
                <w:color w:val="000000"/>
                <w:sz w:val="16"/>
                <w:szCs w:val="16"/>
              </w:rPr>
              <w:t>89,8</w:t>
            </w:r>
          </w:p>
        </w:tc>
        <w:tc>
          <w:tcPr>
            <w:tcW w:w="850" w:type="dxa"/>
            <w:tcBorders>
              <w:top w:val="nil"/>
              <w:bottom w:val="nil"/>
            </w:tcBorders>
            <w:shd w:val="clear" w:color="auto" w:fill="auto"/>
            <w:noWrap/>
            <w:vAlign w:val="center"/>
            <w:hideMark/>
          </w:tcPr>
          <w:p w:rsidR="00D62D99" w:rsidRPr="00056FF3" w:rsidRDefault="00D62D99" w:rsidP="00D62D99">
            <w:pPr>
              <w:spacing w:after="0" w:line="240" w:lineRule="auto"/>
              <w:jc w:val="right"/>
              <w:rPr>
                <w:rFonts w:cs="Arial"/>
                <w:color w:val="000000"/>
                <w:sz w:val="16"/>
                <w:szCs w:val="16"/>
              </w:rPr>
            </w:pPr>
            <w:r w:rsidRPr="00056FF3">
              <w:rPr>
                <w:rFonts w:cs="Arial"/>
                <w:color w:val="000000"/>
                <w:sz w:val="16"/>
                <w:szCs w:val="16"/>
              </w:rPr>
              <w:t>131,3</w:t>
            </w:r>
          </w:p>
        </w:tc>
        <w:tc>
          <w:tcPr>
            <w:tcW w:w="851" w:type="dxa"/>
            <w:tcBorders>
              <w:top w:val="nil"/>
              <w:left w:val="nil"/>
              <w:bottom w:val="nil"/>
              <w:right w:val="single" w:sz="4" w:space="0" w:color="auto"/>
            </w:tcBorders>
            <w:shd w:val="clear" w:color="auto" w:fill="auto"/>
            <w:noWrap/>
            <w:vAlign w:val="center"/>
          </w:tcPr>
          <w:p w:rsidR="00D62D99" w:rsidRPr="00056FF3" w:rsidRDefault="00D62D99" w:rsidP="00D62D99">
            <w:pPr>
              <w:spacing w:after="0" w:line="240" w:lineRule="auto"/>
              <w:jc w:val="right"/>
              <w:rPr>
                <w:rFonts w:cs="Arial"/>
                <w:color w:val="000000"/>
                <w:sz w:val="16"/>
                <w:szCs w:val="16"/>
              </w:rPr>
            </w:pPr>
            <w:r>
              <w:rPr>
                <w:rFonts w:cs="Arial"/>
                <w:color w:val="000000"/>
                <w:sz w:val="16"/>
                <w:szCs w:val="16"/>
              </w:rPr>
              <w:t>114,1</w:t>
            </w:r>
          </w:p>
        </w:tc>
        <w:tc>
          <w:tcPr>
            <w:tcW w:w="850" w:type="dxa"/>
            <w:tcBorders>
              <w:top w:val="nil"/>
              <w:left w:val="nil"/>
              <w:bottom w:val="nil"/>
            </w:tcBorders>
            <w:shd w:val="clear" w:color="auto" w:fill="auto"/>
            <w:noWrap/>
            <w:vAlign w:val="center"/>
            <w:hideMark/>
          </w:tcPr>
          <w:p w:rsidR="00D62D99" w:rsidRPr="00056FF3" w:rsidRDefault="00D62D99" w:rsidP="00D62D99">
            <w:pPr>
              <w:spacing w:after="0" w:line="240" w:lineRule="auto"/>
              <w:jc w:val="right"/>
              <w:rPr>
                <w:rFonts w:cs="Arial"/>
                <w:color w:val="000000"/>
                <w:sz w:val="16"/>
                <w:szCs w:val="16"/>
              </w:rPr>
            </w:pPr>
            <w:r w:rsidRPr="00056FF3">
              <w:rPr>
                <w:rFonts w:cs="Arial"/>
                <w:color w:val="000000"/>
                <w:sz w:val="16"/>
                <w:szCs w:val="16"/>
              </w:rPr>
              <w:t>3 438,9</w:t>
            </w:r>
          </w:p>
        </w:tc>
        <w:tc>
          <w:tcPr>
            <w:tcW w:w="850" w:type="dxa"/>
            <w:tcBorders>
              <w:top w:val="nil"/>
              <w:bottom w:val="nil"/>
            </w:tcBorders>
            <w:shd w:val="clear" w:color="auto" w:fill="auto"/>
            <w:noWrap/>
            <w:vAlign w:val="center"/>
            <w:hideMark/>
          </w:tcPr>
          <w:p w:rsidR="00D62D99" w:rsidRPr="00056FF3" w:rsidRDefault="00D62D99" w:rsidP="00D62D99">
            <w:pPr>
              <w:spacing w:after="0" w:line="240" w:lineRule="auto"/>
              <w:jc w:val="right"/>
              <w:rPr>
                <w:rFonts w:cs="Arial"/>
                <w:color w:val="000000"/>
                <w:sz w:val="16"/>
                <w:szCs w:val="16"/>
              </w:rPr>
            </w:pPr>
            <w:r w:rsidRPr="00056FF3">
              <w:rPr>
                <w:rFonts w:cs="Arial"/>
                <w:color w:val="000000"/>
                <w:sz w:val="16"/>
                <w:szCs w:val="16"/>
              </w:rPr>
              <w:t>4 298,9</w:t>
            </w:r>
          </w:p>
        </w:tc>
        <w:tc>
          <w:tcPr>
            <w:tcW w:w="851" w:type="dxa"/>
            <w:tcBorders>
              <w:top w:val="nil"/>
              <w:left w:val="nil"/>
              <w:bottom w:val="nil"/>
              <w:right w:val="single" w:sz="4" w:space="0" w:color="auto"/>
            </w:tcBorders>
            <w:shd w:val="clear" w:color="auto" w:fill="auto"/>
            <w:noWrap/>
            <w:vAlign w:val="center"/>
          </w:tcPr>
          <w:p w:rsidR="00D62D99" w:rsidRPr="00056FF3" w:rsidRDefault="00D62D99" w:rsidP="00D62D99">
            <w:pPr>
              <w:spacing w:after="0" w:line="240" w:lineRule="auto"/>
              <w:jc w:val="right"/>
              <w:rPr>
                <w:rFonts w:cs="Arial"/>
                <w:color w:val="000000"/>
                <w:sz w:val="16"/>
                <w:szCs w:val="16"/>
              </w:rPr>
            </w:pPr>
            <w:r>
              <w:rPr>
                <w:rFonts w:cs="Arial"/>
                <w:color w:val="000000"/>
                <w:sz w:val="16"/>
                <w:szCs w:val="16"/>
              </w:rPr>
              <w:t>3 305,9</w:t>
            </w:r>
          </w:p>
        </w:tc>
        <w:tc>
          <w:tcPr>
            <w:tcW w:w="850" w:type="dxa"/>
            <w:tcBorders>
              <w:top w:val="nil"/>
              <w:left w:val="nil"/>
              <w:bottom w:val="nil"/>
            </w:tcBorders>
            <w:shd w:val="clear" w:color="auto" w:fill="auto"/>
            <w:noWrap/>
            <w:vAlign w:val="center"/>
            <w:hideMark/>
          </w:tcPr>
          <w:p w:rsidR="00D62D99" w:rsidRPr="00056FF3" w:rsidRDefault="00D62D99" w:rsidP="00D62D99">
            <w:pPr>
              <w:spacing w:after="0" w:line="240" w:lineRule="auto"/>
              <w:jc w:val="right"/>
              <w:rPr>
                <w:rFonts w:cs="Arial"/>
                <w:color w:val="000000"/>
                <w:sz w:val="16"/>
                <w:szCs w:val="16"/>
              </w:rPr>
            </w:pPr>
            <w:r w:rsidRPr="00056FF3">
              <w:rPr>
                <w:rFonts w:cs="Arial"/>
                <w:color w:val="000000"/>
                <w:sz w:val="16"/>
                <w:szCs w:val="16"/>
              </w:rPr>
              <w:t>38,3</w:t>
            </w:r>
          </w:p>
        </w:tc>
        <w:tc>
          <w:tcPr>
            <w:tcW w:w="850" w:type="dxa"/>
            <w:tcBorders>
              <w:top w:val="nil"/>
              <w:bottom w:val="nil"/>
            </w:tcBorders>
            <w:shd w:val="clear" w:color="auto" w:fill="auto"/>
            <w:noWrap/>
            <w:vAlign w:val="center"/>
            <w:hideMark/>
          </w:tcPr>
          <w:p w:rsidR="00D62D99" w:rsidRPr="00056FF3" w:rsidRDefault="00D62D99" w:rsidP="00D62D99">
            <w:pPr>
              <w:spacing w:after="0" w:line="240" w:lineRule="auto"/>
              <w:jc w:val="right"/>
              <w:rPr>
                <w:rFonts w:cs="Arial"/>
                <w:color w:val="000000"/>
                <w:sz w:val="16"/>
                <w:szCs w:val="16"/>
              </w:rPr>
            </w:pPr>
            <w:r w:rsidRPr="00056FF3">
              <w:rPr>
                <w:rFonts w:cs="Arial"/>
                <w:color w:val="000000"/>
                <w:sz w:val="16"/>
                <w:szCs w:val="16"/>
              </w:rPr>
              <w:t>32,7</w:t>
            </w:r>
          </w:p>
        </w:tc>
        <w:tc>
          <w:tcPr>
            <w:tcW w:w="851" w:type="dxa"/>
            <w:tcBorders>
              <w:top w:val="nil"/>
              <w:left w:val="nil"/>
              <w:bottom w:val="nil"/>
              <w:right w:val="nil"/>
            </w:tcBorders>
            <w:shd w:val="clear" w:color="auto" w:fill="auto"/>
            <w:noWrap/>
            <w:vAlign w:val="center"/>
          </w:tcPr>
          <w:p w:rsidR="00D62D99" w:rsidRPr="00056FF3" w:rsidRDefault="00D62D99" w:rsidP="00D62D99">
            <w:pPr>
              <w:spacing w:after="0" w:line="240" w:lineRule="auto"/>
              <w:jc w:val="right"/>
              <w:rPr>
                <w:rFonts w:cs="Arial"/>
                <w:color w:val="000000"/>
                <w:sz w:val="16"/>
                <w:szCs w:val="16"/>
              </w:rPr>
            </w:pPr>
            <w:r>
              <w:rPr>
                <w:rFonts w:cs="Arial"/>
                <w:color w:val="000000"/>
                <w:sz w:val="16"/>
                <w:szCs w:val="16"/>
              </w:rPr>
              <w:t>29,0</w:t>
            </w:r>
          </w:p>
        </w:tc>
      </w:tr>
      <w:tr w:rsidR="00D62D99" w:rsidRPr="00056FF3" w:rsidTr="00D62D99">
        <w:trPr>
          <w:trHeight w:val="283"/>
        </w:trPr>
        <w:tc>
          <w:tcPr>
            <w:tcW w:w="1980" w:type="dxa"/>
            <w:tcBorders>
              <w:top w:val="nil"/>
              <w:bottom w:val="nil"/>
              <w:right w:val="single" w:sz="4" w:space="0" w:color="auto"/>
            </w:tcBorders>
            <w:shd w:val="clear" w:color="auto" w:fill="auto"/>
            <w:noWrap/>
            <w:vAlign w:val="center"/>
            <w:hideMark/>
          </w:tcPr>
          <w:p w:rsidR="00D62D99" w:rsidRPr="00056FF3" w:rsidRDefault="00D62D99" w:rsidP="00D62D99">
            <w:pPr>
              <w:spacing w:after="0" w:line="240" w:lineRule="auto"/>
              <w:ind w:firstLineChars="100" w:firstLine="160"/>
              <w:jc w:val="left"/>
              <w:rPr>
                <w:rFonts w:cs="Arial"/>
                <w:color w:val="000000"/>
                <w:sz w:val="16"/>
                <w:szCs w:val="16"/>
              </w:rPr>
            </w:pPr>
            <w:r w:rsidRPr="00056FF3">
              <w:rPr>
                <w:rFonts w:cs="Arial"/>
                <w:color w:val="000000"/>
                <w:sz w:val="16"/>
                <w:szCs w:val="16"/>
              </w:rPr>
              <w:t>Královéhradecký kraj</w:t>
            </w:r>
          </w:p>
        </w:tc>
        <w:tc>
          <w:tcPr>
            <w:tcW w:w="850" w:type="dxa"/>
            <w:tcBorders>
              <w:top w:val="nil"/>
              <w:left w:val="nil"/>
              <w:bottom w:val="nil"/>
            </w:tcBorders>
            <w:shd w:val="clear" w:color="auto" w:fill="auto"/>
            <w:noWrap/>
            <w:vAlign w:val="center"/>
            <w:hideMark/>
          </w:tcPr>
          <w:p w:rsidR="00D62D99" w:rsidRPr="00056FF3" w:rsidRDefault="00D62D99" w:rsidP="00D62D99">
            <w:pPr>
              <w:spacing w:after="0" w:line="240" w:lineRule="auto"/>
              <w:jc w:val="right"/>
              <w:rPr>
                <w:rFonts w:cs="Arial"/>
                <w:color w:val="000000"/>
                <w:sz w:val="16"/>
                <w:szCs w:val="16"/>
              </w:rPr>
            </w:pPr>
            <w:r w:rsidRPr="00056FF3">
              <w:rPr>
                <w:rFonts w:cs="Arial"/>
                <w:color w:val="000000"/>
                <w:sz w:val="16"/>
                <w:szCs w:val="16"/>
              </w:rPr>
              <w:t>100,2</w:t>
            </w:r>
          </w:p>
        </w:tc>
        <w:tc>
          <w:tcPr>
            <w:tcW w:w="850" w:type="dxa"/>
            <w:tcBorders>
              <w:top w:val="nil"/>
              <w:bottom w:val="nil"/>
            </w:tcBorders>
            <w:shd w:val="clear" w:color="auto" w:fill="auto"/>
            <w:noWrap/>
            <w:vAlign w:val="center"/>
            <w:hideMark/>
          </w:tcPr>
          <w:p w:rsidR="00D62D99" w:rsidRPr="00056FF3" w:rsidRDefault="00D62D99" w:rsidP="00D62D99">
            <w:pPr>
              <w:spacing w:after="0" w:line="240" w:lineRule="auto"/>
              <w:jc w:val="right"/>
              <w:rPr>
                <w:rFonts w:cs="Arial"/>
                <w:color w:val="000000"/>
                <w:sz w:val="16"/>
                <w:szCs w:val="16"/>
              </w:rPr>
            </w:pPr>
            <w:r w:rsidRPr="00056FF3">
              <w:rPr>
                <w:rFonts w:cs="Arial"/>
                <w:color w:val="000000"/>
                <w:sz w:val="16"/>
                <w:szCs w:val="16"/>
              </w:rPr>
              <w:t>158,9</w:t>
            </w:r>
          </w:p>
        </w:tc>
        <w:tc>
          <w:tcPr>
            <w:tcW w:w="851" w:type="dxa"/>
            <w:tcBorders>
              <w:top w:val="nil"/>
              <w:left w:val="nil"/>
              <w:bottom w:val="nil"/>
              <w:right w:val="single" w:sz="4" w:space="0" w:color="auto"/>
            </w:tcBorders>
            <w:shd w:val="clear" w:color="auto" w:fill="auto"/>
            <w:noWrap/>
            <w:vAlign w:val="center"/>
          </w:tcPr>
          <w:p w:rsidR="00D62D99" w:rsidRPr="00056FF3" w:rsidRDefault="00D62D99" w:rsidP="00D62D99">
            <w:pPr>
              <w:spacing w:after="0" w:line="240" w:lineRule="auto"/>
              <w:jc w:val="right"/>
              <w:rPr>
                <w:rFonts w:cs="Arial"/>
                <w:color w:val="000000"/>
                <w:sz w:val="16"/>
                <w:szCs w:val="16"/>
              </w:rPr>
            </w:pPr>
            <w:r>
              <w:rPr>
                <w:rFonts w:cs="Arial"/>
                <w:color w:val="000000"/>
                <w:sz w:val="16"/>
                <w:szCs w:val="16"/>
              </w:rPr>
              <w:t>137,3</w:t>
            </w:r>
          </w:p>
        </w:tc>
        <w:tc>
          <w:tcPr>
            <w:tcW w:w="850" w:type="dxa"/>
            <w:tcBorders>
              <w:top w:val="nil"/>
              <w:left w:val="nil"/>
              <w:bottom w:val="nil"/>
            </w:tcBorders>
            <w:shd w:val="clear" w:color="auto" w:fill="auto"/>
            <w:noWrap/>
            <w:vAlign w:val="center"/>
            <w:hideMark/>
          </w:tcPr>
          <w:p w:rsidR="00D62D99" w:rsidRPr="00056FF3" w:rsidRDefault="00D62D99" w:rsidP="00D62D99">
            <w:pPr>
              <w:spacing w:after="0" w:line="240" w:lineRule="auto"/>
              <w:jc w:val="right"/>
              <w:rPr>
                <w:rFonts w:cs="Arial"/>
                <w:color w:val="000000"/>
                <w:sz w:val="16"/>
                <w:szCs w:val="16"/>
              </w:rPr>
            </w:pPr>
            <w:r w:rsidRPr="00056FF3">
              <w:rPr>
                <w:rFonts w:cs="Arial"/>
                <w:color w:val="000000"/>
                <w:sz w:val="16"/>
                <w:szCs w:val="16"/>
              </w:rPr>
              <w:t>3 924,4</w:t>
            </w:r>
          </w:p>
        </w:tc>
        <w:tc>
          <w:tcPr>
            <w:tcW w:w="850" w:type="dxa"/>
            <w:tcBorders>
              <w:top w:val="nil"/>
              <w:bottom w:val="nil"/>
            </w:tcBorders>
            <w:shd w:val="clear" w:color="auto" w:fill="auto"/>
            <w:noWrap/>
            <w:vAlign w:val="center"/>
            <w:hideMark/>
          </w:tcPr>
          <w:p w:rsidR="00D62D99" w:rsidRPr="00056FF3" w:rsidRDefault="00D62D99" w:rsidP="00D62D99">
            <w:pPr>
              <w:spacing w:after="0" w:line="240" w:lineRule="auto"/>
              <w:jc w:val="right"/>
              <w:rPr>
                <w:rFonts w:cs="Arial"/>
                <w:color w:val="000000"/>
                <w:sz w:val="16"/>
                <w:szCs w:val="16"/>
              </w:rPr>
            </w:pPr>
            <w:r w:rsidRPr="00056FF3">
              <w:rPr>
                <w:rFonts w:cs="Arial"/>
                <w:color w:val="000000"/>
                <w:sz w:val="16"/>
                <w:szCs w:val="16"/>
              </w:rPr>
              <w:t>5 234,9</w:t>
            </w:r>
          </w:p>
        </w:tc>
        <w:tc>
          <w:tcPr>
            <w:tcW w:w="851" w:type="dxa"/>
            <w:tcBorders>
              <w:top w:val="nil"/>
              <w:left w:val="nil"/>
              <w:bottom w:val="nil"/>
              <w:right w:val="single" w:sz="4" w:space="0" w:color="auto"/>
            </w:tcBorders>
            <w:shd w:val="clear" w:color="auto" w:fill="auto"/>
            <w:noWrap/>
            <w:vAlign w:val="center"/>
          </w:tcPr>
          <w:p w:rsidR="00D62D99" w:rsidRPr="00056FF3" w:rsidRDefault="00D62D99" w:rsidP="00D62D99">
            <w:pPr>
              <w:spacing w:after="0" w:line="240" w:lineRule="auto"/>
              <w:jc w:val="right"/>
              <w:rPr>
                <w:rFonts w:cs="Arial"/>
                <w:color w:val="000000"/>
                <w:sz w:val="16"/>
                <w:szCs w:val="16"/>
              </w:rPr>
            </w:pPr>
            <w:r>
              <w:rPr>
                <w:rFonts w:cs="Arial"/>
                <w:color w:val="000000"/>
                <w:sz w:val="16"/>
                <w:szCs w:val="16"/>
              </w:rPr>
              <w:t>4 083,2</w:t>
            </w:r>
          </w:p>
        </w:tc>
        <w:tc>
          <w:tcPr>
            <w:tcW w:w="850" w:type="dxa"/>
            <w:tcBorders>
              <w:top w:val="nil"/>
              <w:left w:val="nil"/>
              <w:bottom w:val="nil"/>
            </w:tcBorders>
            <w:shd w:val="clear" w:color="auto" w:fill="auto"/>
            <w:noWrap/>
            <w:vAlign w:val="center"/>
            <w:hideMark/>
          </w:tcPr>
          <w:p w:rsidR="00D62D99" w:rsidRPr="00056FF3" w:rsidRDefault="00D62D99" w:rsidP="00D62D99">
            <w:pPr>
              <w:spacing w:after="0" w:line="240" w:lineRule="auto"/>
              <w:jc w:val="right"/>
              <w:rPr>
                <w:rFonts w:cs="Arial"/>
                <w:color w:val="000000"/>
                <w:sz w:val="16"/>
                <w:szCs w:val="16"/>
              </w:rPr>
            </w:pPr>
            <w:r w:rsidRPr="00056FF3">
              <w:rPr>
                <w:rFonts w:cs="Arial"/>
                <w:color w:val="000000"/>
                <w:sz w:val="16"/>
                <w:szCs w:val="16"/>
              </w:rPr>
              <w:t>39,2</w:t>
            </w:r>
          </w:p>
        </w:tc>
        <w:tc>
          <w:tcPr>
            <w:tcW w:w="850" w:type="dxa"/>
            <w:tcBorders>
              <w:top w:val="nil"/>
              <w:bottom w:val="nil"/>
            </w:tcBorders>
            <w:shd w:val="clear" w:color="auto" w:fill="auto"/>
            <w:noWrap/>
            <w:vAlign w:val="center"/>
            <w:hideMark/>
          </w:tcPr>
          <w:p w:rsidR="00D62D99" w:rsidRPr="00056FF3" w:rsidRDefault="00D62D99" w:rsidP="00D62D99">
            <w:pPr>
              <w:spacing w:after="0" w:line="240" w:lineRule="auto"/>
              <w:jc w:val="right"/>
              <w:rPr>
                <w:rFonts w:cs="Arial"/>
                <w:color w:val="000000"/>
                <w:sz w:val="16"/>
                <w:szCs w:val="16"/>
              </w:rPr>
            </w:pPr>
            <w:r w:rsidRPr="00056FF3">
              <w:rPr>
                <w:rFonts w:cs="Arial"/>
                <w:color w:val="000000"/>
                <w:sz w:val="16"/>
                <w:szCs w:val="16"/>
              </w:rPr>
              <w:t>32,9</w:t>
            </w:r>
          </w:p>
        </w:tc>
        <w:tc>
          <w:tcPr>
            <w:tcW w:w="851" w:type="dxa"/>
            <w:tcBorders>
              <w:top w:val="nil"/>
              <w:left w:val="nil"/>
              <w:bottom w:val="nil"/>
              <w:right w:val="nil"/>
            </w:tcBorders>
            <w:shd w:val="clear" w:color="auto" w:fill="auto"/>
            <w:noWrap/>
            <w:vAlign w:val="center"/>
          </w:tcPr>
          <w:p w:rsidR="00D62D99" w:rsidRPr="00056FF3" w:rsidRDefault="00D62D99" w:rsidP="00D62D99">
            <w:pPr>
              <w:spacing w:after="0" w:line="240" w:lineRule="auto"/>
              <w:jc w:val="right"/>
              <w:rPr>
                <w:rFonts w:cs="Arial"/>
                <w:color w:val="000000"/>
                <w:sz w:val="16"/>
                <w:szCs w:val="16"/>
              </w:rPr>
            </w:pPr>
            <w:r>
              <w:rPr>
                <w:rFonts w:cs="Arial"/>
                <w:color w:val="000000"/>
                <w:sz w:val="16"/>
                <w:szCs w:val="16"/>
              </w:rPr>
              <w:t>29,7</w:t>
            </w:r>
          </w:p>
        </w:tc>
      </w:tr>
      <w:tr w:rsidR="00D62D99" w:rsidRPr="00056FF3" w:rsidTr="00D62D99">
        <w:trPr>
          <w:trHeight w:val="283"/>
        </w:trPr>
        <w:tc>
          <w:tcPr>
            <w:tcW w:w="1980" w:type="dxa"/>
            <w:tcBorders>
              <w:top w:val="nil"/>
              <w:bottom w:val="nil"/>
              <w:right w:val="single" w:sz="4" w:space="0" w:color="auto"/>
            </w:tcBorders>
            <w:shd w:val="clear" w:color="auto" w:fill="auto"/>
            <w:noWrap/>
            <w:vAlign w:val="center"/>
            <w:hideMark/>
          </w:tcPr>
          <w:p w:rsidR="00D62D99" w:rsidRPr="00056FF3" w:rsidRDefault="00D62D99" w:rsidP="00D62D99">
            <w:pPr>
              <w:spacing w:after="0" w:line="240" w:lineRule="auto"/>
              <w:ind w:firstLineChars="100" w:firstLine="160"/>
              <w:jc w:val="left"/>
              <w:rPr>
                <w:rFonts w:cs="Arial"/>
                <w:color w:val="000000"/>
                <w:sz w:val="16"/>
                <w:szCs w:val="16"/>
              </w:rPr>
            </w:pPr>
            <w:r w:rsidRPr="00056FF3">
              <w:rPr>
                <w:rFonts w:cs="Arial"/>
                <w:color w:val="000000"/>
                <w:sz w:val="16"/>
                <w:szCs w:val="16"/>
              </w:rPr>
              <w:t>Pardubický kraj</w:t>
            </w:r>
          </w:p>
        </w:tc>
        <w:tc>
          <w:tcPr>
            <w:tcW w:w="850" w:type="dxa"/>
            <w:tcBorders>
              <w:top w:val="nil"/>
              <w:left w:val="nil"/>
              <w:bottom w:val="nil"/>
            </w:tcBorders>
            <w:shd w:val="clear" w:color="auto" w:fill="auto"/>
            <w:noWrap/>
            <w:vAlign w:val="center"/>
            <w:hideMark/>
          </w:tcPr>
          <w:p w:rsidR="00D62D99" w:rsidRPr="00056FF3" w:rsidRDefault="00D62D99" w:rsidP="00D62D99">
            <w:pPr>
              <w:spacing w:after="0" w:line="240" w:lineRule="auto"/>
              <w:jc w:val="right"/>
              <w:rPr>
                <w:rFonts w:cs="Arial"/>
                <w:color w:val="000000"/>
                <w:sz w:val="16"/>
                <w:szCs w:val="16"/>
              </w:rPr>
            </w:pPr>
            <w:r w:rsidRPr="00056FF3">
              <w:rPr>
                <w:rFonts w:cs="Arial"/>
                <w:color w:val="000000"/>
                <w:sz w:val="16"/>
                <w:szCs w:val="16"/>
              </w:rPr>
              <w:t>94,1</w:t>
            </w:r>
          </w:p>
        </w:tc>
        <w:tc>
          <w:tcPr>
            <w:tcW w:w="850" w:type="dxa"/>
            <w:tcBorders>
              <w:top w:val="nil"/>
              <w:bottom w:val="nil"/>
            </w:tcBorders>
            <w:shd w:val="clear" w:color="auto" w:fill="auto"/>
            <w:noWrap/>
            <w:vAlign w:val="center"/>
            <w:hideMark/>
          </w:tcPr>
          <w:p w:rsidR="00D62D99" w:rsidRPr="00056FF3" w:rsidRDefault="00D62D99" w:rsidP="00D62D99">
            <w:pPr>
              <w:spacing w:after="0" w:line="240" w:lineRule="auto"/>
              <w:jc w:val="right"/>
              <w:rPr>
                <w:rFonts w:cs="Arial"/>
                <w:color w:val="000000"/>
                <w:sz w:val="16"/>
                <w:szCs w:val="16"/>
              </w:rPr>
            </w:pPr>
            <w:r w:rsidRPr="00056FF3">
              <w:rPr>
                <w:rFonts w:cs="Arial"/>
                <w:color w:val="000000"/>
                <w:sz w:val="16"/>
                <w:szCs w:val="16"/>
              </w:rPr>
              <w:t>147,7</w:t>
            </w:r>
          </w:p>
        </w:tc>
        <w:tc>
          <w:tcPr>
            <w:tcW w:w="851" w:type="dxa"/>
            <w:tcBorders>
              <w:top w:val="nil"/>
              <w:left w:val="nil"/>
              <w:bottom w:val="nil"/>
              <w:right w:val="single" w:sz="4" w:space="0" w:color="auto"/>
            </w:tcBorders>
            <w:shd w:val="clear" w:color="auto" w:fill="auto"/>
            <w:noWrap/>
            <w:vAlign w:val="center"/>
          </w:tcPr>
          <w:p w:rsidR="00D62D99" w:rsidRPr="00056FF3" w:rsidRDefault="00D62D99" w:rsidP="00D62D99">
            <w:pPr>
              <w:spacing w:after="0" w:line="240" w:lineRule="auto"/>
              <w:jc w:val="right"/>
              <w:rPr>
                <w:rFonts w:cs="Arial"/>
                <w:color w:val="000000"/>
                <w:sz w:val="16"/>
                <w:szCs w:val="16"/>
              </w:rPr>
            </w:pPr>
            <w:r>
              <w:rPr>
                <w:rFonts w:cs="Arial"/>
                <w:color w:val="000000"/>
                <w:sz w:val="16"/>
                <w:szCs w:val="16"/>
              </w:rPr>
              <w:t>122,1</w:t>
            </w:r>
          </w:p>
        </w:tc>
        <w:tc>
          <w:tcPr>
            <w:tcW w:w="850" w:type="dxa"/>
            <w:tcBorders>
              <w:top w:val="nil"/>
              <w:left w:val="nil"/>
              <w:bottom w:val="nil"/>
            </w:tcBorders>
            <w:shd w:val="clear" w:color="auto" w:fill="auto"/>
            <w:noWrap/>
            <w:vAlign w:val="center"/>
            <w:hideMark/>
          </w:tcPr>
          <w:p w:rsidR="00D62D99" w:rsidRPr="00056FF3" w:rsidRDefault="00D62D99" w:rsidP="00D62D99">
            <w:pPr>
              <w:spacing w:after="0" w:line="240" w:lineRule="auto"/>
              <w:jc w:val="right"/>
              <w:rPr>
                <w:rFonts w:cs="Arial"/>
                <w:color w:val="000000"/>
                <w:sz w:val="16"/>
                <w:szCs w:val="16"/>
              </w:rPr>
            </w:pPr>
            <w:r w:rsidRPr="00056FF3">
              <w:rPr>
                <w:rFonts w:cs="Arial"/>
                <w:color w:val="000000"/>
                <w:sz w:val="16"/>
                <w:szCs w:val="16"/>
              </w:rPr>
              <w:t>3 797,2</w:t>
            </w:r>
          </w:p>
        </w:tc>
        <w:tc>
          <w:tcPr>
            <w:tcW w:w="850" w:type="dxa"/>
            <w:tcBorders>
              <w:top w:val="nil"/>
              <w:bottom w:val="nil"/>
            </w:tcBorders>
            <w:shd w:val="clear" w:color="auto" w:fill="auto"/>
            <w:noWrap/>
            <w:vAlign w:val="center"/>
            <w:hideMark/>
          </w:tcPr>
          <w:p w:rsidR="00D62D99" w:rsidRPr="00056FF3" w:rsidRDefault="00D62D99" w:rsidP="00D62D99">
            <w:pPr>
              <w:spacing w:after="0" w:line="240" w:lineRule="auto"/>
              <w:jc w:val="right"/>
              <w:rPr>
                <w:rFonts w:cs="Arial"/>
                <w:color w:val="000000"/>
                <w:sz w:val="16"/>
                <w:szCs w:val="16"/>
              </w:rPr>
            </w:pPr>
            <w:r w:rsidRPr="00056FF3">
              <w:rPr>
                <w:rFonts w:cs="Arial"/>
                <w:color w:val="000000"/>
                <w:sz w:val="16"/>
                <w:szCs w:val="16"/>
              </w:rPr>
              <w:t>4 774,0</w:t>
            </w:r>
          </w:p>
        </w:tc>
        <w:tc>
          <w:tcPr>
            <w:tcW w:w="851" w:type="dxa"/>
            <w:tcBorders>
              <w:top w:val="nil"/>
              <w:left w:val="nil"/>
              <w:bottom w:val="nil"/>
              <w:right w:val="single" w:sz="4" w:space="0" w:color="auto"/>
            </w:tcBorders>
            <w:shd w:val="clear" w:color="auto" w:fill="auto"/>
            <w:noWrap/>
            <w:vAlign w:val="center"/>
          </w:tcPr>
          <w:p w:rsidR="00D62D99" w:rsidRPr="00056FF3" w:rsidRDefault="00D62D99" w:rsidP="00D62D99">
            <w:pPr>
              <w:spacing w:after="0" w:line="240" w:lineRule="auto"/>
              <w:jc w:val="right"/>
              <w:rPr>
                <w:rFonts w:cs="Arial"/>
                <w:color w:val="000000"/>
                <w:sz w:val="16"/>
                <w:szCs w:val="16"/>
              </w:rPr>
            </w:pPr>
            <w:r>
              <w:rPr>
                <w:rFonts w:cs="Arial"/>
                <w:color w:val="000000"/>
                <w:sz w:val="16"/>
                <w:szCs w:val="16"/>
              </w:rPr>
              <w:t>3 847,0</w:t>
            </w:r>
          </w:p>
        </w:tc>
        <w:tc>
          <w:tcPr>
            <w:tcW w:w="850" w:type="dxa"/>
            <w:tcBorders>
              <w:top w:val="nil"/>
              <w:left w:val="nil"/>
              <w:bottom w:val="nil"/>
            </w:tcBorders>
            <w:shd w:val="clear" w:color="auto" w:fill="auto"/>
            <w:noWrap/>
            <w:vAlign w:val="center"/>
            <w:hideMark/>
          </w:tcPr>
          <w:p w:rsidR="00D62D99" w:rsidRPr="00056FF3" w:rsidRDefault="00D62D99" w:rsidP="00D62D99">
            <w:pPr>
              <w:spacing w:after="0" w:line="240" w:lineRule="auto"/>
              <w:jc w:val="right"/>
              <w:rPr>
                <w:rFonts w:cs="Arial"/>
                <w:color w:val="000000"/>
                <w:sz w:val="16"/>
                <w:szCs w:val="16"/>
              </w:rPr>
            </w:pPr>
            <w:r w:rsidRPr="00056FF3">
              <w:rPr>
                <w:rFonts w:cs="Arial"/>
                <w:color w:val="000000"/>
                <w:sz w:val="16"/>
                <w:szCs w:val="16"/>
              </w:rPr>
              <w:t>40,3</w:t>
            </w:r>
          </w:p>
        </w:tc>
        <w:tc>
          <w:tcPr>
            <w:tcW w:w="850" w:type="dxa"/>
            <w:tcBorders>
              <w:top w:val="nil"/>
              <w:bottom w:val="nil"/>
            </w:tcBorders>
            <w:shd w:val="clear" w:color="auto" w:fill="auto"/>
            <w:noWrap/>
            <w:vAlign w:val="center"/>
            <w:hideMark/>
          </w:tcPr>
          <w:p w:rsidR="00D62D99" w:rsidRPr="00056FF3" w:rsidRDefault="00D62D99" w:rsidP="00D62D99">
            <w:pPr>
              <w:spacing w:after="0" w:line="240" w:lineRule="auto"/>
              <w:jc w:val="right"/>
              <w:rPr>
                <w:rFonts w:cs="Arial"/>
                <w:color w:val="000000"/>
                <w:sz w:val="16"/>
                <w:szCs w:val="16"/>
              </w:rPr>
            </w:pPr>
            <w:r w:rsidRPr="00056FF3">
              <w:rPr>
                <w:rFonts w:cs="Arial"/>
                <w:color w:val="000000"/>
                <w:sz w:val="16"/>
                <w:szCs w:val="16"/>
              </w:rPr>
              <w:t>32,3</w:t>
            </w:r>
          </w:p>
        </w:tc>
        <w:tc>
          <w:tcPr>
            <w:tcW w:w="851" w:type="dxa"/>
            <w:tcBorders>
              <w:top w:val="nil"/>
              <w:left w:val="nil"/>
              <w:bottom w:val="nil"/>
              <w:right w:val="nil"/>
            </w:tcBorders>
            <w:shd w:val="clear" w:color="auto" w:fill="auto"/>
            <w:noWrap/>
            <w:vAlign w:val="center"/>
          </w:tcPr>
          <w:p w:rsidR="00D62D99" w:rsidRPr="00056FF3" w:rsidRDefault="00D62D99" w:rsidP="00D62D99">
            <w:pPr>
              <w:spacing w:after="0" w:line="240" w:lineRule="auto"/>
              <w:jc w:val="right"/>
              <w:rPr>
                <w:rFonts w:cs="Arial"/>
                <w:color w:val="000000"/>
                <w:sz w:val="16"/>
                <w:szCs w:val="16"/>
              </w:rPr>
            </w:pPr>
            <w:r>
              <w:rPr>
                <w:rFonts w:cs="Arial"/>
                <w:color w:val="000000"/>
                <w:sz w:val="16"/>
                <w:szCs w:val="16"/>
              </w:rPr>
              <w:t>31,5</w:t>
            </w:r>
          </w:p>
        </w:tc>
      </w:tr>
      <w:tr w:rsidR="00D62D99" w:rsidRPr="00056FF3" w:rsidTr="00D62D99">
        <w:trPr>
          <w:trHeight w:val="283"/>
        </w:trPr>
        <w:tc>
          <w:tcPr>
            <w:tcW w:w="1980" w:type="dxa"/>
            <w:tcBorders>
              <w:top w:val="nil"/>
              <w:bottom w:val="nil"/>
              <w:right w:val="single" w:sz="4" w:space="0" w:color="auto"/>
            </w:tcBorders>
            <w:shd w:val="clear" w:color="auto" w:fill="auto"/>
            <w:noWrap/>
            <w:vAlign w:val="center"/>
            <w:hideMark/>
          </w:tcPr>
          <w:p w:rsidR="00D62D99" w:rsidRPr="00056FF3" w:rsidRDefault="00D62D99" w:rsidP="00D62D99">
            <w:pPr>
              <w:spacing w:after="0" w:line="240" w:lineRule="auto"/>
              <w:ind w:firstLineChars="100" w:firstLine="160"/>
              <w:jc w:val="left"/>
              <w:rPr>
                <w:rFonts w:cs="Arial"/>
                <w:color w:val="000000"/>
                <w:sz w:val="16"/>
                <w:szCs w:val="16"/>
              </w:rPr>
            </w:pPr>
            <w:r w:rsidRPr="00056FF3">
              <w:rPr>
                <w:rFonts w:cs="Arial"/>
                <w:color w:val="000000"/>
                <w:sz w:val="16"/>
                <w:szCs w:val="16"/>
              </w:rPr>
              <w:t>Kraj Vysočina</w:t>
            </w:r>
          </w:p>
        </w:tc>
        <w:tc>
          <w:tcPr>
            <w:tcW w:w="850" w:type="dxa"/>
            <w:tcBorders>
              <w:top w:val="nil"/>
              <w:left w:val="nil"/>
              <w:bottom w:val="nil"/>
            </w:tcBorders>
            <w:shd w:val="clear" w:color="auto" w:fill="auto"/>
            <w:noWrap/>
            <w:vAlign w:val="center"/>
            <w:hideMark/>
          </w:tcPr>
          <w:p w:rsidR="00D62D99" w:rsidRPr="00056FF3" w:rsidRDefault="00D62D99" w:rsidP="00D62D99">
            <w:pPr>
              <w:spacing w:after="0" w:line="240" w:lineRule="auto"/>
              <w:jc w:val="right"/>
              <w:rPr>
                <w:rFonts w:cs="Arial"/>
                <w:color w:val="000000"/>
                <w:sz w:val="16"/>
                <w:szCs w:val="16"/>
              </w:rPr>
            </w:pPr>
            <w:r w:rsidRPr="00056FF3">
              <w:rPr>
                <w:rFonts w:cs="Arial"/>
                <w:color w:val="000000"/>
                <w:sz w:val="16"/>
                <w:szCs w:val="16"/>
              </w:rPr>
              <w:t>92,4</w:t>
            </w:r>
          </w:p>
        </w:tc>
        <w:tc>
          <w:tcPr>
            <w:tcW w:w="850" w:type="dxa"/>
            <w:tcBorders>
              <w:top w:val="nil"/>
              <w:bottom w:val="nil"/>
            </w:tcBorders>
            <w:shd w:val="clear" w:color="auto" w:fill="auto"/>
            <w:noWrap/>
            <w:vAlign w:val="center"/>
            <w:hideMark/>
          </w:tcPr>
          <w:p w:rsidR="00D62D99" w:rsidRPr="00056FF3" w:rsidRDefault="00D62D99" w:rsidP="00D62D99">
            <w:pPr>
              <w:spacing w:after="0" w:line="240" w:lineRule="auto"/>
              <w:jc w:val="right"/>
              <w:rPr>
                <w:rFonts w:cs="Arial"/>
                <w:color w:val="000000"/>
                <w:sz w:val="16"/>
                <w:szCs w:val="16"/>
              </w:rPr>
            </w:pPr>
            <w:r w:rsidRPr="00056FF3">
              <w:rPr>
                <w:rFonts w:cs="Arial"/>
                <w:color w:val="000000"/>
                <w:sz w:val="16"/>
                <w:szCs w:val="16"/>
              </w:rPr>
              <w:t>127,2</w:t>
            </w:r>
          </w:p>
        </w:tc>
        <w:tc>
          <w:tcPr>
            <w:tcW w:w="851" w:type="dxa"/>
            <w:tcBorders>
              <w:top w:val="nil"/>
              <w:left w:val="nil"/>
              <w:bottom w:val="nil"/>
              <w:right w:val="single" w:sz="4" w:space="0" w:color="auto"/>
            </w:tcBorders>
            <w:shd w:val="clear" w:color="auto" w:fill="auto"/>
            <w:noWrap/>
            <w:vAlign w:val="center"/>
          </w:tcPr>
          <w:p w:rsidR="00D62D99" w:rsidRPr="00056FF3" w:rsidRDefault="00D62D99" w:rsidP="00D62D99">
            <w:pPr>
              <w:spacing w:after="0" w:line="240" w:lineRule="auto"/>
              <w:jc w:val="right"/>
              <w:rPr>
                <w:rFonts w:cs="Arial"/>
                <w:color w:val="000000"/>
                <w:sz w:val="16"/>
                <w:szCs w:val="16"/>
              </w:rPr>
            </w:pPr>
            <w:r>
              <w:rPr>
                <w:rFonts w:cs="Arial"/>
                <w:color w:val="000000"/>
                <w:sz w:val="16"/>
                <w:szCs w:val="16"/>
              </w:rPr>
              <w:t>116,3</w:t>
            </w:r>
          </w:p>
        </w:tc>
        <w:tc>
          <w:tcPr>
            <w:tcW w:w="850" w:type="dxa"/>
            <w:tcBorders>
              <w:top w:val="nil"/>
              <w:left w:val="nil"/>
              <w:bottom w:val="nil"/>
            </w:tcBorders>
            <w:shd w:val="clear" w:color="auto" w:fill="auto"/>
            <w:noWrap/>
            <w:vAlign w:val="center"/>
            <w:hideMark/>
          </w:tcPr>
          <w:p w:rsidR="00D62D99" w:rsidRPr="00056FF3" w:rsidRDefault="00D62D99" w:rsidP="00D62D99">
            <w:pPr>
              <w:spacing w:after="0" w:line="240" w:lineRule="auto"/>
              <w:jc w:val="right"/>
              <w:rPr>
                <w:rFonts w:cs="Arial"/>
                <w:color w:val="000000"/>
                <w:sz w:val="16"/>
                <w:szCs w:val="16"/>
              </w:rPr>
            </w:pPr>
            <w:r w:rsidRPr="00056FF3">
              <w:rPr>
                <w:rFonts w:cs="Arial"/>
                <w:color w:val="000000"/>
                <w:sz w:val="16"/>
                <w:szCs w:val="16"/>
              </w:rPr>
              <w:t>4 095,4</w:t>
            </w:r>
          </w:p>
        </w:tc>
        <w:tc>
          <w:tcPr>
            <w:tcW w:w="850" w:type="dxa"/>
            <w:tcBorders>
              <w:top w:val="nil"/>
              <w:bottom w:val="nil"/>
            </w:tcBorders>
            <w:shd w:val="clear" w:color="auto" w:fill="auto"/>
            <w:noWrap/>
            <w:vAlign w:val="center"/>
            <w:hideMark/>
          </w:tcPr>
          <w:p w:rsidR="00D62D99" w:rsidRPr="00056FF3" w:rsidRDefault="00D62D99" w:rsidP="00D62D99">
            <w:pPr>
              <w:spacing w:after="0" w:line="240" w:lineRule="auto"/>
              <w:jc w:val="right"/>
              <w:rPr>
                <w:rFonts w:cs="Arial"/>
                <w:color w:val="000000"/>
                <w:sz w:val="16"/>
                <w:szCs w:val="16"/>
              </w:rPr>
            </w:pPr>
            <w:r w:rsidRPr="00056FF3">
              <w:rPr>
                <w:rFonts w:cs="Arial"/>
                <w:color w:val="000000"/>
                <w:sz w:val="16"/>
                <w:szCs w:val="16"/>
              </w:rPr>
              <w:t>4 682,8</w:t>
            </w:r>
          </w:p>
        </w:tc>
        <w:tc>
          <w:tcPr>
            <w:tcW w:w="851" w:type="dxa"/>
            <w:tcBorders>
              <w:top w:val="nil"/>
              <w:left w:val="nil"/>
              <w:bottom w:val="nil"/>
              <w:right w:val="single" w:sz="4" w:space="0" w:color="auto"/>
            </w:tcBorders>
            <w:shd w:val="clear" w:color="auto" w:fill="auto"/>
            <w:noWrap/>
            <w:vAlign w:val="center"/>
          </w:tcPr>
          <w:p w:rsidR="00D62D99" w:rsidRPr="00056FF3" w:rsidRDefault="00D62D99" w:rsidP="00D62D99">
            <w:pPr>
              <w:spacing w:after="0" w:line="240" w:lineRule="auto"/>
              <w:jc w:val="right"/>
              <w:rPr>
                <w:rFonts w:cs="Arial"/>
                <w:color w:val="000000"/>
                <w:sz w:val="16"/>
                <w:szCs w:val="16"/>
              </w:rPr>
            </w:pPr>
            <w:r>
              <w:rPr>
                <w:rFonts w:cs="Arial"/>
                <w:color w:val="000000"/>
                <w:sz w:val="16"/>
                <w:szCs w:val="16"/>
              </w:rPr>
              <w:t>3 872,0</w:t>
            </w:r>
          </w:p>
        </w:tc>
        <w:tc>
          <w:tcPr>
            <w:tcW w:w="850" w:type="dxa"/>
            <w:tcBorders>
              <w:top w:val="nil"/>
              <w:left w:val="nil"/>
              <w:bottom w:val="nil"/>
            </w:tcBorders>
            <w:shd w:val="clear" w:color="auto" w:fill="auto"/>
            <w:noWrap/>
            <w:vAlign w:val="center"/>
            <w:hideMark/>
          </w:tcPr>
          <w:p w:rsidR="00D62D99" w:rsidRPr="00056FF3" w:rsidRDefault="00D62D99" w:rsidP="00D62D99">
            <w:pPr>
              <w:spacing w:after="0" w:line="240" w:lineRule="auto"/>
              <w:jc w:val="right"/>
              <w:rPr>
                <w:rFonts w:cs="Arial"/>
                <w:color w:val="000000"/>
                <w:sz w:val="16"/>
                <w:szCs w:val="16"/>
              </w:rPr>
            </w:pPr>
            <w:r w:rsidRPr="00056FF3">
              <w:rPr>
                <w:rFonts w:cs="Arial"/>
                <w:color w:val="000000"/>
                <w:sz w:val="16"/>
                <w:szCs w:val="16"/>
              </w:rPr>
              <w:t>44,3</w:t>
            </w:r>
          </w:p>
        </w:tc>
        <w:tc>
          <w:tcPr>
            <w:tcW w:w="850" w:type="dxa"/>
            <w:tcBorders>
              <w:top w:val="nil"/>
              <w:bottom w:val="nil"/>
            </w:tcBorders>
            <w:shd w:val="clear" w:color="auto" w:fill="auto"/>
            <w:noWrap/>
            <w:vAlign w:val="center"/>
            <w:hideMark/>
          </w:tcPr>
          <w:p w:rsidR="00D62D99" w:rsidRPr="00056FF3" w:rsidRDefault="00D62D99" w:rsidP="00D62D99">
            <w:pPr>
              <w:spacing w:after="0" w:line="240" w:lineRule="auto"/>
              <w:jc w:val="right"/>
              <w:rPr>
                <w:rFonts w:cs="Arial"/>
                <w:color w:val="000000"/>
                <w:sz w:val="16"/>
                <w:szCs w:val="16"/>
              </w:rPr>
            </w:pPr>
            <w:r w:rsidRPr="00056FF3">
              <w:rPr>
                <w:rFonts w:cs="Arial"/>
                <w:color w:val="000000"/>
                <w:sz w:val="16"/>
                <w:szCs w:val="16"/>
              </w:rPr>
              <w:t>36,8</w:t>
            </w:r>
          </w:p>
        </w:tc>
        <w:tc>
          <w:tcPr>
            <w:tcW w:w="851" w:type="dxa"/>
            <w:tcBorders>
              <w:top w:val="nil"/>
              <w:left w:val="nil"/>
              <w:bottom w:val="nil"/>
              <w:right w:val="nil"/>
            </w:tcBorders>
            <w:shd w:val="clear" w:color="auto" w:fill="auto"/>
            <w:noWrap/>
            <w:vAlign w:val="center"/>
          </w:tcPr>
          <w:p w:rsidR="00D62D99" w:rsidRPr="00056FF3" w:rsidRDefault="00D62D99" w:rsidP="00D62D99">
            <w:pPr>
              <w:spacing w:after="0" w:line="240" w:lineRule="auto"/>
              <w:jc w:val="right"/>
              <w:rPr>
                <w:rFonts w:cs="Arial"/>
                <w:color w:val="000000"/>
                <w:sz w:val="16"/>
                <w:szCs w:val="16"/>
              </w:rPr>
            </w:pPr>
            <w:r>
              <w:rPr>
                <w:rFonts w:cs="Arial"/>
                <w:color w:val="000000"/>
                <w:sz w:val="16"/>
                <w:szCs w:val="16"/>
              </w:rPr>
              <w:t>33,3</w:t>
            </w:r>
          </w:p>
        </w:tc>
      </w:tr>
      <w:tr w:rsidR="00D62D99" w:rsidRPr="00056FF3" w:rsidTr="00D62D99">
        <w:trPr>
          <w:trHeight w:val="283"/>
        </w:trPr>
        <w:tc>
          <w:tcPr>
            <w:tcW w:w="1980" w:type="dxa"/>
            <w:tcBorders>
              <w:top w:val="nil"/>
              <w:bottom w:val="nil"/>
              <w:right w:val="single" w:sz="4" w:space="0" w:color="auto"/>
            </w:tcBorders>
            <w:shd w:val="clear" w:color="auto" w:fill="auto"/>
            <w:noWrap/>
            <w:vAlign w:val="center"/>
            <w:hideMark/>
          </w:tcPr>
          <w:p w:rsidR="00D62D99" w:rsidRPr="00056FF3" w:rsidRDefault="00D62D99" w:rsidP="00D62D99">
            <w:pPr>
              <w:spacing w:after="0" w:line="240" w:lineRule="auto"/>
              <w:ind w:firstLineChars="100" w:firstLine="160"/>
              <w:jc w:val="left"/>
              <w:rPr>
                <w:rFonts w:cs="Arial"/>
                <w:color w:val="000000"/>
                <w:sz w:val="16"/>
                <w:szCs w:val="16"/>
              </w:rPr>
            </w:pPr>
            <w:r w:rsidRPr="00056FF3">
              <w:rPr>
                <w:rFonts w:cs="Arial"/>
                <w:color w:val="000000"/>
                <w:sz w:val="16"/>
                <w:szCs w:val="16"/>
              </w:rPr>
              <w:t>Jihomoravský kraj</w:t>
            </w:r>
          </w:p>
        </w:tc>
        <w:tc>
          <w:tcPr>
            <w:tcW w:w="850" w:type="dxa"/>
            <w:tcBorders>
              <w:top w:val="nil"/>
              <w:left w:val="nil"/>
              <w:bottom w:val="nil"/>
            </w:tcBorders>
            <w:shd w:val="clear" w:color="auto" w:fill="auto"/>
            <w:noWrap/>
            <w:vAlign w:val="center"/>
            <w:hideMark/>
          </w:tcPr>
          <w:p w:rsidR="00D62D99" w:rsidRPr="00056FF3" w:rsidRDefault="00D62D99" w:rsidP="00D62D99">
            <w:pPr>
              <w:spacing w:after="0" w:line="240" w:lineRule="auto"/>
              <w:jc w:val="right"/>
              <w:rPr>
                <w:rFonts w:cs="Arial"/>
                <w:color w:val="000000"/>
                <w:sz w:val="16"/>
                <w:szCs w:val="16"/>
              </w:rPr>
            </w:pPr>
            <w:r w:rsidRPr="00056FF3">
              <w:rPr>
                <w:rFonts w:cs="Arial"/>
                <w:color w:val="000000"/>
                <w:sz w:val="16"/>
                <w:szCs w:val="16"/>
              </w:rPr>
              <w:t>189,7</w:t>
            </w:r>
          </w:p>
        </w:tc>
        <w:tc>
          <w:tcPr>
            <w:tcW w:w="850" w:type="dxa"/>
            <w:tcBorders>
              <w:top w:val="nil"/>
              <w:bottom w:val="nil"/>
            </w:tcBorders>
            <w:shd w:val="clear" w:color="auto" w:fill="auto"/>
            <w:noWrap/>
            <w:vAlign w:val="center"/>
            <w:hideMark/>
          </w:tcPr>
          <w:p w:rsidR="00D62D99" w:rsidRPr="00056FF3" w:rsidRDefault="00D62D99" w:rsidP="00D62D99">
            <w:pPr>
              <w:spacing w:after="0" w:line="240" w:lineRule="auto"/>
              <w:jc w:val="right"/>
              <w:rPr>
                <w:rFonts w:cs="Arial"/>
                <w:color w:val="000000"/>
                <w:sz w:val="16"/>
                <w:szCs w:val="16"/>
              </w:rPr>
            </w:pPr>
            <w:r w:rsidRPr="00056FF3">
              <w:rPr>
                <w:rFonts w:cs="Arial"/>
                <w:color w:val="000000"/>
                <w:sz w:val="16"/>
                <w:szCs w:val="16"/>
              </w:rPr>
              <w:t>295,3</w:t>
            </w:r>
          </w:p>
        </w:tc>
        <w:tc>
          <w:tcPr>
            <w:tcW w:w="851" w:type="dxa"/>
            <w:tcBorders>
              <w:top w:val="nil"/>
              <w:left w:val="nil"/>
              <w:bottom w:val="nil"/>
              <w:right w:val="single" w:sz="4" w:space="0" w:color="auto"/>
            </w:tcBorders>
            <w:shd w:val="clear" w:color="auto" w:fill="auto"/>
            <w:noWrap/>
            <w:vAlign w:val="center"/>
          </w:tcPr>
          <w:p w:rsidR="00D62D99" w:rsidRPr="00056FF3" w:rsidRDefault="00D62D99" w:rsidP="00D62D99">
            <w:pPr>
              <w:spacing w:after="0" w:line="240" w:lineRule="auto"/>
              <w:jc w:val="right"/>
              <w:rPr>
                <w:rFonts w:cs="Arial"/>
                <w:color w:val="000000"/>
                <w:sz w:val="16"/>
                <w:szCs w:val="16"/>
              </w:rPr>
            </w:pPr>
            <w:r>
              <w:rPr>
                <w:rFonts w:cs="Arial"/>
                <w:color w:val="000000"/>
                <w:sz w:val="16"/>
                <w:szCs w:val="16"/>
              </w:rPr>
              <w:t>268,8</w:t>
            </w:r>
          </w:p>
        </w:tc>
        <w:tc>
          <w:tcPr>
            <w:tcW w:w="850" w:type="dxa"/>
            <w:tcBorders>
              <w:top w:val="nil"/>
              <w:left w:val="nil"/>
              <w:bottom w:val="nil"/>
            </w:tcBorders>
            <w:shd w:val="clear" w:color="auto" w:fill="auto"/>
            <w:noWrap/>
            <w:vAlign w:val="center"/>
            <w:hideMark/>
          </w:tcPr>
          <w:p w:rsidR="00D62D99" w:rsidRPr="00056FF3" w:rsidRDefault="00D62D99" w:rsidP="00D62D99">
            <w:pPr>
              <w:spacing w:after="0" w:line="240" w:lineRule="auto"/>
              <w:jc w:val="right"/>
              <w:rPr>
                <w:rFonts w:cs="Arial"/>
                <w:color w:val="000000"/>
                <w:sz w:val="16"/>
                <w:szCs w:val="16"/>
              </w:rPr>
            </w:pPr>
            <w:r w:rsidRPr="00056FF3">
              <w:rPr>
                <w:rFonts w:cs="Arial"/>
                <w:color w:val="000000"/>
                <w:sz w:val="16"/>
                <w:szCs w:val="16"/>
              </w:rPr>
              <w:t>8 165,9</w:t>
            </w:r>
          </w:p>
        </w:tc>
        <w:tc>
          <w:tcPr>
            <w:tcW w:w="850" w:type="dxa"/>
            <w:tcBorders>
              <w:top w:val="nil"/>
              <w:bottom w:val="nil"/>
            </w:tcBorders>
            <w:shd w:val="clear" w:color="auto" w:fill="auto"/>
            <w:noWrap/>
            <w:vAlign w:val="center"/>
            <w:hideMark/>
          </w:tcPr>
          <w:p w:rsidR="00D62D99" w:rsidRPr="00056FF3" w:rsidRDefault="00D62D99" w:rsidP="00D62D99">
            <w:pPr>
              <w:spacing w:after="0" w:line="240" w:lineRule="auto"/>
              <w:jc w:val="right"/>
              <w:rPr>
                <w:rFonts w:cs="Arial"/>
                <w:color w:val="000000"/>
                <w:sz w:val="16"/>
                <w:szCs w:val="16"/>
              </w:rPr>
            </w:pPr>
            <w:r w:rsidRPr="00056FF3">
              <w:rPr>
                <w:rFonts w:cs="Arial"/>
                <w:color w:val="000000"/>
                <w:sz w:val="16"/>
                <w:szCs w:val="16"/>
              </w:rPr>
              <w:t>10 611,7</w:t>
            </w:r>
          </w:p>
        </w:tc>
        <w:tc>
          <w:tcPr>
            <w:tcW w:w="851" w:type="dxa"/>
            <w:tcBorders>
              <w:top w:val="nil"/>
              <w:left w:val="nil"/>
              <w:bottom w:val="nil"/>
              <w:right w:val="single" w:sz="4" w:space="0" w:color="auto"/>
            </w:tcBorders>
            <w:shd w:val="clear" w:color="auto" w:fill="auto"/>
            <w:noWrap/>
            <w:vAlign w:val="center"/>
          </w:tcPr>
          <w:p w:rsidR="00D62D99" w:rsidRPr="00056FF3" w:rsidRDefault="00D62D99" w:rsidP="00D62D99">
            <w:pPr>
              <w:spacing w:after="0" w:line="240" w:lineRule="auto"/>
              <w:jc w:val="right"/>
              <w:rPr>
                <w:rFonts w:cs="Arial"/>
                <w:color w:val="000000"/>
                <w:sz w:val="16"/>
                <w:szCs w:val="16"/>
              </w:rPr>
            </w:pPr>
            <w:r>
              <w:rPr>
                <w:rFonts w:cs="Arial"/>
                <w:color w:val="000000"/>
                <w:sz w:val="16"/>
                <w:szCs w:val="16"/>
              </w:rPr>
              <w:t>8 467,0</w:t>
            </w:r>
          </w:p>
        </w:tc>
        <w:tc>
          <w:tcPr>
            <w:tcW w:w="850" w:type="dxa"/>
            <w:tcBorders>
              <w:top w:val="nil"/>
              <w:left w:val="nil"/>
              <w:bottom w:val="nil"/>
            </w:tcBorders>
            <w:shd w:val="clear" w:color="auto" w:fill="auto"/>
            <w:noWrap/>
            <w:vAlign w:val="center"/>
            <w:hideMark/>
          </w:tcPr>
          <w:p w:rsidR="00D62D99" w:rsidRPr="00056FF3" w:rsidRDefault="00D62D99" w:rsidP="00D62D99">
            <w:pPr>
              <w:spacing w:after="0" w:line="240" w:lineRule="auto"/>
              <w:jc w:val="right"/>
              <w:rPr>
                <w:rFonts w:cs="Arial"/>
                <w:color w:val="000000"/>
                <w:sz w:val="16"/>
                <w:szCs w:val="16"/>
              </w:rPr>
            </w:pPr>
            <w:r w:rsidRPr="00056FF3">
              <w:rPr>
                <w:rFonts w:cs="Arial"/>
                <w:color w:val="000000"/>
                <w:sz w:val="16"/>
                <w:szCs w:val="16"/>
              </w:rPr>
              <w:t>43,1</w:t>
            </w:r>
          </w:p>
        </w:tc>
        <w:tc>
          <w:tcPr>
            <w:tcW w:w="850" w:type="dxa"/>
            <w:tcBorders>
              <w:top w:val="nil"/>
              <w:bottom w:val="nil"/>
            </w:tcBorders>
            <w:shd w:val="clear" w:color="auto" w:fill="auto"/>
            <w:noWrap/>
            <w:vAlign w:val="center"/>
            <w:hideMark/>
          </w:tcPr>
          <w:p w:rsidR="00D62D99" w:rsidRPr="00056FF3" w:rsidRDefault="00D62D99" w:rsidP="00D62D99">
            <w:pPr>
              <w:spacing w:after="0" w:line="240" w:lineRule="auto"/>
              <w:jc w:val="right"/>
              <w:rPr>
                <w:rFonts w:cs="Arial"/>
                <w:color w:val="000000"/>
                <w:sz w:val="16"/>
                <w:szCs w:val="16"/>
              </w:rPr>
            </w:pPr>
            <w:r w:rsidRPr="00056FF3">
              <w:rPr>
                <w:rFonts w:cs="Arial"/>
                <w:color w:val="000000"/>
                <w:sz w:val="16"/>
                <w:szCs w:val="16"/>
              </w:rPr>
              <w:t>35,9</w:t>
            </w:r>
          </w:p>
        </w:tc>
        <w:tc>
          <w:tcPr>
            <w:tcW w:w="851" w:type="dxa"/>
            <w:tcBorders>
              <w:top w:val="nil"/>
              <w:left w:val="nil"/>
              <w:bottom w:val="nil"/>
              <w:right w:val="nil"/>
            </w:tcBorders>
            <w:shd w:val="clear" w:color="auto" w:fill="auto"/>
            <w:noWrap/>
            <w:vAlign w:val="center"/>
          </w:tcPr>
          <w:p w:rsidR="00D62D99" w:rsidRPr="00056FF3" w:rsidRDefault="00D62D99" w:rsidP="00D62D99">
            <w:pPr>
              <w:spacing w:after="0" w:line="240" w:lineRule="auto"/>
              <w:jc w:val="right"/>
              <w:rPr>
                <w:rFonts w:cs="Arial"/>
                <w:color w:val="000000"/>
                <w:sz w:val="16"/>
                <w:szCs w:val="16"/>
              </w:rPr>
            </w:pPr>
            <w:r>
              <w:rPr>
                <w:rFonts w:cs="Arial"/>
                <w:color w:val="000000"/>
                <w:sz w:val="16"/>
                <w:szCs w:val="16"/>
              </w:rPr>
              <w:t>31,5</w:t>
            </w:r>
          </w:p>
        </w:tc>
      </w:tr>
      <w:tr w:rsidR="00D62D99" w:rsidRPr="00056FF3" w:rsidTr="00D62D99">
        <w:trPr>
          <w:trHeight w:val="283"/>
        </w:trPr>
        <w:tc>
          <w:tcPr>
            <w:tcW w:w="1980" w:type="dxa"/>
            <w:tcBorders>
              <w:top w:val="nil"/>
              <w:bottom w:val="nil"/>
              <w:right w:val="single" w:sz="4" w:space="0" w:color="auto"/>
            </w:tcBorders>
            <w:shd w:val="clear" w:color="auto" w:fill="auto"/>
            <w:noWrap/>
            <w:vAlign w:val="center"/>
            <w:hideMark/>
          </w:tcPr>
          <w:p w:rsidR="00D62D99" w:rsidRPr="00056FF3" w:rsidRDefault="00D62D99" w:rsidP="00D62D99">
            <w:pPr>
              <w:spacing w:after="0" w:line="240" w:lineRule="auto"/>
              <w:ind w:firstLineChars="100" w:firstLine="160"/>
              <w:jc w:val="left"/>
              <w:rPr>
                <w:rFonts w:cs="Arial"/>
                <w:color w:val="000000"/>
                <w:sz w:val="16"/>
                <w:szCs w:val="16"/>
              </w:rPr>
            </w:pPr>
            <w:r w:rsidRPr="00056FF3">
              <w:rPr>
                <w:rFonts w:cs="Arial"/>
                <w:color w:val="000000"/>
                <w:sz w:val="16"/>
                <w:szCs w:val="16"/>
              </w:rPr>
              <w:t>Olomoucký kraj</w:t>
            </w:r>
          </w:p>
        </w:tc>
        <w:tc>
          <w:tcPr>
            <w:tcW w:w="850" w:type="dxa"/>
            <w:tcBorders>
              <w:top w:val="nil"/>
              <w:left w:val="nil"/>
              <w:bottom w:val="nil"/>
            </w:tcBorders>
            <w:shd w:val="clear" w:color="auto" w:fill="auto"/>
            <w:noWrap/>
            <w:vAlign w:val="center"/>
            <w:hideMark/>
          </w:tcPr>
          <w:p w:rsidR="00D62D99" w:rsidRPr="00056FF3" w:rsidRDefault="00D62D99" w:rsidP="00D62D99">
            <w:pPr>
              <w:spacing w:after="0" w:line="240" w:lineRule="auto"/>
              <w:jc w:val="right"/>
              <w:rPr>
                <w:rFonts w:cs="Arial"/>
                <w:color w:val="000000"/>
                <w:sz w:val="16"/>
                <w:szCs w:val="16"/>
              </w:rPr>
            </w:pPr>
            <w:r w:rsidRPr="00056FF3">
              <w:rPr>
                <w:rFonts w:cs="Arial"/>
                <w:color w:val="000000"/>
                <w:sz w:val="16"/>
                <w:szCs w:val="16"/>
              </w:rPr>
              <w:t>107,9</w:t>
            </w:r>
          </w:p>
        </w:tc>
        <w:tc>
          <w:tcPr>
            <w:tcW w:w="850" w:type="dxa"/>
            <w:tcBorders>
              <w:top w:val="nil"/>
              <w:bottom w:val="nil"/>
            </w:tcBorders>
            <w:shd w:val="clear" w:color="auto" w:fill="auto"/>
            <w:noWrap/>
            <w:vAlign w:val="center"/>
            <w:hideMark/>
          </w:tcPr>
          <w:p w:rsidR="00D62D99" w:rsidRPr="00056FF3" w:rsidRDefault="00D62D99" w:rsidP="00D62D99">
            <w:pPr>
              <w:spacing w:after="0" w:line="240" w:lineRule="auto"/>
              <w:jc w:val="right"/>
              <w:rPr>
                <w:rFonts w:cs="Arial"/>
                <w:color w:val="000000"/>
                <w:sz w:val="16"/>
                <w:szCs w:val="16"/>
              </w:rPr>
            </w:pPr>
            <w:r w:rsidRPr="00056FF3">
              <w:rPr>
                <w:rFonts w:cs="Arial"/>
                <w:color w:val="000000"/>
                <w:sz w:val="16"/>
                <w:szCs w:val="16"/>
              </w:rPr>
              <w:t>176,4</w:t>
            </w:r>
          </w:p>
        </w:tc>
        <w:tc>
          <w:tcPr>
            <w:tcW w:w="851" w:type="dxa"/>
            <w:tcBorders>
              <w:top w:val="nil"/>
              <w:left w:val="nil"/>
              <w:bottom w:val="nil"/>
              <w:right w:val="single" w:sz="4" w:space="0" w:color="auto"/>
            </w:tcBorders>
            <w:shd w:val="clear" w:color="auto" w:fill="auto"/>
            <w:noWrap/>
            <w:vAlign w:val="center"/>
          </w:tcPr>
          <w:p w:rsidR="00D62D99" w:rsidRPr="00056FF3" w:rsidRDefault="00D62D99" w:rsidP="00D62D99">
            <w:pPr>
              <w:spacing w:after="0" w:line="240" w:lineRule="auto"/>
              <w:jc w:val="right"/>
              <w:rPr>
                <w:rFonts w:cs="Arial"/>
                <w:color w:val="000000"/>
                <w:sz w:val="16"/>
                <w:szCs w:val="16"/>
              </w:rPr>
            </w:pPr>
            <w:r>
              <w:rPr>
                <w:rFonts w:cs="Arial"/>
                <w:color w:val="000000"/>
                <w:sz w:val="16"/>
                <w:szCs w:val="16"/>
              </w:rPr>
              <w:t>152,8</w:t>
            </w:r>
          </w:p>
        </w:tc>
        <w:tc>
          <w:tcPr>
            <w:tcW w:w="850" w:type="dxa"/>
            <w:tcBorders>
              <w:top w:val="nil"/>
              <w:left w:val="nil"/>
              <w:bottom w:val="nil"/>
            </w:tcBorders>
            <w:shd w:val="clear" w:color="auto" w:fill="auto"/>
            <w:noWrap/>
            <w:vAlign w:val="center"/>
            <w:hideMark/>
          </w:tcPr>
          <w:p w:rsidR="00D62D99" w:rsidRPr="00056FF3" w:rsidRDefault="00D62D99" w:rsidP="00D62D99">
            <w:pPr>
              <w:spacing w:after="0" w:line="240" w:lineRule="auto"/>
              <w:jc w:val="right"/>
              <w:rPr>
                <w:rFonts w:cs="Arial"/>
                <w:color w:val="000000"/>
                <w:sz w:val="16"/>
                <w:szCs w:val="16"/>
              </w:rPr>
            </w:pPr>
            <w:r w:rsidRPr="00056FF3">
              <w:rPr>
                <w:rFonts w:cs="Arial"/>
                <w:color w:val="000000"/>
                <w:sz w:val="16"/>
                <w:szCs w:val="16"/>
              </w:rPr>
              <w:t>4 656,8</w:t>
            </w:r>
          </w:p>
        </w:tc>
        <w:tc>
          <w:tcPr>
            <w:tcW w:w="850" w:type="dxa"/>
            <w:tcBorders>
              <w:top w:val="nil"/>
              <w:bottom w:val="nil"/>
            </w:tcBorders>
            <w:shd w:val="clear" w:color="auto" w:fill="auto"/>
            <w:noWrap/>
            <w:vAlign w:val="center"/>
            <w:hideMark/>
          </w:tcPr>
          <w:p w:rsidR="00D62D99" w:rsidRPr="00056FF3" w:rsidRDefault="00D62D99" w:rsidP="00D62D99">
            <w:pPr>
              <w:spacing w:after="0" w:line="240" w:lineRule="auto"/>
              <w:jc w:val="right"/>
              <w:rPr>
                <w:rFonts w:cs="Arial"/>
                <w:color w:val="000000"/>
                <w:sz w:val="16"/>
                <w:szCs w:val="16"/>
              </w:rPr>
            </w:pPr>
            <w:r w:rsidRPr="00056FF3">
              <w:rPr>
                <w:rFonts w:cs="Arial"/>
                <w:color w:val="000000"/>
                <w:sz w:val="16"/>
                <w:szCs w:val="16"/>
              </w:rPr>
              <w:t>6 276,3</w:t>
            </w:r>
          </w:p>
        </w:tc>
        <w:tc>
          <w:tcPr>
            <w:tcW w:w="851" w:type="dxa"/>
            <w:tcBorders>
              <w:top w:val="nil"/>
              <w:left w:val="nil"/>
              <w:bottom w:val="nil"/>
              <w:right w:val="single" w:sz="4" w:space="0" w:color="auto"/>
            </w:tcBorders>
            <w:shd w:val="clear" w:color="auto" w:fill="auto"/>
            <w:noWrap/>
            <w:vAlign w:val="center"/>
          </w:tcPr>
          <w:p w:rsidR="00D62D99" w:rsidRPr="00056FF3" w:rsidRDefault="00D62D99" w:rsidP="00D62D99">
            <w:pPr>
              <w:spacing w:after="0" w:line="240" w:lineRule="auto"/>
              <w:jc w:val="right"/>
              <w:rPr>
                <w:rFonts w:cs="Arial"/>
                <w:color w:val="000000"/>
                <w:sz w:val="16"/>
                <w:szCs w:val="16"/>
              </w:rPr>
            </w:pPr>
            <w:r>
              <w:rPr>
                <w:rFonts w:cs="Arial"/>
                <w:color w:val="000000"/>
                <w:sz w:val="16"/>
                <w:szCs w:val="16"/>
              </w:rPr>
              <w:t>5 267,4</w:t>
            </w:r>
          </w:p>
        </w:tc>
        <w:tc>
          <w:tcPr>
            <w:tcW w:w="850" w:type="dxa"/>
            <w:tcBorders>
              <w:top w:val="nil"/>
              <w:left w:val="nil"/>
              <w:bottom w:val="nil"/>
            </w:tcBorders>
            <w:shd w:val="clear" w:color="auto" w:fill="auto"/>
            <w:noWrap/>
            <w:vAlign w:val="center"/>
            <w:hideMark/>
          </w:tcPr>
          <w:p w:rsidR="00D62D99" w:rsidRPr="00056FF3" w:rsidRDefault="00D62D99" w:rsidP="00D62D99">
            <w:pPr>
              <w:spacing w:after="0" w:line="240" w:lineRule="auto"/>
              <w:jc w:val="right"/>
              <w:rPr>
                <w:rFonts w:cs="Arial"/>
                <w:color w:val="000000"/>
                <w:sz w:val="16"/>
                <w:szCs w:val="16"/>
              </w:rPr>
            </w:pPr>
            <w:r w:rsidRPr="00056FF3">
              <w:rPr>
                <w:rFonts w:cs="Arial"/>
                <w:color w:val="000000"/>
                <w:sz w:val="16"/>
                <w:szCs w:val="16"/>
              </w:rPr>
              <w:t>43,2</w:t>
            </w:r>
          </w:p>
        </w:tc>
        <w:tc>
          <w:tcPr>
            <w:tcW w:w="850" w:type="dxa"/>
            <w:tcBorders>
              <w:top w:val="nil"/>
              <w:bottom w:val="nil"/>
            </w:tcBorders>
            <w:shd w:val="clear" w:color="auto" w:fill="auto"/>
            <w:noWrap/>
            <w:vAlign w:val="center"/>
            <w:hideMark/>
          </w:tcPr>
          <w:p w:rsidR="00D62D99" w:rsidRPr="00056FF3" w:rsidRDefault="00D62D99" w:rsidP="00D62D99">
            <w:pPr>
              <w:spacing w:after="0" w:line="240" w:lineRule="auto"/>
              <w:jc w:val="right"/>
              <w:rPr>
                <w:rFonts w:cs="Arial"/>
                <w:color w:val="000000"/>
                <w:sz w:val="16"/>
                <w:szCs w:val="16"/>
              </w:rPr>
            </w:pPr>
            <w:r w:rsidRPr="00056FF3">
              <w:rPr>
                <w:rFonts w:cs="Arial"/>
                <w:color w:val="000000"/>
                <w:sz w:val="16"/>
                <w:szCs w:val="16"/>
              </w:rPr>
              <w:t>35,6</w:t>
            </w:r>
          </w:p>
        </w:tc>
        <w:tc>
          <w:tcPr>
            <w:tcW w:w="851" w:type="dxa"/>
            <w:tcBorders>
              <w:top w:val="nil"/>
              <w:left w:val="nil"/>
              <w:bottom w:val="nil"/>
              <w:right w:val="nil"/>
            </w:tcBorders>
            <w:shd w:val="clear" w:color="auto" w:fill="auto"/>
            <w:noWrap/>
            <w:vAlign w:val="center"/>
          </w:tcPr>
          <w:p w:rsidR="00D62D99" w:rsidRPr="00056FF3" w:rsidRDefault="00D62D99" w:rsidP="00D62D99">
            <w:pPr>
              <w:spacing w:after="0" w:line="240" w:lineRule="auto"/>
              <w:jc w:val="right"/>
              <w:rPr>
                <w:rFonts w:cs="Arial"/>
                <w:color w:val="000000"/>
                <w:sz w:val="16"/>
                <w:szCs w:val="16"/>
              </w:rPr>
            </w:pPr>
            <w:r>
              <w:rPr>
                <w:rFonts w:cs="Arial"/>
                <w:color w:val="000000"/>
                <w:sz w:val="16"/>
                <w:szCs w:val="16"/>
              </w:rPr>
              <w:t>34,5</w:t>
            </w:r>
          </w:p>
        </w:tc>
      </w:tr>
      <w:tr w:rsidR="00D62D99" w:rsidRPr="00056FF3" w:rsidTr="00D62D99">
        <w:trPr>
          <w:trHeight w:val="283"/>
        </w:trPr>
        <w:tc>
          <w:tcPr>
            <w:tcW w:w="1980" w:type="dxa"/>
            <w:tcBorders>
              <w:top w:val="nil"/>
              <w:bottom w:val="nil"/>
              <w:right w:val="single" w:sz="4" w:space="0" w:color="auto"/>
            </w:tcBorders>
            <w:shd w:val="clear" w:color="auto" w:fill="auto"/>
            <w:noWrap/>
            <w:vAlign w:val="center"/>
            <w:hideMark/>
          </w:tcPr>
          <w:p w:rsidR="00D62D99" w:rsidRPr="00056FF3" w:rsidRDefault="00D62D99" w:rsidP="00D62D99">
            <w:pPr>
              <w:spacing w:after="0" w:line="240" w:lineRule="auto"/>
              <w:ind w:firstLineChars="100" w:firstLine="160"/>
              <w:jc w:val="left"/>
              <w:rPr>
                <w:rFonts w:cs="Arial"/>
                <w:color w:val="000000"/>
                <w:sz w:val="16"/>
                <w:szCs w:val="16"/>
              </w:rPr>
            </w:pPr>
            <w:r w:rsidRPr="00056FF3">
              <w:rPr>
                <w:rFonts w:cs="Arial"/>
                <w:color w:val="000000"/>
                <w:sz w:val="16"/>
                <w:szCs w:val="16"/>
              </w:rPr>
              <w:t>Zlínský kraj</w:t>
            </w:r>
          </w:p>
        </w:tc>
        <w:tc>
          <w:tcPr>
            <w:tcW w:w="850" w:type="dxa"/>
            <w:tcBorders>
              <w:top w:val="nil"/>
              <w:left w:val="nil"/>
              <w:bottom w:val="nil"/>
            </w:tcBorders>
            <w:shd w:val="clear" w:color="auto" w:fill="auto"/>
            <w:noWrap/>
            <w:vAlign w:val="center"/>
            <w:hideMark/>
          </w:tcPr>
          <w:p w:rsidR="00D62D99" w:rsidRPr="00056FF3" w:rsidRDefault="00D62D99" w:rsidP="00D62D99">
            <w:pPr>
              <w:spacing w:after="0" w:line="240" w:lineRule="auto"/>
              <w:jc w:val="right"/>
              <w:rPr>
                <w:rFonts w:cs="Arial"/>
                <w:color w:val="000000"/>
                <w:sz w:val="16"/>
                <w:szCs w:val="16"/>
              </w:rPr>
            </w:pPr>
            <w:r w:rsidRPr="00056FF3">
              <w:rPr>
                <w:rFonts w:cs="Arial"/>
                <w:color w:val="000000"/>
                <w:sz w:val="16"/>
                <w:szCs w:val="16"/>
              </w:rPr>
              <w:t>101,0</w:t>
            </w:r>
          </w:p>
        </w:tc>
        <w:tc>
          <w:tcPr>
            <w:tcW w:w="850" w:type="dxa"/>
            <w:tcBorders>
              <w:top w:val="nil"/>
              <w:bottom w:val="nil"/>
            </w:tcBorders>
            <w:shd w:val="clear" w:color="auto" w:fill="auto"/>
            <w:noWrap/>
            <w:vAlign w:val="center"/>
            <w:hideMark/>
          </w:tcPr>
          <w:p w:rsidR="00D62D99" w:rsidRPr="00056FF3" w:rsidRDefault="00D62D99" w:rsidP="00D62D99">
            <w:pPr>
              <w:spacing w:after="0" w:line="240" w:lineRule="auto"/>
              <w:jc w:val="right"/>
              <w:rPr>
                <w:rFonts w:cs="Arial"/>
                <w:color w:val="000000"/>
                <w:sz w:val="16"/>
                <w:szCs w:val="16"/>
              </w:rPr>
            </w:pPr>
            <w:r w:rsidRPr="00056FF3">
              <w:rPr>
                <w:rFonts w:cs="Arial"/>
                <w:color w:val="000000"/>
                <w:sz w:val="16"/>
                <w:szCs w:val="16"/>
              </w:rPr>
              <w:t>150,2</w:t>
            </w:r>
          </w:p>
        </w:tc>
        <w:tc>
          <w:tcPr>
            <w:tcW w:w="851" w:type="dxa"/>
            <w:tcBorders>
              <w:top w:val="nil"/>
              <w:left w:val="nil"/>
              <w:bottom w:val="nil"/>
              <w:right w:val="single" w:sz="4" w:space="0" w:color="auto"/>
            </w:tcBorders>
            <w:shd w:val="clear" w:color="auto" w:fill="auto"/>
            <w:noWrap/>
            <w:vAlign w:val="center"/>
          </w:tcPr>
          <w:p w:rsidR="00D62D99" w:rsidRPr="00056FF3" w:rsidRDefault="00D62D99" w:rsidP="00D62D99">
            <w:pPr>
              <w:spacing w:after="0" w:line="240" w:lineRule="auto"/>
              <w:jc w:val="right"/>
              <w:rPr>
                <w:rFonts w:cs="Arial"/>
                <w:color w:val="000000"/>
                <w:sz w:val="16"/>
                <w:szCs w:val="16"/>
              </w:rPr>
            </w:pPr>
            <w:r>
              <w:rPr>
                <w:rFonts w:cs="Arial"/>
                <w:color w:val="000000"/>
                <w:sz w:val="16"/>
                <w:szCs w:val="16"/>
              </w:rPr>
              <w:t>126,5</w:t>
            </w:r>
          </w:p>
        </w:tc>
        <w:tc>
          <w:tcPr>
            <w:tcW w:w="850" w:type="dxa"/>
            <w:tcBorders>
              <w:top w:val="nil"/>
              <w:left w:val="nil"/>
              <w:bottom w:val="nil"/>
            </w:tcBorders>
            <w:shd w:val="clear" w:color="auto" w:fill="auto"/>
            <w:noWrap/>
            <w:vAlign w:val="center"/>
            <w:hideMark/>
          </w:tcPr>
          <w:p w:rsidR="00D62D99" w:rsidRPr="00056FF3" w:rsidRDefault="00D62D99" w:rsidP="00D62D99">
            <w:pPr>
              <w:spacing w:after="0" w:line="240" w:lineRule="auto"/>
              <w:jc w:val="right"/>
              <w:rPr>
                <w:rFonts w:cs="Arial"/>
                <w:color w:val="000000"/>
                <w:sz w:val="16"/>
                <w:szCs w:val="16"/>
              </w:rPr>
            </w:pPr>
            <w:r w:rsidRPr="00056FF3">
              <w:rPr>
                <w:rFonts w:cs="Arial"/>
                <w:color w:val="000000"/>
                <w:sz w:val="16"/>
                <w:szCs w:val="16"/>
              </w:rPr>
              <w:t>4 964,4</w:t>
            </w:r>
          </w:p>
        </w:tc>
        <w:tc>
          <w:tcPr>
            <w:tcW w:w="850" w:type="dxa"/>
            <w:tcBorders>
              <w:top w:val="nil"/>
              <w:bottom w:val="nil"/>
            </w:tcBorders>
            <w:shd w:val="clear" w:color="auto" w:fill="auto"/>
            <w:noWrap/>
            <w:vAlign w:val="center"/>
            <w:hideMark/>
          </w:tcPr>
          <w:p w:rsidR="00D62D99" w:rsidRPr="00056FF3" w:rsidRDefault="00D62D99" w:rsidP="00D62D99">
            <w:pPr>
              <w:spacing w:after="0" w:line="240" w:lineRule="auto"/>
              <w:jc w:val="right"/>
              <w:rPr>
                <w:rFonts w:cs="Arial"/>
                <w:color w:val="000000"/>
                <w:sz w:val="16"/>
                <w:szCs w:val="16"/>
              </w:rPr>
            </w:pPr>
            <w:r w:rsidRPr="00056FF3">
              <w:rPr>
                <w:rFonts w:cs="Arial"/>
                <w:color w:val="000000"/>
                <w:sz w:val="16"/>
                <w:szCs w:val="16"/>
              </w:rPr>
              <w:t>6 044,3</w:t>
            </w:r>
          </w:p>
        </w:tc>
        <w:tc>
          <w:tcPr>
            <w:tcW w:w="851" w:type="dxa"/>
            <w:tcBorders>
              <w:top w:val="nil"/>
              <w:left w:val="nil"/>
              <w:bottom w:val="nil"/>
              <w:right w:val="single" w:sz="4" w:space="0" w:color="auto"/>
            </w:tcBorders>
            <w:shd w:val="clear" w:color="auto" w:fill="auto"/>
            <w:noWrap/>
            <w:vAlign w:val="center"/>
          </w:tcPr>
          <w:p w:rsidR="00D62D99" w:rsidRPr="00056FF3" w:rsidRDefault="00D62D99" w:rsidP="00D62D99">
            <w:pPr>
              <w:spacing w:after="0" w:line="240" w:lineRule="auto"/>
              <w:jc w:val="right"/>
              <w:rPr>
                <w:rFonts w:cs="Arial"/>
                <w:color w:val="000000"/>
                <w:sz w:val="16"/>
                <w:szCs w:val="16"/>
              </w:rPr>
            </w:pPr>
            <w:r>
              <w:rPr>
                <w:rFonts w:cs="Arial"/>
                <w:color w:val="000000"/>
                <w:sz w:val="16"/>
                <w:szCs w:val="16"/>
              </w:rPr>
              <w:t>4 760,4</w:t>
            </w:r>
          </w:p>
        </w:tc>
        <w:tc>
          <w:tcPr>
            <w:tcW w:w="850" w:type="dxa"/>
            <w:tcBorders>
              <w:top w:val="nil"/>
              <w:left w:val="nil"/>
              <w:bottom w:val="nil"/>
            </w:tcBorders>
            <w:shd w:val="clear" w:color="auto" w:fill="auto"/>
            <w:noWrap/>
            <w:vAlign w:val="center"/>
            <w:hideMark/>
          </w:tcPr>
          <w:p w:rsidR="00D62D99" w:rsidRPr="00056FF3" w:rsidRDefault="00D62D99" w:rsidP="00D62D99">
            <w:pPr>
              <w:spacing w:after="0" w:line="240" w:lineRule="auto"/>
              <w:jc w:val="right"/>
              <w:rPr>
                <w:rFonts w:cs="Arial"/>
                <w:color w:val="000000"/>
                <w:sz w:val="16"/>
                <w:szCs w:val="16"/>
              </w:rPr>
            </w:pPr>
            <w:r w:rsidRPr="00056FF3">
              <w:rPr>
                <w:rFonts w:cs="Arial"/>
                <w:color w:val="000000"/>
                <w:sz w:val="16"/>
                <w:szCs w:val="16"/>
              </w:rPr>
              <w:t>49,1</w:t>
            </w:r>
          </w:p>
        </w:tc>
        <w:tc>
          <w:tcPr>
            <w:tcW w:w="850" w:type="dxa"/>
            <w:tcBorders>
              <w:top w:val="nil"/>
              <w:bottom w:val="nil"/>
            </w:tcBorders>
            <w:shd w:val="clear" w:color="auto" w:fill="auto"/>
            <w:noWrap/>
            <w:vAlign w:val="center"/>
            <w:hideMark/>
          </w:tcPr>
          <w:p w:rsidR="00D62D99" w:rsidRPr="00056FF3" w:rsidRDefault="00D62D99" w:rsidP="00D62D99">
            <w:pPr>
              <w:spacing w:after="0" w:line="240" w:lineRule="auto"/>
              <w:jc w:val="right"/>
              <w:rPr>
                <w:rFonts w:cs="Arial"/>
                <w:color w:val="000000"/>
                <w:sz w:val="16"/>
                <w:szCs w:val="16"/>
              </w:rPr>
            </w:pPr>
            <w:r w:rsidRPr="00056FF3">
              <w:rPr>
                <w:rFonts w:cs="Arial"/>
                <w:color w:val="000000"/>
                <w:sz w:val="16"/>
                <w:szCs w:val="16"/>
              </w:rPr>
              <w:t>40,2</w:t>
            </w:r>
          </w:p>
        </w:tc>
        <w:tc>
          <w:tcPr>
            <w:tcW w:w="851" w:type="dxa"/>
            <w:tcBorders>
              <w:top w:val="nil"/>
              <w:left w:val="nil"/>
              <w:bottom w:val="nil"/>
              <w:right w:val="nil"/>
            </w:tcBorders>
            <w:shd w:val="clear" w:color="auto" w:fill="auto"/>
            <w:noWrap/>
            <w:vAlign w:val="center"/>
          </w:tcPr>
          <w:p w:rsidR="00D62D99" w:rsidRPr="00056FF3" w:rsidRDefault="00D62D99" w:rsidP="00D62D99">
            <w:pPr>
              <w:spacing w:after="0" w:line="240" w:lineRule="auto"/>
              <w:jc w:val="right"/>
              <w:rPr>
                <w:rFonts w:cs="Arial"/>
                <w:color w:val="000000"/>
                <w:sz w:val="16"/>
                <w:szCs w:val="16"/>
              </w:rPr>
            </w:pPr>
            <w:r>
              <w:rPr>
                <w:rFonts w:cs="Arial"/>
                <w:color w:val="000000"/>
                <w:sz w:val="16"/>
                <w:szCs w:val="16"/>
              </w:rPr>
              <w:t>37,6</w:t>
            </w:r>
          </w:p>
        </w:tc>
      </w:tr>
      <w:tr w:rsidR="00D62D99" w:rsidRPr="00056FF3" w:rsidTr="00D62D99">
        <w:trPr>
          <w:trHeight w:val="283"/>
        </w:trPr>
        <w:tc>
          <w:tcPr>
            <w:tcW w:w="1980" w:type="dxa"/>
            <w:tcBorders>
              <w:top w:val="nil"/>
              <w:bottom w:val="nil"/>
              <w:right w:val="single" w:sz="4" w:space="0" w:color="auto"/>
            </w:tcBorders>
            <w:shd w:val="clear" w:color="auto" w:fill="auto"/>
            <w:noWrap/>
            <w:vAlign w:val="center"/>
            <w:hideMark/>
          </w:tcPr>
          <w:p w:rsidR="00D62D99" w:rsidRPr="00056FF3" w:rsidRDefault="00D62D99" w:rsidP="00D62D99">
            <w:pPr>
              <w:spacing w:after="0" w:line="240" w:lineRule="auto"/>
              <w:ind w:firstLineChars="100" w:firstLine="160"/>
              <w:jc w:val="left"/>
              <w:rPr>
                <w:rFonts w:cs="Arial"/>
                <w:color w:val="000000"/>
                <w:sz w:val="16"/>
                <w:szCs w:val="16"/>
              </w:rPr>
            </w:pPr>
            <w:r w:rsidRPr="00056FF3">
              <w:rPr>
                <w:rFonts w:cs="Arial"/>
                <w:color w:val="000000"/>
                <w:sz w:val="16"/>
                <w:szCs w:val="16"/>
              </w:rPr>
              <w:t>Moravskoslezský kraj</w:t>
            </w:r>
          </w:p>
        </w:tc>
        <w:tc>
          <w:tcPr>
            <w:tcW w:w="850" w:type="dxa"/>
            <w:tcBorders>
              <w:top w:val="nil"/>
              <w:left w:val="nil"/>
              <w:bottom w:val="nil"/>
            </w:tcBorders>
            <w:shd w:val="clear" w:color="auto" w:fill="auto"/>
            <w:noWrap/>
            <w:vAlign w:val="center"/>
            <w:hideMark/>
          </w:tcPr>
          <w:p w:rsidR="00D62D99" w:rsidRPr="00056FF3" w:rsidRDefault="00D62D99" w:rsidP="00D62D99">
            <w:pPr>
              <w:spacing w:after="0" w:line="240" w:lineRule="auto"/>
              <w:jc w:val="right"/>
              <w:rPr>
                <w:rFonts w:cs="Arial"/>
                <w:color w:val="000000"/>
                <w:sz w:val="16"/>
                <w:szCs w:val="16"/>
              </w:rPr>
            </w:pPr>
            <w:r w:rsidRPr="00056FF3">
              <w:rPr>
                <w:rFonts w:cs="Arial"/>
                <w:color w:val="000000"/>
                <w:sz w:val="16"/>
                <w:szCs w:val="16"/>
              </w:rPr>
              <w:t>206,2</w:t>
            </w:r>
          </w:p>
        </w:tc>
        <w:tc>
          <w:tcPr>
            <w:tcW w:w="850" w:type="dxa"/>
            <w:tcBorders>
              <w:top w:val="nil"/>
              <w:bottom w:val="nil"/>
            </w:tcBorders>
            <w:shd w:val="clear" w:color="auto" w:fill="auto"/>
            <w:noWrap/>
            <w:vAlign w:val="center"/>
            <w:hideMark/>
          </w:tcPr>
          <w:p w:rsidR="00D62D99" w:rsidRPr="00056FF3" w:rsidRDefault="00D62D99" w:rsidP="00D62D99">
            <w:pPr>
              <w:spacing w:after="0" w:line="240" w:lineRule="auto"/>
              <w:jc w:val="right"/>
              <w:rPr>
                <w:rFonts w:cs="Arial"/>
                <w:color w:val="000000"/>
                <w:sz w:val="16"/>
                <w:szCs w:val="16"/>
              </w:rPr>
            </w:pPr>
            <w:r w:rsidRPr="00056FF3">
              <w:rPr>
                <w:rFonts w:cs="Arial"/>
                <w:color w:val="000000"/>
                <w:sz w:val="16"/>
                <w:szCs w:val="16"/>
              </w:rPr>
              <w:t>314,5</w:t>
            </w:r>
          </w:p>
        </w:tc>
        <w:tc>
          <w:tcPr>
            <w:tcW w:w="851" w:type="dxa"/>
            <w:tcBorders>
              <w:top w:val="nil"/>
              <w:left w:val="nil"/>
              <w:bottom w:val="nil"/>
              <w:right w:val="single" w:sz="4" w:space="0" w:color="auto"/>
            </w:tcBorders>
            <w:shd w:val="clear" w:color="auto" w:fill="auto"/>
            <w:noWrap/>
            <w:vAlign w:val="center"/>
          </w:tcPr>
          <w:p w:rsidR="00D62D99" w:rsidRPr="00056FF3" w:rsidRDefault="00D62D99" w:rsidP="00D62D99">
            <w:pPr>
              <w:spacing w:after="0" w:line="240" w:lineRule="auto"/>
              <w:jc w:val="right"/>
              <w:rPr>
                <w:rFonts w:cs="Arial"/>
                <w:color w:val="000000"/>
                <w:sz w:val="16"/>
                <w:szCs w:val="16"/>
              </w:rPr>
            </w:pPr>
            <w:r>
              <w:rPr>
                <w:rFonts w:cs="Arial"/>
                <w:color w:val="000000"/>
                <w:sz w:val="16"/>
                <w:szCs w:val="16"/>
              </w:rPr>
              <w:t>252,3</w:t>
            </w:r>
          </w:p>
        </w:tc>
        <w:tc>
          <w:tcPr>
            <w:tcW w:w="850" w:type="dxa"/>
            <w:tcBorders>
              <w:top w:val="nil"/>
              <w:left w:val="nil"/>
              <w:bottom w:val="nil"/>
            </w:tcBorders>
            <w:shd w:val="clear" w:color="auto" w:fill="auto"/>
            <w:noWrap/>
            <w:vAlign w:val="center"/>
            <w:hideMark/>
          </w:tcPr>
          <w:p w:rsidR="00D62D99" w:rsidRPr="00056FF3" w:rsidRDefault="00D62D99" w:rsidP="00D62D99">
            <w:pPr>
              <w:spacing w:after="0" w:line="240" w:lineRule="auto"/>
              <w:jc w:val="right"/>
              <w:rPr>
                <w:rFonts w:cs="Arial"/>
                <w:color w:val="000000"/>
                <w:sz w:val="16"/>
                <w:szCs w:val="16"/>
              </w:rPr>
            </w:pPr>
            <w:r w:rsidRPr="00056FF3">
              <w:rPr>
                <w:rFonts w:cs="Arial"/>
                <w:color w:val="000000"/>
                <w:sz w:val="16"/>
                <w:szCs w:val="16"/>
              </w:rPr>
              <w:t>10 242,1</w:t>
            </w:r>
          </w:p>
        </w:tc>
        <w:tc>
          <w:tcPr>
            <w:tcW w:w="850" w:type="dxa"/>
            <w:tcBorders>
              <w:top w:val="nil"/>
              <w:bottom w:val="nil"/>
            </w:tcBorders>
            <w:shd w:val="clear" w:color="auto" w:fill="auto"/>
            <w:noWrap/>
            <w:vAlign w:val="center"/>
            <w:hideMark/>
          </w:tcPr>
          <w:p w:rsidR="00D62D99" w:rsidRPr="00056FF3" w:rsidRDefault="00D62D99" w:rsidP="00D62D99">
            <w:pPr>
              <w:spacing w:after="0" w:line="240" w:lineRule="auto"/>
              <w:jc w:val="right"/>
              <w:rPr>
                <w:rFonts w:cs="Arial"/>
                <w:color w:val="000000"/>
                <w:sz w:val="16"/>
                <w:szCs w:val="16"/>
              </w:rPr>
            </w:pPr>
            <w:r w:rsidRPr="00056FF3">
              <w:rPr>
                <w:rFonts w:cs="Arial"/>
                <w:color w:val="000000"/>
                <w:sz w:val="16"/>
                <w:szCs w:val="16"/>
              </w:rPr>
              <w:t>12 405,9</w:t>
            </w:r>
          </w:p>
        </w:tc>
        <w:tc>
          <w:tcPr>
            <w:tcW w:w="851" w:type="dxa"/>
            <w:tcBorders>
              <w:top w:val="nil"/>
              <w:left w:val="nil"/>
              <w:bottom w:val="nil"/>
              <w:right w:val="single" w:sz="4" w:space="0" w:color="auto"/>
            </w:tcBorders>
            <w:shd w:val="clear" w:color="auto" w:fill="auto"/>
            <w:noWrap/>
            <w:vAlign w:val="center"/>
          </w:tcPr>
          <w:p w:rsidR="00D62D99" w:rsidRPr="00056FF3" w:rsidRDefault="00D62D99" w:rsidP="00D62D99">
            <w:pPr>
              <w:spacing w:after="0" w:line="240" w:lineRule="auto"/>
              <w:jc w:val="right"/>
              <w:rPr>
                <w:rFonts w:cs="Arial"/>
                <w:color w:val="000000"/>
                <w:sz w:val="16"/>
                <w:szCs w:val="16"/>
              </w:rPr>
            </w:pPr>
            <w:r>
              <w:rPr>
                <w:rFonts w:cs="Arial"/>
                <w:color w:val="000000"/>
                <w:sz w:val="16"/>
                <w:szCs w:val="16"/>
              </w:rPr>
              <w:t>10 233,0</w:t>
            </w:r>
          </w:p>
        </w:tc>
        <w:tc>
          <w:tcPr>
            <w:tcW w:w="850" w:type="dxa"/>
            <w:tcBorders>
              <w:top w:val="nil"/>
              <w:left w:val="nil"/>
              <w:bottom w:val="nil"/>
            </w:tcBorders>
            <w:shd w:val="clear" w:color="auto" w:fill="auto"/>
            <w:noWrap/>
            <w:vAlign w:val="center"/>
            <w:hideMark/>
          </w:tcPr>
          <w:p w:rsidR="00D62D99" w:rsidRPr="00056FF3" w:rsidRDefault="00D62D99" w:rsidP="00D62D99">
            <w:pPr>
              <w:spacing w:after="0" w:line="240" w:lineRule="auto"/>
              <w:jc w:val="right"/>
              <w:rPr>
                <w:rFonts w:cs="Arial"/>
                <w:color w:val="000000"/>
                <w:sz w:val="16"/>
                <w:szCs w:val="16"/>
              </w:rPr>
            </w:pPr>
            <w:r w:rsidRPr="00056FF3">
              <w:rPr>
                <w:rFonts w:cs="Arial"/>
                <w:color w:val="000000"/>
                <w:sz w:val="16"/>
                <w:szCs w:val="16"/>
              </w:rPr>
              <w:t>49,7</w:t>
            </w:r>
          </w:p>
        </w:tc>
        <w:tc>
          <w:tcPr>
            <w:tcW w:w="850" w:type="dxa"/>
            <w:tcBorders>
              <w:top w:val="nil"/>
              <w:bottom w:val="nil"/>
            </w:tcBorders>
            <w:shd w:val="clear" w:color="auto" w:fill="auto"/>
            <w:noWrap/>
            <w:vAlign w:val="center"/>
            <w:hideMark/>
          </w:tcPr>
          <w:p w:rsidR="00D62D99" w:rsidRPr="00056FF3" w:rsidRDefault="00D62D99" w:rsidP="00D62D99">
            <w:pPr>
              <w:spacing w:after="0" w:line="240" w:lineRule="auto"/>
              <w:jc w:val="right"/>
              <w:rPr>
                <w:rFonts w:cs="Arial"/>
                <w:color w:val="000000"/>
                <w:sz w:val="16"/>
                <w:szCs w:val="16"/>
              </w:rPr>
            </w:pPr>
            <w:r w:rsidRPr="00056FF3">
              <w:rPr>
                <w:rFonts w:cs="Arial"/>
                <w:color w:val="000000"/>
                <w:sz w:val="16"/>
                <w:szCs w:val="16"/>
              </w:rPr>
              <w:t>39,5</w:t>
            </w:r>
          </w:p>
        </w:tc>
        <w:tc>
          <w:tcPr>
            <w:tcW w:w="851" w:type="dxa"/>
            <w:tcBorders>
              <w:top w:val="nil"/>
              <w:left w:val="nil"/>
              <w:bottom w:val="nil"/>
              <w:right w:val="nil"/>
            </w:tcBorders>
            <w:shd w:val="clear" w:color="auto" w:fill="auto"/>
            <w:noWrap/>
            <w:vAlign w:val="center"/>
          </w:tcPr>
          <w:p w:rsidR="00D62D99" w:rsidRPr="00056FF3" w:rsidRDefault="00D62D99" w:rsidP="00D62D99">
            <w:pPr>
              <w:spacing w:after="0" w:line="240" w:lineRule="auto"/>
              <w:jc w:val="right"/>
              <w:rPr>
                <w:rFonts w:cs="Arial"/>
                <w:color w:val="000000"/>
                <w:sz w:val="16"/>
                <w:szCs w:val="16"/>
              </w:rPr>
            </w:pPr>
            <w:r>
              <w:rPr>
                <w:rFonts w:cs="Arial"/>
                <w:color w:val="000000"/>
                <w:sz w:val="16"/>
                <w:szCs w:val="16"/>
              </w:rPr>
              <w:t>40,6</w:t>
            </w:r>
          </w:p>
        </w:tc>
      </w:tr>
    </w:tbl>
    <w:p w:rsidR="00D62D99" w:rsidRDefault="00D62D99" w:rsidP="00AD25A6">
      <w:pPr>
        <w:spacing w:before="60" w:after="0"/>
        <w:rPr>
          <w:sz w:val="16"/>
          <w:szCs w:val="16"/>
        </w:rPr>
      </w:pPr>
      <w:r w:rsidRPr="00AC59D4">
        <w:rPr>
          <w:sz w:val="16"/>
          <w:szCs w:val="16"/>
        </w:rPr>
        <w:t>Zdroj: ČSSZ</w:t>
      </w:r>
    </w:p>
    <w:p w:rsidR="00056FF3" w:rsidRPr="00EF33ED" w:rsidRDefault="00056FF3" w:rsidP="00D62D99">
      <w:r w:rsidRPr="00EF33ED">
        <w:lastRenderedPageBreak/>
        <w:t xml:space="preserve">Celková </w:t>
      </w:r>
      <w:r w:rsidRPr="00EF33ED">
        <w:rPr>
          <w:b/>
        </w:rPr>
        <w:t>prostonaná doba</w:t>
      </w:r>
      <w:r w:rsidRPr="00EF33ED">
        <w:t xml:space="preserve"> v </w:t>
      </w:r>
      <w:r>
        <w:t xml:space="preserve">roce 2024 činila 76 014 </w:t>
      </w:r>
      <w:r w:rsidRPr="00EF33ED">
        <w:t>tis</w:t>
      </w:r>
      <w:r>
        <w:t>íc</w:t>
      </w:r>
      <w:r w:rsidRPr="00EF33ED">
        <w:t xml:space="preserve"> dnů, což je o </w:t>
      </w:r>
      <w:r>
        <w:t xml:space="preserve">955 </w:t>
      </w:r>
      <w:r w:rsidRPr="00EF33ED">
        <w:t>tis</w:t>
      </w:r>
      <w:r>
        <w:t>íc</w:t>
      </w:r>
      <w:r w:rsidRPr="00EF33ED">
        <w:t xml:space="preserve"> dnů více než v roce 2019. Jeden případ dočasné pracovní neschopnosti trval </w:t>
      </w:r>
      <w:r>
        <w:t xml:space="preserve">v roce 2024 v průměru 31,2 </w:t>
      </w:r>
      <w:r w:rsidRPr="00EF33ED">
        <w:t>dn</w:t>
      </w:r>
      <w:r>
        <w:t>í. N</w:t>
      </w:r>
      <w:r w:rsidRPr="00EF33ED">
        <w:t xml:space="preserve">ejdelší </w:t>
      </w:r>
      <w:r>
        <w:t>průměrná délka trvání jednoho případu pracovní neschopnosti pro nemoc a úraz byla zjištěna v</w:t>
      </w:r>
      <w:r w:rsidRPr="00EF33ED">
        <w:t xml:space="preserve"> Moravsko</w:t>
      </w:r>
      <w:r>
        <w:t>slezském a Zlínském</w:t>
      </w:r>
      <w:r w:rsidRPr="00EF33ED">
        <w:t xml:space="preserve"> kraji, </w:t>
      </w:r>
      <w:r>
        <w:t>a to konkrétně 40,6</w:t>
      </w:r>
      <w:r w:rsidRPr="00EF33ED">
        <w:t xml:space="preserve"> resp. 37</w:t>
      </w:r>
      <w:r>
        <w:t>,6</w:t>
      </w:r>
      <w:r w:rsidRPr="00EF33ED">
        <w:t> dn</w:t>
      </w:r>
      <w:r>
        <w:t xml:space="preserve">í. </w:t>
      </w:r>
      <w:r w:rsidRPr="00EF33ED">
        <w:t xml:space="preserve">Naopak </w:t>
      </w:r>
      <w:r>
        <w:t xml:space="preserve">nejkratší </w:t>
      </w:r>
      <w:r w:rsidRPr="00CD7D71">
        <w:t>průměrn</w:t>
      </w:r>
      <w:r>
        <w:t>é</w:t>
      </w:r>
      <w:r w:rsidRPr="00CD7D71">
        <w:t xml:space="preserve"> délk</w:t>
      </w:r>
      <w:r>
        <w:t>y</w:t>
      </w:r>
      <w:r w:rsidRPr="00CD7D71">
        <w:t xml:space="preserve"> trvání jednoho případu </w:t>
      </w:r>
      <w:r>
        <w:t>vykazují Praha (23,5 dne</w:t>
      </w:r>
      <w:r w:rsidRPr="00EF33ED">
        <w:t xml:space="preserve">) </w:t>
      </w:r>
      <w:r>
        <w:t>a Středočeský kraj (27,5 dne</w:t>
      </w:r>
      <w:r w:rsidRPr="00EF33ED">
        <w:t xml:space="preserve">). </w:t>
      </w:r>
      <w:r w:rsidR="00D62D99">
        <w:t>Více viz tabulka 3.1.</w:t>
      </w:r>
    </w:p>
    <w:p w:rsidR="00056FF3" w:rsidRPr="00443707" w:rsidRDefault="00FA1306" w:rsidP="00D62D99">
      <w:pPr>
        <w:rPr>
          <w:color w:val="000000" w:themeColor="text1"/>
        </w:rPr>
      </w:pPr>
      <w:r w:rsidRPr="00FA1306">
        <w:rPr>
          <w:color w:val="000000" w:themeColor="text1"/>
        </w:rPr>
        <w:t>Průměrná délka trvání</w:t>
      </w:r>
      <w:r w:rsidR="00056FF3" w:rsidRPr="00FA1306">
        <w:rPr>
          <w:color w:val="000000" w:themeColor="text1"/>
        </w:rPr>
        <w:t xml:space="preserve"> pracovní neschopnost</w:t>
      </w:r>
      <w:r w:rsidRPr="00FA1306">
        <w:rPr>
          <w:color w:val="000000" w:themeColor="text1"/>
        </w:rPr>
        <w:t xml:space="preserve">i </w:t>
      </w:r>
      <w:r w:rsidR="00056FF3" w:rsidRPr="00FA1306">
        <w:rPr>
          <w:color w:val="000000" w:themeColor="text1"/>
        </w:rPr>
        <w:t xml:space="preserve">rostla </w:t>
      </w:r>
      <w:r w:rsidR="00056FF3" w:rsidRPr="00FA1306">
        <w:rPr>
          <w:b/>
          <w:color w:val="000000" w:themeColor="text1"/>
        </w:rPr>
        <w:t>s věkem</w:t>
      </w:r>
      <w:r w:rsidR="00056FF3" w:rsidRPr="00FA1306">
        <w:rPr>
          <w:color w:val="000000" w:themeColor="text1"/>
        </w:rPr>
        <w:t xml:space="preserve"> (viz tab</w:t>
      </w:r>
      <w:r w:rsidR="00AD25A6" w:rsidRPr="00FA1306">
        <w:rPr>
          <w:color w:val="000000" w:themeColor="text1"/>
        </w:rPr>
        <w:t>ulka</w:t>
      </w:r>
      <w:r w:rsidR="00056FF3" w:rsidRPr="00FA1306">
        <w:rPr>
          <w:color w:val="000000" w:themeColor="text1"/>
        </w:rPr>
        <w:t xml:space="preserve"> 3.2), od 14,2 dne ve věkové skupině osob mladších 20 let až po 51 dnů ve věkové skupině 60letých a starších. To</w:t>
      </w:r>
      <w:r w:rsidRPr="00FA1306">
        <w:rPr>
          <w:color w:val="000000" w:themeColor="text1"/>
        </w:rPr>
        <w:t>to</w:t>
      </w:r>
      <w:r w:rsidR="00056FF3" w:rsidRPr="00FA1306">
        <w:rPr>
          <w:color w:val="000000" w:themeColor="text1"/>
        </w:rPr>
        <w:t xml:space="preserve"> je způsobeno zejména vyšším zastoupením krátkodobých případů pracovní neschopnosti pro nemoci dýchací soustavy v mladším věku, a naopak nárůstem dlouhodobých případů pracovní neschopnosti pro nádorová onemocnění a nemoci oběhové soustavy se zvyšujícím se věkem. Zatímco v roce 2019 trvala průměrná neschopen</w:t>
      </w:r>
      <w:r w:rsidRPr="00FA1306">
        <w:rPr>
          <w:color w:val="000000" w:themeColor="text1"/>
        </w:rPr>
        <w:t>ka žen 43 dnů a</w:t>
      </w:r>
      <w:r w:rsidR="00791C1F">
        <w:rPr>
          <w:color w:val="000000" w:themeColor="text1"/>
        </w:rPr>
        <w:t> </w:t>
      </w:r>
      <w:r w:rsidRPr="00FA1306">
        <w:rPr>
          <w:color w:val="000000" w:themeColor="text1"/>
        </w:rPr>
        <w:t>mužů 39 dnů, o 5 let</w:t>
      </w:r>
      <w:r w:rsidR="00056FF3" w:rsidRPr="00FA1306">
        <w:rPr>
          <w:color w:val="000000" w:themeColor="text1"/>
        </w:rPr>
        <w:t xml:space="preserve"> později se poměr obrátil a rozdíl s</w:t>
      </w:r>
      <w:r w:rsidR="00056FF3" w:rsidRPr="00443707">
        <w:rPr>
          <w:color w:val="000000" w:themeColor="text1"/>
        </w:rPr>
        <w:t xml:space="preserve">nížil. Ženy </w:t>
      </w:r>
      <w:r w:rsidRPr="00443707">
        <w:rPr>
          <w:color w:val="000000" w:themeColor="text1"/>
        </w:rPr>
        <w:t>zůstávaly</w:t>
      </w:r>
      <w:r w:rsidR="00056FF3" w:rsidRPr="00443707">
        <w:rPr>
          <w:color w:val="000000" w:themeColor="text1"/>
        </w:rPr>
        <w:t xml:space="preserve"> v praco</w:t>
      </w:r>
      <w:r w:rsidRPr="00443707">
        <w:rPr>
          <w:color w:val="000000" w:themeColor="text1"/>
        </w:rPr>
        <w:t xml:space="preserve">vní neschopnosti </w:t>
      </w:r>
      <w:r w:rsidR="00443707" w:rsidRPr="00443707">
        <w:rPr>
          <w:color w:val="000000" w:themeColor="text1"/>
        </w:rPr>
        <w:t>při</w:t>
      </w:r>
      <w:r w:rsidRPr="00443707">
        <w:rPr>
          <w:color w:val="000000" w:themeColor="text1"/>
        </w:rPr>
        <w:t> přepočtu na 1 případ v průměru o 0,4</w:t>
      </w:r>
      <w:r w:rsidR="00056FF3" w:rsidRPr="00443707">
        <w:rPr>
          <w:color w:val="000000" w:themeColor="text1"/>
        </w:rPr>
        <w:t xml:space="preserve"> dne </w:t>
      </w:r>
      <w:r w:rsidR="00443707" w:rsidRPr="00443707">
        <w:rPr>
          <w:color w:val="000000" w:themeColor="text1"/>
        </w:rPr>
        <w:t xml:space="preserve">méně </w:t>
      </w:r>
      <w:r w:rsidR="00056FF3" w:rsidRPr="00443707">
        <w:rPr>
          <w:color w:val="000000" w:themeColor="text1"/>
        </w:rPr>
        <w:t xml:space="preserve">než muži. Průměrná doba trvání ukončeného případu pracovní neschopnosti </w:t>
      </w:r>
      <w:r w:rsidR="00443707" w:rsidRPr="00443707">
        <w:rPr>
          <w:color w:val="000000" w:themeColor="text1"/>
        </w:rPr>
        <w:t>činila u žen 31 dní, u mužů 31,4 dní</w:t>
      </w:r>
      <w:r w:rsidR="00056FF3" w:rsidRPr="00443707">
        <w:rPr>
          <w:color w:val="000000" w:themeColor="text1"/>
        </w:rPr>
        <w:t>. Bez ohledu na pohlaví došlo oproti roku 2019 ke zkrácení průměrné</w:t>
      </w:r>
      <w:r w:rsidR="00443707" w:rsidRPr="00443707">
        <w:rPr>
          <w:color w:val="000000" w:themeColor="text1"/>
        </w:rPr>
        <w:t xml:space="preserve"> délky trvání ukončeného případu</w:t>
      </w:r>
      <w:r w:rsidR="00056FF3" w:rsidRPr="00443707">
        <w:rPr>
          <w:color w:val="000000" w:themeColor="text1"/>
        </w:rPr>
        <w:t xml:space="preserve"> o </w:t>
      </w:r>
      <w:r w:rsidR="00443707" w:rsidRPr="00443707">
        <w:rPr>
          <w:color w:val="000000" w:themeColor="text1"/>
        </w:rPr>
        <w:t xml:space="preserve">necelých </w:t>
      </w:r>
      <w:r w:rsidR="00056FF3" w:rsidRPr="00443707">
        <w:rPr>
          <w:color w:val="000000" w:themeColor="text1"/>
        </w:rPr>
        <w:t>10 dní. Průměrná délka trvání ukončeného případu pracovní neschopnosti pro 60</w:t>
      </w:r>
      <w:r w:rsidR="00443707" w:rsidRPr="00443707">
        <w:rPr>
          <w:color w:val="000000" w:themeColor="text1"/>
        </w:rPr>
        <w:t>leté a starší muže klesla o 16,4 dní, u žen</w:t>
      </w:r>
      <w:r w:rsidR="00056FF3" w:rsidRPr="00443707">
        <w:rPr>
          <w:color w:val="000000" w:themeColor="text1"/>
        </w:rPr>
        <w:t xml:space="preserve"> o</w:t>
      </w:r>
      <w:r w:rsidR="00443707" w:rsidRPr="00443707">
        <w:rPr>
          <w:color w:val="000000" w:themeColor="text1"/>
        </w:rPr>
        <w:t xml:space="preserve"> 11,6 dní</w:t>
      </w:r>
      <w:r w:rsidR="00056FF3" w:rsidRPr="00443707">
        <w:rPr>
          <w:color w:val="000000" w:themeColor="text1"/>
        </w:rPr>
        <w:t>.</w:t>
      </w:r>
    </w:p>
    <w:p w:rsidR="00D62D99" w:rsidRPr="00D62D99" w:rsidRDefault="00D62D99" w:rsidP="00443707">
      <w:pPr>
        <w:spacing w:after="40" w:line="240" w:lineRule="auto"/>
        <w:rPr>
          <w:rFonts w:cs="Arial"/>
          <w:b/>
          <w:color w:val="000000"/>
          <w:spacing w:val="-4"/>
          <w:szCs w:val="16"/>
        </w:rPr>
      </w:pPr>
      <w:r w:rsidRPr="00D62D99">
        <w:rPr>
          <w:rFonts w:cs="Arial"/>
          <w:b/>
          <w:color w:val="000000"/>
          <w:spacing w:val="-4"/>
          <w:szCs w:val="16"/>
        </w:rPr>
        <w:t>Tab. 3.2: Ukončené případy dočasné pracovní neschopnosti a</w:t>
      </w:r>
      <w:r>
        <w:rPr>
          <w:rFonts w:cs="Arial"/>
          <w:b/>
          <w:color w:val="000000"/>
          <w:spacing w:val="-4"/>
          <w:szCs w:val="16"/>
        </w:rPr>
        <w:t xml:space="preserve"> průměrná délka jejich trvání po</w:t>
      </w:r>
      <w:r w:rsidRPr="00D62D99">
        <w:rPr>
          <w:rFonts w:cs="Arial"/>
          <w:b/>
          <w:color w:val="000000"/>
          <w:spacing w:val="-4"/>
          <w:szCs w:val="16"/>
        </w:rPr>
        <w:t>dle věkových skupin, 2019, 2021</w:t>
      </w:r>
      <w:r>
        <w:rPr>
          <w:rFonts w:cs="Arial"/>
          <w:b/>
          <w:color w:val="000000"/>
          <w:spacing w:val="-4"/>
          <w:szCs w:val="16"/>
        </w:rPr>
        <w:t>, 2024</w:t>
      </w:r>
    </w:p>
    <w:tbl>
      <w:tblPr>
        <w:tblW w:w="9723" w:type="dxa"/>
        <w:tblCellMar>
          <w:left w:w="70" w:type="dxa"/>
          <w:right w:w="70" w:type="dxa"/>
        </w:tblCellMar>
        <w:tblLook w:val="04A0" w:firstRow="1" w:lastRow="0" w:firstColumn="1" w:lastColumn="0" w:noHBand="0" w:noVBand="1"/>
      </w:tblPr>
      <w:tblGrid>
        <w:gridCol w:w="1474"/>
        <w:gridCol w:w="1609"/>
        <w:gridCol w:w="1252"/>
        <w:gridCol w:w="1254"/>
        <w:gridCol w:w="1610"/>
        <w:gridCol w:w="1252"/>
        <w:gridCol w:w="1254"/>
        <w:gridCol w:w="18"/>
      </w:tblGrid>
      <w:tr w:rsidR="00D62D99" w:rsidRPr="00D62D99" w:rsidTr="00AD25A6">
        <w:trPr>
          <w:gridAfter w:val="1"/>
          <w:wAfter w:w="18" w:type="dxa"/>
          <w:trHeight w:val="567"/>
        </w:trPr>
        <w:tc>
          <w:tcPr>
            <w:tcW w:w="1474" w:type="dxa"/>
            <w:vMerge w:val="restart"/>
            <w:tcBorders>
              <w:top w:val="single" w:sz="4" w:space="0" w:color="auto"/>
              <w:left w:val="nil"/>
              <w:bottom w:val="single" w:sz="4" w:space="0" w:color="000000"/>
              <w:right w:val="single" w:sz="4" w:space="0" w:color="auto"/>
            </w:tcBorders>
            <w:shd w:val="clear" w:color="auto" w:fill="E6C483"/>
            <w:vAlign w:val="center"/>
            <w:hideMark/>
          </w:tcPr>
          <w:p w:rsidR="00D62D99" w:rsidRPr="00D62D99" w:rsidRDefault="00D62D99" w:rsidP="00D62D99">
            <w:pPr>
              <w:spacing w:after="0" w:line="240" w:lineRule="auto"/>
              <w:jc w:val="center"/>
              <w:rPr>
                <w:rFonts w:cs="Arial"/>
                <w:color w:val="000000"/>
                <w:sz w:val="16"/>
                <w:szCs w:val="16"/>
              </w:rPr>
            </w:pPr>
            <w:r w:rsidRPr="00D62D99">
              <w:rPr>
                <w:rFonts w:cs="Arial"/>
                <w:color w:val="000000"/>
                <w:sz w:val="16"/>
                <w:szCs w:val="16"/>
              </w:rPr>
              <w:t>Věková skupina</w:t>
            </w:r>
          </w:p>
        </w:tc>
        <w:tc>
          <w:tcPr>
            <w:tcW w:w="4115" w:type="dxa"/>
            <w:gridSpan w:val="3"/>
            <w:tcBorders>
              <w:top w:val="single" w:sz="4" w:space="0" w:color="auto"/>
              <w:left w:val="nil"/>
              <w:bottom w:val="single" w:sz="4" w:space="0" w:color="auto"/>
              <w:right w:val="single" w:sz="4" w:space="0" w:color="000000"/>
            </w:tcBorders>
            <w:shd w:val="clear" w:color="auto" w:fill="E6C483"/>
            <w:vAlign w:val="center"/>
            <w:hideMark/>
          </w:tcPr>
          <w:p w:rsidR="00D62D99" w:rsidRPr="00D62D99" w:rsidRDefault="00D62D99" w:rsidP="00D62D99">
            <w:pPr>
              <w:spacing w:after="0" w:line="240" w:lineRule="auto"/>
              <w:jc w:val="center"/>
              <w:rPr>
                <w:rFonts w:cs="Arial"/>
                <w:color w:val="000000"/>
                <w:sz w:val="16"/>
                <w:szCs w:val="16"/>
              </w:rPr>
            </w:pPr>
            <w:r w:rsidRPr="00D62D99">
              <w:rPr>
                <w:rFonts w:cs="Arial"/>
                <w:color w:val="000000"/>
                <w:sz w:val="16"/>
                <w:szCs w:val="16"/>
              </w:rPr>
              <w:t>Počet ukončených případů DPN (tis.)</w:t>
            </w:r>
          </w:p>
        </w:tc>
        <w:tc>
          <w:tcPr>
            <w:tcW w:w="4116" w:type="dxa"/>
            <w:gridSpan w:val="3"/>
            <w:tcBorders>
              <w:top w:val="single" w:sz="4" w:space="0" w:color="auto"/>
              <w:left w:val="nil"/>
              <w:bottom w:val="single" w:sz="4" w:space="0" w:color="auto"/>
              <w:right w:val="nil"/>
            </w:tcBorders>
            <w:shd w:val="clear" w:color="auto" w:fill="E6C483"/>
            <w:vAlign w:val="center"/>
            <w:hideMark/>
          </w:tcPr>
          <w:p w:rsidR="00D62D99" w:rsidRPr="00D62D99" w:rsidRDefault="00D62D99" w:rsidP="00D62D99">
            <w:pPr>
              <w:spacing w:after="0" w:line="240" w:lineRule="auto"/>
              <w:jc w:val="center"/>
              <w:rPr>
                <w:rFonts w:cs="Arial"/>
                <w:color w:val="000000"/>
                <w:sz w:val="16"/>
                <w:szCs w:val="16"/>
              </w:rPr>
            </w:pPr>
            <w:r w:rsidRPr="00D62D99">
              <w:rPr>
                <w:rFonts w:cs="Arial"/>
                <w:color w:val="000000"/>
                <w:sz w:val="16"/>
                <w:szCs w:val="16"/>
              </w:rPr>
              <w:t>Průměrná dé</w:t>
            </w:r>
            <w:r w:rsidR="001A1051">
              <w:rPr>
                <w:rFonts w:cs="Arial"/>
                <w:color w:val="000000"/>
                <w:sz w:val="16"/>
                <w:szCs w:val="16"/>
              </w:rPr>
              <w:t>lka trvání 1 ukončeného případu</w:t>
            </w:r>
            <w:r w:rsidR="001A1051">
              <w:rPr>
                <w:rFonts w:cs="Arial"/>
                <w:color w:val="000000"/>
                <w:sz w:val="16"/>
                <w:szCs w:val="16"/>
              </w:rPr>
              <w:br/>
            </w:r>
            <w:r w:rsidRPr="00D62D99">
              <w:rPr>
                <w:rFonts w:cs="Arial"/>
                <w:color w:val="000000"/>
                <w:sz w:val="16"/>
                <w:szCs w:val="16"/>
              </w:rPr>
              <w:t>DPN ve dnech</w:t>
            </w:r>
          </w:p>
        </w:tc>
      </w:tr>
      <w:tr w:rsidR="00D62D99" w:rsidRPr="00D62D99" w:rsidTr="00AD25A6">
        <w:trPr>
          <w:gridAfter w:val="1"/>
          <w:wAfter w:w="18" w:type="dxa"/>
          <w:trHeight w:val="300"/>
        </w:trPr>
        <w:tc>
          <w:tcPr>
            <w:tcW w:w="1474" w:type="dxa"/>
            <w:vMerge/>
            <w:tcBorders>
              <w:top w:val="single" w:sz="4" w:space="0" w:color="auto"/>
              <w:left w:val="nil"/>
              <w:bottom w:val="single" w:sz="4" w:space="0" w:color="000000"/>
              <w:right w:val="single" w:sz="4" w:space="0" w:color="auto"/>
            </w:tcBorders>
            <w:shd w:val="clear" w:color="auto" w:fill="E6C483"/>
            <w:vAlign w:val="center"/>
            <w:hideMark/>
          </w:tcPr>
          <w:p w:rsidR="00D62D99" w:rsidRPr="00D62D99" w:rsidRDefault="00D62D99" w:rsidP="00D62D99">
            <w:pPr>
              <w:spacing w:after="0" w:line="240" w:lineRule="auto"/>
              <w:jc w:val="left"/>
              <w:rPr>
                <w:rFonts w:cs="Arial"/>
                <w:color w:val="000000"/>
                <w:sz w:val="16"/>
                <w:szCs w:val="16"/>
              </w:rPr>
            </w:pPr>
          </w:p>
        </w:tc>
        <w:tc>
          <w:tcPr>
            <w:tcW w:w="1609" w:type="dxa"/>
            <w:vMerge w:val="restart"/>
            <w:tcBorders>
              <w:top w:val="nil"/>
              <w:left w:val="single" w:sz="4" w:space="0" w:color="auto"/>
              <w:right w:val="nil"/>
            </w:tcBorders>
            <w:shd w:val="clear" w:color="auto" w:fill="E6C483"/>
            <w:vAlign w:val="center"/>
            <w:hideMark/>
          </w:tcPr>
          <w:p w:rsidR="00D62D99" w:rsidRPr="00D62D99" w:rsidRDefault="00D62D99" w:rsidP="00D62D99">
            <w:pPr>
              <w:spacing w:after="0" w:line="240" w:lineRule="auto"/>
              <w:jc w:val="center"/>
              <w:rPr>
                <w:rFonts w:cs="Arial"/>
                <w:b/>
                <w:bCs/>
                <w:color w:val="000000"/>
                <w:sz w:val="16"/>
                <w:szCs w:val="16"/>
              </w:rPr>
            </w:pPr>
            <w:r w:rsidRPr="00D62D99">
              <w:rPr>
                <w:rFonts w:cs="Arial"/>
                <w:b/>
                <w:bCs/>
                <w:color w:val="000000"/>
                <w:sz w:val="16"/>
                <w:szCs w:val="16"/>
              </w:rPr>
              <w:t>Celkem</w:t>
            </w:r>
          </w:p>
        </w:tc>
        <w:tc>
          <w:tcPr>
            <w:tcW w:w="2506" w:type="dxa"/>
            <w:gridSpan w:val="2"/>
            <w:tcBorders>
              <w:top w:val="single" w:sz="4" w:space="0" w:color="auto"/>
              <w:left w:val="single" w:sz="4" w:space="0" w:color="auto"/>
              <w:bottom w:val="single" w:sz="4" w:space="0" w:color="auto"/>
              <w:right w:val="single" w:sz="4" w:space="0" w:color="auto"/>
            </w:tcBorders>
            <w:shd w:val="clear" w:color="auto" w:fill="E6C483"/>
            <w:vAlign w:val="center"/>
            <w:hideMark/>
          </w:tcPr>
          <w:p w:rsidR="00D62D99" w:rsidRPr="00D62D99" w:rsidRDefault="00D62D99" w:rsidP="00D62D99">
            <w:pPr>
              <w:spacing w:after="0" w:line="240" w:lineRule="auto"/>
              <w:jc w:val="center"/>
              <w:rPr>
                <w:rFonts w:cs="Arial"/>
                <w:color w:val="000000"/>
                <w:sz w:val="16"/>
                <w:szCs w:val="16"/>
              </w:rPr>
            </w:pPr>
            <w:r w:rsidRPr="00D62D99">
              <w:rPr>
                <w:rFonts w:cs="Arial"/>
                <w:color w:val="000000"/>
                <w:sz w:val="16"/>
                <w:szCs w:val="16"/>
              </w:rPr>
              <w:t>podle pohlaví</w:t>
            </w:r>
          </w:p>
        </w:tc>
        <w:tc>
          <w:tcPr>
            <w:tcW w:w="1610" w:type="dxa"/>
            <w:vMerge w:val="restart"/>
            <w:tcBorders>
              <w:top w:val="nil"/>
              <w:left w:val="single" w:sz="4" w:space="0" w:color="auto"/>
              <w:right w:val="nil"/>
            </w:tcBorders>
            <w:shd w:val="clear" w:color="auto" w:fill="E6C483"/>
            <w:vAlign w:val="center"/>
            <w:hideMark/>
          </w:tcPr>
          <w:p w:rsidR="00D62D99" w:rsidRPr="00D62D99" w:rsidRDefault="00D62D99" w:rsidP="00D62D99">
            <w:pPr>
              <w:spacing w:after="0" w:line="240" w:lineRule="auto"/>
              <w:jc w:val="center"/>
              <w:rPr>
                <w:rFonts w:cs="Arial"/>
                <w:b/>
                <w:bCs/>
                <w:color w:val="000000"/>
                <w:sz w:val="16"/>
                <w:szCs w:val="16"/>
              </w:rPr>
            </w:pPr>
            <w:r w:rsidRPr="00D62D99">
              <w:rPr>
                <w:rFonts w:cs="Arial"/>
                <w:b/>
                <w:bCs/>
                <w:color w:val="000000"/>
                <w:sz w:val="16"/>
                <w:szCs w:val="16"/>
              </w:rPr>
              <w:t>Celkem</w:t>
            </w:r>
          </w:p>
        </w:tc>
        <w:tc>
          <w:tcPr>
            <w:tcW w:w="2506" w:type="dxa"/>
            <w:gridSpan w:val="2"/>
            <w:tcBorders>
              <w:top w:val="single" w:sz="4" w:space="0" w:color="auto"/>
              <w:left w:val="single" w:sz="4" w:space="0" w:color="auto"/>
              <w:bottom w:val="single" w:sz="4" w:space="0" w:color="auto"/>
            </w:tcBorders>
            <w:shd w:val="clear" w:color="auto" w:fill="E6C483"/>
            <w:vAlign w:val="center"/>
            <w:hideMark/>
          </w:tcPr>
          <w:p w:rsidR="00D62D99" w:rsidRPr="00D62D99" w:rsidRDefault="00D62D99" w:rsidP="00D62D99">
            <w:pPr>
              <w:spacing w:after="0" w:line="240" w:lineRule="auto"/>
              <w:jc w:val="center"/>
              <w:rPr>
                <w:rFonts w:cs="Arial"/>
                <w:color w:val="000000"/>
                <w:sz w:val="16"/>
                <w:szCs w:val="16"/>
              </w:rPr>
            </w:pPr>
            <w:r w:rsidRPr="00D62D99">
              <w:rPr>
                <w:rFonts w:cs="Arial"/>
                <w:color w:val="000000"/>
                <w:sz w:val="16"/>
                <w:szCs w:val="16"/>
              </w:rPr>
              <w:t>podle pohlaví</w:t>
            </w:r>
          </w:p>
        </w:tc>
      </w:tr>
      <w:tr w:rsidR="00D62D99" w:rsidRPr="00D62D99" w:rsidTr="00AD25A6">
        <w:trPr>
          <w:gridAfter w:val="1"/>
          <w:wAfter w:w="18" w:type="dxa"/>
          <w:trHeight w:val="300"/>
        </w:trPr>
        <w:tc>
          <w:tcPr>
            <w:tcW w:w="1474" w:type="dxa"/>
            <w:vMerge/>
            <w:tcBorders>
              <w:top w:val="single" w:sz="4" w:space="0" w:color="auto"/>
              <w:left w:val="nil"/>
              <w:bottom w:val="single" w:sz="4" w:space="0" w:color="000000"/>
              <w:right w:val="single" w:sz="4" w:space="0" w:color="auto"/>
            </w:tcBorders>
            <w:shd w:val="clear" w:color="auto" w:fill="E6C483"/>
            <w:vAlign w:val="center"/>
            <w:hideMark/>
          </w:tcPr>
          <w:p w:rsidR="00D62D99" w:rsidRPr="00D62D99" w:rsidRDefault="00D62D99" w:rsidP="00D62D99">
            <w:pPr>
              <w:spacing w:after="0" w:line="240" w:lineRule="auto"/>
              <w:jc w:val="left"/>
              <w:rPr>
                <w:rFonts w:cs="Arial"/>
                <w:color w:val="000000"/>
                <w:sz w:val="16"/>
                <w:szCs w:val="16"/>
              </w:rPr>
            </w:pPr>
          </w:p>
        </w:tc>
        <w:tc>
          <w:tcPr>
            <w:tcW w:w="1609" w:type="dxa"/>
            <w:vMerge/>
            <w:tcBorders>
              <w:left w:val="single" w:sz="4" w:space="0" w:color="auto"/>
              <w:bottom w:val="single" w:sz="4" w:space="0" w:color="000000"/>
              <w:right w:val="nil"/>
            </w:tcBorders>
            <w:shd w:val="clear" w:color="auto" w:fill="E6C483"/>
            <w:vAlign w:val="center"/>
            <w:hideMark/>
          </w:tcPr>
          <w:p w:rsidR="00D62D99" w:rsidRPr="00D62D99" w:rsidRDefault="00D62D99" w:rsidP="00D62D99">
            <w:pPr>
              <w:spacing w:after="0" w:line="240" w:lineRule="auto"/>
              <w:jc w:val="left"/>
              <w:rPr>
                <w:rFonts w:cs="Arial"/>
                <w:b/>
                <w:bCs/>
                <w:color w:val="000000"/>
                <w:sz w:val="16"/>
                <w:szCs w:val="16"/>
              </w:rPr>
            </w:pPr>
          </w:p>
        </w:tc>
        <w:tc>
          <w:tcPr>
            <w:tcW w:w="1252" w:type="dxa"/>
            <w:tcBorders>
              <w:top w:val="nil"/>
              <w:left w:val="single" w:sz="4" w:space="0" w:color="auto"/>
              <w:bottom w:val="single" w:sz="4" w:space="0" w:color="auto"/>
              <w:right w:val="single" w:sz="4" w:space="0" w:color="auto"/>
            </w:tcBorders>
            <w:shd w:val="clear" w:color="auto" w:fill="E6C483"/>
            <w:vAlign w:val="center"/>
            <w:hideMark/>
          </w:tcPr>
          <w:p w:rsidR="00D62D99" w:rsidRPr="00D62D99" w:rsidRDefault="00D62D99" w:rsidP="00D62D99">
            <w:pPr>
              <w:spacing w:after="0" w:line="240" w:lineRule="auto"/>
              <w:jc w:val="center"/>
              <w:rPr>
                <w:rFonts w:cs="Arial"/>
                <w:color w:val="000000"/>
                <w:sz w:val="16"/>
                <w:szCs w:val="16"/>
              </w:rPr>
            </w:pPr>
            <w:r w:rsidRPr="00D62D99">
              <w:rPr>
                <w:rFonts w:cs="Arial"/>
                <w:color w:val="000000"/>
                <w:sz w:val="16"/>
                <w:szCs w:val="16"/>
              </w:rPr>
              <w:t>muži</w:t>
            </w:r>
          </w:p>
        </w:tc>
        <w:tc>
          <w:tcPr>
            <w:tcW w:w="1254" w:type="dxa"/>
            <w:tcBorders>
              <w:top w:val="nil"/>
              <w:left w:val="nil"/>
              <w:bottom w:val="single" w:sz="4" w:space="0" w:color="auto"/>
              <w:right w:val="single" w:sz="4" w:space="0" w:color="auto"/>
            </w:tcBorders>
            <w:shd w:val="clear" w:color="auto" w:fill="E6C483"/>
            <w:vAlign w:val="center"/>
            <w:hideMark/>
          </w:tcPr>
          <w:p w:rsidR="00D62D99" w:rsidRPr="00D62D99" w:rsidRDefault="00D62D99" w:rsidP="00D62D99">
            <w:pPr>
              <w:spacing w:after="0" w:line="240" w:lineRule="auto"/>
              <w:jc w:val="center"/>
              <w:rPr>
                <w:rFonts w:cs="Arial"/>
                <w:color w:val="000000"/>
                <w:sz w:val="16"/>
                <w:szCs w:val="16"/>
              </w:rPr>
            </w:pPr>
            <w:r w:rsidRPr="00D62D99">
              <w:rPr>
                <w:rFonts w:cs="Arial"/>
                <w:color w:val="000000"/>
                <w:sz w:val="16"/>
                <w:szCs w:val="16"/>
              </w:rPr>
              <w:t>ženy</w:t>
            </w:r>
          </w:p>
        </w:tc>
        <w:tc>
          <w:tcPr>
            <w:tcW w:w="1610" w:type="dxa"/>
            <w:vMerge/>
            <w:tcBorders>
              <w:left w:val="single" w:sz="4" w:space="0" w:color="auto"/>
              <w:bottom w:val="single" w:sz="4" w:space="0" w:color="000000"/>
              <w:right w:val="nil"/>
            </w:tcBorders>
            <w:shd w:val="clear" w:color="auto" w:fill="E6C483"/>
            <w:vAlign w:val="center"/>
            <w:hideMark/>
          </w:tcPr>
          <w:p w:rsidR="00D62D99" w:rsidRPr="00D62D99" w:rsidRDefault="00D62D99" w:rsidP="00D62D99">
            <w:pPr>
              <w:spacing w:after="0" w:line="240" w:lineRule="auto"/>
              <w:jc w:val="left"/>
              <w:rPr>
                <w:rFonts w:cs="Arial"/>
                <w:b/>
                <w:bCs/>
                <w:color w:val="000000"/>
                <w:sz w:val="16"/>
                <w:szCs w:val="16"/>
              </w:rPr>
            </w:pPr>
          </w:p>
        </w:tc>
        <w:tc>
          <w:tcPr>
            <w:tcW w:w="1252" w:type="dxa"/>
            <w:tcBorders>
              <w:top w:val="nil"/>
              <w:left w:val="single" w:sz="4" w:space="0" w:color="auto"/>
              <w:bottom w:val="single" w:sz="4" w:space="0" w:color="auto"/>
              <w:right w:val="single" w:sz="4" w:space="0" w:color="auto"/>
            </w:tcBorders>
            <w:shd w:val="clear" w:color="auto" w:fill="E6C483"/>
            <w:vAlign w:val="center"/>
            <w:hideMark/>
          </w:tcPr>
          <w:p w:rsidR="00D62D99" w:rsidRPr="00D62D99" w:rsidRDefault="00D62D99" w:rsidP="00D62D99">
            <w:pPr>
              <w:spacing w:after="0" w:line="240" w:lineRule="auto"/>
              <w:jc w:val="center"/>
              <w:rPr>
                <w:rFonts w:cs="Arial"/>
                <w:color w:val="000000"/>
                <w:sz w:val="16"/>
                <w:szCs w:val="16"/>
              </w:rPr>
            </w:pPr>
            <w:r w:rsidRPr="00D62D99">
              <w:rPr>
                <w:rFonts w:cs="Arial"/>
                <w:color w:val="000000"/>
                <w:sz w:val="16"/>
                <w:szCs w:val="16"/>
              </w:rPr>
              <w:t>muži</w:t>
            </w:r>
          </w:p>
        </w:tc>
        <w:tc>
          <w:tcPr>
            <w:tcW w:w="1254" w:type="dxa"/>
            <w:tcBorders>
              <w:top w:val="nil"/>
              <w:left w:val="nil"/>
              <w:bottom w:val="single" w:sz="4" w:space="0" w:color="auto"/>
              <w:right w:val="nil"/>
            </w:tcBorders>
            <w:shd w:val="clear" w:color="auto" w:fill="E6C483"/>
            <w:vAlign w:val="center"/>
            <w:hideMark/>
          </w:tcPr>
          <w:p w:rsidR="00D62D99" w:rsidRPr="00D62D99" w:rsidRDefault="00D62D99" w:rsidP="00D62D99">
            <w:pPr>
              <w:spacing w:after="0" w:line="240" w:lineRule="auto"/>
              <w:jc w:val="center"/>
              <w:rPr>
                <w:rFonts w:cs="Arial"/>
                <w:color w:val="000000"/>
                <w:sz w:val="16"/>
                <w:szCs w:val="16"/>
              </w:rPr>
            </w:pPr>
            <w:r w:rsidRPr="00D62D99">
              <w:rPr>
                <w:rFonts w:cs="Arial"/>
                <w:color w:val="000000"/>
                <w:sz w:val="16"/>
                <w:szCs w:val="16"/>
              </w:rPr>
              <w:t>ženy</w:t>
            </w:r>
          </w:p>
        </w:tc>
      </w:tr>
      <w:tr w:rsidR="00D62D99" w:rsidRPr="00D62D99" w:rsidTr="00AD25A6">
        <w:trPr>
          <w:trHeight w:val="300"/>
        </w:trPr>
        <w:tc>
          <w:tcPr>
            <w:tcW w:w="1474" w:type="dxa"/>
            <w:vMerge/>
            <w:tcBorders>
              <w:top w:val="single" w:sz="4" w:space="0" w:color="auto"/>
              <w:left w:val="nil"/>
              <w:bottom w:val="single" w:sz="4" w:space="0" w:color="000000"/>
              <w:right w:val="single" w:sz="4" w:space="0" w:color="auto"/>
            </w:tcBorders>
            <w:shd w:val="clear" w:color="auto" w:fill="E6C483"/>
            <w:vAlign w:val="center"/>
            <w:hideMark/>
          </w:tcPr>
          <w:p w:rsidR="00D62D99" w:rsidRPr="00D62D99" w:rsidRDefault="00D62D99" w:rsidP="00D62D99">
            <w:pPr>
              <w:spacing w:after="0" w:line="240" w:lineRule="auto"/>
              <w:jc w:val="left"/>
              <w:rPr>
                <w:rFonts w:cs="Arial"/>
                <w:color w:val="000000"/>
                <w:sz w:val="16"/>
                <w:szCs w:val="16"/>
              </w:rPr>
            </w:pPr>
          </w:p>
        </w:tc>
        <w:tc>
          <w:tcPr>
            <w:tcW w:w="8249" w:type="dxa"/>
            <w:gridSpan w:val="7"/>
            <w:tcBorders>
              <w:top w:val="single" w:sz="4" w:space="0" w:color="auto"/>
              <w:left w:val="nil"/>
              <w:bottom w:val="single" w:sz="4" w:space="0" w:color="auto"/>
              <w:right w:val="nil"/>
            </w:tcBorders>
            <w:shd w:val="clear" w:color="auto" w:fill="E6C483"/>
            <w:vAlign w:val="center"/>
            <w:hideMark/>
          </w:tcPr>
          <w:p w:rsidR="00D62D99" w:rsidRPr="00D62D99" w:rsidRDefault="00D62D99" w:rsidP="00D62D99">
            <w:pPr>
              <w:spacing w:after="0" w:line="240" w:lineRule="auto"/>
              <w:jc w:val="center"/>
              <w:rPr>
                <w:rFonts w:cs="Arial"/>
                <w:b/>
                <w:bCs/>
                <w:color w:val="000000"/>
                <w:sz w:val="16"/>
                <w:szCs w:val="16"/>
              </w:rPr>
            </w:pPr>
            <w:r w:rsidRPr="00D62D99">
              <w:rPr>
                <w:rFonts w:cs="Arial"/>
                <w:b/>
                <w:bCs/>
                <w:color w:val="000000"/>
                <w:sz w:val="16"/>
                <w:szCs w:val="16"/>
              </w:rPr>
              <w:t>2019</w:t>
            </w:r>
          </w:p>
        </w:tc>
      </w:tr>
      <w:tr w:rsidR="00D62D99" w:rsidRPr="00D62D99" w:rsidTr="00D62D99">
        <w:trPr>
          <w:gridAfter w:val="1"/>
          <w:wAfter w:w="18" w:type="dxa"/>
          <w:trHeight w:val="300"/>
        </w:trPr>
        <w:tc>
          <w:tcPr>
            <w:tcW w:w="1474" w:type="dxa"/>
            <w:tcBorders>
              <w:top w:val="nil"/>
              <w:left w:val="nil"/>
              <w:bottom w:val="nil"/>
              <w:right w:val="single" w:sz="4" w:space="0" w:color="auto"/>
            </w:tcBorders>
            <w:shd w:val="clear" w:color="auto" w:fill="auto"/>
            <w:vAlign w:val="center"/>
            <w:hideMark/>
          </w:tcPr>
          <w:p w:rsidR="00D62D99" w:rsidRPr="00D62D99" w:rsidRDefault="00D62D99" w:rsidP="00D62D99">
            <w:pPr>
              <w:spacing w:after="0" w:line="240" w:lineRule="auto"/>
              <w:jc w:val="left"/>
              <w:rPr>
                <w:rFonts w:cs="Arial"/>
                <w:b/>
                <w:bCs/>
                <w:color w:val="000000"/>
                <w:sz w:val="16"/>
                <w:szCs w:val="16"/>
              </w:rPr>
            </w:pPr>
            <w:r w:rsidRPr="00D62D99">
              <w:rPr>
                <w:rFonts w:cs="Arial"/>
                <w:b/>
                <w:bCs/>
                <w:color w:val="000000"/>
                <w:sz w:val="16"/>
                <w:szCs w:val="16"/>
              </w:rPr>
              <w:t>Celkem</w:t>
            </w:r>
          </w:p>
        </w:tc>
        <w:tc>
          <w:tcPr>
            <w:tcW w:w="1609" w:type="dxa"/>
            <w:tcBorders>
              <w:top w:val="nil"/>
              <w:left w:val="nil"/>
              <w:bottom w:val="nil"/>
              <w:right w:val="nil"/>
            </w:tcBorders>
            <w:shd w:val="clear" w:color="auto" w:fill="auto"/>
            <w:vAlign w:val="center"/>
            <w:hideMark/>
          </w:tcPr>
          <w:p w:rsidR="00D62D99" w:rsidRPr="00D62D99" w:rsidRDefault="00D62D99" w:rsidP="00D62D99">
            <w:pPr>
              <w:spacing w:after="0" w:line="240" w:lineRule="auto"/>
              <w:jc w:val="right"/>
              <w:rPr>
                <w:rFonts w:cs="Arial"/>
                <w:b/>
                <w:bCs/>
                <w:color w:val="000000"/>
                <w:sz w:val="16"/>
                <w:szCs w:val="16"/>
              </w:rPr>
            </w:pPr>
            <w:r w:rsidRPr="00D62D99">
              <w:rPr>
                <w:rFonts w:cs="Arial"/>
                <w:b/>
                <w:bCs/>
                <w:color w:val="000000"/>
                <w:sz w:val="16"/>
                <w:szCs w:val="16"/>
              </w:rPr>
              <w:t>1 832,4</w:t>
            </w:r>
          </w:p>
        </w:tc>
        <w:tc>
          <w:tcPr>
            <w:tcW w:w="1252" w:type="dxa"/>
            <w:tcBorders>
              <w:top w:val="nil"/>
              <w:left w:val="nil"/>
              <w:bottom w:val="nil"/>
              <w:right w:val="nil"/>
            </w:tcBorders>
            <w:shd w:val="clear" w:color="auto" w:fill="auto"/>
            <w:vAlign w:val="center"/>
            <w:hideMark/>
          </w:tcPr>
          <w:p w:rsidR="00D62D99" w:rsidRPr="00D62D99" w:rsidRDefault="00D62D99" w:rsidP="00D62D99">
            <w:pPr>
              <w:spacing w:after="0" w:line="240" w:lineRule="auto"/>
              <w:jc w:val="right"/>
              <w:rPr>
                <w:rFonts w:cs="Arial"/>
                <w:b/>
                <w:bCs/>
                <w:color w:val="000000"/>
                <w:sz w:val="16"/>
                <w:szCs w:val="16"/>
              </w:rPr>
            </w:pPr>
            <w:r w:rsidRPr="00D62D99">
              <w:rPr>
                <w:rFonts w:cs="Arial"/>
                <w:b/>
                <w:bCs/>
                <w:color w:val="000000"/>
                <w:sz w:val="16"/>
                <w:szCs w:val="16"/>
              </w:rPr>
              <w:t>862,4</w:t>
            </w:r>
          </w:p>
        </w:tc>
        <w:tc>
          <w:tcPr>
            <w:tcW w:w="1254" w:type="dxa"/>
            <w:tcBorders>
              <w:top w:val="nil"/>
              <w:left w:val="nil"/>
              <w:bottom w:val="nil"/>
              <w:right w:val="single" w:sz="4" w:space="0" w:color="auto"/>
            </w:tcBorders>
            <w:shd w:val="clear" w:color="auto" w:fill="auto"/>
            <w:vAlign w:val="center"/>
            <w:hideMark/>
          </w:tcPr>
          <w:p w:rsidR="00D62D99" w:rsidRPr="00D62D99" w:rsidRDefault="00D62D99" w:rsidP="00D62D99">
            <w:pPr>
              <w:spacing w:after="0" w:line="240" w:lineRule="auto"/>
              <w:jc w:val="right"/>
              <w:rPr>
                <w:rFonts w:cs="Arial"/>
                <w:b/>
                <w:bCs/>
                <w:color w:val="000000"/>
                <w:sz w:val="16"/>
                <w:szCs w:val="16"/>
              </w:rPr>
            </w:pPr>
            <w:r w:rsidRPr="00D62D99">
              <w:rPr>
                <w:rFonts w:cs="Arial"/>
                <w:b/>
                <w:bCs/>
                <w:color w:val="000000"/>
                <w:sz w:val="16"/>
                <w:szCs w:val="16"/>
              </w:rPr>
              <w:t>970,1</w:t>
            </w:r>
          </w:p>
        </w:tc>
        <w:tc>
          <w:tcPr>
            <w:tcW w:w="1610" w:type="dxa"/>
            <w:tcBorders>
              <w:top w:val="nil"/>
              <w:left w:val="nil"/>
              <w:bottom w:val="nil"/>
              <w:right w:val="nil"/>
            </w:tcBorders>
            <w:shd w:val="clear" w:color="auto" w:fill="auto"/>
            <w:vAlign w:val="center"/>
            <w:hideMark/>
          </w:tcPr>
          <w:p w:rsidR="00D62D99" w:rsidRPr="00D62D99" w:rsidRDefault="00D62D99" w:rsidP="00D62D99">
            <w:pPr>
              <w:spacing w:after="0" w:line="240" w:lineRule="auto"/>
              <w:jc w:val="center"/>
              <w:rPr>
                <w:rFonts w:cs="Arial"/>
                <w:b/>
                <w:bCs/>
                <w:color w:val="000000"/>
                <w:sz w:val="16"/>
                <w:szCs w:val="16"/>
              </w:rPr>
            </w:pPr>
            <w:r w:rsidRPr="00D62D99">
              <w:rPr>
                <w:rFonts w:cs="Arial"/>
                <w:b/>
                <w:bCs/>
                <w:color w:val="000000"/>
                <w:sz w:val="16"/>
                <w:szCs w:val="16"/>
              </w:rPr>
              <w:t>41,0</w:t>
            </w:r>
          </w:p>
        </w:tc>
        <w:tc>
          <w:tcPr>
            <w:tcW w:w="1252" w:type="dxa"/>
            <w:tcBorders>
              <w:top w:val="nil"/>
              <w:left w:val="nil"/>
              <w:bottom w:val="nil"/>
              <w:right w:val="nil"/>
            </w:tcBorders>
            <w:shd w:val="clear" w:color="auto" w:fill="auto"/>
            <w:vAlign w:val="center"/>
            <w:hideMark/>
          </w:tcPr>
          <w:p w:rsidR="00D62D99" w:rsidRPr="00D62D99" w:rsidRDefault="00D62D99" w:rsidP="00D62D99">
            <w:pPr>
              <w:spacing w:after="0" w:line="240" w:lineRule="auto"/>
              <w:jc w:val="center"/>
              <w:rPr>
                <w:rFonts w:cs="Arial"/>
                <w:b/>
                <w:bCs/>
                <w:color w:val="000000"/>
                <w:sz w:val="16"/>
                <w:szCs w:val="16"/>
              </w:rPr>
            </w:pPr>
            <w:r w:rsidRPr="00D62D99">
              <w:rPr>
                <w:rFonts w:cs="Arial"/>
                <w:b/>
                <w:bCs/>
                <w:color w:val="000000"/>
                <w:sz w:val="16"/>
                <w:szCs w:val="16"/>
              </w:rPr>
              <w:t>39,1</w:t>
            </w:r>
          </w:p>
        </w:tc>
        <w:tc>
          <w:tcPr>
            <w:tcW w:w="1254" w:type="dxa"/>
            <w:tcBorders>
              <w:top w:val="nil"/>
              <w:left w:val="nil"/>
              <w:bottom w:val="nil"/>
              <w:right w:val="nil"/>
            </w:tcBorders>
            <w:shd w:val="clear" w:color="auto" w:fill="auto"/>
            <w:vAlign w:val="center"/>
            <w:hideMark/>
          </w:tcPr>
          <w:p w:rsidR="00D62D99" w:rsidRPr="00D62D99" w:rsidRDefault="00D62D99" w:rsidP="00D62D99">
            <w:pPr>
              <w:spacing w:after="0" w:line="240" w:lineRule="auto"/>
              <w:jc w:val="center"/>
              <w:rPr>
                <w:rFonts w:cs="Arial"/>
                <w:b/>
                <w:bCs/>
                <w:color w:val="000000"/>
                <w:sz w:val="16"/>
                <w:szCs w:val="16"/>
              </w:rPr>
            </w:pPr>
            <w:r w:rsidRPr="00D62D99">
              <w:rPr>
                <w:rFonts w:cs="Arial"/>
                <w:b/>
                <w:bCs/>
                <w:color w:val="000000"/>
                <w:sz w:val="16"/>
                <w:szCs w:val="16"/>
              </w:rPr>
              <w:t>42,7</w:t>
            </w:r>
          </w:p>
        </w:tc>
      </w:tr>
      <w:tr w:rsidR="00D62D99" w:rsidRPr="00D62D99" w:rsidTr="00D62D99">
        <w:trPr>
          <w:gridAfter w:val="1"/>
          <w:wAfter w:w="18" w:type="dxa"/>
          <w:trHeight w:val="300"/>
        </w:trPr>
        <w:tc>
          <w:tcPr>
            <w:tcW w:w="1474" w:type="dxa"/>
            <w:tcBorders>
              <w:top w:val="nil"/>
              <w:left w:val="nil"/>
              <w:bottom w:val="nil"/>
              <w:right w:val="single" w:sz="4" w:space="0" w:color="auto"/>
            </w:tcBorders>
            <w:shd w:val="clear" w:color="auto" w:fill="auto"/>
            <w:vAlign w:val="center"/>
            <w:hideMark/>
          </w:tcPr>
          <w:p w:rsidR="00D62D99" w:rsidRPr="00D62D99" w:rsidRDefault="00D62D99" w:rsidP="00D62D99">
            <w:pPr>
              <w:spacing w:after="0" w:line="240" w:lineRule="auto"/>
              <w:ind w:firstLineChars="100" w:firstLine="160"/>
              <w:jc w:val="left"/>
              <w:rPr>
                <w:rFonts w:cs="Arial"/>
                <w:color w:val="000000"/>
                <w:sz w:val="16"/>
                <w:szCs w:val="16"/>
              </w:rPr>
            </w:pPr>
            <w:r w:rsidRPr="00D62D99">
              <w:rPr>
                <w:rFonts w:cs="Arial"/>
                <w:color w:val="000000"/>
                <w:sz w:val="16"/>
                <w:szCs w:val="16"/>
              </w:rPr>
              <w:t>mladší 20 let</w:t>
            </w:r>
          </w:p>
        </w:tc>
        <w:tc>
          <w:tcPr>
            <w:tcW w:w="1609" w:type="dxa"/>
            <w:tcBorders>
              <w:top w:val="nil"/>
              <w:left w:val="nil"/>
              <w:bottom w:val="nil"/>
              <w:right w:val="nil"/>
            </w:tcBorders>
            <w:shd w:val="clear" w:color="auto" w:fill="auto"/>
            <w:vAlign w:val="center"/>
            <w:hideMark/>
          </w:tcPr>
          <w:p w:rsidR="00D62D99" w:rsidRPr="00D62D99" w:rsidRDefault="00D62D99" w:rsidP="00D62D99">
            <w:pPr>
              <w:spacing w:after="0" w:line="240" w:lineRule="auto"/>
              <w:jc w:val="right"/>
              <w:rPr>
                <w:rFonts w:cs="Arial"/>
                <w:color w:val="000000"/>
                <w:sz w:val="16"/>
                <w:szCs w:val="16"/>
              </w:rPr>
            </w:pPr>
            <w:r w:rsidRPr="00D62D99">
              <w:rPr>
                <w:rFonts w:cs="Arial"/>
                <w:color w:val="000000"/>
                <w:sz w:val="16"/>
                <w:szCs w:val="16"/>
              </w:rPr>
              <w:t>25,1</w:t>
            </w:r>
          </w:p>
        </w:tc>
        <w:tc>
          <w:tcPr>
            <w:tcW w:w="1252" w:type="dxa"/>
            <w:tcBorders>
              <w:top w:val="nil"/>
              <w:left w:val="nil"/>
              <w:bottom w:val="nil"/>
              <w:right w:val="nil"/>
            </w:tcBorders>
            <w:shd w:val="clear" w:color="auto" w:fill="auto"/>
            <w:vAlign w:val="center"/>
            <w:hideMark/>
          </w:tcPr>
          <w:p w:rsidR="00D62D99" w:rsidRPr="00D62D99" w:rsidRDefault="00D62D99" w:rsidP="00D62D99">
            <w:pPr>
              <w:spacing w:after="0" w:line="240" w:lineRule="auto"/>
              <w:jc w:val="right"/>
              <w:rPr>
                <w:rFonts w:cs="Arial"/>
                <w:color w:val="000000"/>
                <w:sz w:val="16"/>
                <w:szCs w:val="16"/>
              </w:rPr>
            </w:pPr>
            <w:r w:rsidRPr="00D62D99">
              <w:rPr>
                <w:rFonts w:cs="Arial"/>
                <w:color w:val="000000"/>
                <w:sz w:val="16"/>
                <w:szCs w:val="16"/>
              </w:rPr>
              <w:t>13,8</w:t>
            </w:r>
          </w:p>
        </w:tc>
        <w:tc>
          <w:tcPr>
            <w:tcW w:w="1254" w:type="dxa"/>
            <w:tcBorders>
              <w:top w:val="nil"/>
              <w:left w:val="nil"/>
              <w:bottom w:val="nil"/>
              <w:right w:val="single" w:sz="4" w:space="0" w:color="auto"/>
            </w:tcBorders>
            <w:shd w:val="clear" w:color="auto" w:fill="auto"/>
            <w:vAlign w:val="center"/>
            <w:hideMark/>
          </w:tcPr>
          <w:p w:rsidR="00D62D99" w:rsidRPr="00D62D99" w:rsidRDefault="00D62D99" w:rsidP="00D62D99">
            <w:pPr>
              <w:spacing w:after="0" w:line="240" w:lineRule="auto"/>
              <w:jc w:val="right"/>
              <w:rPr>
                <w:rFonts w:cs="Arial"/>
                <w:color w:val="000000"/>
                <w:sz w:val="16"/>
                <w:szCs w:val="16"/>
              </w:rPr>
            </w:pPr>
            <w:r w:rsidRPr="00D62D99">
              <w:rPr>
                <w:rFonts w:cs="Arial"/>
                <w:color w:val="000000"/>
                <w:sz w:val="16"/>
                <w:szCs w:val="16"/>
              </w:rPr>
              <w:t>11,3</w:t>
            </w:r>
          </w:p>
        </w:tc>
        <w:tc>
          <w:tcPr>
            <w:tcW w:w="1610" w:type="dxa"/>
            <w:tcBorders>
              <w:top w:val="nil"/>
              <w:left w:val="nil"/>
              <w:bottom w:val="nil"/>
              <w:right w:val="nil"/>
            </w:tcBorders>
            <w:shd w:val="clear" w:color="auto" w:fill="auto"/>
            <w:vAlign w:val="center"/>
            <w:hideMark/>
          </w:tcPr>
          <w:p w:rsidR="00D62D99" w:rsidRPr="00D62D99" w:rsidRDefault="00D62D99" w:rsidP="00D62D99">
            <w:pPr>
              <w:spacing w:after="0" w:line="240" w:lineRule="auto"/>
              <w:jc w:val="center"/>
              <w:rPr>
                <w:rFonts w:cs="Arial"/>
                <w:color w:val="000000"/>
                <w:sz w:val="16"/>
                <w:szCs w:val="16"/>
              </w:rPr>
            </w:pPr>
            <w:r w:rsidRPr="00D62D99">
              <w:rPr>
                <w:rFonts w:cs="Arial"/>
                <w:color w:val="000000"/>
                <w:sz w:val="16"/>
                <w:szCs w:val="16"/>
              </w:rPr>
              <w:t>17,9</w:t>
            </w:r>
          </w:p>
        </w:tc>
        <w:tc>
          <w:tcPr>
            <w:tcW w:w="1252" w:type="dxa"/>
            <w:tcBorders>
              <w:top w:val="nil"/>
              <w:left w:val="nil"/>
              <w:bottom w:val="nil"/>
              <w:right w:val="nil"/>
            </w:tcBorders>
            <w:shd w:val="clear" w:color="auto" w:fill="auto"/>
            <w:vAlign w:val="center"/>
            <w:hideMark/>
          </w:tcPr>
          <w:p w:rsidR="00D62D99" w:rsidRPr="00D62D99" w:rsidRDefault="00D62D99" w:rsidP="00D62D99">
            <w:pPr>
              <w:spacing w:after="0" w:line="240" w:lineRule="auto"/>
              <w:jc w:val="center"/>
              <w:rPr>
                <w:rFonts w:cs="Arial"/>
                <w:color w:val="000000"/>
                <w:sz w:val="16"/>
                <w:szCs w:val="16"/>
              </w:rPr>
            </w:pPr>
            <w:r w:rsidRPr="00D62D99">
              <w:rPr>
                <w:rFonts w:cs="Arial"/>
                <w:color w:val="000000"/>
                <w:sz w:val="16"/>
                <w:szCs w:val="16"/>
              </w:rPr>
              <w:t>15,7</w:t>
            </w:r>
          </w:p>
        </w:tc>
        <w:tc>
          <w:tcPr>
            <w:tcW w:w="1254" w:type="dxa"/>
            <w:tcBorders>
              <w:top w:val="nil"/>
              <w:left w:val="nil"/>
              <w:bottom w:val="nil"/>
              <w:right w:val="nil"/>
            </w:tcBorders>
            <w:shd w:val="clear" w:color="auto" w:fill="auto"/>
            <w:vAlign w:val="center"/>
            <w:hideMark/>
          </w:tcPr>
          <w:p w:rsidR="00D62D99" w:rsidRPr="00D62D99" w:rsidRDefault="00D62D99" w:rsidP="00D62D99">
            <w:pPr>
              <w:spacing w:after="0" w:line="240" w:lineRule="auto"/>
              <w:jc w:val="center"/>
              <w:rPr>
                <w:rFonts w:cs="Arial"/>
                <w:color w:val="000000"/>
                <w:sz w:val="16"/>
                <w:szCs w:val="16"/>
              </w:rPr>
            </w:pPr>
            <w:r w:rsidRPr="00D62D99">
              <w:rPr>
                <w:rFonts w:cs="Arial"/>
                <w:color w:val="000000"/>
                <w:sz w:val="16"/>
                <w:szCs w:val="16"/>
              </w:rPr>
              <w:t>20,5</w:t>
            </w:r>
          </w:p>
        </w:tc>
      </w:tr>
      <w:tr w:rsidR="00D62D99" w:rsidRPr="00D62D99" w:rsidTr="00D62D99">
        <w:trPr>
          <w:gridAfter w:val="1"/>
          <w:wAfter w:w="18" w:type="dxa"/>
          <w:trHeight w:val="300"/>
        </w:trPr>
        <w:tc>
          <w:tcPr>
            <w:tcW w:w="1474" w:type="dxa"/>
            <w:tcBorders>
              <w:top w:val="nil"/>
              <w:left w:val="nil"/>
              <w:bottom w:val="nil"/>
              <w:right w:val="single" w:sz="4" w:space="0" w:color="auto"/>
            </w:tcBorders>
            <w:shd w:val="clear" w:color="auto" w:fill="auto"/>
            <w:vAlign w:val="center"/>
            <w:hideMark/>
          </w:tcPr>
          <w:p w:rsidR="00D62D99" w:rsidRPr="00D62D99" w:rsidRDefault="00D62D99" w:rsidP="00D62D99">
            <w:pPr>
              <w:spacing w:after="0" w:line="240" w:lineRule="auto"/>
              <w:ind w:firstLineChars="100" w:firstLine="160"/>
              <w:jc w:val="left"/>
              <w:rPr>
                <w:rFonts w:cs="Arial"/>
                <w:color w:val="000000"/>
                <w:sz w:val="16"/>
                <w:szCs w:val="16"/>
              </w:rPr>
            </w:pPr>
            <w:r w:rsidRPr="00D62D99">
              <w:rPr>
                <w:rFonts w:cs="Arial"/>
                <w:color w:val="000000"/>
                <w:sz w:val="16"/>
                <w:szCs w:val="16"/>
              </w:rPr>
              <w:t>20–29 let</w:t>
            </w:r>
          </w:p>
        </w:tc>
        <w:tc>
          <w:tcPr>
            <w:tcW w:w="1609" w:type="dxa"/>
            <w:tcBorders>
              <w:top w:val="nil"/>
              <w:left w:val="nil"/>
              <w:bottom w:val="nil"/>
              <w:right w:val="nil"/>
            </w:tcBorders>
            <w:shd w:val="clear" w:color="auto" w:fill="auto"/>
            <w:vAlign w:val="center"/>
            <w:hideMark/>
          </w:tcPr>
          <w:p w:rsidR="00D62D99" w:rsidRPr="00D62D99" w:rsidRDefault="00D62D99" w:rsidP="00D62D99">
            <w:pPr>
              <w:spacing w:after="0" w:line="240" w:lineRule="auto"/>
              <w:jc w:val="right"/>
              <w:rPr>
                <w:rFonts w:cs="Arial"/>
                <w:color w:val="000000"/>
                <w:sz w:val="16"/>
                <w:szCs w:val="16"/>
              </w:rPr>
            </w:pPr>
            <w:r w:rsidRPr="00D62D99">
              <w:rPr>
                <w:rFonts w:cs="Arial"/>
                <w:color w:val="000000"/>
                <w:sz w:val="16"/>
                <w:szCs w:val="16"/>
              </w:rPr>
              <w:t>398,9</w:t>
            </w:r>
          </w:p>
        </w:tc>
        <w:tc>
          <w:tcPr>
            <w:tcW w:w="1252" w:type="dxa"/>
            <w:tcBorders>
              <w:top w:val="nil"/>
              <w:left w:val="nil"/>
              <w:bottom w:val="nil"/>
              <w:right w:val="nil"/>
            </w:tcBorders>
            <w:shd w:val="clear" w:color="auto" w:fill="auto"/>
            <w:vAlign w:val="center"/>
            <w:hideMark/>
          </w:tcPr>
          <w:p w:rsidR="00D62D99" w:rsidRPr="00D62D99" w:rsidRDefault="00D62D99" w:rsidP="00D62D99">
            <w:pPr>
              <w:spacing w:after="0" w:line="240" w:lineRule="auto"/>
              <w:jc w:val="right"/>
              <w:rPr>
                <w:rFonts w:cs="Arial"/>
                <w:color w:val="000000"/>
                <w:sz w:val="16"/>
                <w:szCs w:val="16"/>
              </w:rPr>
            </w:pPr>
            <w:r w:rsidRPr="00D62D99">
              <w:rPr>
                <w:rFonts w:cs="Arial"/>
                <w:color w:val="000000"/>
                <w:sz w:val="16"/>
                <w:szCs w:val="16"/>
              </w:rPr>
              <w:t>210,1</w:t>
            </w:r>
          </w:p>
        </w:tc>
        <w:tc>
          <w:tcPr>
            <w:tcW w:w="1254" w:type="dxa"/>
            <w:tcBorders>
              <w:top w:val="nil"/>
              <w:left w:val="nil"/>
              <w:bottom w:val="nil"/>
              <w:right w:val="single" w:sz="4" w:space="0" w:color="auto"/>
            </w:tcBorders>
            <w:shd w:val="clear" w:color="auto" w:fill="auto"/>
            <w:vAlign w:val="center"/>
            <w:hideMark/>
          </w:tcPr>
          <w:p w:rsidR="00D62D99" w:rsidRPr="00D62D99" w:rsidRDefault="00D62D99" w:rsidP="00D62D99">
            <w:pPr>
              <w:spacing w:after="0" w:line="240" w:lineRule="auto"/>
              <w:jc w:val="right"/>
              <w:rPr>
                <w:rFonts w:cs="Arial"/>
                <w:color w:val="000000"/>
                <w:sz w:val="16"/>
                <w:szCs w:val="16"/>
              </w:rPr>
            </w:pPr>
            <w:r w:rsidRPr="00D62D99">
              <w:rPr>
                <w:rFonts w:cs="Arial"/>
                <w:color w:val="000000"/>
                <w:sz w:val="16"/>
                <w:szCs w:val="16"/>
              </w:rPr>
              <w:t>188,9</w:t>
            </w:r>
          </w:p>
        </w:tc>
        <w:tc>
          <w:tcPr>
            <w:tcW w:w="1610" w:type="dxa"/>
            <w:tcBorders>
              <w:top w:val="nil"/>
              <w:left w:val="nil"/>
              <w:bottom w:val="nil"/>
              <w:right w:val="nil"/>
            </w:tcBorders>
            <w:shd w:val="clear" w:color="auto" w:fill="auto"/>
            <w:vAlign w:val="center"/>
            <w:hideMark/>
          </w:tcPr>
          <w:p w:rsidR="00D62D99" w:rsidRPr="00D62D99" w:rsidRDefault="00D62D99" w:rsidP="00D62D99">
            <w:pPr>
              <w:spacing w:after="0" w:line="240" w:lineRule="auto"/>
              <w:jc w:val="center"/>
              <w:rPr>
                <w:rFonts w:cs="Arial"/>
                <w:color w:val="000000"/>
                <w:sz w:val="16"/>
                <w:szCs w:val="16"/>
              </w:rPr>
            </w:pPr>
            <w:r w:rsidRPr="00D62D99">
              <w:rPr>
                <w:rFonts w:cs="Arial"/>
                <w:color w:val="000000"/>
                <w:sz w:val="16"/>
                <w:szCs w:val="16"/>
              </w:rPr>
              <w:t>25,8</w:t>
            </w:r>
          </w:p>
        </w:tc>
        <w:tc>
          <w:tcPr>
            <w:tcW w:w="1252" w:type="dxa"/>
            <w:tcBorders>
              <w:top w:val="nil"/>
              <w:left w:val="nil"/>
              <w:bottom w:val="nil"/>
              <w:right w:val="nil"/>
            </w:tcBorders>
            <w:shd w:val="clear" w:color="auto" w:fill="auto"/>
            <w:vAlign w:val="center"/>
            <w:hideMark/>
          </w:tcPr>
          <w:p w:rsidR="00D62D99" w:rsidRPr="00D62D99" w:rsidRDefault="00D62D99" w:rsidP="00D62D99">
            <w:pPr>
              <w:spacing w:after="0" w:line="240" w:lineRule="auto"/>
              <w:jc w:val="center"/>
              <w:rPr>
                <w:rFonts w:cs="Arial"/>
                <w:color w:val="000000"/>
                <w:sz w:val="16"/>
                <w:szCs w:val="16"/>
              </w:rPr>
            </w:pPr>
            <w:r w:rsidRPr="00D62D99">
              <w:rPr>
                <w:rFonts w:cs="Arial"/>
                <w:color w:val="000000"/>
                <w:sz w:val="16"/>
                <w:szCs w:val="16"/>
              </w:rPr>
              <w:t>20,9</w:t>
            </w:r>
          </w:p>
        </w:tc>
        <w:tc>
          <w:tcPr>
            <w:tcW w:w="1254" w:type="dxa"/>
            <w:tcBorders>
              <w:top w:val="nil"/>
              <w:left w:val="nil"/>
              <w:bottom w:val="nil"/>
              <w:right w:val="nil"/>
            </w:tcBorders>
            <w:shd w:val="clear" w:color="auto" w:fill="auto"/>
            <w:vAlign w:val="center"/>
            <w:hideMark/>
          </w:tcPr>
          <w:p w:rsidR="00D62D99" w:rsidRPr="00D62D99" w:rsidRDefault="00D62D99" w:rsidP="00D62D99">
            <w:pPr>
              <w:spacing w:after="0" w:line="240" w:lineRule="auto"/>
              <w:jc w:val="center"/>
              <w:rPr>
                <w:rFonts w:cs="Arial"/>
                <w:color w:val="000000"/>
                <w:sz w:val="16"/>
                <w:szCs w:val="16"/>
              </w:rPr>
            </w:pPr>
            <w:r w:rsidRPr="00D62D99">
              <w:rPr>
                <w:rFonts w:cs="Arial"/>
                <w:color w:val="000000"/>
                <w:sz w:val="16"/>
                <w:szCs w:val="16"/>
              </w:rPr>
              <w:t>31,2</w:t>
            </w:r>
          </w:p>
        </w:tc>
      </w:tr>
      <w:tr w:rsidR="00D62D99" w:rsidRPr="00D62D99" w:rsidTr="00D62D99">
        <w:trPr>
          <w:gridAfter w:val="1"/>
          <w:wAfter w:w="18" w:type="dxa"/>
          <w:trHeight w:val="300"/>
        </w:trPr>
        <w:tc>
          <w:tcPr>
            <w:tcW w:w="1474" w:type="dxa"/>
            <w:tcBorders>
              <w:top w:val="nil"/>
              <w:left w:val="nil"/>
              <w:bottom w:val="nil"/>
              <w:right w:val="single" w:sz="4" w:space="0" w:color="auto"/>
            </w:tcBorders>
            <w:shd w:val="clear" w:color="auto" w:fill="auto"/>
            <w:vAlign w:val="center"/>
            <w:hideMark/>
          </w:tcPr>
          <w:p w:rsidR="00D62D99" w:rsidRPr="00D62D99" w:rsidRDefault="00D62D99" w:rsidP="00D62D99">
            <w:pPr>
              <w:spacing w:after="0" w:line="240" w:lineRule="auto"/>
              <w:ind w:firstLineChars="100" w:firstLine="160"/>
              <w:jc w:val="left"/>
              <w:rPr>
                <w:rFonts w:cs="Arial"/>
                <w:color w:val="000000"/>
                <w:sz w:val="16"/>
                <w:szCs w:val="16"/>
              </w:rPr>
            </w:pPr>
            <w:r w:rsidRPr="00D62D99">
              <w:rPr>
                <w:rFonts w:cs="Arial"/>
                <w:color w:val="000000"/>
                <w:sz w:val="16"/>
                <w:szCs w:val="16"/>
              </w:rPr>
              <w:t>30–39 let</w:t>
            </w:r>
          </w:p>
        </w:tc>
        <w:tc>
          <w:tcPr>
            <w:tcW w:w="1609" w:type="dxa"/>
            <w:tcBorders>
              <w:top w:val="nil"/>
              <w:left w:val="nil"/>
              <w:bottom w:val="nil"/>
              <w:right w:val="nil"/>
            </w:tcBorders>
            <w:shd w:val="clear" w:color="auto" w:fill="auto"/>
            <w:vAlign w:val="center"/>
            <w:hideMark/>
          </w:tcPr>
          <w:p w:rsidR="00D62D99" w:rsidRPr="00D62D99" w:rsidRDefault="00D62D99" w:rsidP="00D62D99">
            <w:pPr>
              <w:spacing w:after="0" w:line="240" w:lineRule="auto"/>
              <w:jc w:val="right"/>
              <w:rPr>
                <w:rFonts w:cs="Arial"/>
                <w:color w:val="000000"/>
                <w:sz w:val="16"/>
                <w:szCs w:val="16"/>
              </w:rPr>
            </w:pPr>
            <w:r w:rsidRPr="00D62D99">
              <w:rPr>
                <w:rFonts w:cs="Arial"/>
                <w:color w:val="000000"/>
                <w:sz w:val="16"/>
                <w:szCs w:val="16"/>
              </w:rPr>
              <w:t>397,5</w:t>
            </w:r>
          </w:p>
        </w:tc>
        <w:tc>
          <w:tcPr>
            <w:tcW w:w="1252" w:type="dxa"/>
            <w:tcBorders>
              <w:top w:val="nil"/>
              <w:left w:val="nil"/>
              <w:bottom w:val="nil"/>
              <w:right w:val="nil"/>
            </w:tcBorders>
            <w:shd w:val="clear" w:color="auto" w:fill="auto"/>
            <w:vAlign w:val="center"/>
            <w:hideMark/>
          </w:tcPr>
          <w:p w:rsidR="00D62D99" w:rsidRPr="00D62D99" w:rsidRDefault="00D62D99" w:rsidP="00D62D99">
            <w:pPr>
              <w:spacing w:after="0" w:line="240" w:lineRule="auto"/>
              <w:jc w:val="right"/>
              <w:rPr>
                <w:rFonts w:cs="Arial"/>
                <w:color w:val="000000"/>
                <w:sz w:val="16"/>
                <w:szCs w:val="16"/>
              </w:rPr>
            </w:pPr>
            <w:r w:rsidRPr="00D62D99">
              <w:rPr>
                <w:rFonts w:cs="Arial"/>
                <w:color w:val="000000"/>
                <w:sz w:val="16"/>
                <w:szCs w:val="16"/>
              </w:rPr>
              <w:t>200,4</w:t>
            </w:r>
          </w:p>
        </w:tc>
        <w:tc>
          <w:tcPr>
            <w:tcW w:w="1254" w:type="dxa"/>
            <w:tcBorders>
              <w:top w:val="nil"/>
              <w:left w:val="nil"/>
              <w:bottom w:val="nil"/>
              <w:right w:val="single" w:sz="4" w:space="0" w:color="auto"/>
            </w:tcBorders>
            <w:shd w:val="clear" w:color="auto" w:fill="auto"/>
            <w:vAlign w:val="center"/>
            <w:hideMark/>
          </w:tcPr>
          <w:p w:rsidR="00D62D99" w:rsidRPr="00D62D99" w:rsidRDefault="00D62D99" w:rsidP="00D62D99">
            <w:pPr>
              <w:spacing w:after="0" w:line="240" w:lineRule="auto"/>
              <w:jc w:val="right"/>
              <w:rPr>
                <w:rFonts w:cs="Arial"/>
                <w:color w:val="000000"/>
                <w:sz w:val="16"/>
                <w:szCs w:val="16"/>
              </w:rPr>
            </w:pPr>
            <w:r w:rsidRPr="00D62D99">
              <w:rPr>
                <w:rFonts w:cs="Arial"/>
                <w:color w:val="000000"/>
                <w:sz w:val="16"/>
                <w:szCs w:val="16"/>
              </w:rPr>
              <w:t>197,2</w:t>
            </w:r>
          </w:p>
        </w:tc>
        <w:tc>
          <w:tcPr>
            <w:tcW w:w="1610" w:type="dxa"/>
            <w:tcBorders>
              <w:top w:val="nil"/>
              <w:left w:val="nil"/>
              <w:bottom w:val="nil"/>
              <w:right w:val="nil"/>
            </w:tcBorders>
            <w:shd w:val="clear" w:color="auto" w:fill="auto"/>
            <w:vAlign w:val="center"/>
            <w:hideMark/>
          </w:tcPr>
          <w:p w:rsidR="00D62D99" w:rsidRPr="00D62D99" w:rsidRDefault="00D62D99" w:rsidP="00D62D99">
            <w:pPr>
              <w:spacing w:after="0" w:line="240" w:lineRule="auto"/>
              <w:jc w:val="center"/>
              <w:rPr>
                <w:rFonts w:cs="Arial"/>
                <w:color w:val="000000"/>
                <w:sz w:val="16"/>
                <w:szCs w:val="16"/>
              </w:rPr>
            </w:pPr>
            <w:r w:rsidRPr="00D62D99">
              <w:rPr>
                <w:rFonts w:cs="Arial"/>
                <w:color w:val="000000"/>
                <w:sz w:val="16"/>
                <w:szCs w:val="16"/>
              </w:rPr>
              <w:t>33,7</w:t>
            </w:r>
          </w:p>
        </w:tc>
        <w:tc>
          <w:tcPr>
            <w:tcW w:w="1252" w:type="dxa"/>
            <w:tcBorders>
              <w:top w:val="nil"/>
              <w:left w:val="nil"/>
              <w:bottom w:val="nil"/>
              <w:right w:val="nil"/>
            </w:tcBorders>
            <w:shd w:val="clear" w:color="auto" w:fill="auto"/>
            <w:vAlign w:val="center"/>
            <w:hideMark/>
          </w:tcPr>
          <w:p w:rsidR="00D62D99" w:rsidRPr="00D62D99" w:rsidRDefault="00D62D99" w:rsidP="00D62D99">
            <w:pPr>
              <w:spacing w:after="0" w:line="240" w:lineRule="auto"/>
              <w:jc w:val="center"/>
              <w:rPr>
                <w:rFonts w:cs="Arial"/>
                <w:color w:val="000000"/>
                <w:sz w:val="16"/>
                <w:szCs w:val="16"/>
              </w:rPr>
            </w:pPr>
            <w:r w:rsidRPr="00D62D99">
              <w:rPr>
                <w:rFonts w:cs="Arial"/>
                <w:color w:val="000000"/>
                <w:sz w:val="16"/>
                <w:szCs w:val="16"/>
              </w:rPr>
              <w:t>28,7</w:t>
            </w:r>
          </w:p>
        </w:tc>
        <w:tc>
          <w:tcPr>
            <w:tcW w:w="1254" w:type="dxa"/>
            <w:tcBorders>
              <w:top w:val="nil"/>
              <w:left w:val="nil"/>
              <w:bottom w:val="nil"/>
              <w:right w:val="nil"/>
            </w:tcBorders>
            <w:shd w:val="clear" w:color="auto" w:fill="auto"/>
            <w:vAlign w:val="center"/>
            <w:hideMark/>
          </w:tcPr>
          <w:p w:rsidR="00D62D99" w:rsidRPr="00D62D99" w:rsidRDefault="00D62D99" w:rsidP="00D62D99">
            <w:pPr>
              <w:spacing w:after="0" w:line="240" w:lineRule="auto"/>
              <w:jc w:val="center"/>
              <w:rPr>
                <w:rFonts w:cs="Arial"/>
                <w:color w:val="000000"/>
                <w:sz w:val="16"/>
                <w:szCs w:val="16"/>
              </w:rPr>
            </w:pPr>
            <w:r w:rsidRPr="00D62D99">
              <w:rPr>
                <w:rFonts w:cs="Arial"/>
                <w:color w:val="000000"/>
                <w:sz w:val="16"/>
                <w:szCs w:val="16"/>
              </w:rPr>
              <w:t>38,8</w:t>
            </w:r>
          </w:p>
        </w:tc>
      </w:tr>
      <w:tr w:rsidR="00D62D99" w:rsidRPr="00D62D99" w:rsidTr="00D62D99">
        <w:trPr>
          <w:gridAfter w:val="1"/>
          <w:wAfter w:w="18" w:type="dxa"/>
          <w:trHeight w:val="300"/>
        </w:trPr>
        <w:tc>
          <w:tcPr>
            <w:tcW w:w="1474" w:type="dxa"/>
            <w:tcBorders>
              <w:top w:val="nil"/>
              <w:left w:val="nil"/>
              <w:bottom w:val="nil"/>
              <w:right w:val="single" w:sz="4" w:space="0" w:color="auto"/>
            </w:tcBorders>
            <w:shd w:val="clear" w:color="auto" w:fill="auto"/>
            <w:vAlign w:val="center"/>
            <w:hideMark/>
          </w:tcPr>
          <w:p w:rsidR="00D62D99" w:rsidRPr="00D62D99" w:rsidRDefault="00D62D99" w:rsidP="00D62D99">
            <w:pPr>
              <w:spacing w:after="0" w:line="240" w:lineRule="auto"/>
              <w:ind w:firstLineChars="100" w:firstLine="160"/>
              <w:jc w:val="left"/>
              <w:rPr>
                <w:rFonts w:cs="Arial"/>
                <w:color w:val="000000"/>
                <w:sz w:val="16"/>
                <w:szCs w:val="16"/>
              </w:rPr>
            </w:pPr>
            <w:r w:rsidRPr="00D62D99">
              <w:rPr>
                <w:rFonts w:cs="Arial"/>
                <w:color w:val="000000"/>
                <w:sz w:val="16"/>
                <w:szCs w:val="16"/>
              </w:rPr>
              <w:t>40–49 let</w:t>
            </w:r>
          </w:p>
        </w:tc>
        <w:tc>
          <w:tcPr>
            <w:tcW w:w="1609" w:type="dxa"/>
            <w:tcBorders>
              <w:top w:val="nil"/>
              <w:left w:val="nil"/>
              <w:bottom w:val="nil"/>
              <w:right w:val="nil"/>
            </w:tcBorders>
            <w:shd w:val="clear" w:color="auto" w:fill="auto"/>
            <w:vAlign w:val="center"/>
            <w:hideMark/>
          </w:tcPr>
          <w:p w:rsidR="00D62D99" w:rsidRPr="00D62D99" w:rsidRDefault="00D62D99" w:rsidP="00D62D99">
            <w:pPr>
              <w:spacing w:after="0" w:line="240" w:lineRule="auto"/>
              <w:jc w:val="right"/>
              <w:rPr>
                <w:rFonts w:cs="Arial"/>
                <w:color w:val="000000"/>
                <w:sz w:val="16"/>
                <w:szCs w:val="16"/>
              </w:rPr>
            </w:pPr>
            <w:r w:rsidRPr="00D62D99">
              <w:rPr>
                <w:rFonts w:cs="Arial"/>
                <w:color w:val="000000"/>
                <w:sz w:val="16"/>
                <w:szCs w:val="16"/>
              </w:rPr>
              <w:t>469,8</w:t>
            </w:r>
          </w:p>
        </w:tc>
        <w:tc>
          <w:tcPr>
            <w:tcW w:w="1252" w:type="dxa"/>
            <w:tcBorders>
              <w:top w:val="nil"/>
              <w:left w:val="nil"/>
              <w:bottom w:val="nil"/>
              <w:right w:val="nil"/>
            </w:tcBorders>
            <w:shd w:val="clear" w:color="auto" w:fill="auto"/>
            <w:vAlign w:val="center"/>
            <w:hideMark/>
          </w:tcPr>
          <w:p w:rsidR="00D62D99" w:rsidRPr="00D62D99" w:rsidRDefault="00D62D99" w:rsidP="00D62D99">
            <w:pPr>
              <w:spacing w:after="0" w:line="240" w:lineRule="auto"/>
              <w:jc w:val="right"/>
              <w:rPr>
                <w:rFonts w:cs="Arial"/>
                <w:color w:val="000000"/>
                <w:sz w:val="16"/>
                <w:szCs w:val="16"/>
              </w:rPr>
            </w:pPr>
            <w:r w:rsidRPr="00D62D99">
              <w:rPr>
                <w:rFonts w:cs="Arial"/>
                <w:color w:val="000000"/>
                <w:sz w:val="16"/>
                <w:szCs w:val="16"/>
              </w:rPr>
              <w:t>195,8</w:t>
            </w:r>
          </w:p>
        </w:tc>
        <w:tc>
          <w:tcPr>
            <w:tcW w:w="1254" w:type="dxa"/>
            <w:tcBorders>
              <w:top w:val="nil"/>
              <w:left w:val="nil"/>
              <w:bottom w:val="nil"/>
              <w:right w:val="single" w:sz="4" w:space="0" w:color="auto"/>
            </w:tcBorders>
            <w:shd w:val="clear" w:color="auto" w:fill="auto"/>
            <w:vAlign w:val="center"/>
            <w:hideMark/>
          </w:tcPr>
          <w:p w:rsidR="00D62D99" w:rsidRPr="00D62D99" w:rsidRDefault="00D62D99" w:rsidP="00D62D99">
            <w:pPr>
              <w:spacing w:after="0" w:line="240" w:lineRule="auto"/>
              <w:jc w:val="right"/>
              <w:rPr>
                <w:rFonts w:cs="Arial"/>
                <w:color w:val="000000"/>
                <w:sz w:val="16"/>
                <w:szCs w:val="16"/>
              </w:rPr>
            </w:pPr>
            <w:r w:rsidRPr="00D62D99">
              <w:rPr>
                <w:rFonts w:cs="Arial"/>
                <w:color w:val="000000"/>
                <w:sz w:val="16"/>
                <w:szCs w:val="16"/>
              </w:rPr>
              <w:t>274,0</w:t>
            </w:r>
          </w:p>
        </w:tc>
        <w:tc>
          <w:tcPr>
            <w:tcW w:w="1610" w:type="dxa"/>
            <w:tcBorders>
              <w:top w:val="nil"/>
              <w:left w:val="nil"/>
              <w:bottom w:val="nil"/>
              <w:right w:val="nil"/>
            </w:tcBorders>
            <w:shd w:val="clear" w:color="auto" w:fill="auto"/>
            <w:vAlign w:val="center"/>
            <w:hideMark/>
          </w:tcPr>
          <w:p w:rsidR="00D62D99" w:rsidRPr="00D62D99" w:rsidRDefault="00D62D99" w:rsidP="00D62D99">
            <w:pPr>
              <w:spacing w:after="0" w:line="240" w:lineRule="auto"/>
              <w:jc w:val="center"/>
              <w:rPr>
                <w:rFonts w:cs="Arial"/>
                <w:color w:val="000000"/>
                <w:sz w:val="16"/>
                <w:szCs w:val="16"/>
              </w:rPr>
            </w:pPr>
            <w:r w:rsidRPr="00D62D99">
              <w:rPr>
                <w:rFonts w:cs="Arial"/>
                <w:color w:val="000000"/>
                <w:sz w:val="16"/>
                <w:szCs w:val="16"/>
              </w:rPr>
              <w:t>42,2</w:t>
            </w:r>
          </w:p>
        </w:tc>
        <w:tc>
          <w:tcPr>
            <w:tcW w:w="1252" w:type="dxa"/>
            <w:tcBorders>
              <w:top w:val="nil"/>
              <w:left w:val="nil"/>
              <w:bottom w:val="nil"/>
              <w:right w:val="nil"/>
            </w:tcBorders>
            <w:shd w:val="clear" w:color="auto" w:fill="auto"/>
            <w:vAlign w:val="center"/>
            <w:hideMark/>
          </w:tcPr>
          <w:p w:rsidR="00D62D99" w:rsidRPr="00D62D99" w:rsidRDefault="00D62D99" w:rsidP="00D62D99">
            <w:pPr>
              <w:spacing w:after="0" w:line="240" w:lineRule="auto"/>
              <w:jc w:val="center"/>
              <w:rPr>
                <w:rFonts w:cs="Arial"/>
                <w:color w:val="000000"/>
                <w:sz w:val="16"/>
                <w:szCs w:val="16"/>
              </w:rPr>
            </w:pPr>
            <w:r w:rsidRPr="00D62D99">
              <w:rPr>
                <w:rFonts w:cs="Arial"/>
                <w:color w:val="000000"/>
                <w:sz w:val="16"/>
                <w:szCs w:val="16"/>
              </w:rPr>
              <w:t>41,7</w:t>
            </w:r>
          </w:p>
        </w:tc>
        <w:tc>
          <w:tcPr>
            <w:tcW w:w="1254" w:type="dxa"/>
            <w:tcBorders>
              <w:top w:val="nil"/>
              <w:left w:val="nil"/>
              <w:bottom w:val="nil"/>
              <w:right w:val="nil"/>
            </w:tcBorders>
            <w:shd w:val="clear" w:color="auto" w:fill="auto"/>
            <w:vAlign w:val="center"/>
            <w:hideMark/>
          </w:tcPr>
          <w:p w:rsidR="00D62D99" w:rsidRPr="00D62D99" w:rsidRDefault="00D62D99" w:rsidP="00D62D99">
            <w:pPr>
              <w:spacing w:after="0" w:line="240" w:lineRule="auto"/>
              <w:jc w:val="center"/>
              <w:rPr>
                <w:rFonts w:cs="Arial"/>
                <w:color w:val="000000"/>
                <w:sz w:val="16"/>
                <w:szCs w:val="16"/>
              </w:rPr>
            </w:pPr>
            <w:r w:rsidRPr="00D62D99">
              <w:rPr>
                <w:rFonts w:cs="Arial"/>
                <w:color w:val="000000"/>
                <w:sz w:val="16"/>
                <w:szCs w:val="16"/>
              </w:rPr>
              <w:t>42,6</w:t>
            </w:r>
          </w:p>
        </w:tc>
      </w:tr>
      <w:tr w:rsidR="00D62D99" w:rsidRPr="00D62D99" w:rsidTr="00D62D99">
        <w:trPr>
          <w:gridAfter w:val="1"/>
          <w:wAfter w:w="18" w:type="dxa"/>
          <w:trHeight w:val="300"/>
        </w:trPr>
        <w:tc>
          <w:tcPr>
            <w:tcW w:w="1474" w:type="dxa"/>
            <w:tcBorders>
              <w:top w:val="nil"/>
              <w:left w:val="nil"/>
              <w:bottom w:val="nil"/>
              <w:right w:val="single" w:sz="4" w:space="0" w:color="auto"/>
            </w:tcBorders>
            <w:shd w:val="clear" w:color="auto" w:fill="auto"/>
            <w:vAlign w:val="center"/>
            <w:hideMark/>
          </w:tcPr>
          <w:p w:rsidR="00D62D99" w:rsidRPr="00D62D99" w:rsidRDefault="00D62D99" w:rsidP="00D62D99">
            <w:pPr>
              <w:spacing w:after="0" w:line="240" w:lineRule="auto"/>
              <w:ind w:firstLineChars="100" w:firstLine="160"/>
              <w:jc w:val="left"/>
              <w:rPr>
                <w:rFonts w:cs="Arial"/>
                <w:color w:val="000000"/>
                <w:sz w:val="16"/>
                <w:szCs w:val="16"/>
              </w:rPr>
            </w:pPr>
            <w:r w:rsidRPr="00D62D99">
              <w:rPr>
                <w:rFonts w:cs="Arial"/>
                <w:color w:val="000000"/>
                <w:sz w:val="16"/>
                <w:szCs w:val="16"/>
              </w:rPr>
              <w:t>50–59 let</w:t>
            </w:r>
          </w:p>
        </w:tc>
        <w:tc>
          <w:tcPr>
            <w:tcW w:w="1609" w:type="dxa"/>
            <w:tcBorders>
              <w:top w:val="nil"/>
              <w:left w:val="nil"/>
              <w:bottom w:val="nil"/>
              <w:right w:val="nil"/>
            </w:tcBorders>
            <w:shd w:val="clear" w:color="auto" w:fill="auto"/>
            <w:vAlign w:val="center"/>
            <w:hideMark/>
          </w:tcPr>
          <w:p w:rsidR="00D62D99" w:rsidRPr="00D62D99" w:rsidRDefault="00D62D99" w:rsidP="00D62D99">
            <w:pPr>
              <w:spacing w:after="0" w:line="240" w:lineRule="auto"/>
              <w:jc w:val="right"/>
              <w:rPr>
                <w:rFonts w:cs="Arial"/>
                <w:color w:val="000000"/>
                <w:sz w:val="16"/>
                <w:szCs w:val="16"/>
              </w:rPr>
            </w:pPr>
            <w:r w:rsidRPr="00D62D99">
              <w:rPr>
                <w:rFonts w:cs="Arial"/>
                <w:color w:val="000000"/>
                <w:sz w:val="16"/>
                <w:szCs w:val="16"/>
              </w:rPr>
              <w:t>411,8</w:t>
            </w:r>
          </w:p>
        </w:tc>
        <w:tc>
          <w:tcPr>
            <w:tcW w:w="1252" w:type="dxa"/>
            <w:tcBorders>
              <w:top w:val="nil"/>
              <w:left w:val="nil"/>
              <w:bottom w:val="nil"/>
              <w:right w:val="nil"/>
            </w:tcBorders>
            <w:shd w:val="clear" w:color="auto" w:fill="auto"/>
            <w:vAlign w:val="center"/>
            <w:hideMark/>
          </w:tcPr>
          <w:p w:rsidR="00D62D99" w:rsidRPr="00D62D99" w:rsidRDefault="00D62D99" w:rsidP="00D62D99">
            <w:pPr>
              <w:spacing w:after="0" w:line="240" w:lineRule="auto"/>
              <w:jc w:val="right"/>
              <w:rPr>
                <w:rFonts w:cs="Arial"/>
                <w:color w:val="000000"/>
                <w:sz w:val="16"/>
                <w:szCs w:val="16"/>
              </w:rPr>
            </w:pPr>
            <w:r w:rsidRPr="00D62D99">
              <w:rPr>
                <w:rFonts w:cs="Arial"/>
                <w:color w:val="000000"/>
                <w:sz w:val="16"/>
                <w:szCs w:val="16"/>
              </w:rPr>
              <w:t>167,0</w:t>
            </w:r>
          </w:p>
        </w:tc>
        <w:tc>
          <w:tcPr>
            <w:tcW w:w="1254" w:type="dxa"/>
            <w:tcBorders>
              <w:top w:val="nil"/>
              <w:left w:val="nil"/>
              <w:bottom w:val="nil"/>
              <w:right w:val="single" w:sz="4" w:space="0" w:color="auto"/>
            </w:tcBorders>
            <w:shd w:val="clear" w:color="auto" w:fill="auto"/>
            <w:vAlign w:val="center"/>
            <w:hideMark/>
          </w:tcPr>
          <w:p w:rsidR="00D62D99" w:rsidRPr="00D62D99" w:rsidRDefault="00D62D99" w:rsidP="00D62D99">
            <w:pPr>
              <w:spacing w:after="0" w:line="240" w:lineRule="auto"/>
              <w:jc w:val="right"/>
              <w:rPr>
                <w:rFonts w:cs="Arial"/>
                <w:color w:val="000000"/>
                <w:sz w:val="16"/>
                <w:szCs w:val="16"/>
              </w:rPr>
            </w:pPr>
            <w:r w:rsidRPr="00D62D99">
              <w:rPr>
                <w:rFonts w:cs="Arial"/>
                <w:color w:val="000000"/>
                <w:sz w:val="16"/>
                <w:szCs w:val="16"/>
              </w:rPr>
              <w:t>244,7</w:t>
            </w:r>
          </w:p>
        </w:tc>
        <w:tc>
          <w:tcPr>
            <w:tcW w:w="1610" w:type="dxa"/>
            <w:tcBorders>
              <w:top w:val="nil"/>
              <w:left w:val="nil"/>
              <w:bottom w:val="nil"/>
              <w:right w:val="nil"/>
            </w:tcBorders>
            <w:shd w:val="clear" w:color="auto" w:fill="auto"/>
            <w:vAlign w:val="center"/>
            <w:hideMark/>
          </w:tcPr>
          <w:p w:rsidR="00D62D99" w:rsidRPr="00D62D99" w:rsidRDefault="00D62D99" w:rsidP="00D62D99">
            <w:pPr>
              <w:spacing w:after="0" w:line="240" w:lineRule="auto"/>
              <w:jc w:val="center"/>
              <w:rPr>
                <w:rFonts w:cs="Arial"/>
                <w:color w:val="000000"/>
                <w:sz w:val="16"/>
                <w:szCs w:val="16"/>
              </w:rPr>
            </w:pPr>
            <w:r w:rsidRPr="00D62D99">
              <w:rPr>
                <w:rFonts w:cs="Arial"/>
                <w:color w:val="000000"/>
                <w:sz w:val="16"/>
                <w:szCs w:val="16"/>
              </w:rPr>
              <w:t>54,5</w:t>
            </w:r>
          </w:p>
        </w:tc>
        <w:tc>
          <w:tcPr>
            <w:tcW w:w="1252" w:type="dxa"/>
            <w:tcBorders>
              <w:top w:val="nil"/>
              <w:left w:val="nil"/>
              <w:bottom w:val="nil"/>
              <w:right w:val="nil"/>
            </w:tcBorders>
            <w:shd w:val="clear" w:color="auto" w:fill="auto"/>
            <w:vAlign w:val="center"/>
            <w:hideMark/>
          </w:tcPr>
          <w:p w:rsidR="00D62D99" w:rsidRPr="00D62D99" w:rsidRDefault="00D62D99" w:rsidP="00D62D99">
            <w:pPr>
              <w:spacing w:after="0" w:line="240" w:lineRule="auto"/>
              <w:jc w:val="center"/>
              <w:rPr>
                <w:rFonts w:cs="Arial"/>
                <w:color w:val="000000"/>
                <w:sz w:val="16"/>
                <w:szCs w:val="16"/>
              </w:rPr>
            </w:pPr>
            <w:r w:rsidRPr="00D62D99">
              <w:rPr>
                <w:rFonts w:cs="Arial"/>
                <w:color w:val="000000"/>
                <w:sz w:val="16"/>
                <w:szCs w:val="16"/>
              </w:rPr>
              <w:t>56,9</w:t>
            </w:r>
          </w:p>
        </w:tc>
        <w:tc>
          <w:tcPr>
            <w:tcW w:w="1254" w:type="dxa"/>
            <w:tcBorders>
              <w:top w:val="nil"/>
              <w:left w:val="nil"/>
              <w:bottom w:val="nil"/>
              <w:right w:val="nil"/>
            </w:tcBorders>
            <w:shd w:val="clear" w:color="auto" w:fill="auto"/>
            <w:vAlign w:val="center"/>
            <w:hideMark/>
          </w:tcPr>
          <w:p w:rsidR="00D62D99" w:rsidRPr="00D62D99" w:rsidRDefault="00D62D99" w:rsidP="00D62D99">
            <w:pPr>
              <w:spacing w:after="0" w:line="240" w:lineRule="auto"/>
              <w:jc w:val="center"/>
              <w:rPr>
                <w:rFonts w:cs="Arial"/>
                <w:color w:val="000000"/>
                <w:sz w:val="16"/>
                <w:szCs w:val="16"/>
              </w:rPr>
            </w:pPr>
            <w:r w:rsidRPr="00D62D99">
              <w:rPr>
                <w:rFonts w:cs="Arial"/>
                <w:color w:val="000000"/>
                <w:sz w:val="16"/>
                <w:szCs w:val="16"/>
              </w:rPr>
              <w:t>52,9</w:t>
            </w:r>
          </w:p>
        </w:tc>
      </w:tr>
      <w:tr w:rsidR="00D62D99" w:rsidRPr="00D62D99" w:rsidTr="00D62D99">
        <w:trPr>
          <w:gridAfter w:val="1"/>
          <w:wAfter w:w="18" w:type="dxa"/>
          <w:trHeight w:val="300"/>
        </w:trPr>
        <w:tc>
          <w:tcPr>
            <w:tcW w:w="1474" w:type="dxa"/>
            <w:tcBorders>
              <w:top w:val="nil"/>
              <w:left w:val="nil"/>
              <w:bottom w:val="nil"/>
              <w:right w:val="single" w:sz="4" w:space="0" w:color="auto"/>
            </w:tcBorders>
            <w:shd w:val="clear" w:color="auto" w:fill="auto"/>
            <w:vAlign w:val="center"/>
            <w:hideMark/>
          </w:tcPr>
          <w:p w:rsidR="00D62D99" w:rsidRPr="00D62D99" w:rsidRDefault="00D62D99" w:rsidP="00D62D99">
            <w:pPr>
              <w:spacing w:after="0" w:line="240" w:lineRule="auto"/>
              <w:ind w:firstLineChars="100" w:firstLine="160"/>
              <w:jc w:val="left"/>
              <w:rPr>
                <w:rFonts w:cs="Arial"/>
                <w:color w:val="000000"/>
                <w:sz w:val="16"/>
                <w:szCs w:val="16"/>
              </w:rPr>
            </w:pPr>
            <w:r w:rsidRPr="00D62D99">
              <w:rPr>
                <w:rFonts w:cs="Arial"/>
                <w:color w:val="000000"/>
                <w:sz w:val="16"/>
                <w:szCs w:val="16"/>
              </w:rPr>
              <w:t>60 a více let</w:t>
            </w:r>
          </w:p>
        </w:tc>
        <w:tc>
          <w:tcPr>
            <w:tcW w:w="1609" w:type="dxa"/>
            <w:tcBorders>
              <w:top w:val="nil"/>
              <w:left w:val="nil"/>
              <w:bottom w:val="nil"/>
              <w:right w:val="nil"/>
            </w:tcBorders>
            <w:shd w:val="clear" w:color="auto" w:fill="auto"/>
            <w:vAlign w:val="center"/>
            <w:hideMark/>
          </w:tcPr>
          <w:p w:rsidR="00D62D99" w:rsidRPr="00D62D99" w:rsidRDefault="00D62D99" w:rsidP="00D62D99">
            <w:pPr>
              <w:spacing w:after="0" w:line="240" w:lineRule="auto"/>
              <w:jc w:val="right"/>
              <w:rPr>
                <w:rFonts w:cs="Arial"/>
                <w:color w:val="000000"/>
                <w:sz w:val="16"/>
                <w:szCs w:val="16"/>
              </w:rPr>
            </w:pPr>
            <w:r w:rsidRPr="00D62D99">
              <w:rPr>
                <w:rFonts w:cs="Arial"/>
                <w:color w:val="000000"/>
                <w:sz w:val="16"/>
                <w:szCs w:val="16"/>
              </w:rPr>
              <w:t>129,2</w:t>
            </w:r>
          </w:p>
        </w:tc>
        <w:tc>
          <w:tcPr>
            <w:tcW w:w="1252" w:type="dxa"/>
            <w:tcBorders>
              <w:top w:val="nil"/>
              <w:left w:val="nil"/>
              <w:bottom w:val="nil"/>
              <w:right w:val="nil"/>
            </w:tcBorders>
            <w:shd w:val="clear" w:color="auto" w:fill="auto"/>
            <w:vAlign w:val="center"/>
            <w:hideMark/>
          </w:tcPr>
          <w:p w:rsidR="00D62D99" w:rsidRPr="00D62D99" w:rsidRDefault="00D62D99" w:rsidP="00D62D99">
            <w:pPr>
              <w:spacing w:after="0" w:line="240" w:lineRule="auto"/>
              <w:jc w:val="right"/>
              <w:rPr>
                <w:rFonts w:cs="Arial"/>
                <w:color w:val="000000"/>
                <w:sz w:val="16"/>
                <w:szCs w:val="16"/>
              </w:rPr>
            </w:pPr>
            <w:r w:rsidRPr="00D62D99">
              <w:rPr>
                <w:rFonts w:cs="Arial"/>
                <w:color w:val="000000"/>
                <w:sz w:val="16"/>
                <w:szCs w:val="16"/>
              </w:rPr>
              <w:t>75,3</w:t>
            </w:r>
          </w:p>
        </w:tc>
        <w:tc>
          <w:tcPr>
            <w:tcW w:w="1254" w:type="dxa"/>
            <w:tcBorders>
              <w:top w:val="nil"/>
              <w:left w:val="nil"/>
              <w:bottom w:val="nil"/>
              <w:right w:val="single" w:sz="4" w:space="0" w:color="auto"/>
            </w:tcBorders>
            <w:shd w:val="clear" w:color="auto" w:fill="auto"/>
            <w:vAlign w:val="center"/>
            <w:hideMark/>
          </w:tcPr>
          <w:p w:rsidR="00D62D99" w:rsidRPr="00D62D99" w:rsidRDefault="00D62D99" w:rsidP="00D62D99">
            <w:pPr>
              <w:spacing w:after="0" w:line="240" w:lineRule="auto"/>
              <w:jc w:val="right"/>
              <w:rPr>
                <w:rFonts w:cs="Arial"/>
                <w:color w:val="000000"/>
                <w:sz w:val="16"/>
                <w:szCs w:val="16"/>
              </w:rPr>
            </w:pPr>
            <w:r w:rsidRPr="00D62D99">
              <w:rPr>
                <w:rFonts w:cs="Arial"/>
                <w:color w:val="000000"/>
                <w:sz w:val="16"/>
                <w:szCs w:val="16"/>
              </w:rPr>
              <w:t>53,9</w:t>
            </w:r>
          </w:p>
        </w:tc>
        <w:tc>
          <w:tcPr>
            <w:tcW w:w="1610" w:type="dxa"/>
            <w:tcBorders>
              <w:top w:val="nil"/>
              <w:left w:val="nil"/>
              <w:bottom w:val="nil"/>
              <w:right w:val="nil"/>
            </w:tcBorders>
            <w:shd w:val="clear" w:color="auto" w:fill="auto"/>
            <w:vAlign w:val="center"/>
            <w:hideMark/>
          </w:tcPr>
          <w:p w:rsidR="00D62D99" w:rsidRPr="00D62D99" w:rsidRDefault="00D62D99" w:rsidP="00D62D99">
            <w:pPr>
              <w:spacing w:after="0" w:line="240" w:lineRule="auto"/>
              <w:jc w:val="center"/>
              <w:rPr>
                <w:rFonts w:cs="Arial"/>
                <w:color w:val="000000"/>
                <w:sz w:val="16"/>
                <w:szCs w:val="16"/>
              </w:rPr>
            </w:pPr>
            <w:r w:rsidRPr="00D62D99">
              <w:rPr>
                <w:rFonts w:cs="Arial"/>
                <w:color w:val="000000"/>
                <w:sz w:val="16"/>
                <w:szCs w:val="16"/>
              </w:rPr>
              <w:t>66,9</w:t>
            </w:r>
          </w:p>
        </w:tc>
        <w:tc>
          <w:tcPr>
            <w:tcW w:w="1252" w:type="dxa"/>
            <w:tcBorders>
              <w:top w:val="nil"/>
              <w:left w:val="nil"/>
              <w:bottom w:val="nil"/>
              <w:right w:val="nil"/>
            </w:tcBorders>
            <w:shd w:val="clear" w:color="auto" w:fill="auto"/>
            <w:vAlign w:val="center"/>
            <w:hideMark/>
          </w:tcPr>
          <w:p w:rsidR="00D62D99" w:rsidRPr="00D62D99" w:rsidRDefault="00D62D99" w:rsidP="00D62D99">
            <w:pPr>
              <w:spacing w:after="0" w:line="240" w:lineRule="auto"/>
              <w:jc w:val="center"/>
              <w:rPr>
                <w:rFonts w:cs="Arial"/>
                <w:color w:val="000000"/>
                <w:sz w:val="16"/>
                <w:szCs w:val="16"/>
              </w:rPr>
            </w:pPr>
            <w:r w:rsidRPr="00D62D99">
              <w:rPr>
                <w:rFonts w:cs="Arial"/>
                <w:color w:val="000000"/>
                <w:sz w:val="16"/>
                <w:szCs w:val="16"/>
              </w:rPr>
              <w:t>75,2</w:t>
            </w:r>
          </w:p>
        </w:tc>
        <w:tc>
          <w:tcPr>
            <w:tcW w:w="1254" w:type="dxa"/>
            <w:tcBorders>
              <w:top w:val="nil"/>
              <w:left w:val="nil"/>
              <w:bottom w:val="nil"/>
              <w:right w:val="nil"/>
            </w:tcBorders>
            <w:shd w:val="clear" w:color="auto" w:fill="auto"/>
            <w:vAlign w:val="center"/>
            <w:hideMark/>
          </w:tcPr>
          <w:p w:rsidR="00D62D99" w:rsidRPr="00D62D99" w:rsidRDefault="00D62D99" w:rsidP="00D62D99">
            <w:pPr>
              <w:spacing w:after="0" w:line="240" w:lineRule="auto"/>
              <w:jc w:val="center"/>
              <w:rPr>
                <w:rFonts w:cs="Arial"/>
                <w:color w:val="000000"/>
                <w:sz w:val="16"/>
                <w:szCs w:val="16"/>
              </w:rPr>
            </w:pPr>
            <w:r w:rsidRPr="00D62D99">
              <w:rPr>
                <w:rFonts w:cs="Arial"/>
                <w:color w:val="000000"/>
                <w:sz w:val="16"/>
                <w:szCs w:val="16"/>
              </w:rPr>
              <w:t>55,5</w:t>
            </w:r>
          </w:p>
        </w:tc>
      </w:tr>
      <w:tr w:rsidR="00D62D99" w:rsidRPr="00D62D99" w:rsidTr="00AD25A6">
        <w:trPr>
          <w:trHeight w:val="300"/>
        </w:trPr>
        <w:tc>
          <w:tcPr>
            <w:tcW w:w="1474" w:type="dxa"/>
            <w:tcBorders>
              <w:top w:val="single" w:sz="4" w:space="0" w:color="auto"/>
              <w:left w:val="nil"/>
              <w:bottom w:val="single" w:sz="4" w:space="0" w:color="auto"/>
              <w:right w:val="single" w:sz="4" w:space="0" w:color="auto"/>
            </w:tcBorders>
            <w:shd w:val="clear" w:color="auto" w:fill="E6C483"/>
            <w:vAlign w:val="center"/>
            <w:hideMark/>
          </w:tcPr>
          <w:p w:rsidR="00D62D99" w:rsidRPr="00D62D99" w:rsidRDefault="00D62D99" w:rsidP="00D62D99">
            <w:pPr>
              <w:spacing w:after="0" w:line="240" w:lineRule="auto"/>
              <w:jc w:val="center"/>
              <w:rPr>
                <w:rFonts w:cs="Arial"/>
                <w:color w:val="000000"/>
                <w:sz w:val="16"/>
                <w:szCs w:val="16"/>
              </w:rPr>
            </w:pPr>
            <w:r w:rsidRPr="00D62D99">
              <w:rPr>
                <w:rFonts w:cs="Arial"/>
                <w:color w:val="000000"/>
                <w:sz w:val="16"/>
                <w:szCs w:val="16"/>
              </w:rPr>
              <w:t> </w:t>
            </w:r>
          </w:p>
        </w:tc>
        <w:tc>
          <w:tcPr>
            <w:tcW w:w="8249" w:type="dxa"/>
            <w:gridSpan w:val="7"/>
            <w:tcBorders>
              <w:top w:val="single" w:sz="4" w:space="0" w:color="auto"/>
              <w:left w:val="nil"/>
              <w:bottom w:val="single" w:sz="4" w:space="0" w:color="auto"/>
              <w:right w:val="nil"/>
            </w:tcBorders>
            <w:shd w:val="clear" w:color="auto" w:fill="E6C483"/>
            <w:vAlign w:val="center"/>
            <w:hideMark/>
          </w:tcPr>
          <w:p w:rsidR="00D62D99" w:rsidRPr="00D62D99" w:rsidRDefault="00D62D99" w:rsidP="00D62D99">
            <w:pPr>
              <w:spacing w:after="0" w:line="240" w:lineRule="auto"/>
              <w:jc w:val="center"/>
              <w:rPr>
                <w:rFonts w:cs="Arial"/>
                <w:b/>
                <w:bCs/>
                <w:color w:val="000000"/>
                <w:sz w:val="16"/>
                <w:szCs w:val="16"/>
              </w:rPr>
            </w:pPr>
            <w:r w:rsidRPr="00D62D99">
              <w:rPr>
                <w:rFonts w:cs="Arial"/>
                <w:b/>
                <w:bCs/>
                <w:color w:val="000000"/>
                <w:sz w:val="16"/>
                <w:szCs w:val="16"/>
              </w:rPr>
              <w:t>2021</w:t>
            </w:r>
          </w:p>
        </w:tc>
      </w:tr>
      <w:tr w:rsidR="00D62D99" w:rsidRPr="00D62D99" w:rsidTr="00D62D99">
        <w:trPr>
          <w:gridAfter w:val="1"/>
          <w:wAfter w:w="18" w:type="dxa"/>
          <w:trHeight w:val="300"/>
        </w:trPr>
        <w:tc>
          <w:tcPr>
            <w:tcW w:w="1474" w:type="dxa"/>
            <w:tcBorders>
              <w:top w:val="nil"/>
              <w:left w:val="nil"/>
              <w:bottom w:val="nil"/>
              <w:right w:val="single" w:sz="4" w:space="0" w:color="auto"/>
            </w:tcBorders>
            <w:shd w:val="clear" w:color="auto" w:fill="auto"/>
            <w:vAlign w:val="center"/>
            <w:hideMark/>
          </w:tcPr>
          <w:p w:rsidR="00D62D99" w:rsidRPr="00D62D99" w:rsidRDefault="00D62D99" w:rsidP="00D62D99">
            <w:pPr>
              <w:spacing w:after="0" w:line="240" w:lineRule="auto"/>
              <w:jc w:val="left"/>
              <w:rPr>
                <w:rFonts w:cs="Arial"/>
                <w:b/>
                <w:bCs/>
                <w:color w:val="000000"/>
                <w:sz w:val="16"/>
                <w:szCs w:val="16"/>
              </w:rPr>
            </w:pPr>
            <w:r w:rsidRPr="00D62D99">
              <w:rPr>
                <w:rFonts w:cs="Arial"/>
                <w:b/>
                <w:bCs/>
                <w:color w:val="000000"/>
                <w:sz w:val="16"/>
                <w:szCs w:val="16"/>
              </w:rPr>
              <w:t>Celkem</w:t>
            </w:r>
          </w:p>
        </w:tc>
        <w:tc>
          <w:tcPr>
            <w:tcW w:w="1609" w:type="dxa"/>
            <w:tcBorders>
              <w:top w:val="nil"/>
              <w:left w:val="nil"/>
              <w:bottom w:val="nil"/>
              <w:right w:val="nil"/>
            </w:tcBorders>
            <w:shd w:val="clear" w:color="auto" w:fill="auto"/>
            <w:vAlign w:val="center"/>
            <w:hideMark/>
          </w:tcPr>
          <w:p w:rsidR="00D62D99" w:rsidRPr="00D62D99" w:rsidRDefault="00D62D99" w:rsidP="00D62D99">
            <w:pPr>
              <w:spacing w:after="0" w:line="240" w:lineRule="auto"/>
              <w:jc w:val="right"/>
              <w:rPr>
                <w:rFonts w:cs="Arial"/>
                <w:b/>
                <w:bCs/>
                <w:color w:val="000000"/>
                <w:sz w:val="16"/>
                <w:szCs w:val="16"/>
              </w:rPr>
            </w:pPr>
            <w:r w:rsidRPr="00D62D99">
              <w:rPr>
                <w:rFonts w:cs="Arial"/>
                <w:b/>
                <w:bCs/>
                <w:color w:val="000000"/>
                <w:sz w:val="16"/>
                <w:szCs w:val="16"/>
              </w:rPr>
              <w:t>2 718,0</w:t>
            </w:r>
          </w:p>
        </w:tc>
        <w:tc>
          <w:tcPr>
            <w:tcW w:w="1252" w:type="dxa"/>
            <w:tcBorders>
              <w:top w:val="nil"/>
              <w:left w:val="nil"/>
              <w:bottom w:val="nil"/>
              <w:right w:val="nil"/>
            </w:tcBorders>
            <w:shd w:val="clear" w:color="auto" w:fill="auto"/>
            <w:vAlign w:val="center"/>
            <w:hideMark/>
          </w:tcPr>
          <w:p w:rsidR="00D62D99" w:rsidRPr="00D62D99" w:rsidRDefault="00D62D99" w:rsidP="00D62D99">
            <w:pPr>
              <w:spacing w:after="0" w:line="240" w:lineRule="auto"/>
              <w:jc w:val="right"/>
              <w:rPr>
                <w:rFonts w:cs="Arial"/>
                <w:b/>
                <w:bCs/>
                <w:color w:val="000000"/>
                <w:sz w:val="16"/>
                <w:szCs w:val="16"/>
              </w:rPr>
            </w:pPr>
            <w:r w:rsidRPr="00D62D99">
              <w:rPr>
                <w:rFonts w:cs="Arial"/>
                <w:b/>
                <w:bCs/>
                <w:color w:val="000000"/>
                <w:sz w:val="16"/>
                <w:szCs w:val="16"/>
              </w:rPr>
              <w:t>1 320,2</w:t>
            </w:r>
          </w:p>
        </w:tc>
        <w:tc>
          <w:tcPr>
            <w:tcW w:w="1254" w:type="dxa"/>
            <w:tcBorders>
              <w:top w:val="nil"/>
              <w:left w:val="nil"/>
              <w:bottom w:val="nil"/>
              <w:right w:val="single" w:sz="4" w:space="0" w:color="auto"/>
            </w:tcBorders>
            <w:shd w:val="clear" w:color="auto" w:fill="auto"/>
            <w:vAlign w:val="center"/>
            <w:hideMark/>
          </w:tcPr>
          <w:p w:rsidR="00D62D99" w:rsidRPr="00D62D99" w:rsidRDefault="00D62D99" w:rsidP="00D62D99">
            <w:pPr>
              <w:spacing w:after="0" w:line="240" w:lineRule="auto"/>
              <w:jc w:val="right"/>
              <w:rPr>
                <w:rFonts w:cs="Arial"/>
                <w:b/>
                <w:bCs/>
                <w:color w:val="000000"/>
                <w:sz w:val="16"/>
                <w:szCs w:val="16"/>
              </w:rPr>
            </w:pPr>
            <w:r w:rsidRPr="00D62D99">
              <w:rPr>
                <w:rFonts w:cs="Arial"/>
                <w:b/>
                <w:bCs/>
                <w:color w:val="000000"/>
                <w:sz w:val="16"/>
                <w:szCs w:val="16"/>
              </w:rPr>
              <w:t>1 397,8</w:t>
            </w:r>
          </w:p>
        </w:tc>
        <w:tc>
          <w:tcPr>
            <w:tcW w:w="1610" w:type="dxa"/>
            <w:tcBorders>
              <w:top w:val="nil"/>
              <w:left w:val="nil"/>
              <w:bottom w:val="nil"/>
              <w:right w:val="nil"/>
            </w:tcBorders>
            <w:shd w:val="clear" w:color="auto" w:fill="auto"/>
            <w:vAlign w:val="center"/>
            <w:hideMark/>
          </w:tcPr>
          <w:p w:rsidR="00D62D99" w:rsidRPr="00D62D99" w:rsidRDefault="00D62D99" w:rsidP="00D62D99">
            <w:pPr>
              <w:spacing w:after="0" w:line="240" w:lineRule="auto"/>
              <w:jc w:val="center"/>
              <w:rPr>
                <w:rFonts w:cs="Arial"/>
                <w:b/>
                <w:bCs/>
                <w:color w:val="000000"/>
                <w:sz w:val="16"/>
                <w:szCs w:val="16"/>
              </w:rPr>
            </w:pPr>
            <w:r w:rsidRPr="00D62D99">
              <w:rPr>
                <w:rFonts w:cs="Arial"/>
                <w:b/>
                <w:bCs/>
                <w:color w:val="000000"/>
                <w:sz w:val="16"/>
                <w:szCs w:val="16"/>
              </w:rPr>
              <w:t>34,5</w:t>
            </w:r>
          </w:p>
        </w:tc>
        <w:tc>
          <w:tcPr>
            <w:tcW w:w="1252" w:type="dxa"/>
            <w:tcBorders>
              <w:top w:val="nil"/>
              <w:left w:val="nil"/>
              <w:bottom w:val="nil"/>
              <w:right w:val="nil"/>
            </w:tcBorders>
            <w:shd w:val="clear" w:color="auto" w:fill="auto"/>
            <w:vAlign w:val="center"/>
            <w:hideMark/>
          </w:tcPr>
          <w:p w:rsidR="00D62D99" w:rsidRPr="00D62D99" w:rsidRDefault="00D62D99" w:rsidP="00D62D99">
            <w:pPr>
              <w:spacing w:after="0" w:line="240" w:lineRule="auto"/>
              <w:jc w:val="center"/>
              <w:rPr>
                <w:rFonts w:cs="Arial"/>
                <w:b/>
                <w:bCs/>
                <w:color w:val="000000"/>
                <w:sz w:val="16"/>
                <w:szCs w:val="16"/>
              </w:rPr>
            </w:pPr>
            <w:r w:rsidRPr="00D62D99">
              <w:rPr>
                <w:rFonts w:cs="Arial"/>
                <w:b/>
                <w:bCs/>
                <w:color w:val="000000"/>
                <w:sz w:val="16"/>
                <w:szCs w:val="16"/>
              </w:rPr>
              <w:t>32,7</w:t>
            </w:r>
          </w:p>
        </w:tc>
        <w:tc>
          <w:tcPr>
            <w:tcW w:w="1254" w:type="dxa"/>
            <w:tcBorders>
              <w:top w:val="nil"/>
              <w:left w:val="nil"/>
              <w:bottom w:val="nil"/>
              <w:right w:val="nil"/>
            </w:tcBorders>
            <w:shd w:val="clear" w:color="auto" w:fill="auto"/>
            <w:vAlign w:val="center"/>
            <w:hideMark/>
          </w:tcPr>
          <w:p w:rsidR="00D62D99" w:rsidRPr="00D62D99" w:rsidRDefault="00D62D99" w:rsidP="00D62D99">
            <w:pPr>
              <w:spacing w:after="0" w:line="240" w:lineRule="auto"/>
              <w:jc w:val="center"/>
              <w:rPr>
                <w:rFonts w:cs="Arial"/>
                <w:b/>
                <w:bCs/>
                <w:color w:val="000000"/>
                <w:sz w:val="16"/>
                <w:szCs w:val="16"/>
              </w:rPr>
            </w:pPr>
            <w:r w:rsidRPr="00D62D99">
              <w:rPr>
                <w:rFonts w:cs="Arial"/>
                <w:b/>
                <w:bCs/>
                <w:color w:val="000000"/>
                <w:sz w:val="16"/>
                <w:szCs w:val="16"/>
              </w:rPr>
              <w:t>36,2</w:t>
            </w:r>
          </w:p>
        </w:tc>
      </w:tr>
      <w:tr w:rsidR="00D62D99" w:rsidRPr="00D62D99" w:rsidTr="00D62D99">
        <w:trPr>
          <w:gridAfter w:val="1"/>
          <w:wAfter w:w="18" w:type="dxa"/>
          <w:trHeight w:val="300"/>
        </w:trPr>
        <w:tc>
          <w:tcPr>
            <w:tcW w:w="1474" w:type="dxa"/>
            <w:tcBorders>
              <w:top w:val="nil"/>
              <w:left w:val="nil"/>
              <w:bottom w:val="nil"/>
              <w:right w:val="single" w:sz="4" w:space="0" w:color="auto"/>
            </w:tcBorders>
            <w:shd w:val="clear" w:color="auto" w:fill="auto"/>
            <w:vAlign w:val="center"/>
            <w:hideMark/>
          </w:tcPr>
          <w:p w:rsidR="00D62D99" w:rsidRPr="00D62D99" w:rsidRDefault="00D62D99" w:rsidP="00D62D99">
            <w:pPr>
              <w:spacing w:after="0" w:line="240" w:lineRule="auto"/>
              <w:ind w:firstLineChars="100" w:firstLine="160"/>
              <w:jc w:val="left"/>
              <w:rPr>
                <w:rFonts w:cs="Arial"/>
                <w:color w:val="000000"/>
                <w:sz w:val="16"/>
                <w:szCs w:val="16"/>
              </w:rPr>
            </w:pPr>
            <w:r w:rsidRPr="00D62D99">
              <w:rPr>
                <w:rFonts w:cs="Arial"/>
                <w:color w:val="000000"/>
                <w:sz w:val="16"/>
                <w:szCs w:val="16"/>
              </w:rPr>
              <w:t>mladší 20 let</w:t>
            </w:r>
          </w:p>
        </w:tc>
        <w:tc>
          <w:tcPr>
            <w:tcW w:w="1609" w:type="dxa"/>
            <w:tcBorders>
              <w:top w:val="nil"/>
              <w:left w:val="nil"/>
              <w:bottom w:val="nil"/>
              <w:right w:val="nil"/>
            </w:tcBorders>
            <w:shd w:val="clear" w:color="auto" w:fill="auto"/>
            <w:vAlign w:val="center"/>
            <w:hideMark/>
          </w:tcPr>
          <w:p w:rsidR="00D62D99" w:rsidRPr="00D62D99" w:rsidRDefault="00D62D99" w:rsidP="00D62D99">
            <w:pPr>
              <w:spacing w:after="0" w:line="240" w:lineRule="auto"/>
              <w:jc w:val="right"/>
              <w:rPr>
                <w:rFonts w:cs="Arial"/>
                <w:color w:val="000000"/>
                <w:sz w:val="16"/>
                <w:szCs w:val="16"/>
              </w:rPr>
            </w:pPr>
            <w:r w:rsidRPr="00D62D99">
              <w:rPr>
                <w:rFonts w:cs="Arial"/>
                <w:color w:val="000000"/>
                <w:sz w:val="16"/>
                <w:szCs w:val="16"/>
              </w:rPr>
              <w:t>29,3</w:t>
            </w:r>
          </w:p>
        </w:tc>
        <w:tc>
          <w:tcPr>
            <w:tcW w:w="1252" w:type="dxa"/>
            <w:tcBorders>
              <w:top w:val="nil"/>
              <w:left w:val="nil"/>
              <w:bottom w:val="nil"/>
              <w:right w:val="nil"/>
            </w:tcBorders>
            <w:shd w:val="clear" w:color="auto" w:fill="auto"/>
            <w:vAlign w:val="center"/>
            <w:hideMark/>
          </w:tcPr>
          <w:p w:rsidR="00D62D99" w:rsidRPr="00D62D99" w:rsidRDefault="00D62D99" w:rsidP="00D62D99">
            <w:pPr>
              <w:spacing w:after="0" w:line="240" w:lineRule="auto"/>
              <w:jc w:val="right"/>
              <w:rPr>
                <w:rFonts w:cs="Arial"/>
                <w:color w:val="000000"/>
                <w:sz w:val="16"/>
                <w:szCs w:val="16"/>
              </w:rPr>
            </w:pPr>
            <w:r w:rsidRPr="00D62D99">
              <w:rPr>
                <w:rFonts w:cs="Arial"/>
                <w:color w:val="000000"/>
                <w:sz w:val="16"/>
                <w:szCs w:val="16"/>
              </w:rPr>
              <w:t>16,9</w:t>
            </w:r>
          </w:p>
        </w:tc>
        <w:tc>
          <w:tcPr>
            <w:tcW w:w="1254" w:type="dxa"/>
            <w:tcBorders>
              <w:top w:val="nil"/>
              <w:left w:val="nil"/>
              <w:bottom w:val="nil"/>
              <w:right w:val="single" w:sz="4" w:space="0" w:color="auto"/>
            </w:tcBorders>
            <w:shd w:val="clear" w:color="auto" w:fill="auto"/>
            <w:vAlign w:val="center"/>
            <w:hideMark/>
          </w:tcPr>
          <w:p w:rsidR="00D62D99" w:rsidRPr="00D62D99" w:rsidRDefault="00D62D99" w:rsidP="00D62D99">
            <w:pPr>
              <w:spacing w:after="0" w:line="240" w:lineRule="auto"/>
              <w:jc w:val="right"/>
              <w:rPr>
                <w:rFonts w:cs="Arial"/>
                <w:color w:val="000000"/>
                <w:sz w:val="16"/>
                <w:szCs w:val="16"/>
              </w:rPr>
            </w:pPr>
            <w:r w:rsidRPr="00D62D99">
              <w:rPr>
                <w:rFonts w:cs="Arial"/>
                <w:color w:val="000000"/>
                <w:sz w:val="16"/>
                <w:szCs w:val="16"/>
              </w:rPr>
              <w:t>12,4</w:t>
            </w:r>
          </w:p>
        </w:tc>
        <w:tc>
          <w:tcPr>
            <w:tcW w:w="1610" w:type="dxa"/>
            <w:tcBorders>
              <w:top w:val="nil"/>
              <w:left w:val="nil"/>
              <w:bottom w:val="nil"/>
              <w:right w:val="nil"/>
            </w:tcBorders>
            <w:shd w:val="clear" w:color="auto" w:fill="auto"/>
            <w:vAlign w:val="center"/>
            <w:hideMark/>
          </w:tcPr>
          <w:p w:rsidR="00D62D99" w:rsidRPr="00D62D99" w:rsidRDefault="00D62D99" w:rsidP="00D62D99">
            <w:pPr>
              <w:spacing w:after="0" w:line="240" w:lineRule="auto"/>
              <w:jc w:val="center"/>
              <w:rPr>
                <w:rFonts w:cs="Arial"/>
                <w:color w:val="000000"/>
                <w:sz w:val="16"/>
                <w:szCs w:val="16"/>
              </w:rPr>
            </w:pPr>
            <w:r w:rsidRPr="00D62D99">
              <w:rPr>
                <w:rFonts w:cs="Arial"/>
                <w:color w:val="000000"/>
                <w:sz w:val="16"/>
                <w:szCs w:val="16"/>
              </w:rPr>
              <w:t>16,4</w:t>
            </w:r>
          </w:p>
        </w:tc>
        <w:tc>
          <w:tcPr>
            <w:tcW w:w="1252" w:type="dxa"/>
            <w:tcBorders>
              <w:top w:val="nil"/>
              <w:left w:val="nil"/>
              <w:bottom w:val="nil"/>
              <w:right w:val="nil"/>
            </w:tcBorders>
            <w:shd w:val="clear" w:color="auto" w:fill="auto"/>
            <w:vAlign w:val="center"/>
            <w:hideMark/>
          </w:tcPr>
          <w:p w:rsidR="00D62D99" w:rsidRPr="00D62D99" w:rsidRDefault="00D62D99" w:rsidP="00D62D99">
            <w:pPr>
              <w:spacing w:after="0" w:line="240" w:lineRule="auto"/>
              <w:jc w:val="center"/>
              <w:rPr>
                <w:rFonts w:cs="Arial"/>
                <w:color w:val="000000"/>
                <w:sz w:val="16"/>
                <w:szCs w:val="16"/>
              </w:rPr>
            </w:pPr>
            <w:r w:rsidRPr="00D62D99">
              <w:rPr>
                <w:rFonts w:cs="Arial"/>
                <w:color w:val="000000"/>
                <w:sz w:val="16"/>
                <w:szCs w:val="16"/>
              </w:rPr>
              <w:t>15,1</w:t>
            </w:r>
          </w:p>
        </w:tc>
        <w:tc>
          <w:tcPr>
            <w:tcW w:w="1254" w:type="dxa"/>
            <w:tcBorders>
              <w:top w:val="nil"/>
              <w:left w:val="nil"/>
              <w:bottom w:val="nil"/>
              <w:right w:val="nil"/>
            </w:tcBorders>
            <w:shd w:val="clear" w:color="auto" w:fill="auto"/>
            <w:vAlign w:val="center"/>
            <w:hideMark/>
          </w:tcPr>
          <w:p w:rsidR="00D62D99" w:rsidRPr="00D62D99" w:rsidRDefault="00D62D99" w:rsidP="00D62D99">
            <w:pPr>
              <w:spacing w:after="0" w:line="240" w:lineRule="auto"/>
              <w:jc w:val="center"/>
              <w:rPr>
                <w:rFonts w:cs="Arial"/>
                <w:color w:val="000000"/>
                <w:sz w:val="16"/>
                <w:szCs w:val="16"/>
              </w:rPr>
            </w:pPr>
            <w:r w:rsidRPr="00D62D99">
              <w:rPr>
                <w:rFonts w:cs="Arial"/>
                <w:color w:val="000000"/>
                <w:sz w:val="16"/>
                <w:szCs w:val="16"/>
              </w:rPr>
              <w:t>18,2</w:t>
            </w:r>
          </w:p>
        </w:tc>
      </w:tr>
      <w:tr w:rsidR="00D62D99" w:rsidRPr="00D62D99" w:rsidTr="00D62D99">
        <w:trPr>
          <w:gridAfter w:val="1"/>
          <w:wAfter w:w="18" w:type="dxa"/>
          <w:trHeight w:val="300"/>
        </w:trPr>
        <w:tc>
          <w:tcPr>
            <w:tcW w:w="1474" w:type="dxa"/>
            <w:tcBorders>
              <w:top w:val="nil"/>
              <w:left w:val="nil"/>
              <w:bottom w:val="nil"/>
              <w:right w:val="single" w:sz="4" w:space="0" w:color="auto"/>
            </w:tcBorders>
            <w:shd w:val="clear" w:color="auto" w:fill="auto"/>
            <w:vAlign w:val="center"/>
            <w:hideMark/>
          </w:tcPr>
          <w:p w:rsidR="00D62D99" w:rsidRPr="00D62D99" w:rsidRDefault="00D62D99" w:rsidP="00D62D99">
            <w:pPr>
              <w:spacing w:after="0" w:line="240" w:lineRule="auto"/>
              <w:ind w:firstLineChars="100" w:firstLine="160"/>
              <w:jc w:val="left"/>
              <w:rPr>
                <w:rFonts w:cs="Arial"/>
                <w:color w:val="000000"/>
                <w:sz w:val="16"/>
                <w:szCs w:val="16"/>
              </w:rPr>
            </w:pPr>
            <w:r w:rsidRPr="00D62D99">
              <w:rPr>
                <w:rFonts w:cs="Arial"/>
                <w:color w:val="000000"/>
                <w:sz w:val="16"/>
                <w:szCs w:val="16"/>
              </w:rPr>
              <w:t>20–29 let</w:t>
            </w:r>
          </w:p>
        </w:tc>
        <w:tc>
          <w:tcPr>
            <w:tcW w:w="1609" w:type="dxa"/>
            <w:tcBorders>
              <w:top w:val="nil"/>
              <w:left w:val="nil"/>
              <w:bottom w:val="nil"/>
              <w:right w:val="nil"/>
            </w:tcBorders>
            <w:shd w:val="clear" w:color="auto" w:fill="auto"/>
            <w:vAlign w:val="center"/>
            <w:hideMark/>
          </w:tcPr>
          <w:p w:rsidR="00D62D99" w:rsidRPr="00D62D99" w:rsidRDefault="00D62D99" w:rsidP="00D62D99">
            <w:pPr>
              <w:spacing w:after="0" w:line="240" w:lineRule="auto"/>
              <w:jc w:val="right"/>
              <w:rPr>
                <w:rFonts w:cs="Arial"/>
                <w:color w:val="000000"/>
                <w:sz w:val="16"/>
                <w:szCs w:val="16"/>
              </w:rPr>
            </w:pPr>
            <w:r w:rsidRPr="00D62D99">
              <w:rPr>
                <w:rFonts w:cs="Arial"/>
                <w:color w:val="000000"/>
                <w:sz w:val="16"/>
                <w:szCs w:val="16"/>
              </w:rPr>
              <w:t>526,2</w:t>
            </w:r>
          </w:p>
        </w:tc>
        <w:tc>
          <w:tcPr>
            <w:tcW w:w="1252" w:type="dxa"/>
            <w:tcBorders>
              <w:top w:val="nil"/>
              <w:left w:val="nil"/>
              <w:bottom w:val="nil"/>
              <w:right w:val="nil"/>
            </w:tcBorders>
            <w:shd w:val="clear" w:color="auto" w:fill="auto"/>
            <w:vAlign w:val="center"/>
            <w:hideMark/>
          </w:tcPr>
          <w:p w:rsidR="00D62D99" w:rsidRPr="00D62D99" w:rsidRDefault="00D62D99" w:rsidP="00D62D99">
            <w:pPr>
              <w:spacing w:after="0" w:line="240" w:lineRule="auto"/>
              <w:jc w:val="right"/>
              <w:rPr>
                <w:rFonts w:cs="Arial"/>
                <w:color w:val="000000"/>
                <w:sz w:val="16"/>
                <w:szCs w:val="16"/>
              </w:rPr>
            </w:pPr>
            <w:r w:rsidRPr="00D62D99">
              <w:rPr>
                <w:rFonts w:cs="Arial"/>
                <w:color w:val="000000"/>
                <w:sz w:val="16"/>
                <w:szCs w:val="16"/>
              </w:rPr>
              <w:t>289,4</w:t>
            </w:r>
          </w:p>
        </w:tc>
        <w:tc>
          <w:tcPr>
            <w:tcW w:w="1254" w:type="dxa"/>
            <w:tcBorders>
              <w:top w:val="nil"/>
              <w:left w:val="nil"/>
              <w:bottom w:val="nil"/>
              <w:right w:val="single" w:sz="4" w:space="0" w:color="auto"/>
            </w:tcBorders>
            <w:shd w:val="clear" w:color="auto" w:fill="auto"/>
            <w:vAlign w:val="center"/>
            <w:hideMark/>
          </w:tcPr>
          <w:p w:rsidR="00D62D99" w:rsidRPr="00D62D99" w:rsidRDefault="00D62D99" w:rsidP="00D62D99">
            <w:pPr>
              <w:spacing w:after="0" w:line="240" w:lineRule="auto"/>
              <w:jc w:val="right"/>
              <w:rPr>
                <w:rFonts w:cs="Arial"/>
                <w:color w:val="000000"/>
                <w:sz w:val="16"/>
                <w:szCs w:val="16"/>
              </w:rPr>
            </w:pPr>
            <w:r w:rsidRPr="00D62D99">
              <w:rPr>
                <w:rFonts w:cs="Arial"/>
                <w:color w:val="000000"/>
                <w:sz w:val="16"/>
                <w:szCs w:val="16"/>
              </w:rPr>
              <w:t>236,8</w:t>
            </w:r>
          </w:p>
        </w:tc>
        <w:tc>
          <w:tcPr>
            <w:tcW w:w="1610" w:type="dxa"/>
            <w:tcBorders>
              <w:top w:val="nil"/>
              <w:left w:val="nil"/>
              <w:bottom w:val="nil"/>
              <w:right w:val="nil"/>
            </w:tcBorders>
            <w:shd w:val="clear" w:color="auto" w:fill="auto"/>
            <w:vAlign w:val="center"/>
            <w:hideMark/>
          </w:tcPr>
          <w:p w:rsidR="00D62D99" w:rsidRPr="00D62D99" w:rsidRDefault="00D62D99" w:rsidP="00D62D99">
            <w:pPr>
              <w:spacing w:after="0" w:line="240" w:lineRule="auto"/>
              <w:jc w:val="center"/>
              <w:rPr>
                <w:rFonts w:cs="Arial"/>
                <w:color w:val="000000"/>
                <w:sz w:val="16"/>
                <w:szCs w:val="16"/>
              </w:rPr>
            </w:pPr>
            <w:r w:rsidRPr="00D62D99">
              <w:rPr>
                <w:rFonts w:cs="Arial"/>
                <w:color w:val="000000"/>
                <w:sz w:val="16"/>
                <w:szCs w:val="16"/>
              </w:rPr>
              <w:t>22,4</w:t>
            </w:r>
          </w:p>
        </w:tc>
        <w:tc>
          <w:tcPr>
            <w:tcW w:w="1252" w:type="dxa"/>
            <w:tcBorders>
              <w:top w:val="nil"/>
              <w:left w:val="nil"/>
              <w:bottom w:val="nil"/>
              <w:right w:val="nil"/>
            </w:tcBorders>
            <w:shd w:val="clear" w:color="auto" w:fill="auto"/>
            <w:vAlign w:val="center"/>
            <w:hideMark/>
          </w:tcPr>
          <w:p w:rsidR="00D62D99" w:rsidRPr="00D62D99" w:rsidRDefault="00D62D99" w:rsidP="00D62D99">
            <w:pPr>
              <w:spacing w:after="0" w:line="240" w:lineRule="auto"/>
              <w:jc w:val="center"/>
              <w:rPr>
                <w:rFonts w:cs="Arial"/>
                <w:color w:val="000000"/>
                <w:sz w:val="16"/>
                <w:szCs w:val="16"/>
              </w:rPr>
            </w:pPr>
            <w:r w:rsidRPr="00D62D99">
              <w:rPr>
                <w:rFonts w:cs="Arial"/>
                <w:color w:val="000000"/>
                <w:sz w:val="16"/>
                <w:szCs w:val="16"/>
              </w:rPr>
              <w:t>18,9</w:t>
            </w:r>
          </w:p>
        </w:tc>
        <w:tc>
          <w:tcPr>
            <w:tcW w:w="1254" w:type="dxa"/>
            <w:tcBorders>
              <w:top w:val="nil"/>
              <w:left w:val="nil"/>
              <w:bottom w:val="nil"/>
              <w:right w:val="nil"/>
            </w:tcBorders>
            <w:shd w:val="clear" w:color="auto" w:fill="auto"/>
            <w:vAlign w:val="center"/>
            <w:hideMark/>
          </w:tcPr>
          <w:p w:rsidR="00D62D99" w:rsidRPr="00D62D99" w:rsidRDefault="00D62D99" w:rsidP="00D62D99">
            <w:pPr>
              <w:spacing w:after="0" w:line="240" w:lineRule="auto"/>
              <w:jc w:val="center"/>
              <w:rPr>
                <w:rFonts w:cs="Arial"/>
                <w:color w:val="000000"/>
                <w:sz w:val="16"/>
                <w:szCs w:val="16"/>
              </w:rPr>
            </w:pPr>
            <w:r w:rsidRPr="00D62D99">
              <w:rPr>
                <w:rFonts w:cs="Arial"/>
                <w:color w:val="000000"/>
                <w:sz w:val="16"/>
                <w:szCs w:val="16"/>
              </w:rPr>
              <w:t>26,7</w:t>
            </w:r>
          </w:p>
        </w:tc>
      </w:tr>
      <w:tr w:rsidR="00D62D99" w:rsidRPr="00D62D99" w:rsidTr="00D62D99">
        <w:trPr>
          <w:gridAfter w:val="1"/>
          <w:wAfter w:w="18" w:type="dxa"/>
          <w:trHeight w:val="300"/>
        </w:trPr>
        <w:tc>
          <w:tcPr>
            <w:tcW w:w="1474" w:type="dxa"/>
            <w:tcBorders>
              <w:top w:val="nil"/>
              <w:left w:val="nil"/>
              <w:bottom w:val="nil"/>
              <w:right w:val="single" w:sz="4" w:space="0" w:color="auto"/>
            </w:tcBorders>
            <w:shd w:val="clear" w:color="auto" w:fill="auto"/>
            <w:vAlign w:val="center"/>
            <w:hideMark/>
          </w:tcPr>
          <w:p w:rsidR="00D62D99" w:rsidRPr="00D62D99" w:rsidRDefault="00D62D99" w:rsidP="00D62D99">
            <w:pPr>
              <w:spacing w:after="0" w:line="240" w:lineRule="auto"/>
              <w:ind w:firstLineChars="100" w:firstLine="160"/>
              <w:jc w:val="left"/>
              <w:rPr>
                <w:rFonts w:cs="Arial"/>
                <w:color w:val="000000"/>
                <w:sz w:val="16"/>
                <w:szCs w:val="16"/>
              </w:rPr>
            </w:pPr>
            <w:r w:rsidRPr="00D62D99">
              <w:rPr>
                <w:rFonts w:cs="Arial"/>
                <w:color w:val="000000"/>
                <w:sz w:val="16"/>
                <w:szCs w:val="16"/>
              </w:rPr>
              <w:t>30–39 let</w:t>
            </w:r>
          </w:p>
        </w:tc>
        <w:tc>
          <w:tcPr>
            <w:tcW w:w="1609" w:type="dxa"/>
            <w:tcBorders>
              <w:top w:val="nil"/>
              <w:left w:val="nil"/>
              <w:bottom w:val="nil"/>
              <w:right w:val="nil"/>
            </w:tcBorders>
            <w:shd w:val="clear" w:color="auto" w:fill="auto"/>
            <w:vAlign w:val="center"/>
            <w:hideMark/>
          </w:tcPr>
          <w:p w:rsidR="00D62D99" w:rsidRPr="00D62D99" w:rsidRDefault="00D62D99" w:rsidP="00D62D99">
            <w:pPr>
              <w:spacing w:after="0" w:line="240" w:lineRule="auto"/>
              <w:jc w:val="right"/>
              <w:rPr>
                <w:rFonts w:cs="Arial"/>
                <w:color w:val="000000"/>
                <w:sz w:val="16"/>
                <w:szCs w:val="16"/>
              </w:rPr>
            </w:pPr>
            <w:r w:rsidRPr="00D62D99">
              <w:rPr>
                <w:rFonts w:cs="Arial"/>
                <w:color w:val="000000"/>
                <w:sz w:val="16"/>
                <w:szCs w:val="16"/>
              </w:rPr>
              <w:t>576,3</w:t>
            </w:r>
          </w:p>
        </w:tc>
        <w:tc>
          <w:tcPr>
            <w:tcW w:w="1252" w:type="dxa"/>
            <w:tcBorders>
              <w:top w:val="nil"/>
              <w:left w:val="nil"/>
              <w:bottom w:val="nil"/>
              <w:right w:val="nil"/>
            </w:tcBorders>
            <w:shd w:val="clear" w:color="auto" w:fill="auto"/>
            <w:vAlign w:val="center"/>
            <w:hideMark/>
          </w:tcPr>
          <w:p w:rsidR="00D62D99" w:rsidRPr="00D62D99" w:rsidRDefault="00D62D99" w:rsidP="00D62D99">
            <w:pPr>
              <w:spacing w:after="0" w:line="240" w:lineRule="auto"/>
              <w:jc w:val="right"/>
              <w:rPr>
                <w:rFonts w:cs="Arial"/>
                <w:color w:val="000000"/>
                <w:sz w:val="16"/>
                <w:szCs w:val="16"/>
              </w:rPr>
            </w:pPr>
            <w:r w:rsidRPr="00D62D99">
              <w:rPr>
                <w:rFonts w:cs="Arial"/>
                <w:color w:val="000000"/>
                <w:sz w:val="16"/>
                <w:szCs w:val="16"/>
              </w:rPr>
              <w:t>308,6</w:t>
            </w:r>
          </w:p>
        </w:tc>
        <w:tc>
          <w:tcPr>
            <w:tcW w:w="1254" w:type="dxa"/>
            <w:tcBorders>
              <w:top w:val="nil"/>
              <w:left w:val="nil"/>
              <w:bottom w:val="nil"/>
              <w:right w:val="single" w:sz="4" w:space="0" w:color="auto"/>
            </w:tcBorders>
            <w:shd w:val="clear" w:color="auto" w:fill="auto"/>
            <w:vAlign w:val="center"/>
            <w:hideMark/>
          </w:tcPr>
          <w:p w:rsidR="00D62D99" w:rsidRPr="00D62D99" w:rsidRDefault="00D62D99" w:rsidP="00D62D99">
            <w:pPr>
              <w:spacing w:after="0" w:line="240" w:lineRule="auto"/>
              <w:jc w:val="right"/>
              <w:rPr>
                <w:rFonts w:cs="Arial"/>
                <w:color w:val="000000"/>
                <w:sz w:val="16"/>
                <w:szCs w:val="16"/>
              </w:rPr>
            </w:pPr>
            <w:r w:rsidRPr="00D62D99">
              <w:rPr>
                <w:rFonts w:cs="Arial"/>
                <w:color w:val="000000"/>
                <w:sz w:val="16"/>
                <w:szCs w:val="16"/>
              </w:rPr>
              <w:t>267,7</w:t>
            </w:r>
          </w:p>
        </w:tc>
        <w:tc>
          <w:tcPr>
            <w:tcW w:w="1610" w:type="dxa"/>
            <w:tcBorders>
              <w:top w:val="nil"/>
              <w:left w:val="nil"/>
              <w:bottom w:val="nil"/>
              <w:right w:val="nil"/>
            </w:tcBorders>
            <w:shd w:val="clear" w:color="auto" w:fill="auto"/>
            <w:vAlign w:val="center"/>
            <w:hideMark/>
          </w:tcPr>
          <w:p w:rsidR="00D62D99" w:rsidRPr="00D62D99" w:rsidRDefault="00D62D99" w:rsidP="00D62D99">
            <w:pPr>
              <w:spacing w:after="0" w:line="240" w:lineRule="auto"/>
              <w:jc w:val="center"/>
              <w:rPr>
                <w:rFonts w:cs="Arial"/>
                <w:color w:val="000000"/>
                <w:sz w:val="16"/>
                <w:szCs w:val="16"/>
              </w:rPr>
            </w:pPr>
            <w:r w:rsidRPr="00D62D99">
              <w:rPr>
                <w:rFonts w:cs="Arial"/>
                <w:color w:val="000000"/>
                <w:sz w:val="16"/>
                <w:szCs w:val="16"/>
              </w:rPr>
              <w:t>27,9</w:t>
            </w:r>
          </w:p>
        </w:tc>
        <w:tc>
          <w:tcPr>
            <w:tcW w:w="1252" w:type="dxa"/>
            <w:tcBorders>
              <w:top w:val="nil"/>
              <w:left w:val="nil"/>
              <w:bottom w:val="nil"/>
              <w:right w:val="nil"/>
            </w:tcBorders>
            <w:shd w:val="clear" w:color="auto" w:fill="auto"/>
            <w:vAlign w:val="center"/>
            <w:hideMark/>
          </w:tcPr>
          <w:p w:rsidR="00D62D99" w:rsidRPr="00D62D99" w:rsidRDefault="00D62D99" w:rsidP="00D62D99">
            <w:pPr>
              <w:spacing w:after="0" w:line="240" w:lineRule="auto"/>
              <w:jc w:val="center"/>
              <w:rPr>
                <w:rFonts w:cs="Arial"/>
                <w:color w:val="000000"/>
                <w:sz w:val="16"/>
                <w:szCs w:val="16"/>
              </w:rPr>
            </w:pPr>
            <w:r w:rsidRPr="00D62D99">
              <w:rPr>
                <w:rFonts w:cs="Arial"/>
                <w:color w:val="000000"/>
                <w:sz w:val="16"/>
                <w:szCs w:val="16"/>
              </w:rPr>
              <w:t>24,1</w:t>
            </w:r>
          </w:p>
        </w:tc>
        <w:tc>
          <w:tcPr>
            <w:tcW w:w="1254" w:type="dxa"/>
            <w:tcBorders>
              <w:top w:val="nil"/>
              <w:left w:val="nil"/>
              <w:bottom w:val="nil"/>
              <w:right w:val="nil"/>
            </w:tcBorders>
            <w:shd w:val="clear" w:color="auto" w:fill="auto"/>
            <w:vAlign w:val="center"/>
            <w:hideMark/>
          </w:tcPr>
          <w:p w:rsidR="00D62D99" w:rsidRPr="00D62D99" w:rsidRDefault="00D62D99" w:rsidP="00D62D99">
            <w:pPr>
              <w:spacing w:after="0" w:line="240" w:lineRule="auto"/>
              <w:jc w:val="center"/>
              <w:rPr>
                <w:rFonts w:cs="Arial"/>
                <w:color w:val="000000"/>
                <w:sz w:val="16"/>
                <w:szCs w:val="16"/>
              </w:rPr>
            </w:pPr>
            <w:r w:rsidRPr="00D62D99">
              <w:rPr>
                <w:rFonts w:cs="Arial"/>
                <w:color w:val="000000"/>
                <w:sz w:val="16"/>
                <w:szCs w:val="16"/>
              </w:rPr>
              <w:t>32,2</w:t>
            </w:r>
          </w:p>
        </w:tc>
      </w:tr>
      <w:tr w:rsidR="00D62D99" w:rsidRPr="00D62D99" w:rsidTr="00D62D99">
        <w:trPr>
          <w:gridAfter w:val="1"/>
          <w:wAfter w:w="18" w:type="dxa"/>
          <w:trHeight w:val="300"/>
        </w:trPr>
        <w:tc>
          <w:tcPr>
            <w:tcW w:w="1474" w:type="dxa"/>
            <w:tcBorders>
              <w:top w:val="nil"/>
              <w:left w:val="nil"/>
              <w:bottom w:val="nil"/>
              <w:right w:val="single" w:sz="4" w:space="0" w:color="auto"/>
            </w:tcBorders>
            <w:shd w:val="clear" w:color="auto" w:fill="auto"/>
            <w:vAlign w:val="center"/>
            <w:hideMark/>
          </w:tcPr>
          <w:p w:rsidR="00D62D99" w:rsidRPr="00D62D99" w:rsidRDefault="00D62D99" w:rsidP="00D62D99">
            <w:pPr>
              <w:spacing w:after="0" w:line="240" w:lineRule="auto"/>
              <w:ind w:firstLineChars="100" w:firstLine="160"/>
              <w:jc w:val="left"/>
              <w:rPr>
                <w:rFonts w:cs="Arial"/>
                <w:color w:val="000000"/>
                <w:sz w:val="16"/>
                <w:szCs w:val="16"/>
              </w:rPr>
            </w:pPr>
            <w:r w:rsidRPr="00D62D99">
              <w:rPr>
                <w:rFonts w:cs="Arial"/>
                <w:color w:val="000000"/>
                <w:sz w:val="16"/>
                <w:szCs w:val="16"/>
              </w:rPr>
              <w:t>40–49 let</w:t>
            </w:r>
          </w:p>
        </w:tc>
        <w:tc>
          <w:tcPr>
            <w:tcW w:w="1609" w:type="dxa"/>
            <w:tcBorders>
              <w:top w:val="nil"/>
              <w:left w:val="nil"/>
              <w:bottom w:val="nil"/>
              <w:right w:val="nil"/>
            </w:tcBorders>
            <w:shd w:val="clear" w:color="auto" w:fill="auto"/>
            <w:vAlign w:val="center"/>
            <w:hideMark/>
          </w:tcPr>
          <w:p w:rsidR="00D62D99" w:rsidRPr="00D62D99" w:rsidRDefault="00D62D99" w:rsidP="00D62D99">
            <w:pPr>
              <w:spacing w:after="0" w:line="240" w:lineRule="auto"/>
              <w:jc w:val="right"/>
              <w:rPr>
                <w:rFonts w:cs="Arial"/>
                <w:color w:val="000000"/>
                <w:sz w:val="16"/>
                <w:szCs w:val="16"/>
              </w:rPr>
            </w:pPr>
            <w:r w:rsidRPr="00D62D99">
              <w:rPr>
                <w:rFonts w:cs="Arial"/>
                <w:color w:val="000000"/>
                <w:sz w:val="16"/>
                <w:szCs w:val="16"/>
              </w:rPr>
              <w:t>763,7</w:t>
            </w:r>
          </w:p>
        </w:tc>
        <w:tc>
          <w:tcPr>
            <w:tcW w:w="1252" w:type="dxa"/>
            <w:tcBorders>
              <w:top w:val="nil"/>
              <w:left w:val="nil"/>
              <w:bottom w:val="nil"/>
              <w:right w:val="nil"/>
            </w:tcBorders>
            <w:shd w:val="clear" w:color="auto" w:fill="auto"/>
            <w:vAlign w:val="center"/>
            <w:hideMark/>
          </w:tcPr>
          <w:p w:rsidR="00D62D99" w:rsidRPr="00D62D99" w:rsidRDefault="00D62D99" w:rsidP="00D62D99">
            <w:pPr>
              <w:spacing w:after="0" w:line="240" w:lineRule="auto"/>
              <w:jc w:val="right"/>
              <w:rPr>
                <w:rFonts w:cs="Arial"/>
                <w:color w:val="000000"/>
                <w:sz w:val="16"/>
                <w:szCs w:val="16"/>
              </w:rPr>
            </w:pPr>
            <w:r w:rsidRPr="00D62D99">
              <w:rPr>
                <w:rFonts w:cs="Arial"/>
                <w:color w:val="000000"/>
                <w:sz w:val="16"/>
                <w:szCs w:val="16"/>
              </w:rPr>
              <w:t>329,2</w:t>
            </w:r>
          </w:p>
        </w:tc>
        <w:tc>
          <w:tcPr>
            <w:tcW w:w="1254" w:type="dxa"/>
            <w:tcBorders>
              <w:top w:val="nil"/>
              <w:left w:val="nil"/>
              <w:bottom w:val="nil"/>
              <w:right w:val="single" w:sz="4" w:space="0" w:color="auto"/>
            </w:tcBorders>
            <w:shd w:val="clear" w:color="auto" w:fill="auto"/>
            <w:vAlign w:val="center"/>
            <w:hideMark/>
          </w:tcPr>
          <w:p w:rsidR="00D62D99" w:rsidRPr="00D62D99" w:rsidRDefault="00D62D99" w:rsidP="00D62D99">
            <w:pPr>
              <w:spacing w:after="0" w:line="240" w:lineRule="auto"/>
              <w:jc w:val="right"/>
              <w:rPr>
                <w:rFonts w:cs="Arial"/>
                <w:color w:val="000000"/>
                <w:sz w:val="16"/>
                <w:szCs w:val="16"/>
              </w:rPr>
            </w:pPr>
            <w:r w:rsidRPr="00D62D99">
              <w:rPr>
                <w:rFonts w:cs="Arial"/>
                <w:color w:val="000000"/>
                <w:sz w:val="16"/>
                <w:szCs w:val="16"/>
              </w:rPr>
              <w:t>434,5</w:t>
            </w:r>
          </w:p>
        </w:tc>
        <w:tc>
          <w:tcPr>
            <w:tcW w:w="1610" w:type="dxa"/>
            <w:tcBorders>
              <w:top w:val="nil"/>
              <w:left w:val="nil"/>
              <w:bottom w:val="nil"/>
              <w:right w:val="nil"/>
            </w:tcBorders>
            <w:shd w:val="clear" w:color="auto" w:fill="auto"/>
            <w:vAlign w:val="center"/>
            <w:hideMark/>
          </w:tcPr>
          <w:p w:rsidR="00D62D99" w:rsidRPr="00D62D99" w:rsidRDefault="00D62D99" w:rsidP="00D62D99">
            <w:pPr>
              <w:spacing w:after="0" w:line="240" w:lineRule="auto"/>
              <w:jc w:val="center"/>
              <w:rPr>
                <w:rFonts w:cs="Arial"/>
                <w:color w:val="000000"/>
                <w:sz w:val="16"/>
                <w:szCs w:val="16"/>
              </w:rPr>
            </w:pPr>
            <w:r w:rsidRPr="00D62D99">
              <w:rPr>
                <w:rFonts w:cs="Arial"/>
                <w:color w:val="000000"/>
                <w:sz w:val="16"/>
                <w:szCs w:val="16"/>
              </w:rPr>
              <w:t>33,5</w:t>
            </w:r>
          </w:p>
        </w:tc>
        <w:tc>
          <w:tcPr>
            <w:tcW w:w="1252" w:type="dxa"/>
            <w:tcBorders>
              <w:top w:val="nil"/>
              <w:left w:val="nil"/>
              <w:bottom w:val="nil"/>
              <w:right w:val="nil"/>
            </w:tcBorders>
            <w:shd w:val="clear" w:color="auto" w:fill="auto"/>
            <w:vAlign w:val="center"/>
            <w:hideMark/>
          </w:tcPr>
          <w:p w:rsidR="00D62D99" w:rsidRPr="00D62D99" w:rsidRDefault="00D62D99" w:rsidP="00D62D99">
            <w:pPr>
              <w:spacing w:after="0" w:line="240" w:lineRule="auto"/>
              <w:jc w:val="center"/>
              <w:rPr>
                <w:rFonts w:cs="Arial"/>
                <w:color w:val="000000"/>
                <w:sz w:val="16"/>
                <w:szCs w:val="16"/>
              </w:rPr>
            </w:pPr>
            <w:r w:rsidRPr="00D62D99">
              <w:rPr>
                <w:rFonts w:cs="Arial"/>
                <w:color w:val="000000"/>
                <w:sz w:val="16"/>
                <w:szCs w:val="16"/>
              </w:rPr>
              <w:t>32,9</w:t>
            </w:r>
          </w:p>
        </w:tc>
        <w:tc>
          <w:tcPr>
            <w:tcW w:w="1254" w:type="dxa"/>
            <w:tcBorders>
              <w:top w:val="nil"/>
              <w:left w:val="nil"/>
              <w:bottom w:val="nil"/>
              <w:right w:val="nil"/>
            </w:tcBorders>
            <w:shd w:val="clear" w:color="auto" w:fill="auto"/>
            <w:vAlign w:val="center"/>
            <w:hideMark/>
          </w:tcPr>
          <w:p w:rsidR="00D62D99" w:rsidRPr="00D62D99" w:rsidRDefault="00D62D99" w:rsidP="00D62D99">
            <w:pPr>
              <w:spacing w:after="0" w:line="240" w:lineRule="auto"/>
              <w:jc w:val="center"/>
              <w:rPr>
                <w:rFonts w:cs="Arial"/>
                <w:color w:val="000000"/>
                <w:sz w:val="16"/>
                <w:szCs w:val="16"/>
              </w:rPr>
            </w:pPr>
            <w:r w:rsidRPr="00D62D99">
              <w:rPr>
                <w:rFonts w:cs="Arial"/>
                <w:color w:val="000000"/>
                <w:sz w:val="16"/>
                <w:szCs w:val="16"/>
              </w:rPr>
              <w:t>34,0</w:t>
            </w:r>
          </w:p>
        </w:tc>
      </w:tr>
      <w:tr w:rsidR="00D62D99" w:rsidRPr="00D62D99" w:rsidTr="00D62D99">
        <w:trPr>
          <w:gridAfter w:val="1"/>
          <w:wAfter w:w="18" w:type="dxa"/>
          <w:trHeight w:val="300"/>
        </w:trPr>
        <w:tc>
          <w:tcPr>
            <w:tcW w:w="1474" w:type="dxa"/>
            <w:tcBorders>
              <w:top w:val="nil"/>
              <w:left w:val="nil"/>
              <w:bottom w:val="nil"/>
              <w:right w:val="single" w:sz="4" w:space="0" w:color="auto"/>
            </w:tcBorders>
            <w:shd w:val="clear" w:color="auto" w:fill="auto"/>
            <w:vAlign w:val="center"/>
            <w:hideMark/>
          </w:tcPr>
          <w:p w:rsidR="00D62D99" w:rsidRPr="00D62D99" w:rsidRDefault="00D62D99" w:rsidP="00D62D99">
            <w:pPr>
              <w:spacing w:after="0" w:line="240" w:lineRule="auto"/>
              <w:ind w:firstLineChars="100" w:firstLine="160"/>
              <w:jc w:val="left"/>
              <w:rPr>
                <w:rFonts w:cs="Arial"/>
                <w:color w:val="000000"/>
                <w:sz w:val="16"/>
                <w:szCs w:val="16"/>
              </w:rPr>
            </w:pPr>
            <w:r w:rsidRPr="00D62D99">
              <w:rPr>
                <w:rFonts w:cs="Arial"/>
                <w:color w:val="000000"/>
                <w:sz w:val="16"/>
                <w:szCs w:val="16"/>
              </w:rPr>
              <w:t>50–59 let</w:t>
            </w:r>
          </w:p>
        </w:tc>
        <w:tc>
          <w:tcPr>
            <w:tcW w:w="1609" w:type="dxa"/>
            <w:tcBorders>
              <w:top w:val="nil"/>
              <w:left w:val="nil"/>
              <w:bottom w:val="nil"/>
              <w:right w:val="nil"/>
            </w:tcBorders>
            <w:shd w:val="clear" w:color="auto" w:fill="auto"/>
            <w:vAlign w:val="center"/>
            <w:hideMark/>
          </w:tcPr>
          <w:p w:rsidR="00D62D99" w:rsidRPr="00D62D99" w:rsidRDefault="00D62D99" w:rsidP="00D62D99">
            <w:pPr>
              <w:spacing w:after="0" w:line="240" w:lineRule="auto"/>
              <w:jc w:val="right"/>
              <w:rPr>
                <w:rFonts w:cs="Arial"/>
                <w:color w:val="000000"/>
                <w:sz w:val="16"/>
                <w:szCs w:val="16"/>
              </w:rPr>
            </w:pPr>
            <w:r w:rsidRPr="00D62D99">
              <w:rPr>
                <w:rFonts w:cs="Arial"/>
                <w:color w:val="000000"/>
                <w:sz w:val="16"/>
                <w:szCs w:val="16"/>
              </w:rPr>
              <w:t>633,2</w:t>
            </w:r>
          </w:p>
        </w:tc>
        <w:tc>
          <w:tcPr>
            <w:tcW w:w="1252" w:type="dxa"/>
            <w:tcBorders>
              <w:top w:val="nil"/>
              <w:left w:val="nil"/>
              <w:bottom w:val="nil"/>
              <w:right w:val="nil"/>
            </w:tcBorders>
            <w:shd w:val="clear" w:color="auto" w:fill="auto"/>
            <w:vAlign w:val="center"/>
            <w:hideMark/>
          </w:tcPr>
          <w:p w:rsidR="00D62D99" w:rsidRPr="00D62D99" w:rsidRDefault="00D62D99" w:rsidP="00D62D99">
            <w:pPr>
              <w:spacing w:after="0" w:line="240" w:lineRule="auto"/>
              <w:jc w:val="right"/>
              <w:rPr>
                <w:rFonts w:cs="Arial"/>
                <w:color w:val="000000"/>
                <w:sz w:val="16"/>
                <w:szCs w:val="16"/>
              </w:rPr>
            </w:pPr>
            <w:r w:rsidRPr="00D62D99">
              <w:rPr>
                <w:rFonts w:cs="Arial"/>
                <w:color w:val="000000"/>
                <w:sz w:val="16"/>
                <w:szCs w:val="16"/>
              </w:rPr>
              <w:t>269,2</w:t>
            </w:r>
          </w:p>
        </w:tc>
        <w:tc>
          <w:tcPr>
            <w:tcW w:w="1254" w:type="dxa"/>
            <w:tcBorders>
              <w:top w:val="nil"/>
              <w:left w:val="nil"/>
              <w:bottom w:val="nil"/>
              <w:right w:val="single" w:sz="4" w:space="0" w:color="auto"/>
            </w:tcBorders>
            <w:shd w:val="clear" w:color="auto" w:fill="auto"/>
            <w:vAlign w:val="center"/>
            <w:hideMark/>
          </w:tcPr>
          <w:p w:rsidR="00D62D99" w:rsidRPr="00D62D99" w:rsidRDefault="00D62D99" w:rsidP="00D62D99">
            <w:pPr>
              <w:spacing w:after="0" w:line="240" w:lineRule="auto"/>
              <w:jc w:val="right"/>
              <w:rPr>
                <w:rFonts w:cs="Arial"/>
                <w:color w:val="000000"/>
                <w:sz w:val="16"/>
                <w:szCs w:val="16"/>
              </w:rPr>
            </w:pPr>
            <w:r w:rsidRPr="00D62D99">
              <w:rPr>
                <w:rFonts w:cs="Arial"/>
                <w:color w:val="000000"/>
                <w:sz w:val="16"/>
                <w:szCs w:val="16"/>
              </w:rPr>
              <w:t>364,0</w:t>
            </w:r>
          </w:p>
        </w:tc>
        <w:tc>
          <w:tcPr>
            <w:tcW w:w="1610" w:type="dxa"/>
            <w:tcBorders>
              <w:top w:val="nil"/>
              <w:left w:val="nil"/>
              <w:bottom w:val="nil"/>
              <w:right w:val="nil"/>
            </w:tcBorders>
            <w:shd w:val="clear" w:color="auto" w:fill="auto"/>
            <w:vAlign w:val="center"/>
            <w:hideMark/>
          </w:tcPr>
          <w:p w:rsidR="00D62D99" w:rsidRPr="00D62D99" w:rsidRDefault="00D62D99" w:rsidP="00D62D99">
            <w:pPr>
              <w:spacing w:after="0" w:line="240" w:lineRule="auto"/>
              <w:jc w:val="center"/>
              <w:rPr>
                <w:rFonts w:cs="Arial"/>
                <w:color w:val="000000"/>
                <w:sz w:val="16"/>
                <w:szCs w:val="16"/>
              </w:rPr>
            </w:pPr>
            <w:r w:rsidRPr="00D62D99">
              <w:rPr>
                <w:rFonts w:cs="Arial"/>
                <w:color w:val="000000"/>
                <w:sz w:val="16"/>
                <w:szCs w:val="16"/>
              </w:rPr>
              <w:t>45,2</w:t>
            </w:r>
          </w:p>
        </w:tc>
        <w:tc>
          <w:tcPr>
            <w:tcW w:w="1252" w:type="dxa"/>
            <w:tcBorders>
              <w:top w:val="nil"/>
              <w:left w:val="nil"/>
              <w:bottom w:val="nil"/>
              <w:right w:val="nil"/>
            </w:tcBorders>
            <w:shd w:val="clear" w:color="auto" w:fill="auto"/>
            <w:vAlign w:val="center"/>
            <w:hideMark/>
          </w:tcPr>
          <w:p w:rsidR="00D62D99" w:rsidRPr="00D62D99" w:rsidRDefault="00D62D99" w:rsidP="00D62D99">
            <w:pPr>
              <w:spacing w:after="0" w:line="240" w:lineRule="auto"/>
              <w:jc w:val="center"/>
              <w:rPr>
                <w:rFonts w:cs="Arial"/>
                <w:color w:val="000000"/>
                <w:sz w:val="16"/>
                <w:szCs w:val="16"/>
              </w:rPr>
            </w:pPr>
            <w:r w:rsidRPr="00D62D99">
              <w:rPr>
                <w:rFonts w:cs="Arial"/>
                <w:color w:val="000000"/>
                <w:sz w:val="16"/>
                <w:szCs w:val="16"/>
              </w:rPr>
              <w:t>45,8</w:t>
            </w:r>
          </w:p>
        </w:tc>
        <w:tc>
          <w:tcPr>
            <w:tcW w:w="1254" w:type="dxa"/>
            <w:tcBorders>
              <w:top w:val="nil"/>
              <w:left w:val="nil"/>
              <w:bottom w:val="nil"/>
              <w:right w:val="nil"/>
            </w:tcBorders>
            <w:shd w:val="clear" w:color="auto" w:fill="auto"/>
            <w:vAlign w:val="center"/>
            <w:hideMark/>
          </w:tcPr>
          <w:p w:rsidR="00D62D99" w:rsidRPr="00D62D99" w:rsidRDefault="00D62D99" w:rsidP="00D62D99">
            <w:pPr>
              <w:spacing w:after="0" w:line="240" w:lineRule="auto"/>
              <w:jc w:val="center"/>
              <w:rPr>
                <w:rFonts w:cs="Arial"/>
                <w:color w:val="000000"/>
                <w:sz w:val="16"/>
                <w:szCs w:val="16"/>
              </w:rPr>
            </w:pPr>
            <w:r w:rsidRPr="00D62D99">
              <w:rPr>
                <w:rFonts w:cs="Arial"/>
                <w:color w:val="000000"/>
                <w:sz w:val="16"/>
                <w:szCs w:val="16"/>
              </w:rPr>
              <w:t>44,7</w:t>
            </w:r>
          </w:p>
        </w:tc>
      </w:tr>
      <w:tr w:rsidR="00D62D99" w:rsidRPr="00D62D99" w:rsidTr="00D62D99">
        <w:trPr>
          <w:gridAfter w:val="1"/>
          <w:wAfter w:w="18" w:type="dxa"/>
          <w:trHeight w:val="300"/>
        </w:trPr>
        <w:tc>
          <w:tcPr>
            <w:tcW w:w="1474" w:type="dxa"/>
            <w:tcBorders>
              <w:top w:val="nil"/>
              <w:left w:val="nil"/>
              <w:bottom w:val="nil"/>
              <w:right w:val="single" w:sz="4" w:space="0" w:color="auto"/>
            </w:tcBorders>
            <w:shd w:val="clear" w:color="auto" w:fill="auto"/>
            <w:vAlign w:val="center"/>
            <w:hideMark/>
          </w:tcPr>
          <w:p w:rsidR="00D62D99" w:rsidRPr="00D62D99" w:rsidRDefault="00D62D99" w:rsidP="00D62D99">
            <w:pPr>
              <w:spacing w:after="0" w:line="240" w:lineRule="auto"/>
              <w:ind w:firstLineChars="100" w:firstLine="160"/>
              <w:jc w:val="left"/>
              <w:rPr>
                <w:rFonts w:cs="Arial"/>
                <w:color w:val="000000"/>
                <w:sz w:val="16"/>
                <w:szCs w:val="16"/>
              </w:rPr>
            </w:pPr>
            <w:r w:rsidRPr="00D62D99">
              <w:rPr>
                <w:rFonts w:cs="Arial"/>
                <w:color w:val="000000"/>
                <w:sz w:val="16"/>
                <w:szCs w:val="16"/>
              </w:rPr>
              <w:t>60 a více let</w:t>
            </w:r>
          </w:p>
        </w:tc>
        <w:tc>
          <w:tcPr>
            <w:tcW w:w="1609" w:type="dxa"/>
            <w:tcBorders>
              <w:top w:val="nil"/>
              <w:left w:val="nil"/>
              <w:bottom w:val="nil"/>
              <w:right w:val="nil"/>
            </w:tcBorders>
            <w:shd w:val="clear" w:color="auto" w:fill="auto"/>
            <w:vAlign w:val="center"/>
            <w:hideMark/>
          </w:tcPr>
          <w:p w:rsidR="00D62D99" w:rsidRPr="00D62D99" w:rsidRDefault="00D62D99" w:rsidP="00D62D99">
            <w:pPr>
              <w:spacing w:after="0" w:line="240" w:lineRule="auto"/>
              <w:jc w:val="right"/>
              <w:rPr>
                <w:rFonts w:cs="Arial"/>
                <w:color w:val="000000"/>
                <w:sz w:val="16"/>
                <w:szCs w:val="16"/>
              </w:rPr>
            </w:pPr>
            <w:r w:rsidRPr="00D62D99">
              <w:rPr>
                <w:rFonts w:cs="Arial"/>
                <w:color w:val="000000"/>
                <w:sz w:val="16"/>
                <w:szCs w:val="16"/>
              </w:rPr>
              <w:t>189,3</w:t>
            </w:r>
          </w:p>
        </w:tc>
        <w:tc>
          <w:tcPr>
            <w:tcW w:w="1252" w:type="dxa"/>
            <w:tcBorders>
              <w:top w:val="nil"/>
              <w:left w:val="nil"/>
              <w:bottom w:val="nil"/>
              <w:right w:val="nil"/>
            </w:tcBorders>
            <w:shd w:val="clear" w:color="auto" w:fill="auto"/>
            <w:vAlign w:val="center"/>
            <w:hideMark/>
          </w:tcPr>
          <w:p w:rsidR="00D62D99" w:rsidRPr="00D62D99" w:rsidRDefault="00D62D99" w:rsidP="00D62D99">
            <w:pPr>
              <w:spacing w:after="0" w:line="240" w:lineRule="auto"/>
              <w:jc w:val="right"/>
              <w:rPr>
                <w:rFonts w:cs="Arial"/>
                <w:color w:val="000000"/>
                <w:sz w:val="16"/>
                <w:szCs w:val="16"/>
              </w:rPr>
            </w:pPr>
            <w:r w:rsidRPr="00D62D99">
              <w:rPr>
                <w:rFonts w:cs="Arial"/>
                <w:color w:val="000000"/>
                <w:sz w:val="16"/>
                <w:szCs w:val="16"/>
              </w:rPr>
              <w:t>106,9</w:t>
            </w:r>
          </w:p>
        </w:tc>
        <w:tc>
          <w:tcPr>
            <w:tcW w:w="1254" w:type="dxa"/>
            <w:tcBorders>
              <w:top w:val="nil"/>
              <w:left w:val="nil"/>
              <w:bottom w:val="nil"/>
              <w:right w:val="single" w:sz="4" w:space="0" w:color="auto"/>
            </w:tcBorders>
            <w:shd w:val="clear" w:color="auto" w:fill="auto"/>
            <w:vAlign w:val="center"/>
            <w:hideMark/>
          </w:tcPr>
          <w:p w:rsidR="00D62D99" w:rsidRPr="00D62D99" w:rsidRDefault="00D62D99" w:rsidP="00D62D99">
            <w:pPr>
              <w:spacing w:after="0" w:line="240" w:lineRule="auto"/>
              <w:jc w:val="right"/>
              <w:rPr>
                <w:rFonts w:cs="Arial"/>
                <w:color w:val="000000"/>
                <w:sz w:val="16"/>
                <w:szCs w:val="16"/>
              </w:rPr>
            </w:pPr>
            <w:r w:rsidRPr="00D62D99">
              <w:rPr>
                <w:rFonts w:cs="Arial"/>
                <w:color w:val="000000"/>
                <w:sz w:val="16"/>
                <w:szCs w:val="16"/>
              </w:rPr>
              <w:t>82,5</w:t>
            </w:r>
          </w:p>
        </w:tc>
        <w:tc>
          <w:tcPr>
            <w:tcW w:w="1610" w:type="dxa"/>
            <w:tcBorders>
              <w:top w:val="nil"/>
              <w:left w:val="nil"/>
              <w:bottom w:val="nil"/>
              <w:right w:val="nil"/>
            </w:tcBorders>
            <w:shd w:val="clear" w:color="auto" w:fill="auto"/>
            <w:vAlign w:val="center"/>
            <w:hideMark/>
          </w:tcPr>
          <w:p w:rsidR="00D62D99" w:rsidRPr="00D62D99" w:rsidRDefault="00D62D99" w:rsidP="00D62D99">
            <w:pPr>
              <w:spacing w:after="0" w:line="240" w:lineRule="auto"/>
              <w:jc w:val="center"/>
              <w:rPr>
                <w:rFonts w:cs="Arial"/>
                <w:color w:val="000000"/>
                <w:sz w:val="16"/>
                <w:szCs w:val="16"/>
              </w:rPr>
            </w:pPr>
            <w:r w:rsidRPr="00D62D99">
              <w:rPr>
                <w:rFonts w:cs="Arial"/>
                <w:color w:val="000000"/>
                <w:sz w:val="16"/>
                <w:szCs w:val="16"/>
              </w:rPr>
              <w:t>58,8</w:t>
            </w:r>
          </w:p>
        </w:tc>
        <w:tc>
          <w:tcPr>
            <w:tcW w:w="1252" w:type="dxa"/>
            <w:tcBorders>
              <w:top w:val="nil"/>
              <w:left w:val="nil"/>
              <w:bottom w:val="single" w:sz="4" w:space="0" w:color="auto"/>
              <w:right w:val="nil"/>
            </w:tcBorders>
            <w:shd w:val="clear" w:color="auto" w:fill="auto"/>
            <w:vAlign w:val="center"/>
            <w:hideMark/>
          </w:tcPr>
          <w:p w:rsidR="00D62D99" w:rsidRPr="00D62D99" w:rsidRDefault="00D62D99" w:rsidP="00D62D99">
            <w:pPr>
              <w:spacing w:after="0" w:line="240" w:lineRule="auto"/>
              <w:jc w:val="center"/>
              <w:rPr>
                <w:rFonts w:cs="Arial"/>
                <w:color w:val="000000"/>
                <w:sz w:val="16"/>
                <w:szCs w:val="16"/>
              </w:rPr>
            </w:pPr>
            <w:r w:rsidRPr="00D62D99">
              <w:rPr>
                <w:rFonts w:cs="Arial"/>
                <w:color w:val="000000"/>
                <w:sz w:val="16"/>
                <w:szCs w:val="16"/>
              </w:rPr>
              <w:t>63,7</w:t>
            </w:r>
          </w:p>
        </w:tc>
        <w:tc>
          <w:tcPr>
            <w:tcW w:w="1254" w:type="dxa"/>
            <w:tcBorders>
              <w:top w:val="nil"/>
              <w:left w:val="nil"/>
              <w:bottom w:val="nil"/>
              <w:right w:val="nil"/>
            </w:tcBorders>
            <w:shd w:val="clear" w:color="auto" w:fill="auto"/>
            <w:vAlign w:val="center"/>
            <w:hideMark/>
          </w:tcPr>
          <w:p w:rsidR="00D62D99" w:rsidRPr="00D62D99" w:rsidRDefault="00D62D99" w:rsidP="00D62D99">
            <w:pPr>
              <w:spacing w:after="0" w:line="240" w:lineRule="auto"/>
              <w:jc w:val="center"/>
              <w:rPr>
                <w:rFonts w:cs="Arial"/>
                <w:color w:val="000000"/>
                <w:sz w:val="16"/>
                <w:szCs w:val="16"/>
              </w:rPr>
            </w:pPr>
            <w:r w:rsidRPr="00D62D99">
              <w:rPr>
                <w:rFonts w:cs="Arial"/>
                <w:color w:val="000000"/>
                <w:sz w:val="16"/>
                <w:szCs w:val="16"/>
              </w:rPr>
              <w:t>52,5</w:t>
            </w:r>
          </w:p>
        </w:tc>
      </w:tr>
      <w:tr w:rsidR="00D62D99" w:rsidRPr="00D62D99" w:rsidTr="00AD25A6">
        <w:trPr>
          <w:trHeight w:val="300"/>
        </w:trPr>
        <w:tc>
          <w:tcPr>
            <w:tcW w:w="1474" w:type="dxa"/>
            <w:tcBorders>
              <w:top w:val="single" w:sz="4" w:space="0" w:color="auto"/>
              <w:left w:val="nil"/>
              <w:bottom w:val="single" w:sz="4" w:space="0" w:color="auto"/>
              <w:right w:val="single" w:sz="4" w:space="0" w:color="auto"/>
            </w:tcBorders>
            <w:shd w:val="clear" w:color="auto" w:fill="E6C483"/>
            <w:vAlign w:val="center"/>
            <w:hideMark/>
          </w:tcPr>
          <w:p w:rsidR="00D62D99" w:rsidRPr="00D62D99" w:rsidRDefault="00D62D99" w:rsidP="00D62D99">
            <w:pPr>
              <w:spacing w:after="0" w:line="240" w:lineRule="auto"/>
              <w:jc w:val="center"/>
              <w:rPr>
                <w:rFonts w:cs="Arial"/>
                <w:color w:val="000000"/>
                <w:sz w:val="16"/>
                <w:szCs w:val="16"/>
              </w:rPr>
            </w:pPr>
            <w:r w:rsidRPr="00D62D99">
              <w:rPr>
                <w:rFonts w:cs="Arial"/>
                <w:color w:val="000000"/>
                <w:sz w:val="16"/>
                <w:szCs w:val="16"/>
              </w:rPr>
              <w:t> </w:t>
            </w:r>
          </w:p>
        </w:tc>
        <w:tc>
          <w:tcPr>
            <w:tcW w:w="8249" w:type="dxa"/>
            <w:gridSpan w:val="7"/>
            <w:tcBorders>
              <w:top w:val="single" w:sz="4" w:space="0" w:color="auto"/>
              <w:left w:val="nil"/>
              <w:bottom w:val="single" w:sz="4" w:space="0" w:color="auto"/>
              <w:right w:val="nil"/>
            </w:tcBorders>
            <w:shd w:val="clear" w:color="auto" w:fill="E6C483"/>
            <w:vAlign w:val="center"/>
            <w:hideMark/>
          </w:tcPr>
          <w:p w:rsidR="00D62D99" w:rsidRPr="00D62D99" w:rsidRDefault="00AD25A6" w:rsidP="00D62D99">
            <w:pPr>
              <w:spacing w:after="0" w:line="240" w:lineRule="auto"/>
              <w:jc w:val="center"/>
              <w:rPr>
                <w:rFonts w:cs="Arial"/>
                <w:b/>
                <w:bCs/>
                <w:color w:val="000000"/>
                <w:sz w:val="16"/>
                <w:szCs w:val="16"/>
              </w:rPr>
            </w:pPr>
            <w:r>
              <w:rPr>
                <w:rFonts w:cs="Arial"/>
                <w:b/>
                <w:bCs/>
                <w:color w:val="000000"/>
                <w:sz w:val="16"/>
                <w:szCs w:val="16"/>
              </w:rPr>
              <w:t>2024</w:t>
            </w:r>
          </w:p>
        </w:tc>
      </w:tr>
      <w:tr w:rsidR="00D62D99" w:rsidRPr="00D62D99" w:rsidTr="00D62D99">
        <w:trPr>
          <w:gridAfter w:val="1"/>
          <w:wAfter w:w="18" w:type="dxa"/>
          <w:trHeight w:val="300"/>
        </w:trPr>
        <w:tc>
          <w:tcPr>
            <w:tcW w:w="1474" w:type="dxa"/>
            <w:tcBorders>
              <w:top w:val="nil"/>
              <w:left w:val="nil"/>
              <w:bottom w:val="nil"/>
              <w:right w:val="single" w:sz="4" w:space="0" w:color="auto"/>
            </w:tcBorders>
            <w:shd w:val="clear" w:color="auto" w:fill="auto"/>
            <w:vAlign w:val="center"/>
            <w:hideMark/>
          </w:tcPr>
          <w:p w:rsidR="00D62D99" w:rsidRPr="00D62D99" w:rsidRDefault="00D62D99" w:rsidP="00D62D99">
            <w:pPr>
              <w:spacing w:after="0" w:line="240" w:lineRule="auto"/>
              <w:jc w:val="left"/>
              <w:rPr>
                <w:rFonts w:cs="Arial"/>
                <w:b/>
                <w:bCs/>
                <w:color w:val="000000"/>
                <w:sz w:val="16"/>
                <w:szCs w:val="16"/>
              </w:rPr>
            </w:pPr>
            <w:r w:rsidRPr="00D62D99">
              <w:rPr>
                <w:rFonts w:cs="Arial"/>
                <w:b/>
                <w:bCs/>
                <w:color w:val="000000"/>
                <w:sz w:val="16"/>
                <w:szCs w:val="16"/>
              </w:rPr>
              <w:t>Celkem</w:t>
            </w:r>
          </w:p>
        </w:tc>
        <w:tc>
          <w:tcPr>
            <w:tcW w:w="1609" w:type="dxa"/>
            <w:tcBorders>
              <w:top w:val="nil"/>
              <w:left w:val="nil"/>
              <w:bottom w:val="nil"/>
              <w:right w:val="nil"/>
            </w:tcBorders>
            <w:shd w:val="clear" w:color="auto" w:fill="auto"/>
            <w:vAlign w:val="center"/>
          </w:tcPr>
          <w:p w:rsidR="00D62D99" w:rsidRPr="00D62D99" w:rsidRDefault="00BD1A0E" w:rsidP="00D62D99">
            <w:pPr>
              <w:spacing w:after="0" w:line="240" w:lineRule="auto"/>
              <w:jc w:val="right"/>
              <w:rPr>
                <w:rFonts w:cs="Arial"/>
                <w:b/>
                <w:bCs/>
                <w:color w:val="000000"/>
                <w:sz w:val="16"/>
                <w:szCs w:val="16"/>
              </w:rPr>
            </w:pPr>
            <w:r>
              <w:rPr>
                <w:rFonts w:cs="Arial"/>
                <w:b/>
                <w:bCs/>
                <w:color w:val="000000"/>
                <w:sz w:val="16"/>
                <w:szCs w:val="16"/>
              </w:rPr>
              <w:t>2 435,4</w:t>
            </w:r>
          </w:p>
        </w:tc>
        <w:tc>
          <w:tcPr>
            <w:tcW w:w="1252" w:type="dxa"/>
            <w:tcBorders>
              <w:top w:val="nil"/>
              <w:left w:val="nil"/>
              <w:bottom w:val="nil"/>
              <w:right w:val="nil"/>
            </w:tcBorders>
            <w:shd w:val="clear" w:color="auto" w:fill="auto"/>
            <w:vAlign w:val="center"/>
          </w:tcPr>
          <w:p w:rsidR="00D62D99" w:rsidRPr="00D62D99" w:rsidRDefault="00BD1A0E" w:rsidP="00D62D99">
            <w:pPr>
              <w:spacing w:after="0" w:line="240" w:lineRule="auto"/>
              <w:jc w:val="right"/>
              <w:rPr>
                <w:rFonts w:cs="Arial"/>
                <w:b/>
                <w:bCs/>
                <w:color w:val="000000"/>
                <w:sz w:val="16"/>
                <w:szCs w:val="16"/>
              </w:rPr>
            </w:pPr>
            <w:r>
              <w:rPr>
                <w:rFonts w:cs="Arial"/>
                <w:b/>
                <w:bCs/>
                <w:color w:val="000000"/>
                <w:sz w:val="16"/>
                <w:szCs w:val="16"/>
              </w:rPr>
              <w:t>1 092,8</w:t>
            </w:r>
          </w:p>
        </w:tc>
        <w:tc>
          <w:tcPr>
            <w:tcW w:w="1254" w:type="dxa"/>
            <w:tcBorders>
              <w:top w:val="nil"/>
              <w:left w:val="nil"/>
              <w:bottom w:val="nil"/>
              <w:right w:val="single" w:sz="4" w:space="0" w:color="auto"/>
            </w:tcBorders>
            <w:shd w:val="clear" w:color="auto" w:fill="auto"/>
            <w:vAlign w:val="center"/>
          </w:tcPr>
          <w:p w:rsidR="00D62D99" w:rsidRPr="00D62D99" w:rsidRDefault="00BD1A0E" w:rsidP="00D62D99">
            <w:pPr>
              <w:spacing w:after="0" w:line="240" w:lineRule="auto"/>
              <w:jc w:val="right"/>
              <w:rPr>
                <w:rFonts w:cs="Arial"/>
                <w:b/>
                <w:bCs/>
                <w:color w:val="000000"/>
                <w:sz w:val="16"/>
                <w:szCs w:val="16"/>
              </w:rPr>
            </w:pPr>
            <w:r>
              <w:rPr>
                <w:rFonts w:cs="Arial"/>
                <w:b/>
                <w:bCs/>
                <w:color w:val="000000"/>
                <w:sz w:val="16"/>
                <w:szCs w:val="16"/>
              </w:rPr>
              <w:t>1 342,6</w:t>
            </w:r>
          </w:p>
        </w:tc>
        <w:tc>
          <w:tcPr>
            <w:tcW w:w="1610" w:type="dxa"/>
            <w:tcBorders>
              <w:top w:val="nil"/>
              <w:left w:val="nil"/>
              <w:bottom w:val="nil"/>
              <w:right w:val="nil"/>
            </w:tcBorders>
            <w:shd w:val="clear" w:color="auto" w:fill="auto"/>
            <w:vAlign w:val="center"/>
          </w:tcPr>
          <w:p w:rsidR="00D62D99" w:rsidRPr="00D62D99" w:rsidRDefault="00BD1A0E" w:rsidP="00D62D99">
            <w:pPr>
              <w:spacing w:after="0" w:line="240" w:lineRule="auto"/>
              <w:jc w:val="center"/>
              <w:rPr>
                <w:rFonts w:cs="Arial"/>
                <w:b/>
                <w:bCs/>
                <w:color w:val="000000"/>
                <w:sz w:val="16"/>
                <w:szCs w:val="16"/>
              </w:rPr>
            </w:pPr>
            <w:r>
              <w:rPr>
                <w:rFonts w:cs="Arial"/>
                <w:b/>
                <w:bCs/>
                <w:color w:val="000000"/>
                <w:sz w:val="16"/>
                <w:szCs w:val="16"/>
              </w:rPr>
              <w:t>31,2</w:t>
            </w:r>
          </w:p>
        </w:tc>
        <w:tc>
          <w:tcPr>
            <w:tcW w:w="1252" w:type="dxa"/>
            <w:tcBorders>
              <w:top w:val="nil"/>
              <w:left w:val="nil"/>
              <w:bottom w:val="nil"/>
              <w:right w:val="nil"/>
            </w:tcBorders>
            <w:shd w:val="clear" w:color="auto" w:fill="auto"/>
            <w:vAlign w:val="center"/>
          </w:tcPr>
          <w:p w:rsidR="00D62D99" w:rsidRPr="00D62D99" w:rsidRDefault="00BD1A0E" w:rsidP="00D62D99">
            <w:pPr>
              <w:spacing w:after="0" w:line="240" w:lineRule="auto"/>
              <w:jc w:val="center"/>
              <w:rPr>
                <w:rFonts w:cs="Arial"/>
                <w:b/>
                <w:bCs/>
                <w:color w:val="000000"/>
                <w:sz w:val="16"/>
                <w:szCs w:val="16"/>
              </w:rPr>
            </w:pPr>
            <w:r>
              <w:rPr>
                <w:rFonts w:cs="Arial"/>
                <w:b/>
                <w:bCs/>
                <w:color w:val="000000"/>
                <w:sz w:val="16"/>
                <w:szCs w:val="16"/>
              </w:rPr>
              <w:t>31,4</w:t>
            </w:r>
          </w:p>
        </w:tc>
        <w:tc>
          <w:tcPr>
            <w:tcW w:w="1254" w:type="dxa"/>
            <w:tcBorders>
              <w:top w:val="nil"/>
              <w:left w:val="nil"/>
              <w:bottom w:val="nil"/>
              <w:right w:val="nil"/>
            </w:tcBorders>
            <w:shd w:val="clear" w:color="auto" w:fill="auto"/>
            <w:vAlign w:val="center"/>
          </w:tcPr>
          <w:p w:rsidR="00D62D99" w:rsidRPr="00D62D99" w:rsidRDefault="00BD1A0E" w:rsidP="00D62D99">
            <w:pPr>
              <w:spacing w:after="0" w:line="240" w:lineRule="auto"/>
              <w:jc w:val="center"/>
              <w:rPr>
                <w:rFonts w:cs="Arial"/>
                <w:b/>
                <w:bCs/>
                <w:color w:val="000000"/>
                <w:sz w:val="16"/>
                <w:szCs w:val="16"/>
              </w:rPr>
            </w:pPr>
            <w:r>
              <w:rPr>
                <w:rFonts w:cs="Arial"/>
                <w:b/>
                <w:bCs/>
                <w:color w:val="000000"/>
                <w:sz w:val="16"/>
                <w:szCs w:val="16"/>
              </w:rPr>
              <w:t>31,0</w:t>
            </w:r>
          </w:p>
        </w:tc>
      </w:tr>
      <w:tr w:rsidR="00D62D99" w:rsidRPr="00D62D99" w:rsidTr="00D62D99">
        <w:trPr>
          <w:gridAfter w:val="1"/>
          <w:wAfter w:w="18" w:type="dxa"/>
          <w:trHeight w:val="300"/>
        </w:trPr>
        <w:tc>
          <w:tcPr>
            <w:tcW w:w="1474" w:type="dxa"/>
            <w:tcBorders>
              <w:top w:val="nil"/>
              <w:left w:val="nil"/>
              <w:bottom w:val="nil"/>
              <w:right w:val="single" w:sz="4" w:space="0" w:color="auto"/>
            </w:tcBorders>
            <w:shd w:val="clear" w:color="auto" w:fill="auto"/>
            <w:vAlign w:val="center"/>
            <w:hideMark/>
          </w:tcPr>
          <w:p w:rsidR="00D62D99" w:rsidRPr="00D62D99" w:rsidRDefault="00D62D99" w:rsidP="00D62D99">
            <w:pPr>
              <w:spacing w:after="0" w:line="240" w:lineRule="auto"/>
              <w:ind w:firstLineChars="100" w:firstLine="160"/>
              <w:jc w:val="left"/>
              <w:rPr>
                <w:rFonts w:cs="Arial"/>
                <w:color w:val="000000"/>
                <w:sz w:val="16"/>
                <w:szCs w:val="16"/>
              </w:rPr>
            </w:pPr>
            <w:r w:rsidRPr="00D62D99">
              <w:rPr>
                <w:rFonts w:cs="Arial"/>
                <w:color w:val="000000"/>
                <w:sz w:val="16"/>
                <w:szCs w:val="16"/>
              </w:rPr>
              <w:t>mladší 20 let</w:t>
            </w:r>
          </w:p>
        </w:tc>
        <w:tc>
          <w:tcPr>
            <w:tcW w:w="1609" w:type="dxa"/>
            <w:tcBorders>
              <w:top w:val="nil"/>
              <w:left w:val="nil"/>
              <w:bottom w:val="nil"/>
              <w:right w:val="nil"/>
            </w:tcBorders>
            <w:shd w:val="clear" w:color="auto" w:fill="auto"/>
            <w:vAlign w:val="center"/>
          </w:tcPr>
          <w:p w:rsidR="00D62D99" w:rsidRPr="00D62D99" w:rsidRDefault="00AF3892" w:rsidP="00D62D99">
            <w:pPr>
              <w:spacing w:after="0" w:line="240" w:lineRule="auto"/>
              <w:jc w:val="right"/>
              <w:rPr>
                <w:rFonts w:cs="Arial"/>
                <w:color w:val="000000"/>
                <w:sz w:val="16"/>
                <w:szCs w:val="16"/>
              </w:rPr>
            </w:pPr>
            <w:r>
              <w:rPr>
                <w:rFonts w:cs="Arial"/>
                <w:color w:val="000000"/>
                <w:sz w:val="16"/>
                <w:szCs w:val="16"/>
              </w:rPr>
              <w:t>28,7</w:t>
            </w:r>
          </w:p>
        </w:tc>
        <w:tc>
          <w:tcPr>
            <w:tcW w:w="1252" w:type="dxa"/>
            <w:tcBorders>
              <w:top w:val="nil"/>
              <w:left w:val="nil"/>
              <w:bottom w:val="nil"/>
              <w:right w:val="nil"/>
            </w:tcBorders>
            <w:shd w:val="clear" w:color="auto" w:fill="auto"/>
            <w:vAlign w:val="center"/>
          </w:tcPr>
          <w:p w:rsidR="00D62D99" w:rsidRPr="00D62D99" w:rsidRDefault="00AF3892" w:rsidP="00D62D99">
            <w:pPr>
              <w:spacing w:after="0" w:line="240" w:lineRule="auto"/>
              <w:jc w:val="right"/>
              <w:rPr>
                <w:rFonts w:cs="Arial"/>
                <w:color w:val="000000"/>
                <w:sz w:val="16"/>
                <w:szCs w:val="16"/>
              </w:rPr>
            </w:pPr>
            <w:r>
              <w:rPr>
                <w:rFonts w:cs="Arial"/>
                <w:color w:val="000000"/>
                <w:sz w:val="16"/>
                <w:szCs w:val="16"/>
              </w:rPr>
              <w:t>16,3</w:t>
            </w:r>
          </w:p>
        </w:tc>
        <w:tc>
          <w:tcPr>
            <w:tcW w:w="1254" w:type="dxa"/>
            <w:tcBorders>
              <w:top w:val="nil"/>
              <w:left w:val="nil"/>
              <w:bottom w:val="nil"/>
              <w:right w:val="single" w:sz="4" w:space="0" w:color="auto"/>
            </w:tcBorders>
            <w:shd w:val="clear" w:color="auto" w:fill="auto"/>
            <w:vAlign w:val="center"/>
          </w:tcPr>
          <w:p w:rsidR="00D62D99" w:rsidRPr="00D62D99" w:rsidRDefault="00AF3892" w:rsidP="00D62D99">
            <w:pPr>
              <w:spacing w:after="0" w:line="240" w:lineRule="auto"/>
              <w:jc w:val="right"/>
              <w:rPr>
                <w:rFonts w:cs="Arial"/>
                <w:color w:val="000000"/>
                <w:sz w:val="16"/>
                <w:szCs w:val="16"/>
              </w:rPr>
            </w:pPr>
            <w:r>
              <w:rPr>
                <w:rFonts w:cs="Arial"/>
                <w:color w:val="000000"/>
                <w:sz w:val="16"/>
                <w:szCs w:val="16"/>
              </w:rPr>
              <w:t>12,4</w:t>
            </w:r>
          </w:p>
        </w:tc>
        <w:tc>
          <w:tcPr>
            <w:tcW w:w="1610" w:type="dxa"/>
            <w:tcBorders>
              <w:top w:val="nil"/>
              <w:left w:val="nil"/>
              <w:bottom w:val="nil"/>
              <w:right w:val="nil"/>
            </w:tcBorders>
            <w:shd w:val="clear" w:color="auto" w:fill="auto"/>
            <w:vAlign w:val="center"/>
          </w:tcPr>
          <w:p w:rsidR="00D62D99" w:rsidRPr="00D62D99" w:rsidRDefault="00AF3892" w:rsidP="00D62D99">
            <w:pPr>
              <w:spacing w:after="0" w:line="240" w:lineRule="auto"/>
              <w:jc w:val="center"/>
              <w:rPr>
                <w:rFonts w:cs="Arial"/>
                <w:color w:val="000000"/>
                <w:sz w:val="16"/>
                <w:szCs w:val="16"/>
              </w:rPr>
            </w:pPr>
            <w:r>
              <w:rPr>
                <w:rFonts w:cs="Arial"/>
                <w:color w:val="000000"/>
                <w:sz w:val="16"/>
                <w:szCs w:val="16"/>
              </w:rPr>
              <w:t>14,2</w:t>
            </w:r>
          </w:p>
        </w:tc>
        <w:tc>
          <w:tcPr>
            <w:tcW w:w="1252" w:type="dxa"/>
            <w:tcBorders>
              <w:top w:val="nil"/>
              <w:left w:val="nil"/>
              <w:bottom w:val="nil"/>
              <w:right w:val="nil"/>
            </w:tcBorders>
            <w:shd w:val="clear" w:color="auto" w:fill="auto"/>
            <w:vAlign w:val="center"/>
          </w:tcPr>
          <w:p w:rsidR="00D62D99" w:rsidRPr="00D62D99" w:rsidRDefault="00AF3892" w:rsidP="00D62D99">
            <w:pPr>
              <w:spacing w:after="0" w:line="240" w:lineRule="auto"/>
              <w:jc w:val="center"/>
              <w:rPr>
                <w:rFonts w:cs="Arial"/>
                <w:color w:val="000000"/>
                <w:sz w:val="16"/>
                <w:szCs w:val="16"/>
              </w:rPr>
            </w:pPr>
            <w:r>
              <w:rPr>
                <w:rFonts w:cs="Arial"/>
                <w:color w:val="000000"/>
                <w:sz w:val="16"/>
                <w:szCs w:val="16"/>
              </w:rPr>
              <w:t>13,1</w:t>
            </w:r>
          </w:p>
        </w:tc>
        <w:tc>
          <w:tcPr>
            <w:tcW w:w="1254" w:type="dxa"/>
            <w:tcBorders>
              <w:top w:val="nil"/>
              <w:left w:val="nil"/>
              <w:bottom w:val="nil"/>
              <w:right w:val="nil"/>
            </w:tcBorders>
            <w:shd w:val="clear" w:color="auto" w:fill="auto"/>
            <w:vAlign w:val="center"/>
          </w:tcPr>
          <w:p w:rsidR="00D62D99" w:rsidRPr="00D62D99" w:rsidRDefault="00AF3892" w:rsidP="00D62D99">
            <w:pPr>
              <w:spacing w:after="0" w:line="240" w:lineRule="auto"/>
              <w:jc w:val="center"/>
              <w:rPr>
                <w:rFonts w:cs="Arial"/>
                <w:color w:val="000000"/>
                <w:sz w:val="16"/>
                <w:szCs w:val="16"/>
              </w:rPr>
            </w:pPr>
            <w:r>
              <w:rPr>
                <w:rFonts w:cs="Arial"/>
                <w:color w:val="000000"/>
                <w:sz w:val="16"/>
                <w:szCs w:val="16"/>
              </w:rPr>
              <w:t>15,7</w:t>
            </w:r>
          </w:p>
        </w:tc>
      </w:tr>
      <w:tr w:rsidR="00D62D99" w:rsidRPr="00D62D99" w:rsidTr="00D62D99">
        <w:trPr>
          <w:gridAfter w:val="1"/>
          <w:wAfter w:w="18" w:type="dxa"/>
          <w:trHeight w:val="300"/>
        </w:trPr>
        <w:tc>
          <w:tcPr>
            <w:tcW w:w="1474" w:type="dxa"/>
            <w:tcBorders>
              <w:top w:val="nil"/>
              <w:left w:val="nil"/>
              <w:bottom w:val="nil"/>
              <w:right w:val="single" w:sz="4" w:space="0" w:color="auto"/>
            </w:tcBorders>
            <w:shd w:val="clear" w:color="auto" w:fill="auto"/>
            <w:vAlign w:val="center"/>
            <w:hideMark/>
          </w:tcPr>
          <w:p w:rsidR="00D62D99" w:rsidRPr="00D62D99" w:rsidRDefault="00D62D99" w:rsidP="00D62D99">
            <w:pPr>
              <w:spacing w:after="0" w:line="240" w:lineRule="auto"/>
              <w:ind w:firstLineChars="100" w:firstLine="160"/>
              <w:jc w:val="left"/>
              <w:rPr>
                <w:rFonts w:cs="Arial"/>
                <w:color w:val="000000"/>
                <w:sz w:val="16"/>
                <w:szCs w:val="16"/>
              </w:rPr>
            </w:pPr>
            <w:r w:rsidRPr="00D62D99">
              <w:rPr>
                <w:rFonts w:cs="Arial"/>
                <w:color w:val="000000"/>
                <w:sz w:val="16"/>
                <w:szCs w:val="16"/>
              </w:rPr>
              <w:t>20–29 let</w:t>
            </w:r>
          </w:p>
        </w:tc>
        <w:tc>
          <w:tcPr>
            <w:tcW w:w="1609" w:type="dxa"/>
            <w:tcBorders>
              <w:top w:val="nil"/>
              <w:left w:val="nil"/>
              <w:bottom w:val="nil"/>
              <w:right w:val="nil"/>
            </w:tcBorders>
            <w:shd w:val="clear" w:color="auto" w:fill="auto"/>
            <w:vAlign w:val="center"/>
          </w:tcPr>
          <w:p w:rsidR="00D62D99" w:rsidRPr="00D62D99" w:rsidRDefault="00AF3892" w:rsidP="00D62D99">
            <w:pPr>
              <w:spacing w:after="0" w:line="240" w:lineRule="auto"/>
              <w:jc w:val="right"/>
              <w:rPr>
                <w:rFonts w:cs="Arial"/>
                <w:color w:val="000000"/>
                <w:sz w:val="16"/>
                <w:szCs w:val="16"/>
              </w:rPr>
            </w:pPr>
            <w:r>
              <w:rPr>
                <w:rFonts w:cs="Arial"/>
                <w:color w:val="000000"/>
                <w:sz w:val="16"/>
                <w:szCs w:val="16"/>
              </w:rPr>
              <w:t>455,2</w:t>
            </w:r>
          </w:p>
        </w:tc>
        <w:tc>
          <w:tcPr>
            <w:tcW w:w="1252" w:type="dxa"/>
            <w:tcBorders>
              <w:top w:val="nil"/>
              <w:left w:val="nil"/>
              <w:bottom w:val="nil"/>
              <w:right w:val="nil"/>
            </w:tcBorders>
            <w:shd w:val="clear" w:color="auto" w:fill="auto"/>
            <w:vAlign w:val="center"/>
          </w:tcPr>
          <w:p w:rsidR="00D62D99" w:rsidRPr="00D62D99" w:rsidRDefault="00AF3892" w:rsidP="00D62D99">
            <w:pPr>
              <w:spacing w:after="0" w:line="240" w:lineRule="auto"/>
              <w:jc w:val="right"/>
              <w:rPr>
                <w:rFonts w:cs="Arial"/>
                <w:color w:val="000000"/>
                <w:sz w:val="16"/>
                <w:szCs w:val="16"/>
              </w:rPr>
            </w:pPr>
            <w:r>
              <w:rPr>
                <w:rFonts w:cs="Arial"/>
                <w:color w:val="000000"/>
                <w:sz w:val="16"/>
                <w:szCs w:val="16"/>
              </w:rPr>
              <w:t>232,0</w:t>
            </w:r>
          </w:p>
        </w:tc>
        <w:tc>
          <w:tcPr>
            <w:tcW w:w="1254" w:type="dxa"/>
            <w:tcBorders>
              <w:top w:val="nil"/>
              <w:left w:val="nil"/>
              <w:bottom w:val="nil"/>
              <w:right w:val="single" w:sz="4" w:space="0" w:color="auto"/>
            </w:tcBorders>
            <w:shd w:val="clear" w:color="auto" w:fill="auto"/>
            <w:vAlign w:val="center"/>
          </w:tcPr>
          <w:p w:rsidR="00D62D99" w:rsidRPr="00D62D99" w:rsidRDefault="00AF3892" w:rsidP="00D62D99">
            <w:pPr>
              <w:spacing w:after="0" w:line="240" w:lineRule="auto"/>
              <w:jc w:val="right"/>
              <w:rPr>
                <w:rFonts w:cs="Arial"/>
                <w:color w:val="000000"/>
                <w:sz w:val="16"/>
                <w:szCs w:val="16"/>
              </w:rPr>
            </w:pPr>
            <w:r>
              <w:rPr>
                <w:rFonts w:cs="Arial"/>
                <w:color w:val="000000"/>
                <w:sz w:val="16"/>
                <w:szCs w:val="16"/>
              </w:rPr>
              <w:t>223,2</w:t>
            </w:r>
          </w:p>
        </w:tc>
        <w:tc>
          <w:tcPr>
            <w:tcW w:w="1610" w:type="dxa"/>
            <w:tcBorders>
              <w:top w:val="nil"/>
              <w:left w:val="nil"/>
              <w:bottom w:val="nil"/>
              <w:right w:val="nil"/>
            </w:tcBorders>
            <w:shd w:val="clear" w:color="auto" w:fill="auto"/>
            <w:vAlign w:val="center"/>
          </w:tcPr>
          <w:p w:rsidR="00D62D99" w:rsidRPr="00D62D99" w:rsidRDefault="00AF3892" w:rsidP="00D62D99">
            <w:pPr>
              <w:spacing w:after="0" w:line="240" w:lineRule="auto"/>
              <w:jc w:val="center"/>
              <w:rPr>
                <w:rFonts w:cs="Arial"/>
                <w:color w:val="000000"/>
                <w:sz w:val="16"/>
                <w:szCs w:val="16"/>
              </w:rPr>
            </w:pPr>
            <w:r>
              <w:rPr>
                <w:rFonts w:cs="Arial"/>
                <w:color w:val="000000"/>
                <w:sz w:val="16"/>
                <w:szCs w:val="16"/>
              </w:rPr>
              <w:t>18,5</w:t>
            </w:r>
          </w:p>
        </w:tc>
        <w:tc>
          <w:tcPr>
            <w:tcW w:w="1252" w:type="dxa"/>
            <w:tcBorders>
              <w:top w:val="nil"/>
              <w:left w:val="nil"/>
              <w:bottom w:val="nil"/>
              <w:right w:val="nil"/>
            </w:tcBorders>
            <w:shd w:val="clear" w:color="auto" w:fill="auto"/>
            <w:vAlign w:val="center"/>
          </w:tcPr>
          <w:p w:rsidR="00D62D99" w:rsidRPr="00D62D99" w:rsidRDefault="00AF3892" w:rsidP="00D62D99">
            <w:pPr>
              <w:spacing w:after="0" w:line="240" w:lineRule="auto"/>
              <w:jc w:val="center"/>
              <w:rPr>
                <w:rFonts w:cs="Arial"/>
                <w:color w:val="000000"/>
                <w:sz w:val="16"/>
                <w:szCs w:val="16"/>
              </w:rPr>
            </w:pPr>
            <w:r>
              <w:rPr>
                <w:rFonts w:cs="Arial"/>
                <w:color w:val="000000"/>
                <w:sz w:val="16"/>
                <w:szCs w:val="16"/>
              </w:rPr>
              <w:t>16,3</w:t>
            </w:r>
          </w:p>
        </w:tc>
        <w:tc>
          <w:tcPr>
            <w:tcW w:w="1254" w:type="dxa"/>
            <w:tcBorders>
              <w:top w:val="nil"/>
              <w:left w:val="nil"/>
              <w:bottom w:val="nil"/>
              <w:right w:val="nil"/>
            </w:tcBorders>
            <w:shd w:val="clear" w:color="auto" w:fill="auto"/>
            <w:vAlign w:val="center"/>
          </w:tcPr>
          <w:p w:rsidR="00D62D99" w:rsidRPr="00D62D99" w:rsidRDefault="00AF3892" w:rsidP="00D62D99">
            <w:pPr>
              <w:spacing w:after="0" w:line="240" w:lineRule="auto"/>
              <w:jc w:val="center"/>
              <w:rPr>
                <w:rFonts w:cs="Arial"/>
                <w:color w:val="000000"/>
                <w:sz w:val="16"/>
                <w:szCs w:val="16"/>
              </w:rPr>
            </w:pPr>
            <w:r>
              <w:rPr>
                <w:rFonts w:cs="Arial"/>
                <w:color w:val="000000"/>
                <w:sz w:val="16"/>
                <w:szCs w:val="16"/>
              </w:rPr>
              <w:t>20,7</w:t>
            </w:r>
          </w:p>
        </w:tc>
      </w:tr>
      <w:tr w:rsidR="00D62D99" w:rsidRPr="00D62D99" w:rsidTr="00D62D99">
        <w:trPr>
          <w:gridAfter w:val="1"/>
          <w:wAfter w:w="18" w:type="dxa"/>
          <w:trHeight w:val="300"/>
        </w:trPr>
        <w:tc>
          <w:tcPr>
            <w:tcW w:w="1474" w:type="dxa"/>
            <w:tcBorders>
              <w:top w:val="nil"/>
              <w:left w:val="nil"/>
              <w:bottom w:val="nil"/>
              <w:right w:val="single" w:sz="4" w:space="0" w:color="auto"/>
            </w:tcBorders>
            <w:shd w:val="clear" w:color="auto" w:fill="auto"/>
            <w:vAlign w:val="center"/>
            <w:hideMark/>
          </w:tcPr>
          <w:p w:rsidR="00D62D99" w:rsidRPr="00D62D99" w:rsidRDefault="00D62D99" w:rsidP="00D62D99">
            <w:pPr>
              <w:spacing w:after="0" w:line="240" w:lineRule="auto"/>
              <w:ind w:firstLineChars="100" w:firstLine="160"/>
              <w:jc w:val="left"/>
              <w:rPr>
                <w:rFonts w:cs="Arial"/>
                <w:color w:val="000000"/>
                <w:sz w:val="16"/>
                <w:szCs w:val="16"/>
              </w:rPr>
            </w:pPr>
            <w:r w:rsidRPr="00D62D99">
              <w:rPr>
                <w:rFonts w:cs="Arial"/>
                <w:color w:val="000000"/>
                <w:sz w:val="16"/>
                <w:szCs w:val="16"/>
              </w:rPr>
              <w:t>30–39 let</w:t>
            </w:r>
          </w:p>
        </w:tc>
        <w:tc>
          <w:tcPr>
            <w:tcW w:w="1609" w:type="dxa"/>
            <w:tcBorders>
              <w:top w:val="nil"/>
              <w:left w:val="nil"/>
              <w:bottom w:val="nil"/>
              <w:right w:val="nil"/>
            </w:tcBorders>
            <w:shd w:val="clear" w:color="auto" w:fill="auto"/>
            <w:vAlign w:val="center"/>
          </w:tcPr>
          <w:p w:rsidR="00D62D99" w:rsidRPr="00D62D99" w:rsidRDefault="00AF3892" w:rsidP="00D62D99">
            <w:pPr>
              <w:spacing w:after="0" w:line="240" w:lineRule="auto"/>
              <w:jc w:val="right"/>
              <w:rPr>
                <w:rFonts w:cs="Arial"/>
                <w:color w:val="000000"/>
                <w:sz w:val="16"/>
                <w:szCs w:val="16"/>
              </w:rPr>
            </w:pPr>
            <w:r>
              <w:rPr>
                <w:rFonts w:cs="Arial"/>
                <w:color w:val="000000"/>
                <w:sz w:val="16"/>
                <w:szCs w:val="16"/>
              </w:rPr>
              <w:t>529,7</w:t>
            </w:r>
          </w:p>
        </w:tc>
        <w:tc>
          <w:tcPr>
            <w:tcW w:w="1252" w:type="dxa"/>
            <w:tcBorders>
              <w:top w:val="nil"/>
              <w:left w:val="nil"/>
              <w:bottom w:val="nil"/>
              <w:right w:val="nil"/>
            </w:tcBorders>
            <w:shd w:val="clear" w:color="auto" w:fill="auto"/>
            <w:vAlign w:val="center"/>
          </w:tcPr>
          <w:p w:rsidR="00D62D99" w:rsidRPr="00D62D99" w:rsidRDefault="00AF3892" w:rsidP="00D62D99">
            <w:pPr>
              <w:spacing w:after="0" w:line="240" w:lineRule="auto"/>
              <w:jc w:val="right"/>
              <w:rPr>
                <w:rFonts w:cs="Arial"/>
                <w:color w:val="000000"/>
                <w:sz w:val="16"/>
                <w:szCs w:val="16"/>
              </w:rPr>
            </w:pPr>
            <w:r>
              <w:rPr>
                <w:rFonts w:cs="Arial"/>
                <w:color w:val="000000"/>
                <w:sz w:val="16"/>
                <w:szCs w:val="16"/>
              </w:rPr>
              <w:t>263,0</w:t>
            </w:r>
          </w:p>
        </w:tc>
        <w:tc>
          <w:tcPr>
            <w:tcW w:w="1254" w:type="dxa"/>
            <w:tcBorders>
              <w:top w:val="nil"/>
              <w:left w:val="nil"/>
              <w:bottom w:val="nil"/>
              <w:right w:val="single" w:sz="4" w:space="0" w:color="auto"/>
            </w:tcBorders>
            <w:shd w:val="clear" w:color="auto" w:fill="auto"/>
            <w:vAlign w:val="center"/>
          </w:tcPr>
          <w:p w:rsidR="00D62D99" w:rsidRPr="00D62D99" w:rsidRDefault="00AF3892" w:rsidP="00D62D99">
            <w:pPr>
              <w:spacing w:after="0" w:line="240" w:lineRule="auto"/>
              <w:jc w:val="right"/>
              <w:rPr>
                <w:rFonts w:cs="Arial"/>
                <w:color w:val="000000"/>
                <w:sz w:val="16"/>
                <w:szCs w:val="16"/>
              </w:rPr>
            </w:pPr>
            <w:r>
              <w:rPr>
                <w:rFonts w:cs="Arial"/>
                <w:color w:val="000000"/>
                <w:sz w:val="16"/>
                <w:szCs w:val="16"/>
              </w:rPr>
              <w:t>266,7</w:t>
            </w:r>
          </w:p>
        </w:tc>
        <w:tc>
          <w:tcPr>
            <w:tcW w:w="1610" w:type="dxa"/>
            <w:tcBorders>
              <w:top w:val="nil"/>
              <w:left w:val="nil"/>
              <w:bottom w:val="nil"/>
              <w:right w:val="nil"/>
            </w:tcBorders>
            <w:shd w:val="clear" w:color="auto" w:fill="auto"/>
            <w:vAlign w:val="center"/>
          </w:tcPr>
          <w:p w:rsidR="00D62D99" w:rsidRPr="00D62D99" w:rsidRDefault="00AF3892" w:rsidP="00D62D99">
            <w:pPr>
              <w:spacing w:after="0" w:line="240" w:lineRule="auto"/>
              <w:jc w:val="center"/>
              <w:rPr>
                <w:rFonts w:cs="Arial"/>
                <w:color w:val="000000"/>
                <w:sz w:val="16"/>
                <w:szCs w:val="16"/>
              </w:rPr>
            </w:pPr>
            <w:r>
              <w:rPr>
                <w:rFonts w:cs="Arial"/>
                <w:color w:val="000000"/>
                <w:sz w:val="16"/>
                <w:szCs w:val="16"/>
              </w:rPr>
              <w:t>24,0</w:t>
            </w:r>
          </w:p>
        </w:tc>
        <w:tc>
          <w:tcPr>
            <w:tcW w:w="1252" w:type="dxa"/>
            <w:tcBorders>
              <w:top w:val="nil"/>
              <w:left w:val="nil"/>
              <w:bottom w:val="nil"/>
              <w:right w:val="nil"/>
            </w:tcBorders>
            <w:shd w:val="clear" w:color="auto" w:fill="auto"/>
            <w:vAlign w:val="center"/>
          </w:tcPr>
          <w:p w:rsidR="00D62D99" w:rsidRPr="00D62D99" w:rsidRDefault="00AF3892" w:rsidP="00D62D99">
            <w:pPr>
              <w:spacing w:after="0" w:line="240" w:lineRule="auto"/>
              <w:jc w:val="center"/>
              <w:rPr>
                <w:rFonts w:cs="Arial"/>
                <w:color w:val="000000"/>
                <w:sz w:val="16"/>
                <w:szCs w:val="16"/>
              </w:rPr>
            </w:pPr>
            <w:r>
              <w:rPr>
                <w:rFonts w:cs="Arial"/>
                <w:color w:val="000000"/>
                <w:sz w:val="16"/>
                <w:szCs w:val="16"/>
              </w:rPr>
              <w:t>21,8</w:t>
            </w:r>
          </w:p>
        </w:tc>
        <w:tc>
          <w:tcPr>
            <w:tcW w:w="1254" w:type="dxa"/>
            <w:tcBorders>
              <w:top w:val="nil"/>
              <w:left w:val="nil"/>
              <w:bottom w:val="nil"/>
              <w:right w:val="nil"/>
            </w:tcBorders>
            <w:shd w:val="clear" w:color="auto" w:fill="auto"/>
            <w:vAlign w:val="center"/>
          </w:tcPr>
          <w:p w:rsidR="00D62D99" w:rsidRPr="00D62D99" w:rsidRDefault="00AF3892" w:rsidP="00D62D99">
            <w:pPr>
              <w:spacing w:after="0" w:line="240" w:lineRule="auto"/>
              <w:jc w:val="center"/>
              <w:rPr>
                <w:rFonts w:cs="Arial"/>
                <w:color w:val="000000"/>
                <w:sz w:val="16"/>
                <w:szCs w:val="16"/>
              </w:rPr>
            </w:pPr>
            <w:r>
              <w:rPr>
                <w:rFonts w:cs="Arial"/>
                <w:color w:val="000000"/>
                <w:sz w:val="16"/>
                <w:szCs w:val="16"/>
              </w:rPr>
              <w:t>26,1</w:t>
            </w:r>
          </w:p>
        </w:tc>
      </w:tr>
      <w:tr w:rsidR="00D62D99" w:rsidRPr="00D62D99" w:rsidTr="00D62D99">
        <w:trPr>
          <w:gridAfter w:val="1"/>
          <w:wAfter w:w="18" w:type="dxa"/>
          <w:trHeight w:val="300"/>
        </w:trPr>
        <w:tc>
          <w:tcPr>
            <w:tcW w:w="1474" w:type="dxa"/>
            <w:tcBorders>
              <w:top w:val="nil"/>
              <w:left w:val="nil"/>
              <w:bottom w:val="nil"/>
              <w:right w:val="single" w:sz="4" w:space="0" w:color="auto"/>
            </w:tcBorders>
            <w:shd w:val="clear" w:color="auto" w:fill="auto"/>
            <w:vAlign w:val="center"/>
            <w:hideMark/>
          </w:tcPr>
          <w:p w:rsidR="00D62D99" w:rsidRPr="00D62D99" w:rsidRDefault="00D62D99" w:rsidP="00D62D99">
            <w:pPr>
              <w:spacing w:after="0" w:line="240" w:lineRule="auto"/>
              <w:ind w:firstLineChars="100" w:firstLine="160"/>
              <w:jc w:val="left"/>
              <w:rPr>
                <w:rFonts w:cs="Arial"/>
                <w:color w:val="000000"/>
                <w:sz w:val="16"/>
                <w:szCs w:val="16"/>
              </w:rPr>
            </w:pPr>
            <w:r w:rsidRPr="00D62D99">
              <w:rPr>
                <w:rFonts w:cs="Arial"/>
                <w:color w:val="000000"/>
                <w:sz w:val="16"/>
                <w:szCs w:val="16"/>
              </w:rPr>
              <w:t>40–49 let</w:t>
            </w:r>
          </w:p>
        </w:tc>
        <w:tc>
          <w:tcPr>
            <w:tcW w:w="1609" w:type="dxa"/>
            <w:tcBorders>
              <w:top w:val="nil"/>
              <w:left w:val="nil"/>
              <w:bottom w:val="nil"/>
              <w:right w:val="nil"/>
            </w:tcBorders>
            <w:shd w:val="clear" w:color="auto" w:fill="auto"/>
            <w:vAlign w:val="center"/>
          </w:tcPr>
          <w:p w:rsidR="00D62D99" w:rsidRPr="00D62D99" w:rsidRDefault="00AF3892" w:rsidP="00D62D99">
            <w:pPr>
              <w:spacing w:after="0" w:line="240" w:lineRule="auto"/>
              <w:jc w:val="right"/>
              <w:rPr>
                <w:rFonts w:cs="Arial"/>
                <w:color w:val="000000"/>
                <w:sz w:val="16"/>
                <w:szCs w:val="16"/>
              </w:rPr>
            </w:pPr>
            <w:r>
              <w:rPr>
                <w:rFonts w:cs="Arial"/>
                <w:color w:val="000000"/>
                <w:sz w:val="16"/>
                <w:szCs w:val="16"/>
              </w:rPr>
              <w:t>614,1</w:t>
            </w:r>
          </w:p>
        </w:tc>
        <w:tc>
          <w:tcPr>
            <w:tcW w:w="1252" w:type="dxa"/>
            <w:tcBorders>
              <w:top w:val="nil"/>
              <w:left w:val="nil"/>
              <w:bottom w:val="nil"/>
              <w:right w:val="nil"/>
            </w:tcBorders>
            <w:shd w:val="clear" w:color="auto" w:fill="auto"/>
            <w:vAlign w:val="center"/>
          </w:tcPr>
          <w:p w:rsidR="00D62D99" w:rsidRPr="00D62D99" w:rsidRDefault="00AF3892" w:rsidP="00D62D99">
            <w:pPr>
              <w:spacing w:after="0" w:line="240" w:lineRule="auto"/>
              <w:jc w:val="right"/>
              <w:rPr>
                <w:rFonts w:cs="Arial"/>
                <w:color w:val="000000"/>
                <w:sz w:val="16"/>
                <w:szCs w:val="16"/>
              </w:rPr>
            </w:pPr>
            <w:r>
              <w:rPr>
                <w:rFonts w:cs="Arial"/>
                <w:color w:val="000000"/>
                <w:sz w:val="16"/>
                <w:szCs w:val="16"/>
              </w:rPr>
              <w:t>251,2</w:t>
            </w:r>
          </w:p>
        </w:tc>
        <w:tc>
          <w:tcPr>
            <w:tcW w:w="1254" w:type="dxa"/>
            <w:tcBorders>
              <w:top w:val="nil"/>
              <w:left w:val="nil"/>
              <w:bottom w:val="nil"/>
              <w:right w:val="single" w:sz="4" w:space="0" w:color="auto"/>
            </w:tcBorders>
            <w:shd w:val="clear" w:color="auto" w:fill="auto"/>
            <w:vAlign w:val="center"/>
          </w:tcPr>
          <w:p w:rsidR="00D62D99" w:rsidRPr="00D62D99" w:rsidRDefault="00AF3892" w:rsidP="00D62D99">
            <w:pPr>
              <w:spacing w:after="0" w:line="240" w:lineRule="auto"/>
              <w:jc w:val="right"/>
              <w:rPr>
                <w:rFonts w:cs="Arial"/>
                <w:color w:val="000000"/>
                <w:sz w:val="16"/>
                <w:szCs w:val="16"/>
              </w:rPr>
            </w:pPr>
            <w:r>
              <w:rPr>
                <w:rFonts w:cs="Arial"/>
                <w:color w:val="000000"/>
                <w:sz w:val="16"/>
                <w:szCs w:val="16"/>
              </w:rPr>
              <w:t>362,9</w:t>
            </w:r>
          </w:p>
        </w:tc>
        <w:tc>
          <w:tcPr>
            <w:tcW w:w="1610" w:type="dxa"/>
            <w:tcBorders>
              <w:top w:val="nil"/>
              <w:left w:val="nil"/>
              <w:bottom w:val="nil"/>
              <w:right w:val="nil"/>
            </w:tcBorders>
            <w:shd w:val="clear" w:color="auto" w:fill="auto"/>
            <w:vAlign w:val="center"/>
          </w:tcPr>
          <w:p w:rsidR="00D62D99" w:rsidRPr="00D62D99" w:rsidRDefault="00AF3892" w:rsidP="00D62D99">
            <w:pPr>
              <w:spacing w:after="0" w:line="240" w:lineRule="auto"/>
              <w:jc w:val="center"/>
              <w:rPr>
                <w:rFonts w:cs="Arial"/>
                <w:color w:val="000000"/>
                <w:sz w:val="16"/>
                <w:szCs w:val="16"/>
              </w:rPr>
            </w:pPr>
            <w:r>
              <w:rPr>
                <w:rFonts w:cs="Arial"/>
                <w:color w:val="000000"/>
                <w:sz w:val="16"/>
                <w:szCs w:val="16"/>
              </w:rPr>
              <w:t>30,7</w:t>
            </w:r>
          </w:p>
        </w:tc>
        <w:tc>
          <w:tcPr>
            <w:tcW w:w="1252" w:type="dxa"/>
            <w:tcBorders>
              <w:top w:val="nil"/>
              <w:left w:val="nil"/>
              <w:bottom w:val="nil"/>
              <w:right w:val="nil"/>
            </w:tcBorders>
            <w:shd w:val="clear" w:color="auto" w:fill="auto"/>
            <w:vAlign w:val="center"/>
          </w:tcPr>
          <w:p w:rsidR="00D62D99" w:rsidRPr="00D62D99" w:rsidRDefault="00AF3892" w:rsidP="00D62D99">
            <w:pPr>
              <w:spacing w:after="0" w:line="240" w:lineRule="auto"/>
              <w:jc w:val="center"/>
              <w:rPr>
                <w:rFonts w:cs="Arial"/>
                <w:color w:val="000000"/>
                <w:sz w:val="16"/>
                <w:szCs w:val="16"/>
              </w:rPr>
            </w:pPr>
            <w:r>
              <w:rPr>
                <w:rFonts w:cs="Arial"/>
                <w:color w:val="000000"/>
                <w:sz w:val="16"/>
                <w:szCs w:val="16"/>
              </w:rPr>
              <w:t>32,0</w:t>
            </w:r>
          </w:p>
        </w:tc>
        <w:tc>
          <w:tcPr>
            <w:tcW w:w="1254" w:type="dxa"/>
            <w:tcBorders>
              <w:top w:val="nil"/>
              <w:left w:val="nil"/>
              <w:bottom w:val="nil"/>
              <w:right w:val="nil"/>
            </w:tcBorders>
            <w:shd w:val="clear" w:color="auto" w:fill="auto"/>
            <w:vAlign w:val="center"/>
          </w:tcPr>
          <w:p w:rsidR="00D62D99" w:rsidRPr="00D62D99" w:rsidRDefault="00AF3892" w:rsidP="00D62D99">
            <w:pPr>
              <w:spacing w:after="0" w:line="240" w:lineRule="auto"/>
              <w:jc w:val="center"/>
              <w:rPr>
                <w:rFonts w:cs="Arial"/>
                <w:color w:val="000000"/>
                <w:sz w:val="16"/>
                <w:szCs w:val="16"/>
              </w:rPr>
            </w:pPr>
            <w:r>
              <w:rPr>
                <w:rFonts w:cs="Arial"/>
                <w:color w:val="000000"/>
                <w:sz w:val="16"/>
                <w:szCs w:val="16"/>
              </w:rPr>
              <w:t>29,9</w:t>
            </w:r>
          </w:p>
        </w:tc>
      </w:tr>
      <w:tr w:rsidR="00D62D99" w:rsidRPr="00D62D99" w:rsidTr="00D62D99">
        <w:trPr>
          <w:gridAfter w:val="1"/>
          <w:wAfter w:w="18" w:type="dxa"/>
          <w:trHeight w:val="300"/>
        </w:trPr>
        <w:tc>
          <w:tcPr>
            <w:tcW w:w="1474" w:type="dxa"/>
            <w:tcBorders>
              <w:top w:val="nil"/>
              <w:left w:val="nil"/>
              <w:bottom w:val="nil"/>
              <w:right w:val="single" w:sz="4" w:space="0" w:color="auto"/>
            </w:tcBorders>
            <w:shd w:val="clear" w:color="auto" w:fill="auto"/>
            <w:vAlign w:val="center"/>
            <w:hideMark/>
          </w:tcPr>
          <w:p w:rsidR="00D62D99" w:rsidRPr="00D62D99" w:rsidRDefault="00D62D99" w:rsidP="00D62D99">
            <w:pPr>
              <w:spacing w:after="0" w:line="240" w:lineRule="auto"/>
              <w:ind w:firstLineChars="100" w:firstLine="160"/>
              <w:jc w:val="left"/>
              <w:rPr>
                <w:rFonts w:cs="Arial"/>
                <w:color w:val="000000"/>
                <w:sz w:val="16"/>
                <w:szCs w:val="16"/>
              </w:rPr>
            </w:pPr>
            <w:r w:rsidRPr="00D62D99">
              <w:rPr>
                <w:rFonts w:cs="Arial"/>
                <w:color w:val="000000"/>
                <w:sz w:val="16"/>
                <w:szCs w:val="16"/>
              </w:rPr>
              <w:t>50–59 let</w:t>
            </w:r>
          </w:p>
        </w:tc>
        <w:tc>
          <w:tcPr>
            <w:tcW w:w="1609" w:type="dxa"/>
            <w:tcBorders>
              <w:top w:val="nil"/>
              <w:left w:val="nil"/>
              <w:right w:val="nil"/>
            </w:tcBorders>
            <w:shd w:val="clear" w:color="auto" w:fill="auto"/>
            <w:vAlign w:val="center"/>
          </w:tcPr>
          <w:p w:rsidR="00D62D99" w:rsidRPr="00D62D99" w:rsidRDefault="00AF3892" w:rsidP="00D62D99">
            <w:pPr>
              <w:spacing w:after="0" w:line="240" w:lineRule="auto"/>
              <w:jc w:val="right"/>
              <w:rPr>
                <w:rFonts w:cs="Arial"/>
                <w:color w:val="000000"/>
                <w:sz w:val="16"/>
                <w:szCs w:val="16"/>
              </w:rPr>
            </w:pPr>
            <w:r>
              <w:rPr>
                <w:rFonts w:cs="Arial"/>
                <w:color w:val="000000"/>
                <w:sz w:val="16"/>
                <w:szCs w:val="16"/>
              </w:rPr>
              <w:t>596,7</w:t>
            </w:r>
          </w:p>
        </w:tc>
        <w:tc>
          <w:tcPr>
            <w:tcW w:w="1252" w:type="dxa"/>
            <w:tcBorders>
              <w:top w:val="nil"/>
              <w:left w:val="nil"/>
              <w:right w:val="nil"/>
            </w:tcBorders>
            <w:shd w:val="clear" w:color="auto" w:fill="auto"/>
            <w:vAlign w:val="center"/>
          </w:tcPr>
          <w:p w:rsidR="00D62D99" w:rsidRPr="00D62D99" w:rsidRDefault="00AF3892" w:rsidP="00D62D99">
            <w:pPr>
              <w:spacing w:after="0" w:line="240" w:lineRule="auto"/>
              <w:jc w:val="right"/>
              <w:rPr>
                <w:rFonts w:cs="Arial"/>
                <w:color w:val="000000"/>
                <w:sz w:val="16"/>
                <w:szCs w:val="16"/>
              </w:rPr>
            </w:pPr>
            <w:r>
              <w:rPr>
                <w:rFonts w:cs="Arial"/>
                <w:color w:val="000000"/>
                <w:sz w:val="16"/>
                <w:szCs w:val="16"/>
              </w:rPr>
              <w:t>229,3</w:t>
            </w:r>
          </w:p>
        </w:tc>
        <w:tc>
          <w:tcPr>
            <w:tcW w:w="1254" w:type="dxa"/>
            <w:tcBorders>
              <w:top w:val="nil"/>
              <w:left w:val="nil"/>
              <w:right w:val="single" w:sz="4" w:space="0" w:color="auto"/>
            </w:tcBorders>
            <w:shd w:val="clear" w:color="auto" w:fill="auto"/>
            <w:vAlign w:val="center"/>
          </w:tcPr>
          <w:p w:rsidR="00D62D99" w:rsidRPr="00D62D99" w:rsidRDefault="00AF3892" w:rsidP="00D62D99">
            <w:pPr>
              <w:spacing w:after="0" w:line="240" w:lineRule="auto"/>
              <w:jc w:val="right"/>
              <w:rPr>
                <w:rFonts w:cs="Arial"/>
                <w:color w:val="000000"/>
                <w:sz w:val="16"/>
                <w:szCs w:val="16"/>
              </w:rPr>
            </w:pPr>
            <w:r>
              <w:rPr>
                <w:rFonts w:cs="Arial"/>
                <w:color w:val="000000"/>
                <w:sz w:val="16"/>
                <w:szCs w:val="16"/>
              </w:rPr>
              <w:t>367,4</w:t>
            </w:r>
          </w:p>
        </w:tc>
        <w:tc>
          <w:tcPr>
            <w:tcW w:w="1610" w:type="dxa"/>
            <w:tcBorders>
              <w:top w:val="nil"/>
              <w:left w:val="nil"/>
              <w:right w:val="nil"/>
            </w:tcBorders>
            <w:shd w:val="clear" w:color="auto" w:fill="auto"/>
            <w:vAlign w:val="center"/>
          </w:tcPr>
          <w:p w:rsidR="00D62D99" w:rsidRPr="00D62D99" w:rsidRDefault="00AF3892" w:rsidP="00D62D99">
            <w:pPr>
              <w:spacing w:after="0" w:line="240" w:lineRule="auto"/>
              <w:jc w:val="center"/>
              <w:rPr>
                <w:rFonts w:cs="Arial"/>
                <w:color w:val="000000"/>
                <w:sz w:val="16"/>
                <w:szCs w:val="16"/>
              </w:rPr>
            </w:pPr>
            <w:r>
              <w:rPr>
                <w:rFonts w:cs="Arial"/>
                <w:color w:val="000000"/>
                <w:sz w:val="16"/>
                <w:szCs w:val="16"/>
              </w:rPr>
              <w:t>41,6</w:t>
            </w:r>
          </w:p>
        </w:tc>
        <w:tc>
          <w:tcPr>
            <w:tcW w:w="1252" w:type="dxa"/>
            <w:tcBorders>
              <w:top w:val="nil"/>
              <w:left w:val="nil"/>
              <w:right w:val="nil"/>
            </w:tcBorders>
            <w:shd w:val="clear" w:color="auto" w:fill="auto"/>
            <w:vAlign w:val="center"/>
          </w:tcPr>
          <w:p w:rsidR="00D62D99" w:rsidRPr="00D62D99" w:rsidRDefault="00AF3892" w:rsidP="00D62D99">
            <w:pPr>
              <w:spacing w:after="0" w:line="240" w:lineRule="auto"/>
              <w:jc w:val="center"/>
              <w:rPr>
                <w:rFonts w:cs="Arial"/>
                <w:color w:val="000000"/>
                <w:sz w:val="16"/>
                <w:szCs w:val="16"/>
              </w:rPr>
            </w:pPr>
            <w:r>
              <w:rPr>
                <w:rFonts w:cs="Arial"/>
                <w:color w:val="000000"/>
                <w:sz w:val="16"/>
                <w:szCs w:val="16"/>
              </w:rPr>
              <w:t>46,3</w:t>
            </w:r>
          </w:p>
        </w:tc>
        <w:tc>
          <w:tcPr>
            <w:tcW w:w="1254" w:type="dxa"/>
            <w:tcBorders>
              <w:top w:val="nil"/>
              <w:left w:val="nil"/>
              <w:right w:val="nil"/>
            </w:tcBorders>
            <w:shd w:val="clear" w:color="auto" w:fill="auto"/>
            <w:vAlign w:val="center"/>
          </w:tcPr>
          <w:p w:rsidR="00D62D99" w:rsidRPr="00D62D99" w:rsidRDefault="00AF3892" w:rsidP="00D62D99">
            <w:pPr>
              <w:spacing w:after="0" w:line="240" w:lineRule="auto"/>
              <w:jc w:val="center"/>
              <w:rPr>
                <w:rFonts w:cs="Arial"/>
                <w:color w:val="000000"/>
                <w:sz w:val="16"/>
                <w:szCs w:val="16"/>
              </w:rPr>
            </w:pPr>
            <w:r>
              <w:rPr>
                <w:rFonts w:cs="Arial"/>
                <w:color w:val="000000"/>
                <w:sz w:val="16"/>
                <w:szCs w:val="16"/>
              </w:rPr>
              <w:t>38,7</w:t>
            </w:r>
          </w:p>
        </w:tc>
      </w:tr>
      <w:tr w:rsidR="00D62D99" w:rsidRPr="00D62D99" w:rsidTr="00D62D99">
        <w:trPr>
          <w:gridAfter w:val="1"/>
          <w:wAfter w:w="18" w:type="dxa"/>
          <w:trHeight w:val="300"/>
        </w:trPr>
        <w:tc>
          <w:tcPr>
            <w:tcW w:w="1474" w:type="dxa"/>
            <w:tcBorders>
              <w:top w:val="nil"/>
              <w:left w:val="nil"/>
              <w:bottom w:val="nil"/>
              <w:right w:val="single" w:sz="4" w:space="0" w:color="auto"/>
            </w:tcBorders>
            <w:shd w:val="clear" w:color="auto" w:fill="auto"/>
            <w:vAlign w:val="center"/>
            <w:hideMark/>
          </w:tcPr>
          <w:p w:rsidR="00D62D99" w:rsidRPr="00D62D99" w:rsidRDefault="00D62D99" w:rsidP="00D62D99">
            <w:pPr>
              <w:spacing w:after="0" w:line="240" w:lineRule="auto"/>
              <w:ind w:firstLineChars="100" w:firstLine="160"/>
              <w:jc w:val="left"/>
              <w:rPr>
                <w:rFonts w:cs="Arial"/>
                <w:color w:val="000000"/>
                <w:sz w:val="16"/>
                <w:szCs w:val="16"/>
              </w:rPr>
            </w:pPr>
            <w:r w:rsidRPr="00D62D99">
              <w:rPr>
                <w:rFonts w:cs="Arial"/>
                <w:color w:val="000000"/>
                <w:sz w:val="16"/>
                <w:szCs w:val="16"/>
              </w:rPr>
              <w:t>60 a více let</w:t>
            </w:r>
          </w:p>
        </w:tc>
        <w:tc>
          <w:tcPr>
            <w:tcW w:w="1609" w:type="dxa"/>
            <w:tcBorders>
              <w:top w:val="nil"/>
              <w:left w:val="nil"/>
              <w:right w:val="nil"/>
            </w:tcBorders>
            <w:shd w:val="clear" w:color="auto" w:fill="auto"/>
            <w:vAlign w:val="center"/>
          </w:tcPr>
          <w:p w:rsidR="00D62D99" w:rsidRPr="00D62D99" w:rsidRDefault="00AF3892" w:rsidP="00D62D99">
            <w:pPr>
              <w:spacing w:after="0" w:line="240" w:lineRule="auto"/>
              <w:jc w:val="right"/>
              <w:rPr>
                <w:rFonts w:cs="Arial"/>
                <w:color w:val="000000"/>
                <w:sz w:val="16"/>
                <w:szCs w:val="16"/>
              </w:rPr>
            </w:pPr>
            <w:r>
              <w:rPr>
                <w:rFonts w:cs="Arial"/>
                <w:color w:val="000000"/>
                <w:sz w:val="16"/>
                <w:szCs w:val="16"/>
              </w:rPr>
              <w:t>211,1</w:t>
            </w:r>
          </w:p>
        </w:tc>
        <w:tc>
          <w:tcPr>
            <w:tcW w:w="1252" w:type="dxa"/>
            <w:tcBorders>
              <w:top w:val="nil"/>
              <w:left w:val="nil"/>
              <w:right w:val="nil"/>
            </w:tcBorders>
            <w:shd w:val="clear" w:color="auto" w:fill="auto"/>
            <w:vAlign w:val="center"/>
          </w:tcPr>
          <w:p w:rsidR="00D62D99" w:rsidRPr="00D62D99" w:rsidRDefault="00AF3892" w:rsidP="00D62D99">
            <w:pPr>
              <w:spacing w:after="0" w:line="240" w:lineRule="auto"/>
              <w:jc w:val="right"/>
              <w:rPr>
                <w:rFonts w:cs="Arial"/>
                <w:color w:val="000000"/>
                <w:sz w:val="16"/>
                <w:szCs w:val="16"/>
              </w:rPr>
            </w:pPr>
            <w:r>
              <w:rPr>
                <w:rFonts w:cs="Arial"/>
                <w:color w:val="000000"/>
                <w:sz w:val="16"/>
                <w:szCs w:val="16"/>
              </w:rPr>
              <w:t>101,0</w:t>
            </w:r>
          </w:p>
        </w:tc>
        <w:tc>
          <w:tcPr>
            <w:tcW w:w="1254" w:type="dxa"/>
            <w:tcBorders>
              <w:top w:val="nil"/>
              <w:left w:val="nil"/>
              <w:right w:val="single" w:sz="4" w:space="0" w:color="auto"/>
            </w:tcBorders>
            <w:shd w:val="clear" w:color="auto" w:fill="auto"/>
            <w:vAlign w:val="center"/>
          </w:tcPr>
          <w:p w:rsidR="00D62D99" w:rsidRPr="00D62D99" w:rsidRDefault="00AF3892" w:rsidP="00D62D99">
            <w:pPr>
              <w:spacing w:after="0" w:line="240" w:lineRule="auto"/>
              <w:jc w:val="right"/>
              <w:rPr>
                <w:rFonts w:cs="Arial"/>
                <w:color w:val="000000"/>
                <w:sz w:val="16"/>
                <w:szCs w:val="16"/>
              </w:rPr>
            </w:pPr>
            <w:r>
              <w:rPr>
                <w:rFonts w:cs="Arial"/>
                <w:color w:val="000000"/>
                <w:sz w:val="16"/>
                <w:szCs w:val="16"/>
              </w:rPr>
              <w:t>110,1</w:t>
            </w:r>
          </w:p>
        </w:tc>
        <w:tc>
          <w:tcPr>
            <w:tcW w:w="1610" w:type="dxa"/>
            <w:tcBorders>
              <w:top w:val="nil"/>
              <w:left w:val="nil"/>
              <w:right w:val="nil"/>
            </w:tcBorders>
            <w:shd w:val="clear" w:color="auto" w:fill="auto"/>
            <w:vAlign w:val="center"/>
          </w:tcPr>
          <w:p w:rsidR="00D62D99" w:rsidRPr="00D62D99" w:rsidRDefault="00AF3892" w:rsidP="00D62D99">
            <w:pPr>
              <w:spacing w:after="0" w:line="240" w:lineRule="auto"/>
              <w:jc w:val="center"/>
              <w:rPr>
                <w:rFonts w:cs="Arial"/>
                <w:color w:val="000000"/>
                <w:sz w:val="16"/>
                <w:szCs w:val="16"/>
              </w:rPr>
            </w:pPr>
            <w:r>
              <w:rPr>
                <w:rFonts w:cs="Arial"/>
                <w:color w:val="000000"/>
                <w:sz w:val="16"/>
                <w:szCs w:val="16"/>
              </w:rPr>
              <w:t>51,0</w:t>
            </w:r>
          </w:p>
        </w:tc>
        <w:tc>
          <w:tcPr>
            <w:tcW w:w="1252" w:type="dxa"/>
            <w:tcBorders>
              <w:top w:val="nil"/>
              <w:left w:val="nil"/>
              <w:right w:val="nil"/>
            </w:tcBorders>
            <w:shd w:val="clear" w:color="auto" w:fill="auto"/>
            <w:vAlign w:val="center"/>
          </w:tcPr>
          <w:p w:rsidR="00D62D99" w:rsidRPr="00D62D99" w:rsidRDefault="00AF3892" w:rsidP="00D62D99">
            <w:pPr>
              <w:spacing w:after="0" w:line="240" w:lineRule="auto"/>
              <w:jc w:val="center"/>
              <w:rPr>
                <w:rFonts w:cs="Arial"/>
                <w:color w:val="000000"/>
                <w:sz w:val="16"/>
                <w:szCs w:val="16"/>
              </w:rPr>
            </w:pPr>
            <w:r>
              <w:rPr>
                <w:rFonts w:cs="Arial"/>
                <w:color w:val="000000"/>
                <w:sz w:val="16"/>
                <w:szCs w:val="16"/>
              </w:rPr>
              <w:t>58,7</w:t>
            </w:r>
          </w:p>
        </w:tc>
        <w:tc>
          <w:tcPr>
            <w:tcW w:w="1254" w:type="dxa"/>
            <w:tcBorders>
              <w:top w:val="nil"/>
              <w:left w:val="nil"/>
              <w:right w:val="nil"/>
            </w:tcBorders>
            <w:shd w:val="clear" w:color="auto" w:fill="auto"/>
            <w:vAlign w:val="center"/>
          </w:tcPr>
          <w:p w:rsidR="00D62D99" w:rsidRPr="00D62D99" w:rsidRDefault="00AF3892" w:rsidP="00D62D99">
            <w:pPr>
              <w:spacing w:after="0" w:line="240" w:lineRule="auto"/>
              <w:jc w:val="center"/>
              <w:rPr>
                <w:rFonts w:cs="Arial"/>
                <w:color w:val="000000"/>
                <w:sz w:val="16"/>
                <w:szCs w:val="16"/>
              </w:rPr>
            </w:pPr>
            <w:r>
              <w:rPr>
                <w:rFonts w:cs="Arial"/>
                <w:color w:val="000000"/>
                <w:sz w:val="16"/>
                <w:szCs w:val="16"/>
              </w:rPr>
              <w:t>43,9</w:t>
            </w:r>
          </w:p>
        </w:tc>
      </w:tr>
    </w:tbl>
    <w:p w:rsidR="00D62D99" w:rsidRDefault="00D62D99" w:rsidP="00443707">
      <w:pPr>
        <w:spacing w:before="60"/>
        <w:rPr>
          <w:sz w:val="16"/>
        </w:rPr>
      </w:pPr>
      <w:r w:rsidRPr="00D62D99">
        <w:rPr>
          <w:sz w:val="16"/>
        </w:rPr>
        <w:t>Zdroj: ČSSZ</w:t>
      </w:r>
    </w:p>
    <w:p w:rsidR="00443707" w:rsidRDefault="00443707">
      <w:pPr>
        <w:spacing w:after="0" w:line="240" w:lineRule="auto"/>
        <w:jc w:val="left"/>
      </w:pPr>
      <w:r>
        <w:br w:type="page"/>
      </w:r>
    </w:p>
    <w:p w:rsidR="00443707" w:rsidRPr="00443707" w:rsidRDefault="001A1051" w:rsidP="00203EDD">
      <w:r>
        <w:lastRenderedPageBreak/>
        <w:t>S</w:t>
      </w:r>
      <w:r w:rsidR="00443707" w:rsidRPr="00443707">
        <w:t xml:space="preserve">tatistiky ČSSZ nabízí přehled ukončených případů </w:t>
      </w:r>
      <w:r>
        <w:t xml:space="preserve">pracovní neschopnosti </w:t>
      </w:r>
      <w:r w:rsidR="00443707" w:rsidRPr="00443707">
        <w:rPr>
          <w:b/>
        </w:rPr>
        <w:t>podle diagnóz</w:t>
      </w:r>
      <w:r w:rsidR="00876FBE" w:rsidRPr="00876FBE">
        <w:t>, viz tabulka 3.3</w:t>
      </w:r>
      <w:r w:rsidR="0039112B">
        <w:t xml:space="preserve"> a graf 3.1.</w:t>
      </w:r>
      <w:r w:rsidR="00443707" w:rsidRPr="00443707">
        <w:t xml:space="preserve"> </w:t>
      </w:r>
      <w:r w:rsidR="00A6314D">
        <w:t>Přes</w:t>
      </w:r>
      <w:r w:rsidR="00443707" w:rsidRPr="00443707">
        <w:t xml:space="preserve"> dvě pětiny (42</w:t>
      </w:r>
      <w:r w:rsidR="00D446CF">
        <w:t>,</w:t>
      </w:r>
      <w:r w:rsidR="00A6314D">
        <w:t>6</w:t>
      </w:r>
      <w:r w:rsidR="00443707" w:rsidRPr="00443707">
        <w:t xml:space="preserve"> %) případů pracovní neschopnosti byl</w:t>
      </w:r>
      <w:r w:rsidR="00A6314D">
        <w:t>o spojeno</w:t>
      </w:r>
      <w:r w:rsidR="00443707" w:rsidRPr="00443707">
        <w:t xml:space="preserve"> s </w:t>
      </w:r>
      <w:r w:rsidR="00A6314D">
        <w:rPr>
          <w:b/>
        </w:rPr>
        <w:t>nemocemi</w:t>
      </w:r>
      <w:r w:rsidR="00443707" w:rsidRPr="00443707">
        <w:rPr>
          <w:b/>
        </w:rPr>
        <w:t xml:space="preserve"> dýchací soustavy</w:t>
      </w:r>
      <w:r w:rsidR="00443707" w:rsidRPr="00443707">
        <w:t xml:space="preserve">. Z této skupiny nemocí </w:t>
      </w:r>
      <w:r w:rsidR="00443707" w:rsidRPr="00A6314D">
        <w:rPr>
          <w:spacing w:val="-2"/>
        </w:rPr>
        <w:t>jsou neschopenky vystavovány především kvůli akutním infekcím dýchacích cest či chřipkám. Na druhou stranu, onemocnění dýchací sous</w:t>
      </w:r>
      <w:r w:rsidR="00A6314D" w:rsidRPr="00A6314D">
        <w:rPr>
          <w:spacing w:val="-2"/>
        </w:rPr>
        <w:t xml:space="preserve">tavy tvořila pouze šestinu z celkového počtu </w:t>
      </w:r>
      <w:r w:rsidR="00443707" w:rsidRPr="00A6314D">
        <w:rPr>
          <w:spacing w:val="-2"/>
        </w:rPr>
        <w:t>prostonaných dnů</w:t>
      </w:r>
      <w:r w:rsidR="00A6314D" w:rsidRPr="00A6314D">
        <w:rPr>
          <w:spacing w:val="-2"/>
        </w:rPr>
        <w:t xml:space="preserve"> (12,6 ze 76 milionů dnů)</w:t>
      </w:r>
      <w:r w:rsidR="00A6314D">
        <w:rPr>
          <w:spacing w:val="-2"/>
        </w:rPr>
        <w:t>, což je též spojeno s</w:t>
      </w:r>
      <w:r w:rsidR="00D8078B">
        <w:rPr>
          <w:spacing w:val="-2"/>
        </w:rPr>
        <w:t xml:space="preserve"> nejkratší průměrnou délkou trvání </w:t>
      </w:r>
      <w:r w:rsidR="00443707" w:rsidRPr="00443707">
        <w:t xml:space="preserve">pracovní neschopnosti ze všech </w:t>
      </w:r>
      <w:r w:rsidR="00D8078B">
        <w:t xml:space="preserve">sledovaných </w:t>
      </w:r>
      <w:r w:rsidR="00443707" w:rsidRPr="00443707">
        <w:t>skupin diagnóz, a sice 12 dnů na 1 případ.</w:t>
      </w:r>
    </w:p>
    <w:p w:rsidR="001A1051" w:rsidRDefault="001A1051" w:rsidP="007233C8">
      <w:pPr>
        <w:spacing w:after="0"/>
        <w:rPr>
          <w:b/>
        </w:rPr>
      </w:pPr>
      <w:r>
        <w:rPr>
          <w:b/>
        </w:rPr>
        <w:t>Tabulka 3.3: Ukončené případy dočasné pracovní neschopnosti podle skupin diagnóz a pohlaví, 2024</w:t>
      </w:r>
    </w:p>
    <w:tbl>
      <w:tblPr>
        <w:tblW w:w="5000" w:type="pct"/>
        <w:tblCellMar>
          <w:left w:w="70" w:type="dxa"/>
          <w:right w:w="70" w:type="dxa"/>
        </w:tblCellMar>
        <w:tblLook w:val="04A0" w:firstRow="1" w:lastRow="0" w:firstColumn="1" w:lastColumn="0" w:noHBand="0" w:noVBand="1"/>
      </w:tblPr>
      <w:tblGrid>
        <w:gridCol w:w="3414"/>
        <w:gridCol w:w="1037"/>
        <w:gridCol w:w="1037"/>
        <w:gridCol w:w="1037"/>
        <w:gridCol w:w="1037"/>
        <w:gridCol w:w="1037"/>
        <w:gridCol w:w="1039"/>
      </w:tblGrid>
      <w:tr w:rsidR="00C73737" w:rsidRPr="00C73737" w:rsidTr="00C73737">
        <w:trPr>
          <w:trHeight w:val="525"/>
        </w:trPr>
        <w:tc>
          <w:tcPr>
            <w:tcW w:w="1771" w:type="pct"/>
            <w:vMerge w:val="restart"/>
            <w:tcBorders>
              <w:top w:val="single" w:sz="4" w:space="0" w:color="auto"/>
              <w:left w:val="nil"/>
              <w:bottom w:val="single" w:sz="4" w:space="0" w:color="000000"/>
              <w:right w:val="single" w:sz="4" w:space="0" w:color="auto"/>
            </w:tcBorders>
            <w:shd w:val="clear" w:color="auto" w:fill="E6C483"/>
            <w:vAlign w:val="center"/>
            <w:hideMark/>
          </w:tcPr>
          <w:p w:rsidR="00C73737" w:rsidRPr="00C73737" w:rsidRDefault="00C73737" w:rsidP="00C73737">
            <w:pPr>
              <w:spacing w:after="0" w:line="240" w:lineRule="auto"/>
              <w:jc w:val="center"/>
              <w:rPr>
                <w:rFonts w:cs="Arial"/>
                <w:color w:val="000000"/>
                <w:sz w:val="16"/>
                <w:szCs w:val="16"/>
              </w:rPr>
            </w:pPr>
            <w:r w:rsidRPr="00C73737">
              <w:rPr>
                <w:rFonts w:cs="Arial"/>
                <w:color w:val="000000"/>
                <w:sz w:val="16"/>
                <w:szCs w:val="16"/>
              </w:rPr>
              <w:t>Skupiny diagnóz (kapitoly podle MKN-10)</w:t>
            </w:r>
          </w:p>
        </w:tc>
        <w:tc>
          <w:tcPr>
            <w:tcW w:w="1614" w:type="pct"/>
            <w:gridSpan w:val="3"/>
            <w:tcBorders>
              <w:top w:val="single" w:sz="4" w:space="0" w:color="auto"/>
              <w:left w:val="nil"/>
              <w:bottom w:val="single" w:sz="4" w:space="0" w:color="auto"/>
              <w:right w:val="single" w:sz="4" w:space="0" w:color="000000"/>
            </w:tcBorders>
            <w:shd w:val="clear" w:color="auto" w:fill="E6C483"/>
            <w:vAlign w:val="center"/>
            <w:hideMark/>
          </w:tcPr>
          <w:p w:rsidR="00C73737" w:rsidRPr="00C73737" w:rsidRDefault="00C73737" w:rsidP="00C73737">
            <w:pPr>
              <w:spacing w:after="0" w:line="240" w:lineRule="auto"/>
              <w:jc w:val="center"/>
              <w:rPr>
                <w:rFonts w:cs="Arial"/>
                <w:color w:val="000000"/>
                <w:sz w:val="16"/>
                <w:szCs w:val="16"/>
              </w:rPr>
            </w:pPr>
            <w:r w:rsidRPr="00C73737">
              <w:rPr>
                <w:rFonts w:cs="Arial"/>
                <w:color w:val="000000"/>
                <w:sz w:val="16"/>
                <w:szCs w:val="16"/>
              </w:rPr>
              <w:t>Počet případů DPN (tis.)</w:t>
            </w:r>
          </w:p>
        </w:tc>
        <w:tc>
          <w:tcPr>
            <w:tcW w:w="1615" w:type="pct"/>
            <w:gridSpan w:val="3"/>
            <w:tcBorders>
              <w:top w:val="single" w:sz="4" w:space="0" w:color="auto"/>
              <w:left w:val="nil"/>
              <w:bottom w:val="single" w:sz="4" w:space="0" w:color="auto"/>
              <w:right w:val="nil"/>
            </w:tcBorders>
            <w:shd w:val="clear" w:color="auto" w:fill="E6C483"/>
            <w:vAlign w:val="center"/>
            <w:hideMark/>
          </w:tcPr>
          <w:p w:rsidR="00C73737" w:rsidRPr="00C73737" w:rsidRDefault="00C73737" w:rsidP="00C73737">
            <w:pPr>
              <w:spacing w:after="0" w:line="240" w:lineRule="auto"/>
              <w:jc w:val="center"/>
              <w:rPr>
                <w:rFonts w:cs="Arial"/>
                <w:color w:val="000000"/>
                <w:sz w:val="16"/>
                <w:szCs w:val="16"/>
              </w:rPr>
            </w:pPr>
            <w:r w:rsidRPr="00C73737">
              <w:rPr>
                <w:rFonts w:cs="Arial"/>
                <w:color w:val="000000"/>
                <w:sz w:val="16"/>
                <w:szCs w:val="16"/>
              </w:rPr>
              <w:t>Průměrná délka trvání 1 ukončeného případu DPN ve dnech</w:t>
            </w:r>
          </w:p>
        </w:tc>
      </w:tr>
      <w:tr w:rsidR="00C73737" w:rsidRPr="00C73737" w:rsidTr="00C73737">
        <w:trPr>
          <w:trHeight w:val="300"/>
        </w:trPr>
        <w:tc>
          <w:tcPr>
            <w:tcW w:w="1771" w:type="pct"/>
            <w:vMerge/>
            <w:tcBorders>
              <w:top w:val="single" w:sz="4" w:space="0" w:color="auto"/>
              <w:left w:val="nil"/>
              <w:bottom w:val="single" w:sz="4" w:space="0" w:color="000000"/>
              <w:right w:val="single" w:sz="4" w:space="0" w:color="auto"/>
            </w:tcBorders>
            <w:shd w:val="clear" w:color="auto" w:fill="E6C483"/>
            <w:vAlign w:val="center"/>
            <w:hideMark/>
          </w:tcPr>
          <w:p w:rsidR="00C73737" w:rsidRPr="00C73737" w:rsidRDefault="00C73737" w:rsidP="00C73737">
            <w:pPr>
              <w:spacing w:after="0" w:line="240" w:lineRule="auto"/>
              <w:jc w:val="left"/>
              <w:rPr>
                <w:rFonts w:cs="Arial"/>
                <w:color w:val="000000"/>
                <w:sz w:val="16"/>
                <w:szCs w:val="16"/>
              </w:rPr>
            </w:pPr>
          </w:p>
        </w:tc>
        <w:tc>
          <w:tcPr>
            <w:tcW w:w="538" w:type="pct"/>
            <w:vMerge w:val="restart"/>
            <w:tcBorders>
              <w:top w:val="nil"/>
              <w:left w:val="single" w:sz="4" w:space="0" w:color="auto"/>
              <w:bottom w:val="single" w:sz="4" w:space="0" w:color="000000"/>
              <w:right w:val="nil"/>
            </w:tcBorders>
            <w:shd w:val="clear" w:color="auto" w:fill="E6C483"/>
            <w:vAlign w:val="center"/>
            <w:hideMark/>
          </w:tcPr>
          <w:p w:rsidR="00C73737" w:rsidRPr="00C73737" w:rsidRDefault="00C73737" w:rsidP="00C73737">
            <w:pPr>
              <w:spacing w:after="0" w:line="240" w:lineRule="auto"/>
              <w:jc w:val="center"/>
              <w:rPr>
                <w:rFonts w:cs="Arial"/>
                <w:b/>
                <w:bCs/>
                <w:color w:val="000000"/>
                <w:sz w:val="16"/>
                <w:szCs w:val="16"/>
              </w:rPr>
            </w:pPr>
            <w:r w:rsidRPr="00C73737">
              <w:rPr>
                <w:rFonts w:cs="Arial"/>
                <w:b/>
                <w:bCs/>
                <w:color w:val="000000"/>
                <w:sz w:val="16"/>
                <w:szCs w:val="16"/>
              </w:rPr>
              <w:t>Celkem</w:t>
            </w:r>
          </w:p>
        </w:tc>
        <w:tc>
          <w:tcPr>
            <w:tcW w:w="1076" w:type="pct"/>
            <w:gridSpan w:val="2"/>
            <w:tcBorders>
              <w:top w:val="single" w:sz="4" w:space="0" w:color="auto"/>
              <w:left w:val="single" w:sz="4" w:space="0" w:color="auto"/>
              <w:bottom w:val="single" w:sz="4" w:space="0" w:color="auto"/>
              <w:right w:val="single" w:sz="4" w:space="0" w:color="auto"/>
            </w:tcBorders>
            <w:shd w:val="clear" w:color="auto" w:fill="E6C483"/>
            <w:vAlign w:val="center"/>
            <w:hideMark/>
          </w:tcPr>
          <w:p w:rsidR="00C73737" w:rsidRPr="00C73737" w:rsidRDefault="00C73737" w:rsidP="00C73737">
            <w:pPr>
              <w:spacing w:after="0" w:line="240" w:lineRule="auto"/>
              <w:jc w:val="center"/>
              <w:rPr>
                <w:rFonts w:cs="Arial"/>
                <w:color w:val="000000"/>
                <w:sz w:val="16"/>
                <w:szCs w:val="16"/>
              </w:rPr>
            </w:pPr>
            <w:r w:rsidRPr="00C73737">
              <w:rPr>
                <w:rFonts w:cs="Arial"/>
                <w:color w:val="000000"/>
                <w:sz w:val="16"/>
                <w:szCs w:val="16"/>
              </w:rPr>
              <w:t>podle pohlaví</w:t>
            </w:r>
          </w:p>
        </w:tc>
        <w:tc>
          <w:tcPr>
            <w:tcW w:w="538" w:type="pct"/>
            <w:vMerge w:val="restart"/>
            <w:tcBorders>
              <w:top w:val="nil"/>
              <w:left w:val="single" w:sz="4" w:space="0" w:color="auto"/>
              <w:bottom w:val="single" w:sz="4" w:space="0" w:color="000000"/>
              <w:right w:val="nil"/>
            </w:tcBorders>
            <w:shd w:val="clear" w:color="auto" w:fill="E6C483"/>
            <w:vAlign w:val="center"/>
            <w:hideMark/>
          </w:tcPr>
          <w:p w:rsidR="00C73737" w:rsidRPr="00C73737" w:rsidRDefault="00C73737" w:rsidP="00C73737">
            <w:pPr>
              <w:spacing w:after="0" w:line="240" w:lineRule="auto"/>
              <w:jc w:val="center"/>
              <w:rPr>
                <w:rFonts w:cs="Arial"/>
                <w:b/>
                <w:bCs/>
                <w:color w:val="000000"/>
                <w:sz w:val="16"/>
                <w:szCs w:val="16"/>
              </w:rPr>
            </w:pPr>
            <w:r w:rsidRPr="00C73737">
              <w:rPr>
                <w:rFonts w:cs="Arial"/>
                <w:b/>
                <w:bCs/>
                <w:color w:val="000000"/>
                <w:sz w:val="16"/>
                <w:szCs w:val="16"/>
              </w:rPr>
              <w:t>Celkem</w:t>
            </w:r>
          </w:p>
        </w:tc>
        <w:tc>
          <w:tcPr>
            <w:tcW w:w="1077" w:type="pct"/>
            <w:gridSpan w:val="2"/>
            <w:tcBorders>
              <w:top w:val="single" w:sz="4" w:space="0" w:color="auto"/>
              <w:left w:val="single" w:sz="4" w:space="0" w:color="auto"/>
              <w:bottom w:val="single" w:sz="4" w:space="0" w:color="auto"/>
            </w:tcBorders>
            <w:shd w:val="clear" w:color="auto" w:fill="E6C483"/>
            <w:vAlign w:val="center"/>
            <w:hideMark/>
          </w:tcPr>
          <w:p w:rsidR="00C73737" w:rsidRPr="00C73737" w:rsidRDefault="00C73737" w:rsidP="00C73737">
            <w:pPr>
              <w:spacing w:after="0" w:line="240" w:lineRule="auto"/>
              <w:jc w:val="center"/>
              <w:rPr>
                <w:rFonts w:cs="Arial"/>
                <w:color w:val="000000"/>
                <w:sz w:val="16"/>
                <w:szCs w:val="16"/>
              </w:rPr>
            </w:pPr>
            <w:r w:rsidRPr="00C73737">
              <w:rPr>
                <w:rFonts w:cs="Arial"/>
                <w:color w:val="000000"/>
                <w:sz w:val="16"/>
                <w:szCs w:val="16"/>
              </w:rPr>
              <w:t>podle pohlaví</w:t>
            </w:r>
          </w:p>
        </w:tc>
      </w:tr>
      <w:tr w:rsidR="00C73737" w:rsidRPr="00C73737" w:rsidTr="00C73737">
        <w:trPr>
          <w:trHeight w:val="300"/>
        </w:trPr>
        <w:tc>
          <w:tcPr>
            <w:tcW w:w="1771" w:type="pct"/>
            <w:vMerge/>
            <w:tcBorders>
              <w:top w:val="single" w:sz="4" w:space="0" w:color="auto"/>
              <w:left w:val="nil"/>
              <w:bottom w:val="single" w:sz="4" w:space="0" w:color="000000"/>
              <w:right w:val="single" w:sz="4" w:space="0" w:color="auto"/>
            </w:tcBorders>
            <w:shd w:val="clear" w:color="auto" w:fill="E6C483"/>
            <w:vAlign w:val="center"/>
            <w:hideMark/>
          </w:tcPr>
          <w:p w:rsidR="00C73737" w:rsidRPr="00C73737" w:rsidRDefault="00C73737" w:rsidP="00C73737">
            <w:pPr>
              <w:spacing w:after="0" w:line="240" w:lineRule="auto"/>
              <w:jc w:val="left"/>
              <w:rPr>
                <w:rFonts w:cs="Arial"/>
                <w:color w:val="000000"/>
                <w:sz w:val="16"/>
                <w:szCs w:val="16"/>
              </w:rPr>
            </w:pPr>
          </w:p>
        </w:tc>
        <w:tc>
          <w:tcPr>
            <w:tcW w:w="538" w:type="pct"/>
            <w:vMerge/>
            <w:tcBorders>
              <w:top w:val="nil"/>
              <w:left w:val="single" w:sz="4" w:space="0" w:color="auto"/>
              <w:bottom w:val="single" w:sz="4" w:space="0" w:color="000000"/>
              <w:right w:val="nil"/>
            </w:tcBorders>
            <w:shd w:val="clear" w:color="auto" w:fill="E6C483"/>
            <w:vAlign w:val="center"/>
            <w:hideMark/>
          </w:tcPr>
          <w:p w:rsidR="00C73737" w:rsidRPr="00C73737" w:rsidRDefault="00C73737" w:rsidP="00C73737">
            <w:pPr>
              <w:spacing w:after="0" w:line="240" w:lineRule="auto"/>
              <w:jc w:val="left"/>
              <w:rPr>
                <w:rFonts w:cs="Arial"/>
                <w:b/>
                <w:bCs/>
                <w:color w:val="000000"/>
                <w:sz w:val="16"/>
                <w:szCs w:val="16"/>
              </w:rPr>
            </w:pPr>
          </w:p>
        </w:tc>
        <w:tc>
          <w:tcPr>
            <w:tcW w:w="538" w:type="pct"/>
            <w:tcBorders>
              <w:top w:val="single" w:sz="4" w:space="0" w:color="auto"/>
              <w:left w:val="single" w:sz="4" w:space="0" w:color="auto"/>
              <w:bottom w:val="single" w:sz="4" w:space="0" w:color="auto"/>
              <w:right w:val="single" w:sz="4" w:space="0" w:color="auto"/>
            </w:tcBorders>
            <w:shd w:val="clear" w:color="auto" w:fill="E6C483"/>
            <w:vAlign w:val="center"/>
            <w:hideMark/>
          </w:tcPr>
          <w:p w:rsidR="00C73737" w:rsidRPr="00C73737" w:rsidRDefault="00C73737" w:rsidP="00C73737">
            <w:pPr>
              <w:spacing w:after="0" w:line="240" w:lineRule="auto"/>
              <w:jc w:val="center"/>
              <w:rPr>
                <w:rFonts w:cs="Arial"/>
                <w:color w:val="000000"/>
                <w:sz w:val="16"/>
                <w:szCs w:val="16"/>
              </w:rPr>
            </w:pPr>
            <w:r w:rsidRPr="00C73737">
              <w:rPr>
                <w:rFonts w:cs="Arial"/>
                <w:color w:val="000000"/>
                <w:sz w:val="16"/>
                <w:szCs w:val="16"/>
              </w:rPr>
              <w:t>muži</w:t>
            </w:r>
          </w:p>
        </w:tc>
        <w:tc>
          <w:tcPr>
            <w:tcW w:w="538" w:type="pct"/>
            <w:tcBorders>
              <w:top w:val="nil"/>
              <w:left w:val="nil"/>
              <w:bottom w:val="single" w:sz="4" w:space="0" w:color="auto"/>
              <w:right w:val="single" w:sz="4" w:space="0" w:color="auto"/>
            </w:tcBorders>
            <w:shd w:val="clear" w:color="auto" w:fill="E6C483"/>
            <w:vAlign w:val="center"/>
            <w:hideMark/>
          </w:tcPr>
          <w:p w:rsidR="00C73737" w:rsidRPr="00C73737" w:rsidRDefault="00C73737" w:rsidP="00C73737">
            <w:pPr>
              <w:spacing w:after="0" w:line="240" w:lineRule="auto"/>
              <w:jc w:val="center"/>
              <w:rPr>
                <w:rFonts w:cs="Arial"/>
                <w:color w:val="000000"/>
                <w:sz w:val="16"/>
                <w:szCs w:val="16"/>
              </w:rPr>
            </w:pPr>
            <w:r w:rsidRPr="00C73737">
              <w:rPr>
                <w:rFonts w:cs="Arial"/>
                <w:color w:val="000000"/>
                <w:sz w:val="16"/>
                <w:szCs w:val="16"/>
              </w:rPr>
              <w:t>ženy</w:t>
            </w:r>
          </w:p>
        </w:tc>
        <w:tc>
          <w:tcPr>
            <w:tcW w:w="538" w:type="pct"/>
            <w:vMerge/>
            <w:tcBorders>
              <w:top w:val="nil"/>
              <w:left w:val="single" w:sz="4" w:space="0" w:color="auto"/>
              <w:bottom w:val="single" w:sz="4" w:space="0" w:color="000000"/>
              <w:right w:val="nil"/>
            </w:tcBorders>
            <w:shd w:val="clear" w:color="auto" w:fill="E6C483"/>
            <w:vAlign w:val="center"/>
            <w:hideMark/>
          </w:tcPr>
          <w:p w:rsidR="00C73737" w:rsidRPr="00C73737" w:rsidRDefault="00C73737" w:rsidP="00C73737">
            <w:pPr>
              <w:spacing w:after="0" w:line="240" w:lineRule="auto"/>
              <w:jc w:val="left"/>
              <w:rPr>
                <w:rFonts w:cs="Arial"/>
                <w:b/>
                <w:bCs/>
                <w:color w:val="000000"/>
                <w:sz w:val="16"/>
                <w:szCs w:val="16"/>
              </w:rPr>
            </w:pPr>
          </w:p>
        </w:tc>
        <w:tc>
          <w:tcPr>
            <w:tcW w:w="538" w:type="pct"/>
            <w:tcBorders>
              <w:top w:val="single" w:sz="4" w:space="0" w:color="auto"/>
              <w:left w:val="single" w:sz="4" w:space="0" w:color="auto"/>
              <w:bottom w:val="single" w:sz="4" w:space="0" w:color="auto"/>
              <w:right w:val="single" w:sz="4" w:space="0" w:color="auto"/>
            </w:tcBorders>
            <w:shd w:val="clear" w:color="auto" w:fill="E6C483"/>
            <w:vAlign w:val="center"/>
            <w:hideMark/>
          </w:tcPr>
          <w:p w:rsidR="00C73737" w:rsidRPr="00C73737" w:rsidRDefault="00C73737" w:rsidP="00C73737">
            <w:pPr>
              <w:spacing w:after="0" w:line="240" w:lineRule="auto"/>
              <w:jc w:val="center"/>
              <w:rPr>
                <w:rFonts w:cs="Arial"/>
                <w:color w:val="000000"/>
                <w:sz w:val="16"/>
                <w:szCs w:val="16"/>
              </w:rPr>
            </w:pPr>
            <w:r w:rsidRPr="00C73737">
              <w:rPr>
                <w:rFonts w:cs="Arial"/>
                <w:color w:val="000000"/>
                <w:sz w:val="16"/>
                <w:szCs w:val="16"/>
              </w:rPr>
              <w:t>muži</w:t>
            </w:r>
          </w:p>
        </w:tc>
        <w:tc>
          <w:tcPr>
            <w:tcW w:w="539" w:type="pct"/>
            <w:tcBorders>
              <w:top w:val="nil"/>
              <w:left w:val="nil"/>
              <w:bottom w:val="single" w:sz="4" w:space="0" w:color="auto"/>
              <w:right w:val="nil"/>
            </w:tcBorders>
            <w:shd w:val="clear" w:color="auto" w:fill="E6C483"/>
            <w:vAlign w:val="center"/>
            <w:hideMark/>
          </w:tcPr>
          <w:p w:rsidR="00C73737" w:rsidRPr="00C73737" w:rsidRDefault="00C73737" w:rsidP="00C73737">
            <w:pPr>
              <w:spacing w:after="0" w:line="240" w:lineRule="auto"/>
              <w:jc w:val="center"/>
              <w:rPr>
                <w:rFonts w:cs="Arial"/>
                <w:color w:val="000000"/>
                <w:sz w:val="16"/>
                <w:szCs w:val="16"/>
              </w:rPr>
            </w:pPr>
            <w:r w:rsidRPr="00C73737">
              <w:rPr>
                <w:rFonts w:cs="Arial"/>
                <w:color w:val="000000"/>
                <w:sz w:val="16"/>
                <w:szCs w:val="16"/>
              </w:rPr>
              <w:t>ženy</w:t>
            </w:r>
          </w:p>
        </w:tc>
      </w:tr>
      <w:tr w:rsidR="00C73737" w:rsidRPr="00C73737" w:rsidTr="00C73737">
        <w:trPr>
          <w:trHeight w:val="300"/>
        </w:trPr>
        <w:tc>
          <w:tcPr>
            <w:tcW w:w="1771" w:type="pct"/>
            <w:tcBorders>
              <w:top w:val="nil"/>
              <w:left w:val="nil"/>
              <w:bottom w:val="nil"/>
              <w:right w:val="nil"/>
            </w:tcBorders>
            <w:shd w:val="clear" w:color="auto" w:fill="auto"/>
            <w:noWrap/>
            <w:vAlign w:val="bottom"/>
            <w:hideMark/>
          </w:tcPr>
          <w:p w:rsidR="00C73737" w:rsidRPr="00C73737" w:rsidRDefault="00C73737" w:rsidP="00C73737">
            <w:pPr>
              <w:spacing w:after="0" w:line="240" w:lineRule="auto"/>
              <w:jc w:val="left"/>
              <w:rPr>
                <w:rFonts w:cs="Arial"/>
                <w:b/>
                <w:bCs/>
                <w:color w:val="000000"/>
                <w:sz w:val="16"/>
                <w:szCs w:val="16"/>
              </w:rPr>
            </w:pPr>
            <w:r w:rsidRPr="00C73737">
              <w:rPr>
                <w:rFonts w:cs="Arial"/>
                <w:b/>
                <w:bCs/>
                <w:color w:val="000000"/>
                <w:sz w:val="16"/>
                <w:szCs w:val="16"/>
              </w:rPr>
              <w:t>Celkem</w:t>
            </w:r>
          </w:p>
        </w:tc>
        <w:tc>
          <w:tcPr>
            <w:tcW w:w="538" w:type="pct"/>
            <w:tcBorders>
              <w:top w:val="nil"/>
              <w:left w:val="single" w:sz="4" w:space="0" w:color="auto"/>
              <w:bottom w:val="nil"/>
            </w:tcBorders>
            <w:shd w:val="clear" w:color="auto" w:fill="auto"/>
            <w:noWrap/>
            <w:vAlign w:val="bottom"/>
            <w:hideMark/>
          </w:tcPr>
          <w:p w:rsidR="00C73737" w:rsidRPr="003A1421" w:rsidRDefault="00C73737" w:rsidP="00C73737">
            <w:pPr>
              <w:spacing w:after="0" w:line="240" w:lineRule="auto"/>
              <w:jc w:val="right"/>
              <w:rPr>
                <w:rFonts w:cs="Arial"/>
                <w:b/>
                <w:bCs/>
                <w:color w:val="000000"/>
                <w:sz w:val="16"/>
                <w:szCs w:val="16"/>
              </w:rPr>
            </w:pPr>
            <w:r w:rsidRPr="003A1421">
              <w:rPr>
                <w:rFonts w:cs="Arial"/>
                <w:b/>
                <w:bCs/>
                <w:color w:val="000000"/>
                <w:sz w:val="16"/>
                <w:szCs w:val="16"/>
              </w:rPr>
              <w:t>2 435,4</w:t>
            </w:r>
          </w:p>
        </w:tc>
        <w:tc>
          <w:tcPr>
            <w:tcW w:w="538" w:type="pct"/>
            <w:tcBorders>
              <w:top w:val="single" w:sz="4" w:space="0" w:color="auto"/>
              <w:bottom w:val="nil"/>
            </w:tcBorders>
            <w:shd w:val="clear" w:color="auto" w:fill="auto"/>
            <w:noWrap/>
            <w:vAlign w:val="bottom"/>
            <w:hideMark/>
          </w:tcPr>
          <w:p w:rsidR="00C73737" w:rsidRPr="003A1421" w:rsidRDefault="00C73737" w:rsidP="00C73737">
            <w:pPr>
              <w:spacing w:after="0" w:line="240" w:lineRule="auto"/>
              <w:jc w:val="right"/>
              <w:rPr>
                <w:rFonts w:cs="Arial"/>
                <w:b/>
                <w:bCs/>
                <w:color w:val="000000"/>
                <w:sz w:val="16"/>
                <w:szCs w:val="16"/>
              </w:rPr>
            </w:pPr>
            <w:r w:rsidRPr="003A1421">
              <w:rPr>
                <w:rFonts w:cs="Arial"/>
                <w:b/>
                <w:bCs/>
                <w:color w:val="000000"/>
                <w:sz w:val="16"/>
                <w:szCs w:val="16"/>
              </w:rPr>
              <w:t>1 092,8</w:t>
            </w:r>
          </w:p>
        </w:tc>
        <w:tc>
          <w:tcPr>
            <w:tcW w:w="538" w:type="pct"/>
            <w:tcBorders>
              <w:top w:val="nil"/>
              <w:left w:val="nil"/>
              <w:bottom w:val="nil"/>
              <w:right w:val="single" w:sz="4" w:space="0" w:color="auto"/>
            </w:tcBorders>
            <w:shd w:val="clear" w:color="auto" w:fill="auto"/>
            <w:noWrap/>
            <w:vAlign w:val="bottom"/>
            <w:hideMark/>
          </w:tcPr>
          <w:p w:rsidR="00C73737" w:rsidRPr="003A1421" w:rsidRDefault="00C73737" w:rsidP="00C73737">
            <w:pPr>
              <w:spacing w:after="0" w:line="240" w:lineRule="auto"/>
              <w:jc w:val="right"/>
              <w:rPr>
                <w:rFonts w:cs="Arial"/>
                <w:b/>
                <w:bCs/>
                <w:color w:val="000000"/>
                <w:sz w:val="16"/>
                <w:szCs w:val="16"/>
              </w:rPr>
            </w:pPr>
            <w:r w:rsidRPr="003A1421">
              <w:rPr>
                <w:rFonts w:cs="Arial"/>
                <w:b/>
                <w:bCs/>
                <w:color w:val="000000"/>
                <w:sz w:val="16"/>
                <w:szCs w:val="16"/>
              </w:rPr>
              <w:t>1 342,6</w:t>
            </w:r>
          </w:p>
        </w:tc>
        <w:tc>
          <w:tcPr>
            <w:tcW w:w="538" w:type="pct"/>
            <w:tcBorders>
              <w:top w:val="single" w:sz="4" w:space="0" w:color="auto"/>
              <w:left w:val="nil"/>
              <w:bottom w:val="nil"/>
            </w:tcBorders>
            <w:shd w:val="clear" w:color="auto" w:fill="auto"/>
            <w:noWrap/>
            <w:vAlign w:val="bottom"/>
            <w:hideMark/>
          </w:tcPr>
          <w:p w:rsidR="00C73737" w:rsidRPr="003A1421" w:rsidRDefault="00C73737" w:rsidP="00C73737">
            <w:pPr>
              <w:spacing w:after="0" w:line="240" w:lineRule="auto"/>
              <w:jc w:val="right"/>
              <w:rPr>
                <w:rFonts w:cs="Arial"/>
                <w:b/>
                <w:bCs/>
                <w:color w:val="000000"/>
                <w:sz w:val="16"/>
                <w:szCs w:val="16"/>
              </w:rPr>
            </w:pPr>
            <w:r w:rsidRPr="003A1421">
              <w:rPr>
                <w:rFonts w:cs="Arial"/>
                <w:b/>
                <w:bCs/>
                <w:color w:val="000000"/>
                <w:sz w:val="16"/>
                <w:szCs w:val="16"/>
              </w:rPr>
              <w:t>31,2</w:t>
            </w:r>
          </w:p>
        </w:tc>
        <w:tc>
          <w:tcPr>
            <w:tcW w:w="538" w:type="pct"/>
            <w:tcBorders>
              <w:top w:val="single" w:sz="4" w:space="0" w:color="auto"/>
              <w:bottom w:val="nil"/>
            </w:tcBorders>
            <w:shd w:val="clear" w:color="auto" w:fill="auto"/>
            <w:noWrap/>
            <w:vAlign w:val="bottom"/>
            <w:hideMark/>
          </w:tcPr>
          <w:p w:rsidR="00C73737" w:rsidRPr="003A1421" w:rsidRDefault="00C73737" w:rsidP="00C73737">
            <w:pPr>
              <w:spacing w:after="0" w:line="240" w:lineRule="auto"/>
              <w:jc w:val="right"/>
              <w:rPr>
                <w:rFonts w:cs="Arial"/>
                <w:b/>
                <w:bCs/>
                <w:color w:val="000000"/>
                <w:sz w:val="16"/>
                <w:szCs w:val="16"/>
              </w:rPr>
            </w:pPr>
            <w:r w:rsidRPr="003A1421">
              <w:rPr>
                <w:rFonts w:cs="Arial"/>
                <w:b/>
                <w:bCs/>
                <w:color w:val="000000"/>
                <w:sz w:val="16"/>
                <w:szCs w:val="16"/>
              </w:rPr>
              <w:t>31,4</w:t>
            </w:r>
          </w:p>
        </w:tc>
        <w:tc>
          <w:tcPr>
            <w:tcW w:w="539" w:type="pct"/>
            <w:tcBorders>
              <w:top w:val="nil"/>
              <w:left w:val="nil"/>
              <w:bottom w:val="nil"/>
              <w:right w:val="nil"/>
            </w:tcBorders>
            <w:shd w:val="clear" w:color="auto" w:fill="auto"/>
            <w:noWrap/>
            <w:vAlign w:val="bottom"/>
            <w:hideMark/>
          </w:tcPr>
          <w:p w:rsidR="00C73737" w:rsidRPr="003A1421" w:rsidRDefault="00C73737" w:rsidP="00C73737">
            <w:pPr>
              <w:spacing w:after="0" w:line="240" w:lineRule="auto"/>
              <w:jc w:val="right"/>
              <w:rPr>
                <w:rFonts w:cs="Arial"/>
                <w:b/>
                <w:bCs/>
                <w:color w:val="000000"/>
                <w:sz w:val="16"/>
                <w:szCs w:val="16"/>
              </w:rPr>
            </w:pPr>
            <w:r w:rsidRPr="003A1421">
              <w:rPr>
                <w:rFonts w:cs="Arial"/>
                <w:b/>
                <w:bCs/>
                <w:color w:val="000000"/>
                <w:sz w:val="16"/>
                <w:szCs w:val="16"/>
              </w:rPr>
              <w:t>31,0</w:t>
            </w:r>
          </w:p>
        </w:tc>
      </w:tr>
      <w:tr w:rsidR="00C73737" w:rsidRPr="00C73737" w:rsidTr="00C73737">
        <w:trPr>
          <w:trHeight w:val="300"/>
        </w:trPr>
        <w:tc>
          <w:tcPr>
            <w:tcW w:w="1771" w:type="pct"/>
            <w:tcBorders>
              <w:top w:val="nil"/>
              <w:left w:val="nil"/>
              <w:bottom w:val="nil"/>
              <w:right w:val="nil"/>
            </w:tcBorders>
            <w:shd w:val="clear" w:color="auto" w:fill="auto"/>
            <w:noWrap/>
            <w:vAlign w:val="bottom"/>
            <w:hideMark/>
          </w:tcPr>
          <w:p w:rsidR="00C73737" w:rsidRPr="00C73737" w:rsidRDefault="00C73737" w:rsidP="00C73737">
            <w:pPr>
              <w:spacing w:after="0" w:line="240" w:lineRule="auto"/>
              <w:ind w:firstLineChars="100" w:firstLine="160"/>
              <w:jc w:val="left"/>
              <w:rPr>
                <w:rFonts w:cs="Arial"/>
                <w:color w:val="000000"/>
                <w:sz w:val="16"/>
                <w:szCs w:val="16"/>
              </w:rPr>
            </w:pPr>
            <w:r w:rsidRPr="00C73737">
              <w:rPr>
                <w:rFonts w:cs="Arial"/>
                <w:color w:val="000000"/>
                <w:sz w:val="16"/>
                <w:szCs w:val="16"/>
              </w:rPr>
              <w:t>Tuberkulóza</w:t>
            </w:r>
          </w:p>
        </w:tc>
        <w:tc>
          <w:tcPr>
            <w:tcW w:w="538" w:type="pct"/>
            <w:tcBorders>
              <w:top w:val="nil"/>
              <w:left w:val="single" w:sz="4" w:space="0" w:color="auto"/>
              <w:bottom w:val="nil"/>
            </w:tcBorders>
            <w:shd w:val="clear" w:color="auto" w:fill="auto"/>
            <w:noWrap/>
            <w:vAlign w:val="bottom"/>
            <w:hideMark/>
          </w:tcPr>
          <w:p w:rsidR="00C73737" w:rsidRPr="003A1421" w:rsidRDefault="00C73737" w:rsidP="00C73737">
            <w:pPr>
              <w:spacing w:after="0" w:line="240" w:lineRule="auto"/>
              <w:jc w:val="right"/>
              <w:rPr>
                <w:rFonts w:cs="Arial"/>
                <w:color w:val="000000"/>
                <w:sz w:val="16"/>
                <w:szCs w:val="16"/>
              </w:rPr>
            </w:pPr>
            <w:r w:rsidRPr="003A1421">
              <w:rPr>
                <w:rFonts w:cs="Arial"/>
                <w:color w:val="000000"/>
                <w:sz w:val="16"/>
                <w:szCs w:val="16"/>
              </w:rPr>
              <w:t>0,1</w:t>
            </w:r>
          </w:p>
        </w:tc>
        <w:tc>
          <w:tcPr>
            <w:tcW w:w="538" w:type="pct"/>
            <w:tcBorders>
              <w:top w:val="nil"/>
              <w:bottom w:val="nil"/>
            </w:tcBorders>
            <w:shd w:val="clear" w:color="auto" w:fill="auto"/>
            <w:noWrap/>
            <w:vAlign w:val="bottom"/>
            <w:hideMark/>
          </w:tcPr>
          <w:p w:rsidR="00C73737" w:rsidRPr="003A1421" w:rsidRDefault="00C73737" w:rsidP="00C73737">
            <w:pPr>
              <w:spacing w:after="0" w:line="240" w:lineRule="auto"/>
              <w:jc w:val="right"/>
              <w:rPr>
                <w:rFonts w:cs="Arial"/>
                <w:color w:val="000000"/>
                <w:sz w:val="16"/>
                <w:szCs w:val="16"/>
              </w:rPr>
            </w:pPr>
            <w:r w:rsidRPr="003A1421">
              <w:rPr>
                <w:rFonts w:cs="Arial"/>
                <w:color w:val="000000"/>
                <w:sz w:val="16"/>
                <w:szCs w:val="16"/>
              </w:rPr>
              <w:t>0,1</w:t>
            </w:r>
          </w:p>
        </w:tc>
        <w:tc>
          <w:tcPr>
            <w:tcW w:w="538" w:type="pct"/>
            <w:tcBorders>
              <w:top w:val="nil"/>
              <w:left w:val="nil"/>
              <w:bottom w:val="nil"/>
              <w:right w:val="single" w:sz="4" w:space="0" w:color="auto"/>
            </w:tcBorders>
            <w:shd w:val="clear" w:color="auto" w:fill="auto"/>
            <w:noWrap/>
            <w:vAlign w:val="bottom"/>
            <w:hideMark/>
          </w:tcPr>
          <w:p w:rsidR="00C73737" w:rsidRPr="003A1421" w:rsidRDefault="00C73737" w:rsidP="00C73737">
            <w:pPr>
              <w:spacing w:after="0" w:line="240" w:lineRule="auto"/>
              <w:jc w:val="right"/>
              <w:rPr>
                <w:rFonts w:cs="Arial"/>
                <w:color w:val="000000"/>
                <w:sz w:val="16"/>
                <w:szCs w:val="16"/>
              </w:rPr>
            </w:pPr>
            <w:r w:rsidRPr="003A1421">
              <w:rPr>
                <w:rFonts w:cs="Arial"/>
                <w:color w:val="000000"/>
                <w:sz w:val="16"/>
                <w:szCs w:val="16"/>
              </w:rPr>
              <w:t>0,0</w:t>
            </w:r>
          </w:p>
        </w:tc>
        <w:tc>
          <w:tcPr>
            <w:tcW w:w="538" w:type="pct"/>
            <w:tcBorders>
              <w:top w:val="nil"/>
              <w:left w:val="nil"/>
              <w:bottom w:val="nil"/>
            </w:tcBorders>
            <w:shd w:val="clear" w:color="auto" w:fill="auto"/>
            <w:noWrap/>
            <w:vAlign w:val="bottom"/>
            <w:hideMark/>
          </w:tcPr>
          <w:p w:rsidR="00C73737" w:rsidRPr="003A1421" w:rsidRDefault="00C73737" w:rsidP="00C73737">
            <w:pPr>
              <w:spacing w:after="0" w:line="240" w:lineRule="auto"/>
              <w:jc w:val="right"/>
              <w:rPr>
                <w:rFonts w:cs="Arial"/>
                <w:color w:val="000000"/>
                <w:sz w:val="16"/>
                <w:szCs w:val="16"/>
              </w:rPr>
            </w:pPr>
            <w:r w:rsidRPr="003A1421">
              <w:rPr>
                <w:rFonts w:cs="Arial"/>
                <w:color w:val="000000"/>
                <w:sz w:val="16"/>
                <w:szCs w:val="16"/>
              </w:rPr>
              <w:t>183,0</w:t>
            </w:r>
          </w:p>
        </w:tc>
        <w:tc>
          <w:tcPr>
            <w:tcW w:w="538" w:type="pct"/>
            <w:tcBorders>
              <w:top w:val="nil"/>
              <w:bottom w:val="nil"/>
            </w:tcBorders>
            <w:shd w:val="clear" w:color="auto" w:fill="auto"/>
            <w:noWrap/>
            <w:vAlign w:val="bottom"/>
            <w:hideMark/>
          </w:tcPr>
          <w:p w:rsidR="00C73737" w:rsidRPr="003A1421" w:rsidRDefault="00C73737" w:rsidP="00C73737">
            <w:pPr>
              <w:spacing w:after="0" w:line="240" w:lineRule="auto"/>
              <w:jc w:val="right"/>
              <w:rPr>
                <w:rFonts w:cs="Arial"/>
                <w:color w:val="000000"/>
                <w:sz w:val="16"/>
                <w:szCs w:val="16"/>
              </w:rPr>
            </w:pPr>
            <w:r w:rsidRPr="003A1421">
              <w:rPr>
                <w:rFonts w:cs="Arial"/>
                <w:color w:val="000000"/>
                <w:sz w:val="16"/>
                <w:szCs w:val="16"/>
              </w:rPr>
              <w:t>201,2</w:t>
            </w:r>
          </w:p>
        </w:tc>
        <w:tc>
          <w:tcPr>
            <w:tcW w:w="539" w:type="pct"/>
            <w:tcBorders>
              <w:top w:val="nil"/>
              <w:left w:val="nil"/>
              <w:bottom w:val="nil"/>
              <w:right w:val="nil"/>
            </w:tcBorders>
            <w:shd w:val="clear" w:color="auto" w:fill="auto"/>
            <w:noWrap/>
            <w:vAlign w:val="bottom"/>
            <w:hideMark/>
          </w:tcPr>
          <w:p w:rsidR="00C73737" w:rsidRPr="003A1421" w:rsidRDefault="00C73737" w:rsidP="00C73737">
            <w:pPr>
              <w:spacing w:after="0" w:line="240" w:lineRule="auto"/>
              <w:jc w:val="right"/>
              <w:rPr>
                <w:rFonts w:cs="Arial"/>
                <w:color w:val="000000"/>
                <w:sz w:val="16"/>
                <w:szCs w:val="16"/>
              </w:rPr>
            </w:pPr>
            <w:r w:rsidRPr="003A1421">
              <w:rPr>
                <w:rFonts w:cs="Arial"/>
                <w:color w:val="000000"/>
                <w:sz w:val="16"/>
                <w:szCs w:val="16"/>
              </w:rPr>
              <w:t>136,3</w:t>
            </w:r>
          </w:p>
        </w:tc>
      </w:tr>
      <w:tr w:rsidR="00C73737" w:rsidRPr="00C73737" w:rsidTr="00C73737">
        <w:trPr>
          <w:trHeight w:val="300"/>
        </w:trPr>
        <w:tc>
          <w:tcPr>
            <w:tcW w:w="1771" w:type="pct"/>
            <w:tcBorders>
              <w:top w:val="nil"/>
              <w:left w:val="nil"/>
              <w:bottom w:val="nil"/>
              <w:right w:val="nil"/>
            </w:tcBorders>
            <w:shd w:val="clear" w:color="auto" w:fill="auto"/>
            <w:noWrap/>
            <w:vAlign w:val="bottom"/>
            <w:hideMark/>
          </w:tcPr>
          <w:p w:rsidR="00C73737" w:rsidRPr="00C73737" w:rsidRDefault="00C73737" w:rsidP="00C73737">
            <w:pPr>
              <w:spacing w:after="0" w:line="240" w:lineRule="auto"/>
              <w:ind w:firstLineChars="100" w:firstLine="160"/>
              <w:jc w:val="left"/>
              <w:rPr>
                <w:rFonts w:cs="Arial"/>
                <w:color w:val="000000"/>
                <w:sz w:val="16"/>
                <w:szCs w:val="16"/>
              </w:rPr>
            </w:pPr>
            <w:r w:rsidRPr="00C73737">
              <w:rPr>
                <w:rFonts w:cs="Arial"/>
                <w:color w:val="000000"/>
                <w:sz w:val="16"/>
                <w:szCs w:val="16"/>
              </w:rPr>
              <w:t>Zhoubné novotvary</w:t>
            </w:r>
          </w:p>
        </w:tc>
        <w:tc>
          <w:tcPr>
            <w:tcW w:w="538" w:type="pct"/>
            <w:tcBorders>
              <w:top w:val="nil"/>
              <w:left w:val="single" w:sz="4" w:space="0" w:color="auto"/>
              <w:bottom w:val="nil"/>
            </w:tcBorders>
            <w:shd w:val="clear" w:color="auto" w:fill="auto"/>
            <w:noWrap/>
            <w:vAlign w:val="bottom"/>
            <w:hideMark/>
          </w:tcPr>
          <w:p w:rsidR="00C73737" w:rsidRPr="003A1421" w:rsidRDefault="00C73737" w:rsidP="00C73737">
            <w:pPr>
              <w:spacing w:after="0" w:line="240" w:lineRule="auto"/>
              <w:jc w:val="right"/>
              <w:rPr>
                <w:rFonts w:cs="Arial"/>
                <w:color w:val="000000"/>
                <w:sz w:val="16"/>
                <w:szCs w:val="16"/>
              </w:rPr>
            </w:pPr>
            <w:r w:rsidRPr="003A1421">
              <w:rPr>
                <w:rFonts w:cs="Arial"/>
                <w:color w:val="000000"/>
                <w:sz w:val="16"/>
                <w:szCs w:val="16"/>
              </w:rPr>
              <w:t>16,8</w:t>
            </w:r>
          </w:p>
        </w:tc>
        <w:tc>
          <w:tcPr>
            <w:tcW w:w="538" w:type="pct"/>
            <w:tcBorders>
              <w:top w:val="nil"/>
              <w:bottom w:val="nil"/>
            </w:tcBorders>
            <w:shd w:val="clear" w:color="auto" w:fill="auto"/>
            <w:noWrap/>
            <w:vAlign w:val="bottom"/>
            <w:hideMark/>
          </w:tcPr>
          <w:p w:rsidR="00C73737" w:rsidRPr="003A1421" w:rsidRDefault="00C73737" w:rsidP="00C73737">
            <w:pPr>
              <w:spacing w:after="0" w:line="240" w:lineRule="auto"/>
              <w:jc w:val="right"/>
              <w:rPr>
                <w:rFonts w:cs="Arial"/>
                <w:color w:val="000000"/>
                <w:sz w:val="16"/>
                <w:szCs w:val="16"/>
              </w:rPr>
            </w:pPr>
            <w:r w:rsidRPr="003A1421">
              <w:rPr>
                <w:rFonts w:cs="Arial"/>
                <w:color w:val="000000"/>
                <w:sz w:val="16"/>
                <w:szCs w:val="16"/>
              </w:rPr>
              <w:t>7,3</w:t>
            </w:r>
          </w:p>
        </w:tc>
        <w:tc>
          <w:tcPr>
            <w:tcW w:w="538" w:type="pct"/>
            <w:tcBorders>
              <w:top w:val="nil"/>
              <w:left w:val="nil"/>
              <w:bottom w:val="nil"/>
              <w:right w:val="single" w:sz="4" w:space="0" w:color="auto"/>
            </w:tcBorders>
            <w:shd w:val="clear" w:color="auto" w:fill="auto"/>
            <w:noWrap/>
            <w:vAlign w:val="bottom"/>
            <w:hideMark/>
          </w:tcPr>
          <w:p w:rsidR="00C73737" w:rsidRPr="003A1421" w:rsidRDefault="00C73737" w:rsidP="00C73737">
            <w:pPr>
              <w:spacing w:after="0" w:line="240" w:lineRule="auto"/>
              <w:jc w:val="right"/>
              <w:rPr>
                <w:rFonts w:cs="Arial"/>
                <w:color w:val="000000"/>
                <w:sz w:val="16"/>
                <w:szCs w:val="16"/>
              </w:rPr>
            </w:pPr>
            <w:r w:rsidRPr="003A1421">
              <w:rPr>
                <w:rFonts w:cs="Arial"/>
                <w:color w:val="000000"/>
                <w:sz w:val="16"/>
                <w:szCs w:val="16"/>
              </w:rPr>
              <w:t>9,5</w:t>
            </w:r>
          </w:p>
        </w:tc>
        <w:tc>
          <w:tcPr>
            <w:tcW w:w="538" w:type="pct"/>
            <w:tcBorders>
              <w:top w:val="nil"/>
              <w:left w:val="nil"/>
              <w:bottom w:val="nil"/>
            </w:tcBorders>
            <w:shd w:val="clear" w:color="auto" w:fill="auto"/>
            <w:noWrap/>
            <w:vAlign w:val="bottom"/>
            <w:hideMark/>
          </w:tcPr>
          <w:p w:rsidR="00C73737" w:rsidRPr="003A1421" w:rsidRDefault="00C73737" w:rsidP="00C73737">
            <w:pPr>
              <w:spacing w:after="0" w:line="240" w:lineRule="auto"/>
              <w:jc w:val="right"/>
              <w:rPr>
                <w:rFonts w:cs="Arial"/>
                <w:color w:val="000000"/>
                <w:sz w:val="16"/>
                <w:szCs w:val="16"/>
              </w:rPr>
            </w:pPr>
            <w:r w:rsidRPr="003A1421">
              <w:rPr>
                <w:rFonts w:cs="Arial"/>
                <w:color w:val="000000"/>
                <w:sz w:val="16"/>
                <w:szCs w:val="16"/>
              </w:rPr>
              <w:t>170,0</w:t>
            </w:r>
          </w:p>
        </w:tc>
        <w:tc>
          <w:tcPr>
            <w:tcW w:w="538" w:type="pct"/>
            <w:tcBorders>
              <w:top w:val="nil"/>
              <w:bottom w:val="nil"/>
            </w:tcBorders>
            <w:shd w:val="clear" w:color="auto" w:fill="auto"/>
            <w:noWrap/>
            <w:vAlign w:val="bottom"/>
            <w:hideMark/>
          </w:tcPr>
          <w:p w:rsidR="00C73737" w:rsidRPr="003A1421" w:rsidRDefault="00C73737" w:rsidP="00C73737">
            <w:pPr>
              <w:spacing w:after="0" w:line="240" w:lineRule="auto"/>
              <w:jc w:val="right"/>
              <w:rPr>
                <w:rFonts w:cs="Arial"/>
                <w:color w:val="000000"/>
                <w:sz w:val="16"/>
                <w:szCs w:val="16"/>
              </w:rPr>
            </w:pPr>
            <w:r w:rsidRPr="003A1421">
              <w:rPr>
                <w:rFonts w:cs="Arial"/>
                <w:color w:val="000000"/>
                <w:sz w:val="16"/>
                <w:szCs w:val="16"/>
              </w:rPr>
              <w:t>161,1</w:t>
            </w:r>
          </w:p>
        </w:tc>
        <w:tc>
          <w:tcPr>
            <w:tcW w:w="539" w:type="pct"/>
            <w:tcBorders>
              <w:top w:val="nil"/>
              <w:left w:val="nil"/>
              <w:bottom w:val="nil"/>
              <w:right w:val="nil"/>
            </w:tcBorders>
            <w:shd w:val="clear" w:color="auto" w:fill="auto"/>
            <w:noWrap/>
            <w:vAlign w:val="bottom"/>
            <w:hideMark/>
          </w:tcPr>
          <w:p w:rsidR="00C73737" w:rsidRPr="003A1421" w:rsidRDefault="00C73737" w:rsidP="00C73737">
            <w:pPr>
              <w:spacing w:after="0" w:line="240" w:lineRule="auto"/>
              <w:jc w:val="right"/>
              <w:rPr>
                <w:rFonts w:cs="Arial"/>
                <w:color w:val="000000"/>
                <w:sz w:val="16"/>
                <w:szCs w:val="16"/>
              </w:rPr>
            </w:pPr>
            <w:r w:rsidRPr="003A1421">
              <w:rPr>
                <w:rFonts w:cs="Arial"/>
                <w:color w:val="000000"/>
                <w:sz w:val="16"/>
                <w:szCs w:val="16"/>
              </w:rPr>
              <w:t>176,8</w:t>
            </w:r>
          </w:p>
        </w:tc>
      </w:tr>
      <w:tr w:rsidR="00C73737" w:rsidRPr="00C73737" w:rsidTr="00C73737">
        <w:trPr>
          <w:trHeight w:val="300"/>
        </w:trPr>
        <w:tc>
          <w:tcPr>
            <w:tcW w:w="1771" w:type="pct"/>
            <w:tcBorders>
              <w:top w:val="nil"/>
              <w:left w:val="nil"/>
              <w:bottom w:val="nil"/>
              <w:right w:val="nil"/>
            </w:tcBorders>
            <w:shd w:val="clear" w:color="auto" w:fill="auto"/>
            <w:noWrap/>
            <w:vAlign w:val="bottom"/>
            <w:hideMark/>
          </w:tcPr>
          <w:p w:rsidR="00C73737" w:rsidRPr="00C73737" w:rsidRDefault="00C73737" w:rsidP="00C73737">
            <w:pPr>
              <w:spacing w:after="0" w:line="240" w:lineRule="auto"/>
              <w:ind w:firstLineChars="100" w:firstLine="160"/>
              <w:jc w:val="left"/>
              <w:rPr>
                <w:rFonts w:cs="Arial"/>
                <w:color w:val="000000"/>
                <w:sz w:val="16"/>
                <w:szCs w:val="16"/>
              </w:rPr>
            </w:pPr>
            <w:r w:rsidRPr="00C73737">
              <w:rPr>
                <w:rFonts w:cs="Arial"/>
                <w:color w:val="000000"/>
                <w:sz w:val="16"/>
                <w:szCs w:val="16"/>
              </w:rPr>
              <w:t>Nemoci duševní</w:t>
            </w:r>
          </w:p>
        </w:tc>
        <w:tc>
          <w:tcPr>
            <w:tcW w:w="538" w:type="pct"/>
            <w:tcBorders>
              <w:top w:val="nil"/>
              <w:left w:val="single" w:sz="4" w:space="0" w:color="auto"/>
              <w:bottom w:val="nil"/>
            </w:tcBorders>
            <w:shd w:val="clear" w:color="auto" w:fill="auto"/>
            <w:noWrap/>
            <w:vAlign w:val="bottom"/>
            <w:hideMark/>
          </w:tcPr>
          <w:p w:rsidR="00C73737" w:rsidRPr="003A1421" w:rsidRDefault="00C73737" w:rsidP="00C73737">
            <w:pPr>
              <w:spacing w:after="0" w:line="240" w:lineRule="auto"/>
              <w:jc w:val="right"/>
              <w:rPr>
                <w:rFonts w:cs="Arial"/>
                <w:color w:val="000000"/>
                <w:sz w:val="16"/>
                <w:szCs w:val="16"/>
              </w:rPr>
            </w:pPr>
            <w:r w:rsidRPr="003A1421">
              <w:rPr>
                <w:rFonts w:cs="Arial"/>
                <w:color w:val="000000"/>
                <w:sz w:val="16"/>
                <w:szCs w:val="16"/>
              </w:rPr>
              <w:t>59,9</w:t>
            </w:r>
          </w:p>
        </w:tc>
        <w:tc>
          <w:tcPr>
            <w:tcW w:w="538" w:type="pct"/>
            <w:tcBorders>
              <w:top w:val="nil"/>
              <w:bottom w:val="nil"/>
            </w:tcBorders>
            <w:shd w:val="clear" w:color="auto" w:fill="auto"/>
            <w:noWrap/>
            <w:vAlign w:val="bottom"/>
            <w:hideMark/>
          </w:tcPr>
          <w:p w:rsidR="00C73737" w:rsidRPr="003A1421" w:rsidRDefault="00C73737" w:rsidP="00C73737">
            <w:pPr>
              <w:spacing w:after="0" w:line="240" w:lineRule="auto"/>
              <w:jc w:val="right"/>
              <w:rPr>
                <w:rFonts w:cs="Arial"/>
                <w:color w:val="000000"/>
                <w:sz w:val="16"/>
                <w:szCs w:val="16"/>
              </w:rPr>
            </w:pPr>
            <w:r w:rsidRPr="003A1421">
              <w:rPr>
                <w:rFonts w:cs="Arial"/>
                <w:color w:val="000000"/>
                <w:sz w:val="16"/>
                <w:szCs w:val="16"/>
              </w:rPr>
              <w:t>20,8</w:t>
            </w:r>
          </w:p>
        </w:tc>
        <w:tc>
          <w:tcPr>
            <w:tcW w:w="538" w:type="pct"/>
            <w:tcBorders>
              <w:top w:val="nil"/>
              <w:left w:val="nil"/>
              <w:bottom w:val="nil"/>
              <w:right w:val="single" w:sz="4" w:space="0" w:color="auto"/>
            </w:tcBorders>
            <w:shd w:val="clear" w:color="auto" w:fill="auto"/>
            <w:noWrap/>
            <w:vAlign w:val="bottom"/>
            <w:hideMark/>
          </w:tcPr>
          <w:p w:rsidR="00C73737" w:rsidRPr="003A1421" w:rsidRDefault="00C73737" w:rsidP="00C73737">
            <w:pPr>
              <w:spacing w:after="0" w:line="240" w:lineRule="auto"/>
              <w:jc w:val="right"/>
              <w:rPr>
                <w:rFonts w:cs="Arial"/>
                <w:color w:val="000000"/>
                <w:sz w:val="16"/>
                <w:szCs w:val="16"/>
              </w:rPr>
            </w:pPr>
            <w:r w:rsidRPr="003A1421">
              <w:rPr>
                <w:rFonts w:cs="Arial"/>
                <w:color w:val="000000"/>
                <w:sz w:val="16"/>
                <w:szCs w:val="16"/>
              </w:rPr>
              <w:t>39,1</w:t>
            </w:r>
          </w:p>
        </w:tc>
        <w:tc>
          <w:tcPr>
            <w:tcW w:w="538" w:type="pct"/>
            <w:tcBorders>
              <w:top w:val="nil"/>
              <w:left w:val="nil"/>
              <w:bottom w:val="nil"/>
            </w:tcBorders>
            <w:shd w:val="clear" w:color="auto" w:fill="auto"/>
            <w:noWrap/>
            <w:vAlign w:val="bottom"/>
            <w:hideMark/>
          </w:tcPr>
          <w:p w:rsidR="00C73737" w:rsidRPr="003A1421" w:rsidRDefault="00C73737" w:rsidP="00C73737">
            <w:pPr>
              <w:spacing w:after="0" w:line="240" w:lineRule="auto"/>
              <w:jc w:val="right"/>
              <w:rPr>
                <w:rFonts w:cs="Arial"/>
                <w:color w:val="000000"/>
                <w:sz w:val="16"/>
                <w:szCs w:val="16"/>
              </w:rPr>
            </w:pPr>
            <w:r w:rsidRPr="003A1421">
              <w:rPr>
                <w:rFonts w:cs="Arial"/>
                <w:color w:val="000000"/>
                <w:sz w:val="16"/>
                <w:szCs w:val="16"/>
              </w:rPr>
              <w:t>78,5</w:t>
            </w:r>
          </w:p>
        </w:tc>
        <w:tc>
          <w:tcPr>
            <w:tcW w:w="538" w:type="pct"/>
            <w:tcBorders>
              <w:top w:val="nil"/>
              <w:bottom w:val="nil"/>
            </w:tcBorders>
            <w:shd w:val="clear" w:color="auto" w:fill="auto"/>
            <w:noWrap/>
            <w:vAlign w:val="bottom"/>
            <w:hideMark/>
          </w:tcPr>
          <w:p w:rsidR="00C73737" w:rsidRPr="003A1421" w:rsidRDefault="00C73737" w:rsidP="00C73737">
            <w:pPr>
              <w:spacing w:after="0" w:line="240" w:lineRule="auto"/>
              <w:jc w:val="right"/>
              <w:rPr>
                <w:rFonts w:cs="Arial"/>
                <w:color w:val="000000"/>
                <w:sz w:val="16"/>
                <w:szCs w:val="16"/>
              </w:rPr>
            </w:pPr>
            <w:r w:rsidRPr="003A1421">
              <w:rPr>
                <w:rFonts w:cs="Arial"/>
                <w:color w:val="000000"/>
                <w:sz w:val="16"/>
                <w:szCs w:val="16"/>
              </w:rPr>
              <w:t>77,1</w:t>
            </w:r>
          </w:p>
        </w:tc>
        <w:tc>
          <w:tcPr>
            <w:tcW w:w="539" w:type="pct"/>
            <w:tcBorders>
              <w:top w:val="nil"/>
              <w:left w:val="nil"/>
              <w:bottom w:val="nil"/>
              <w:right w:val="nil"/>
            </w:tcBorders>
            <w:shd w:val="clear" w:color="auto" w:fill="auto"/>
            <w:noWrap/>
            <w:vAlign w:val="bottom"/>
            <w:hideMark/>
          </w:tcPr>
          <w:p w:rsidR="00C73737" w:rsidRPr="003A1421" w:rsidRDefault="00C73737" w:rsidP="00C73737">
            <w:pPr>
              <w:spacing w:after="0" w:line="240" w:lineRule="auto"/>
              <w:jc w:val="right"/>
              <w:rPr>
                <w:rFonts w:cs="Arial"/>
                <w:color w:val="000000"/>
                <w:sz w:val="16"/>
                <w:szCs w:val="16"/>
              </w:rPr>
            </w:pPr>
            <w:r w:rsidRPr="003A1421">
              <w:rPr>
                <w:rFonts w:cs="Arial"/>
                <w:color w:val="000000"/>
                <w:sz w:val="16"/>
                <w:szCs w:val="16"/>
              </w:rPr>
              <w:t>79,3</w:t>
            </w:r>
          </w:p>
        </w:tc>
      </w:tr>
      <w:tr w:rsidR="00C73737" w:rsidRPr="00C73737" w:rsidTr="00C73737">
        <w:trPr>
          <w:trHeight w:val="300"/>
        </w:trPr>
        <w:tc>
          <w:tcPr>
            <w:tcW w:w="1771" w:type="pct"/>
            <w:tcBorders>
              <w:top w:val="nil"/>
              <w:left w:val="nil"/>
              <w:bottom w:val="nil"/>
              <w:right w:val="nil"/>
            </w:tcBorders>
            <w:shd w:val="clear" w:color="auto" w:fill="auto"/>
            <w:noWrap/>
            <w:vAlign w:val="bottom"/>
            <w:hideMark/>
          </w:tcPr>
          <w:p w:rsidR="00C73737" w:rsidRPr="00C73737" w:rsidRDefault="00C73737" w:rsidP="00C73737">
            <w:pPr>
              <w:spacing w:after="0" w:line="240" w:lineRule="auto"/>
              <w:ind w:firstLineChars="100" w:firstLine="160"/>
              <w:jc w:val="left"/>
              <w:rPr>
                <w:rFonts w:cs="Arial"/>
                <w:color w:val="000000"/>
                <w:sz w:val="16"/>
                <w:szCs w:val="16"/>
              </w:rPr>
            </w:pPr>
            <w:r w:rsidRPr="00C73737">
              <w:rPr>
                <w:rFonts w:cs="Arial"/>
                <w:color w:val="000000"/>
                <w:sz w:val="16"/>
                <w:szCs w:val="16"/>
              </w:rPr>
              <w:t>Nemoci nervové soustavy</w:t>
            </w:r>
          </w:p>
        </w:tc>
        <w:tc>
          <w:tcPr>
            <w:tcW w:w="538" w:type="pct"/>
            <w:tcBorders>
              <w:top w:val="nil"/>
              <w:left w:val="single" w:sz="4" w:space="0" w:color="auto"/>
              <w:bottom w:val="nil"/>
            </w:tcBorders>
            <w:shd w:val="clear" w:color="auto" w:fill="auto"/>
            <w:noWrap/>
            <w:vAlign w:val="bottom"/>
            <w:hideMark/>
          </w:tcPr>
          <w:p w:rsidR="00C73737" w:rsidRPr="003A1421" w:rsidRDefault="00C73737" w:rsidP="00C73737">
            <w:pPr>
              <w:spacing w:after="0" w:line="240" w:lineRule="auto"/>
              <w:jc w:val="right"/>
              <w:rPr>
                <w:rFonts w:cs="Arial"/>
                <w:color w:val="000000"/>
                <w:sz w:val="16"/>
                <w:szCs w:val="16"/>
              </w:rPr>
            </w:pPr>
            <w:r w:rsidRPr="003A1421">
              <w:rPr>
                <w:rFonts w:cs="Arial"/>
                <w:color w:val="000000"/>
                <w:sz w:val="16"/>
                <w:szCs w:val="16"/>
              </w:rPr>
              <w:t>34,3</w:t>
            </w:r>
          </w:p>
        </w:tc>
        <w:tc>
          <w:tcPr>
            <w:tcW w:w="538" w:type="pct"/>
            <w:tcBorders>
              <w:top w:val="nil"/>
              <w:bottom w:val="nil"/>
            </w:tcBorders>
            <w:shd w:val="clear" w:color="auto" w:fill="auto"/>
            <w:noWrap/>
            <w:vAlign w:val="bottom"/>
            <w:hideMark/>
          </w:tcPr>
          <w:p w:rsidR="00C73737" w:rsidRPr="003A1421" w:rsidRDefault="00C73737" w:rsidP="00C73737">
            <w:pPr>
              <w:spacing w:after="0" w:line="240" w:lineRule="auto"/>
              <w:jc w:val="right"/>
              <w:rPr>
                <w:rFonts w:cs="Arial"/>
                <w:color w:val="000000"/>
                <w:sz w:val="16"/>
                <w:szCs w:val="16"/>
              </w:rPr>
            </w:pPr>
            <w:r w:rsidRPr="003A1421">
              <w:rPr>
                <w:rFonts w:cs="Arial"/>
                <w:color w:val="000000"/>
                <w:sz w:val="16"/>
                <w:szCs w:val="16"/>
              </w:rPr>
              <w:t>13,0</w:t>
            </w:r>
          </w:p>
        </w:tc>
        <w:tc>
          <w:tcPr>
            <w:tcW w:w="538" w:type="pct"/>
            <w:tcBorders>
              <w:top w:val="nil"/>
              <w:left w:val="nil"/>
              <w:bottom w:val="nil"/>
              <w:right w:val="single" w:sz="4" w:space="0" w:color="auto"/>
            </w:tcBorders>
            <w:shd w:val="clear" w:color="auto" w:fill="auto"/>
            <w:noWrap/>
            <w:vAlign w:val="bottom"/>
            <w:hideMark/>
          </w:tcPr>
          <w:p w:rsidR="00C73737" w:rsidRPr="003A1421" w:rsidRDefault="00C73737" w:rsidP="00C73737">
            <w:pPr>
              <w:spacing w:after="0" w:line="240" w:lineRule="auto"/>
              <w:jc w:val="right"/>
              <w:rPr>
                <w:rFonts w:cs="Arial"/>
                <w:color w:val="000000"/>
                <w:sz w:val="16"/>
                <w:szCs w:val="16"/>
              </w:rPr>
            </w:pPr>
            <w:r w:rsidRPr="003A1421">
              <w:rPr>
                <w:rFonts w:cs="Arial"/>
                <w:color w:val="000000"/>
                <w:sz w:val="16"/>
                <w:szCs w:val="16"/>
              </w:rPr>
              <w:t>21,3</w:t>
            </w:r>
          </w:p>
        </w:tc>
        <w:tc>
          <w:tcPr>
            <w:tcW w:w="538" w:type="pct"/>
            <w:tcBorders>
              <w:top w:val="nil"/>
              <w:left w:val="nil"/>
              <w:bottom w:val="nil"/>
            </w:tcBorders>
            <w:shd w:val="clear" w:color="auto" w:fill="auto"/>
            <w:noWrap/>
            <w:vAlign w:val="bottom"/>
            <w:hideMark/>
          </w:tcPr>
          <w:p w:rsidR="00C73737" w:rsidRPr="003A1421" w:rsidRDefault="00C73737" w:rsidP="00C73737">
            <w:pPr>
              <w:spacing w:after="0" w:line="240" w:lineRule="auto"/>
              <w:jc w:val="right"/>
              <w:rPr>
                <w:rFonts w:cs="Arial"/>
                <w:color w:val="000000"/>
                <w:sz w:val="16"/>
                <w:szCs w:val="16"/>
              </w:rPr>
            </w:pPr>
            <w:r w:rsidRPr="003A1421">
              <w:rPr>
                <w:rFonts w:cs="Arial"/>
                <w:color w:val="000000"/>
                <w:sz w:val="16"/>
                <w:szCs w:val="16"/>
              </w:rPr>
              <w:t>65,9</w:t>
            </w:r>
          </w:p>
        </w:tc>
        <w:tc>
          <w:tcPr>
            <w:tcW w:w="538" w:type="pct"/>
            <w:tcBorders>
              <w:top w:val="nil"/>
              <w:bottom w:val="nil"/>
            </w:tcBorders>
            <w:shd w:val="clear" w:color="auto" w:fill="auto"/>
            <w:noWrap/>
            <w:vAlign w:val="bottom"/>
            <w:hideMark/>
          </w:tcPr>
          <w:p w:rsidR="00C73737" w:rsidRPr="003A1421" w:rsidRDefault="00C73737" w:rsidP="00C73737">
            <w:pPr>
              <w:spacing w:after="0" w:line="240" w:lineRule="auto"/>
              <w:jc w:val="right"/>
              <w:rPr>
                <w:rFonts w:cs="Arial"/>
                <w:color w:val="000000"/>
                <w:sz w:val="16"/>
                <w:szCs w:val="16"/>
              </w:rPr>
            </w:pPr>
            <w:r w:rsidRPr="003A1421">
              <w:rPr>
                <w:rFonts w:cs="Arial"/>
                <w:color w:val="000000"/>
                <w:sz w:val="16"/>
                <w:szCs w:val="16"/>
              </w:rPr>
              <w:t>73,6</w:t>
            </w:r>
          </w:p>
        </w:tc>
        <w:tc>
          <w:tcPr>
            <w:tcW w:w="539" w:type="pct"/>
            <w:tcBorders>
              <w:top w:val="nil"/>
              <w:left w:val="nil"/>
              <w:bottom w:val="nil"/>
              <w:right w:val="nil"/>
            </w:tcBorders>
            <w:shd w:val="clear" w:color="auto" w:fill="auto"/>
            <w:noWrap/>
            <w:vAlign w:val="bottom"/>
            <w:hideMark/>
          </w:tcPr>
          <w:p w:rsidR="00C73737" w:rsidRPr="003A1421" w:rsidRDefault="00C73737" w:rsidP="00C73737">
            <w:pPr>
              <w:spacing w:after="0" w:line="240" w:lineRule="auto"/>
              <w:jc w:val="right"/>
              <w:rPr>
                <w:rFonts w:cs="Arial"/>
                <w:color w:val="000000"/>
                <w:sz w:val="16"/>
                <w:szCs w:val="16"/>
              </w:rPr>
            </w:pPr>
            <w:r w:rsidRPr="003A1421">
              <w:rPr>
                <w:rFonts w:cs="Arial"/>
                <w:color w:val="000000"/>
                <w:sz w:val="16"/>
                <w:szCs w:val="16"/>
              </w:rPr>
              <w:t>61,2</w:t>
            </w:r>
          </w:p>
        </w:tc>
      </w:tr>
      <w:tr w:rsidR="00C73737" w:rsidRPr="00C73737" w:rsidTr="00C73737">
        <w:trPr>
          <w:trHeight w:val="300"/>
        </w:trPr>
        <w:tc>
          <w:tcPr>
            <w:tcW w:w="1771" w:type="pct"/>
            <w:tcBorders>
              <w:top w:val="nil"/>
              <w:left w:val="nil"/>
              <w:bottom w:val="nil"/>
              <w:right w:val="nil"/>
            </w:tcBorders>
            <w:shd w:val="clear" w:color="auto" w:fill="auto"/>
            <w:noWrap/>
            <w:vAlign w:val="bottom"/>
            <w:hideMark/>
          </w:tcPr>
          <w:p w:rsidR="00C73737" w:rsidRPr="00C73737" w:rsidRDefault="00C73737" w:rsidP="00C73737">
            <w:pPr>
              <w:spacing w:after="0" w:line="240" w:lineRule="auto"/>
              <w:ind w:firstLineChars="100" w:firstLine="160"/>
              <w:jc w:val="left"/>
              <w:rPr>
                <w:rFonts w:cs="Arial"/>
                <w:color w:val="000000"/>
                <w:sz w:val="16"/>
                <w:szCs w:val="16"/>
              </w:rPr>
            </w:pPr>
            <w:r w:rsidRPr="00C73737">
              <w:rPr>
                <w:rFonts w:cs="Arial"/>
                <w:color w:val="000000"/>
                <w:sz w:val="16"/>
                <w:szCs w:val="16"/>
              </w:rPr>
              <w:t>Nemoci oběhové soustavy</w:t>
            </w:r>
          </w:p>
        </w:tc>
        <w:tc>
          <w:tcPr>
            <w:tcW w:w="538" w:type="pct"/>
            <w:tcBorders>
              <w:top w:val="nil"/>
              <w:left w:val="single" w:sz="4" w:space="0" w:color="auto"/>
              <w:bottom w:val="nil"/>
            </w:tcBorders>
            <w:shd w:val="clear" w:color="auto" w:fill="auto"/>
            <w:noWrap/>
            <w:vAlign w:val="bottom"/>
            <w:hideMark/>
          </w:tcPr>
          <w:p w:rsidR="00C73737" w:rsidRPr="003A1421" w:rsidRDefault="00C73737" w:rsidP="00C73737">
            <w:pPr>
              <w:spacing w:after="0" w:line="240" w:lineRule="auto"/>
              <w:jc w:val="right"/>
              <w:rPr>
                <w:rFonts w:cs="Arial"/>
                <w:color w:val="000000"/>
                <w:sz w:val="16"/>
                <w:szCs w:val="16"/>
              </w:rPr>
            </w:pPr>
            <w:r w:rsidRPr="003A1421">
              <w:rPr>
                <w:rFonts w:cs="Arial"/>
                <w:color w:val="000000"/>
                <w:sz w:val="16"/>
                <w:szCs w:val="16"/>
              </w:rPr>
              <w:t>53,0</w:t>
            </w:r>
          </w:p>
        </w:tc>
        <w:tc>
          <w:tcPr>
            <w:tcW w:w="538" w:type="pct"/>
            <w:tcBorders>
              <w:top w:val="nil"/>
              <w:bottom w:val="nil"/>
            </w:tcBorders>
            <w:shd w:val="clear" w:color="auto" w:fill="auto"/>
            <w:noWrap/>
            <w:vAlign w:val="bottom"/>
            <w:hideMark/>
          </w:tcPr>
          <w:p w:rsidR="00C73737" w:rsidRPr="003A1421" w:rsidRDefault="00C73737" w:rsidP="00C73737">
            <w:pPr>
              <w:spacing w:after="0" w:line="240" w:lineRule="auto"/>
              <w:jc w:val="right"/>
              <w:rPr>
                <w:rFonts w:cs="Arial"/>
                <w:color w:val="000000"/>
                <w:sz w:val="16"/>
                <w:szCs w:val="16"/>
              </w:rPr>
            </w:pPr>
            <w:r w:rsidRPr="003A1421">
              <w:rPr>
                <w:rFonts w:cs="Arial"/>
                <w:color w:val="000000"/>
                <w:sz w:val="16"/>
                <w:szCs w:val="16"/>
              </w:rPr>
              <w:t>29,1</w:t>
            </w:r>
          </w:p>
        </w:tc>
        <w:tc>
          <w:tcPr>
            <w:tcW w:w="538" w:type="pct"/>
            <w:tcBorders>
              <w:top w:val="nil"/>
              <w:left w:val="nil"/>
              <w:bottom w:val="nil"/>
              <w:right w:val="single" w:sz="4" w:space="0" w:color="auto"/>
            </w:tcBorders>
            <w:shd w:val="clear" w:color="auto" w:fill="auto"/>
            <w:noWrap/>
            <w:vAlign w:val="bottom"/>
            <w:hideMark/>
          </w:tcPr>
          <w:p w:rsidR="00C73737" w:rsidRPr="003A1421" w:rsidRDefault="00C73737" w:rsidP="00C73737">
            <w:pPr>
              <w:spacing w:after="0" w:line="240" w:lineRule="auto"/>
              <w:jc w:val="right"/>
              <w:rPr>
                <w:rFonts w:cs="Arial"/>
                <w:color w:val="000000"/>
                <w:sz w:val="16"/>
                <w:szCs w:val="16"/>
              </w:rPr>
            </w:pPr>
            <w:r w:rsidRPr="003A1421">
              <w:rPr>
                <w:rFonts w:cs="Arial"/>
                <w:color w:val="000000"/>
                <w:sz w:val="16"/>
                <w:szCs w:val="16"/>
              </w:rPr>
              <w:t>23,8</w:t>
            </w:r>
          </w:p>
        </w:tc>
        <w:tc>
          <w:tcPr>
            <w:tcW w:w="538" w:type="pct"/>
            <w:tcBorders>
              <w:top w:val="nil"/>
              <w:left w:val="nil"/>
              <w:bottom w:val="nil"/>
            </w:tcBorders>
            <w:shd w:val="clear" w:color="auto" w:fill="auto"/>
            <w:noWrap/>
            <w:vAlign w:val="bottom"/>
            <w:hideMark/>
          </w:tcPr>
          <w:p w:rsidR="00C73737" w:rsidRPr="003A1421" w:rsidRDefault="00C73737" w:rsidP="00C73737">
            <w:pPr>
              <w:spacing w:after="0" w:line="240" w:lineRule="auto"/>
              <w:jc w:val="right"/>
              <w:rPr>
                <w:rFonts w:cs="Arial"/>
                <w:color w:val="000000"/>
                <w:sz w:val="16"/>
                <w:szCs w:val="16"/>
              </w:rPr>
            </w:pPr>
            <w:r w:rsidRPr="003A1421">
              <w:rPr>
                <w:rFonts w:cs="Arial"/>
                <w:color w:val="000000"/>
                <w:sz w:val="16"/>
                <w:szCs w:val="16"/>
              </w:rPr>
              <w:t>67,5</w:t>
            </w:r>
          </w:p>
        </w:tc>
        <w:tc>
          <w:tcPr>
            <w:tcW w:w="538" w:type="pct"/>
            <w:tcBorders>
              <w:top w:val="nil"/>
              <w:bottom w:val="nil"/>
            </w:tcBorders>
            <w:shd w:val="clear" w:color="auto" w:fill="auto"/>
            <w:noWrap/>
            <w:vAlign w:val="bottom"/>
            <w:hideMark/>
          </w:tcPr>
          <w:p w:rsidR="00C73737" w:rsidRPr="003A1421" w:rsidRDefault="00C73737" w:rsidP="00C73737">
            <w:pPr>
              <w:spacing w:after="0" w:line="240" w:lineRule="auto"/>
              <w:jc w:val="right"/>
              <w:rPr>
                <w:rFonts w:cs="Arial"/>
                <w:color w:val="000000"/>
                <w:sz w:val="16"/>
                <w:szCs w:val="16"/>
              </w:rPr>
            </w:pPr>
            <w:r w:rsidRPr="003A1421">
              <w:rPr>
                <w:rFonts w:cs="Arial"/>
                <w:color w:val="000000"/>
                <w:sz w:val="16"/>
                <w:szCs w:val="16"/>
              </w:rPr>
              <w:t>77,7</w:t>
            </w:r>
          </w:p>
        </w:tc>
        <w:tc>
          <w:tcPr>
            <w:tcW w:w="539" w:type="pct"/>
            <w:tcBorders>
              <w:top w:val="nil"/>
              <w:left w:val="nil"/>
              <w:bottom w:val="nil"/>
              <w:right w:val="nil"/>
            </w:tcBorders>
            <w:shd w:val="clear" w:color="auto" w:fill="auto"/>
            <w:noWrap/>
            <w:vAlign w:val="bottom"/>
            <w:hideMark/>
          </w:tcPr>
          <w:p w:rsidR="00C73737" w:rsidRPr="003A1421" w:rsidRDefault="00C73737" w:rsidP="00C73737">
            <w:pPr>
              <w:spacing w:after="0" w:line="240" w:lineRule="auto"/>
              <w:jc w:val="right"/>
              <w:rPr>
                <w:rFonts w:cs="Arial"/>
                <w:color w:val="000000"/>
                <w:sz w:val="16"/>
                <w:szCs w:val="16"/>
              </w:rPr>
            </w:pPr>
            <w:r w:rsidRPr="003A1421">
              <w:rPr>
                <w:rFonts w:cs="Arial"/>
                <w:color w:val="000000"/>
                <w:sz w:val="16"/>
                <w:szCs w:val="16"/>
              </w:rPr>
              <w:t>55,1</w:t>
            </w:r>
          </w:p>
        </w:tc>
      </w:tr>
      <w:tr w:rsidR="00C73737" w:rsidRPr="00C73737" w:rsidTr="00C73737">
        <w:trPr>
          <w:trHeight w:val="300"/>
        </w:trPr>
        <w:tc>
          <w:tcPr>
            <w:tcW w:w="1771" w:type="pct"/>
            <w:tcBorders>
              <w:top w:val="nil"/>
              <w:left w:val="nil"/>
              <w:bottom w:val="nil"/>
              <w:right w:val="nil"/>
            </w:tcBorders>
            <w:shd w:val="clear" w:color="auto" w:fill="auto"/>
            <w:noWrap/>
            <w:vAlign w:val="bottom"/>
            <w:hideMark/>
          </w:tcPr>
          <w:p w:rsidR="00C73737" w:rsidRPr="00C73737" w:rsidRDefault="00C73737" w:rsidP="00C73737">
            <w:pPr>
              <w:spacing w:after="0" w:line="240" w:lineRule="auto"/>
              <w:ind w:firstLineChars="200" w:firstLine="320"/>
              <w:jc w:val="left"/>
              <w:rPr>
                <w:rFonts w:cs="Arial"/>
                <w:color w:val="000000"/>
                <w:sz w:val="16"/>
                <w:szCs w:val="16"/>
              </w:rPr>
            </w:pPr>
            <w:r w:rsidRPr="00C73737">
              <w:rPr>
                <w:rFonts w:cs="Arial"/>
                <w:color w:val="000000"/>
                <w:sz w:val="16"/>
                <w:szCs w:val="16"/>
              </w:rPr>
              <w:t xml:space="preserve"> hypertenze</w:t>
            </w:r>
          </w:p>
        </w:tc>
        <w:tc>
          <w:tcPr>
            <w:tcW w:w="538" w:type="pct"/>
            <w:tcBorders>
              <w:top w:val="nil"/>
              <w:left w:val="single" w:sz="4" w:space="0" w:color="auto"/>
              <w:bottom w:val="nil"/>
            </w:tcBorders>
            <w:shd w:val="clear" w:color="auto" w:fill="auto"/>
            <w:noWrap/>
            <w:vAlign w:val="bottom"/>
            <w:hideMark/>
          </w:tcPr>
          <w:p w:rsidR="00C73737" w:rsidRPr="003A1421" w:rsidRDefault="00C73737" w:rsidP="00C73737">
            <w:pPr>
              <w:spacing w:after="0" w:line="240" w:lineRule="auto"/>
              <w:jc w:val="right"/>
              <w:rPr>
                <w:rFonts w:cs="Arial"/>
                <w:color w:val="000000"/>
                <w:sz w:val="16"/>
                <w:szCs w:val="16"/>
              </w:rPr>
            </w:pPr>
            <w:r w:rsidRPr="003A1421">
              <w:rPr>
                <w:rFonts w:cs="Arial"/>
                <w:color w:val="000000"/>
                <w:sz w:val="16"/>
                <w:szCs w:val="16"/>
              </w:rPr>
              <w:t>14,6</w:t>
            </w:r>
          </w:p>
        </w:tc>
        <w:tc>
          <w:tcPr>
            <w:tcW w:w="538" w:type="pct"/>
            <w:tcBorders>
              <w:top w:val="nil"/>
              <w:bottom w:val="nil"/>
            </w:tcBorders>
            <w:shd w:val="clear" w:color="auto" w:fill="auto"/>
            <w:noWrap/>
            <w:vAlign w:val="bottom"/>
            <w:hideMark/>
          </w:tcPr>
          <w:p w:rsidR="00C73737" w:rsidRPr="003A1421" w:rsidRDefault="00C73737" w:rsidP="00C73737">
            <w:pPr>
              <w:spacing w:after="0" w:line="240" w:lineRule="auto"/>
              <w:jc w:val="right"/>
              <w:rPr>
                <w:rFonts w:cs="Arial"/>
                <w:color w:val="000000"/>
                <w:sz w:val="16"/>
                <w:szCs w:val="16"/>
              </w:rPr>
            </w:pPr>
            <w:r w:rsidRPr="003A1421">
              <w:rPr>
                <w:rFonts w:cs="Arial"/>
                <w:color w:val="000000"/>
                <w:sz w:val="16"/>
                <w:szCs w:val="16"/>
              </w:rPr>
              <w:t>7,5</w:t>
            </w:r>
          </w:p>
        </w:tc>
        <w:tc>
          <w:tcPr>
            <w:tcW w:w="538" w:type="pct"/>
            <w:tcBorders>
              <w:top w:val="nil"/>
              <w:left w:val="nil"/>
              <w:bottom w:val="nil"/>
              <w:right w:val="single" w:sz="4" w:space="0" w:color="auto"/>
            </w:tcBorders>
            <w:shd w:val="clear" w:color="auto" w:fill="auto"/>
            <w:noWrap/>
            <w:vAlign w:val="bottom"/>
            <w:hideMark/>
          </w:tcPr>
          <w:p w:rsidR="00C73737" w:rsidRPr="003A1421" w:rsidRDefault="00C73737" w:rsidP="00C73737">
            <w:pPr>
              <w:spacing w:after="0" w:line="240" w:lineRule="auto"/>
              <w:jc w:val="right"/>
              <w:rPr>
                <w:rFonts w:cs="Arial"/>
                <w:color w:val="000000"/>
                <w:sz w:val="16"/>
                <w:szCs w:val="16"/>
              </w:rPr>
            </w:pPr>
            <w:r w:rsidRPr="003A1421">
              <w:rPr>
                <w:rFonts w:cs="Arial"/>
                <w:color w:val="000000"/>
                <w:sz w:val="16"/>
                <w:szCs w:val="16"/>
              </w:rPr>
              <w:t>7,1</w:t>
            </w:r>
          </w:p>
        </w:tc>
        <w:tc>
          <w:tcPr>
            <w:tcW w:w="538" w:type="pct"/>
            <w:tcBorders>
              <w:top w:val="nil"/>
              <w:left w:val="nil"/>
              <w:bottom w:val="nil"/>
            </w:tcBorders>
            <w:shd w:val="clear" w:color="auto" w:fill="auto"/>
            <w:noWrap/>
            <w:vAlign w:val="bottom"/>
            <w:hideMark/>
          </w:tcPr>
          <w:p w:rsidR="00C73737" w:rsidRPr="003A1421" w:rsidRDefault="00C73737" w:rsidP="00C73737">
            <w:pPr>
              <w:spacing w:after="0" w:line="240" w:lineRule="auto"/>
              <w:jc w:val="right"/>
              <w:rPr>
                <w:rFonts w:cs="Arial"/>
                <w:color w:val="000000"/>
                <w:sz w:val="16"/>
                <w:szCs w:val="16"/>
              </w:rPr>
            </w:pPr>
            <w:r w:rsidRPr="003A1421">
              <w:rPr>
                <w:rFonts w:cs="Arial"/>
                <w:color w:val="000000"/>
                <w:sz w:val="16"/>
                <w:szCs w:val="16"/>
              </w:rPr>
              <w:t>41,2</w:t>
            </w:r>
          </w:p>
        </w:tc>
        <w:tc>
          <w:tcPr>
            <w:tcW w:w="538" w:type="pct"/>
            <w:tcBorders>
              <w:top w:val="nil"/>
              <w:bottom w:val="nil"/>
            </w:tcBorders>
            <w:shd w:val="clear" w:color="auto" w:fill="auto"/>
            <w:noWrap/>
            <w:vAlign w:val="bottom"/>
            <w:hideMark/>
          </w:tcPr>
          <w:p w:rsidR="00C73737" w:rsidRPr="003A1421" w:rsidRDefault="00C73737" w:rsidP="00C73737">
            <w:pPr>
              <w:spacing w:after="0" w:line="240" w:lineRule="auto"/>
              <w:jc w:val="right"/>
              <w:rPr>
                <w:rFonts w:cs="Arial"/>
                <w:color w:val="000000"/>
                <w:sz w:val="16"/>
                <w:szCs w:val="16"/>
              </w:rPr>
            </w:pPr>
            <w:r w:rsidRPr="003A1421">
              <w:rPr>
                <w:rFonts w:cs="Arial"/>
                <w:color w:val="000000"/>
                <w:sz w:val="16"/>
                <w:szCs w:val="16"/>
              </w:rPr>
              <w:t>44,6</w:t>
            </w:r>
          </w:p>
        </w:tc>
        <w:tc>
          <w:tcPr>
            <w:tcW w:w="539" w:type="pct"/>
            <w:tcBorders>
              <w:top w:val="nil"/>
              <w:left w:val="nil"/>
              <w:bottom w:val="nil"/>
              <w:right w:val="nil"/>
            </w:tcBorders>
            <w:shd w:val="clear" w:color="auto" w:fill="auto"/>
            <w:noWrap/>
            <w:vAlign w:val="bottom"/>
            <w:hideMark/>
          </w:tcPr>
          <w:p w:rsidR="00C73737" w:rsidRPr="003A1421" w:rsidRDefault="00C73737" w:rsidP="00C73737">
            <w:pPr>
              <w:spacing w:after="0" w:line="240" w:lineRule="auto"/>
              <w:jc w:val="right"/>
              <w:rPr>
                <w:rFonts w:cs="Arial"/>
                <w:color w:val="000000"/>
                <w:sz w:val="16"/>
                <w:szCs w:val="16"/>
              </w:rPr>
            </w:pPr>
            <w:r w:rsidRPr="003A1421">
              <w:rPr>
                <w:rFonts w:cs="Arial"/>
                <w:color w:val="000000"/>
                <w:sz w:val="16"/>
                <w:szCs w:val="16"/>
              </w:rPr>
              <w:t>37,6</w:t>
            </w:r>
          </w:p>
        </w:tc>
      </w:tr>
      <w:tr w:rsidR="00C73737" w:rsidRPr="00C73737" w:rsidTr="00C73737">
        <w:trPr>
          <w:trHeight w:val="300"/>
        </w:trPr>
        <w:tc>
          <w:tcPr>
            <w:tcW w:w="1771" w:type="pct"/>
            <w:tcBorders>
              <w:top w:val="nil"/>
              <w:left w:val="nil"/>
              <w:bottom w:val="nil"/>
              <w:right w:val="nil"/>
            </w:tcBorders>
            <w:shd w:val="clear" w:color="auto" w:fill="auto"/>
            <w:noWrap/>
            <w:vAlign w:val="bottom"/>
            <w:hideMark/>
          </w:tcPr>
          <w:p w:rsidR="00C73737" w:rsidRPr="00C73737" w:rsidRDefault="00C73737" w:rsidP="00C73737">
            <w:pPr>
              <w:spacing w:after="0" w:line="240" w:lineRule="auto"/>
              <w:ind w:firstLineChars="200" w:firstLine="320"/>
              <w:jc w:val="left"/>
              <w:rPr>
                <w:rFonts w:cs="Arial"/>
                <w:color w:val="000000"/>
                <w:sz w:val="16"/>
                <w:szCs w:val="16"/>
              </w:rPr>
            </w:pPr>
            <w:r w:rsidRPr="00C73737">
              <w:rPr>
                <w:rFonts w:cs="Arial"/>
                <w:color w:val="000000"/>
                <w:sz w:val="16"/>
                <w:szCs w:val="16"/>
              </w:rPr>
              <w:t xml:space="preserve"> ischemická choroba srdeční</w:t>
            </w:r>
          </w:p>
        </w:tc>
        <w:tc>
          <w:tcPr>
            <w:tcW w:w="538" w:type="pct"/>
            <w:tcBorders>
              <w:top w:val="nil"/>
              <w:left w:val="single" w:sz="4" w:space="0" w:color="auto"/>
              <w:bottom w:val="nil"/>
            </w:tcBorders>
            <w:shd w:val="clear" w:color="auto" w:fill="auto"/>
            <w:noWrap/>
            <w:vAlign w:val="bottom"/>
            <w:hideMark/>
          </w:tcPr>
          <w:p w:rsidR="00C73737" w:rsidRPr="003A1421" w:rsidRDefault="00C73737" w:rsidP="00C73737">
            <w:pPr>
              <w:spacing w:after="0" w:line="240" w:lineRule="auto"/>
              <w:jc w:val="right"/>
              <w:rPr>
                <w:rFonts w:cs="Arial"/>
                <w:color w:val="000000"/>
                <w:sz w:val="16"/>
                <w:szCs w:val="16"/>
              </w:rPr>
            </w:pPr>
            <w:r w:rsidRPr="003A1421">
              <w:rPr>
                <w:rFonts w:cs="Arial"/>
                <w:color w:val="000000"/>
                <w:sz w:val="16"/>
                <w:szCs w:val="16"/>
              </w:rPr>
              <w:t>6,2</w:t>
            </w:r>
          </w:p>
        </w:tc>
        <w:tc>
          <w:tcPr>
            <w:tcW w:w="538" w:type="pct"/>
            <w:tcBorders>
              <w:top w:val="nil"/>
              <w:bottom w:val="nil"/>
            </w:tcBorders>
            <w:shd w:val="clear" w:color="auto" w:fill="auto"/>
            <w:noWrap/>
            <w:vAlign w:val="bottom"/>
            <w:hideMark/>
          </w:tcPr>
          <w:p w:rsidR="00C73737" w:rsidRPr="003A1421" w:rsidRDefault="00C73737" w:rsidP="00C73737">
            <w:pPr>
              <w:spacing w:after="0" w:line="240" w:lineRule="auto"/>
              <w:jc w:val="right"/>
              <w:rPr>
                <w:rFonts w:cs="Arial"/>
                <w:color w:val="000000"/>
                <w:sz w:val="16"/>
                <w:szCs w:val="16"/>
              </w:rPr>
            </w:pPr>
            <w:r w:rsidRPr="003A1421">
              <w:rPr>
                <w:rFonts w:cs="Arial"/>
                <w:color w:val="000000"/>
                <w:sz w:val="16"/>
                <w:szCs w:val="16"/>
              </w:rPr>
              <w:t>4,8</w:t>
            </w:r>
          </w:p>
        </w:tc>
        <w:tc>
          <w:tcPr>
            <w:tcW w:w="538" w:type="pct"/>
            <w:tcBorders>
              <w:top w:val="nil"/>
              <w:left w:val="nil"/>
              <w:bottom w:val="nil"/>
              <w:right w:val="single" w:sz="4" w:space="0" w:color="auto"/>
            </w:tcBorders>
            <w:shd w:val="clear" w:color="auto" w:fill="auto"/>
            <w:noWrap/>
            <w:vAlign w:val="bottom"/>
            <w:hideMark/>
          </w:tcPr>
          <w:p w:rsidR="00C73737" w:rsidRPr="003A1421" w:rsidRDefault="00C73737" w:rsidP="00C73737">
            <w:pPr>
              <w:spacing w:after="0" w:line="240" w:lineRule="auto"/>
              <w:jc w:val="right"/>
              <w:rPr>
                <w:rFonts w:cs="Arial"/>
                <w:color w:val="000000"/>
                <w:sz w:val="16"/>
                <w:szCs w:val="16"/>
              </w:rPr>
            </w:pPr>
            <w:r w:rsidRPr="003A1421">
              <w:rPr>
                <w:rFonts w:cs="Arial"/>
                <w:color w:val="000000"/>
                <w:sz w:val="16"/>
                <w:szCs w:val="16"/>
              </w:rPr>
              <w:t>1,4</w:t>
            </w:r>
          </w:p>
        </w:tc>
        <w:tc>
          <w:tcPr>
            <w:tcW w:w="538" w:type="pct"/>
            <w:tcBorders>
              <w:top w:val="nil"/>
              <w:left w:val="nil"/>
              <w:bottom w:val="nil"/>
            </w:tcBorders>
            <w:shd w:val="clear" w:color="auto" w:fill="auto"/>
            <w:noWrap/>
            <w:vAlign w:val="bottom"/>
            <w:hideMark/>
          </w:tcPr>
          <w:p w:rsidR="00C73737" w:rsidRPr="003A1421" w:rsidRDefault="00C73737" w:rsidP="00C73737">
            <w:pPr>
              <w:spacing w:after="0" w:line="240" w:lineRule="auto"/>
              <w:jc w:val="right"/>
              <w:rPr>
                <w:rFonts w:cs="Arial"/>
                <w:color w:val="000000"/>
                <w:sz w:val="16"/>
                <w:szCs w:val="16"/>
              </w:rPr>
            </w:pPr>
            <w:r w:rsidRPr="003A1421">
              <w:rPr>
                <w:rFonts w:cs="Arial"/>
                <w:color w:val="000000"/>
                <w:sz w:val="16"/>
                <w:szCs w:val="16"/>
              </w:rPr>
              <w:t>106,3</w:t>
            </w:r>
          </w:p>
        </w:tc>
        <w:tc>
          <w:tcPr>
            <w:tcW w:w="538" w:type="pct"/>
            <w:tcBorders>
              <w:top w:val="nil"/>
              <w:bottom w:val="nil"/>
            </w:tcBorders>
            <w:shd w:val="clear" w:color="auto" w:fill="auto"/>
            <w:noWrap/>
            <w:vAlign w:val="bottom"/>
            <w:hideMark/>
          </w:tcPr>
          <w:p w:rsidR="00C73737" w:rsidRPr="003A1421" w:rsidRDefault="00C73737" w:rsidP="00C73737">
            <w:pPr>
              <w:spacing w:after="0" w:line="240" w:lineRule="auto"/>
              <w:jc w:val="right"/>
              <w:rPr>
                <w:rFonts w:cs="Arial"/>
                <w:color w:val="000000"/>
                <w:sz w:val="16"/>
                <w:szCs w:val="16"/>
              </w:rPr>
            </w:pPr>
            <w:r w:rsidRPr="003A1421">
              <w:rPr>
                <w:rFonts w:cs="Arial"/>
                <w:color w:val="000000"/>
                <w:sz w:val="16"/>
                <w:szCs w:val="16"/>
              </w:rPr>
              <w:t>111,6</w:t>
            </w:r>
          </w:p>
        </w:tc>
        <w:tc>
          <w:tcPr>
            <w:tcW w:w="539" w:type="pct"/>
            <w:tcBorders>
              <w:top w:val="nil"/>
              <w:left w:val="nil"/>
              <w:bottom w:val="nil"/>
              <w:right w:val="nil"/>
            </w:tcBorders>
            <w:shd w:val="clear" w:color="auto" w:fill="auto"/>
            <w:noWrap/>
            <w:vAlign w:val="bottom"/>
            <w:hideMark/>
          </w:tcPr>
          <w:p w:rsidR="00C73737" w:rsidRPr="003A1421" w:rsidRDefault="00C73737" w:rsidP="00C73737">
            <w:pPr>
              <w:spacing w:after="0" w:line="240" w:lineRule="auto"/>
              <w:jc w:val="right"/>
              <w:rPr>
                <w:rFonts w:cs="Arial"/>
                <w:color w:val="000000"/>
                <w:sz w:val="16"/>
                <w:szCs w:val="16"/>
              </w:rPr>
            </w:pPr>
            <w:r w:rsidRPr="003A1421">
              <w:rPr>
                <w:rFonts w:cs="Arial"/>
                <w:color w:val="000000"/>
                <w:sz w:val="16"/>
                <w:szCs w:val="16"/>
              </w:rPr>
              <w:t>87,8</w:t>
            </w:r>
          </w:p>
        </w:tc>
      </w:tr>
      <w:tr w:rsidR="00C73737" w:rsidRPr="00C73737" w:rsidTr="00C73737">
        <w:trPr>
          <w:trHeight w:val="300"/>
        </w:trPr>
        <w:tc>
          <w:tcPr>
            <w:tcW w:w="1771" w:type="pct"/>
            <w:tcBorders>
              <w:top w:val="nil"/>
              <w:left w:val="nil"/>
              <w:bottom w:val="nil"/>
              <w:right w:val="nil"/>
            </w:tcBorders>
            <w:shd w:val="clear" w:color="auto" w:fill="auto"/>
            <w:noWrap/>
            <w:vAlign w:val="bottom"/>
            <w:hideMark/>
          </w:tcPr>
          <w:p w:rsidR="00C73737" w:rsidRPr="00C73737" w:rsidRDefault="00C73737" w:rsidP="00C73737">
            <w:pPr>
              <w:spacing w:after="0" w:line="240" w:lineRule="auto"/>
              <w:ind w:firstLineChars="200" w:firstLine="320"/>
              <w:jc w:val="left"/>
              <w:rPr>
                <w:rFonts w:cs="Arial"/>
                <w:color w:val="000000"/>
                <w:sz w:val="16"/>
                <w:szCs w:val="16"/>
              </w:rPr>
            </w:pPr>
            <w:r w:rsidRPr="00C73737">
              <w:rPr>
                <w:rFonts w:cs="Arial"/>
                <w:color w:val="000000"/>
                <w:sz w:val="16"/>
                <w:szCs w:val="16"/>
              </w:rPr>
              <w:t xml:space="preserve"> cévní nemoci mozku</w:t>
            </w:r>
          </w:p>
        </w:tc>
        <w:tc>
          <w:tcPr>
            <w:tcW w:w="538" w:type="pct"/>
            <w:tcBorders>
              <w:top w:val="nil"/>
              <w:left w:val="single" w:sz="4" w:space="0" w:color="auto"/>
              <w:bottom w:val="nil"/>
            </w:tcBorders>
            <w:shd w:val="clear" w:color="auto" w:fill="auto"/>
            <w:noWrap/>
            <w:vAlign w:val="bottom"/>
            <w:hideMark/>
          </w:tcPr>
          <w:p w:rsidR="00C73737" w:rsidRPr="003A1421" w:rsidRDefault="00C73737" w:rsidP="00C73737">
            <w:pPr>
              <w:spacing w:after="0" w:line="240" w:lineRule="auto"/>
              <w:jc w:val="right"/>
              <w:rPr>
                <w:rFonts w:cs="Arial"/>
                <w:color w:val="000000"/>
                <w:sz w:val="16"/>
                <w:szCs w:val="16"/>
              </w:rPr>
            </w:pPr>
            <w:r w:rsidRPr="003A1421">
              <w:rPr>
                <w:rFonts w:cs="Arial"/>
                <w:color w:val="000000"/>
                <w:sz w:val="16"/>
                <w:szCs w:val="16"/>
              </w:rPr>
              <w:t>3,4</w:t>
            </w:r>
          </w:p>
        </w:tc>
        <w:tc>
          <w:tcPr>
            <w:tcW w:w="538" w:type="pct"/>
            <w:tcBorders>
              <w:top w:val="nil"/>
              <w:bottom w:val="nil"/>
            </w:tcBorders>
            <w:shd w:val="clear" w:color="auto" w:fill="auto"/>
            <w:noWrap/>
            <w:vAlign w:val="bottom"/>
            <w:hideMark/>
          </w:tcPr>
          <w:p w:rsidR="00C73737" w:rsidRPr="003A1421" w:rsidRDefault="00C73737" w:rsidP="00C73737">
            <w:pPr>
              <w:spacing w:after="0" w:line="240" w:lineRule="auto"/>
              <w:jc w:val="right"/>
              <w:rPr>
                <w:rFonts w:cs="Arial"/>
                <w:color w:val="000000"/>
                <w:sz w:val="16"/>
                <w:szCs w:val="16"/>
              </w:rPr>
            </w:pPr>
            <w:r w:rsidRPr="003A1421">
              <w:rPr>
                <w:rFonts w:cs="Arial"/>
                <w:color w:val="000000"/>
                <w:sz w:val="16"/>
                <w:szCs w:val="16"/>
              </w:rPr>
              <w:t>2,1</w:t>
            </w:r>
          </w:p>
        </w:tc>
        <w:tc>
          <w:tcPr>
            <w:tcW w:w="538" w:type="pct"/>
            <w:tcBorders>
              <w:top w:val="nil"/>
              <w:left w:val="nil"/>
              <w:bottom w:val="nil"/>
              <w:right w:val="single" w:sz="4" w:space="0" w:color="auto"/>
            </w:tcBorders>
            <w:shd w:val="clear" w:color="auto" w:fill="auto"/>
            <w:noWrap/>
            <w:vAlign w:val="bottom"/>
            <w:hideMark/>
          </w:tcPr>
          <w:p w:rsidR="00C73737" w:rsidRPr="003A1421" w:rsidRDefault="00C73737" w:rsidP="00C73737">
            <w:pPr>
              <w:spacing w:after="0" w:line="240" w:lineRule="auto"/>
              <w:jc w:val="right"/>
              <w:rPr>
                <w:rFonts w:cs="Arial"/>
                <w:color w:val="000000"/>
                <w:sz w:val="16"/>
                <w:szCs w:val="16"/>
              </w:rPr>
            </w:pPr>
            <w:r w:rsidRPr="003A1421">
              <w:rPr>
                <w:rFonts w:cs="Arial"/>
                <w:color w:val="000000"/>
                <w:sz w:val="16"/>
                <w:szCs w:val="16"/>
              </w:rPr>
              <w:t>1,3</w:t>
            </w:r>
          </w:p>
        </w:tc>
        <w:tc>
          <w:tcPr>
            <w:tcW w:w="538" w:type="pct"/>
            <w:tcBorders>
              <w:top w:val="nil"/>
              <w:left w:val="nil"/>
              <w:bottom w:val="nil"/>
            </w:tcBorders>
            <w:shd w:val="clear" w:color="auto" w:fill="auto"/>
            <w:noWrap/>
            <w:vAlign w:val="bottom"/>
            <w:hideMark/>
          </w:tcPr>
          <w:p w:rsidR="00C73737" w:rsidRPr="003A1421" w:rsidRDefault="00C73737" w:rsidP="00C73737">
            <w:pPr>
              <w:spacing w:after="0" w:line="240" w:lineRule="auto"/>
              <w:jc w:val="right"/>
              <w:rPr>
                <w:rFonts w:cs="Arial"/>
                <w:color w:val="000000"/>
                <w:sz w:val="16"/>
                <w:szCs w:val="16"/>
              </w:rPr>
            </w:pPr>
            <w:r w:rsidRPr="003A1421">
              <w:rPr>
                <w:rFonts w:cs="Arial"/>
                <w:color w:val="000000"/>
                <w:sz w:val="16"/>
                <w:szCs w:val="16"/>
              </w:rPr>
              <w:t>143,3</w:t>
            </w:r>
          </w:p>
        </w:tc>
        <w:tc>
          <w:tcPr>
            <w:tcW w:w="538" w:type="pct"/>
            <w:tcBorders>
              <w:top w:val="nil"/>
              <w:bottom w:val="nil"/>
            </w:tcBorders>
            <w:shd w:val="clear" w:color="auto" w:fill="auto"/>
            <w:noWrap/>
            <w:vAlign w:val="bottom"/>
            <w:hideMark/>
          </w:tcPr>
          <w:p w:rsidR="00C73737" w:rsidRPr="003A1421" w:rsidRDefault="00C73737" w:rsidP="00C73737">
            <w:pPr>
              <w:spacing w:after="0" w:line="240" w:lineRule="auto"/>
              <w:jc w:val="right"/>
              <w:rPr>
                <w:rFonts w:cs="Arial"/>
                <w:color w:val="000000"/>
                <w:sz w:val="16"/>
                <w:szCs w:val="16"/>
              </w:rPr>
            </w:pPr>
            <w:r w:rsidRPr="003A1421">
              <w:rPr>
                <w:rFonts w:cs="Arial"/>
                <w:color w:val="000000"/>
                <w:sz w:val="16"/>
                <w:szCs w:val="16"/>
              </w:rPr>
              <w:t>147,5</w:t>
            </w:r>
          </w:p>
        </w:tc>
        <w:tc>
          <w:tcPr>
            <w:tcW w:w="539" w:type="pct"/>
            <w:tcBorders>
              <w:top w:val="nil"/>
              <w:left w:val="nil"/>
              <w:bottom w:val="nil"/>
              <w:right w:val="nil"/>
            </w:tcBorders>
            <w:shd w:val="clear" w:color="auto" w:fill="auto"/>
            <w:noWrap/>
            <w:vAlign w:val="bottom"/>
            <w:hideMark/>
          </w:tcPr>
          <w:p w:rsidR="00C73737" w:rsidRPr="003A1421" w:rsidRDefault="00C73737" w:rsidP="00C73737">
            <w:pPr>
              <w:spacing w:after="0" w:line="240" w:lineRule="auto"/>
              <w:jc w:val="right"/>
              <w:rPr>
                <w:rFonts w:cs="Arial"/>
                <w:color w:val="000000"/>
                <w:sz w:val="16"/>
                <w:szCs w:val="16"/>
              </w:rPr>
            </w:pPr>
            <w:r w:rsidRPr="003A1421">
              <w:rPr>
                <w:rFonts w:cs="Arial"/>
                <w:color w:val="000000"/>
                <w:sz w:val="16"/>
                <w:szCs w:val="16"/>
              </w:rPr>
              <w:t>136,5</w:t>
            </w:r>
          </w:p>
        </w:tc>
      </w:tr>
      <w:tr w:rsidR="00C73737" w:rsidRPr="00C73737" w:rsidTr="00C73737">
        <w:trPr>
          <w:trHeight w:val="300"/>
        </w:trPr>
        <w:tc>
          <w:tcPr>
            <w:tcW w:w="1771" w:type="pct"/>
            <w:tcBorders>
              <w:top w:val="nil"/>
              <w:left w:val="nil"/>
              <w:bottom w:val="nil"/>
              <w:right w:val="nil"/>
            </w:tcBorders>
            <w:shd w:val="clear" w:color="auto" w:fill="auto"/>
            <w:noWrap/>
            <w:vAlign w:val="bottom"/>
            <w:hideMark/>
          </w:tcPr>
          <w:p w:rsidR="00C73737" w:rsidRPr="00C73737" w:rsidRDefault="00C73737" w:rsidP="00C73737">
            <w:pPr>
              <w:spacing w:after="0" w:line="240" w:lineRule="auto"/>
              <w:ind w:firstLineChars="200" w:firstLine="320"/>
              <w:jc w:val="left"/>
              <w:rPr>
                <w:rFonts w:cs="Arial"/>
                <w:color w:val="000000"/>
                <w:sz w:val="16"/>
                <w:szCs w:val="16"/>
              </w:rPr>
            </w:pPr>
            <w:r w:rsidRPr="00C73737">
              <w:rPr>
                <w:rFonts w:cs="Arial"/>
                <w:color w:val="000000"/>
                <w:sz w:val="16"/>
                <w:szCs w:val="16"/>
              </w:rPr>
              <w:t xml:space="preserve"> jiné nemoci oběhové soustavy</w:t>
            </w:r>
          </w:p>
        </w:tc>
        <w:tc>
          <w:tcPr>
            <w:tcW w:w="538" w:type="pct"/>
            <w:tcBorders>
              <w:top w:val="nil"/>
              <w:left w:val="single" w:sz="4" w:space="0" w:color="auto"/>
              <w:bottom w:val="nil"/>
            </w:tcBorders>
            <w:shd w:val="clear" w:color="auto" w:fill="auto"/>
            <w:noWrap/>
            <w:vAlign w:val="bottom"/>
            <w:hideMark/>
          </w:tcPr>
          <w:p w:rsidR="00C73737" w:rsidRPr="003A1421" w:rsidRDefault="00C73737" w:rsidP="00C73737">
            <w:pPr>
              <w:spacing w:after="0" w:line="240" w:lineRule="auto"/>
              <w:jc w:val="right"/>
              <w:rPr>
                <w:rFonts w:cs="Arial"/>
                <w:color w:val="000000"/>
                <w:sz w:val="16"/>
                <w:szCs w:val="16"/>
              </w:rPr>
            </w:pPr>
            <w:r w:rsidRPr="003A1421">
              <w:rPr>
                <w:rFonts w:cs="Arial"/>
                <w:color w:val="000000"/>
                <w:sz w:val="16"/>
                <w:szCs w:val="16"/>
              </w:rPr>
              <w:t>28,7</w:t>
            </w:r>
          </w:p>
        </w:tc>
        <w:tc>
          <w:tcPr>
            <w:tcW w:w="538" w:type="pct"/>
            <w:tcBorders>
              <w:top w:val="nil"/>
              <w:bottom w:val="nil"/>
            </w:tcBorders>
            <w:shd w:val="clear" w:color="auto" w:fill="auto"/>
            <w:noWrap/>
            <w:vAlign w:val="bottom"/>
            <w:hideMark/>
          </w:tcPr>
          <w:p w:rsidR="00C73737" w:rsidRPr="003A1421" w:rsidRDefault="00C73737" w:rsidP="00C73737">
            <w:pPr>
              <w:spacing w:after="0" w:line="240" w:lineRule="auto"/>
              <w:jc w:val="right"/>
              <w:rPr>
                <w:rFonts w:cs="Arial"/>
                <w:color w:val="000000"/>
                <w:sz w:val="16"/>
                <w:szCs w:val="16"/>
              </w:rPr>
            </w:pPr>
            <w:r w:rsidRPr="003A1421">
              <w:rPr>
                <w:rFonts w:cs="Arial"/>
                <w:color w:val="000000"/>
                <w:sz w:val="16"/>
                <w:szCs w:val="16"/>
              </w:rPr>
              <w:t>14,7</w:t>
            </w:r>
          </w:p>
        </w:tc>
        <w:tc>
          <w:tcPr>
            <w:tcW w:w="538" w:type="pct"/>
            <w:tcBorders>
              <w:top w:val="nil"/>
              <w:left w:val="nil"/>
              <w:bottom w:val="nil"/>
              <w:right w:val="single" w:sz="4" w:space="0" w:color="auto"/>
            </w:tcBorders>
            <w:shd w:val="clear" w:color="auto" w:fill="auto"/>
            <w:noWrap/>
            <w:vAlign w:val="bottom"/>
            <w:hideMark/>
          </w:tcPr>
          <w:p w:rsidR="00C73737" w:rsidRPr="003A1421" w:rsidRDefault="00C73737" w:rsidP="00C73737">
            <w:pPr>
              <w:spacing w:after="0" w:line="240" w:lineRule="auto"/>
              <w:jc w:val="right"/>
              <w:rPr>
                <w:rFonts w:cs="Arial"/>
                <w:color w:val="000000"/>
                <w:sz w:val="16"/>
                <w:szCs w:val="16"/>
              </w:rPr>
            </w:pPr>
            <w:r w:rsidRPr="003A1421">
              <w:rPr>
                <w:rFonts w:cs="Arial"/>
                <w:color w:val="000000"/>
                <w:sz w:val="16"/>
                <w:szCs w:val="16"/>
              </w:rPr>
              <w:t>14,0</w:t>
            </w:r>
          </w:p>
        </w:tc>
        <w:tc>
          <w:tcPr>
            <w:tcW w:w="538" w:type="pct"/>
            <w:tcBorders>
              <w:top w:val="nil"/>
              <w:left w:val="nil"/>
              <w:bottom w:val="nil"/>
            </w:tcBorders>
            <w:shd w:val="clear" w:color="auto" w:fill="auto"/>
            <w:noWrap/>
            <w:vAlign w:val="bottom"/>
            <w:hideMark/>
          </w:tcPr>
          <w:p w:rsidR="00C73737" w:rsidRPr="003A1421" w:rsidRDefault="00C73737" w:rsidP="00C73737">
            <w:pPr>
              <w:spacing w:after="0" w:line="240" w:lineRule="auto"/>
              <w:jc w:val="right"/>
              <w:rPr>
                <w:rFonts w:cs="Arial"/>
                <w:color w:val="000000"/>
                <w:sz w:val="16"/>
                <w:szCs w:val="16"/>
              </w:rPr>
            </w:pPr>
            <w:r w:rsidRPr="003A1421">
              <w:rPr>
                <w:rFonts w:cs="Arial"/>
                <w:color w:val="000000"/>
                <w:sz w:val="16"/>
                <w:szCs w:val="16"/>
              </w:rPr>
              <w:t>63,5</w:t>
            </w:r>
          </w:p>
        </w:tc>
        <w:tc>
          <w:tcPr>
            <w:tcW w:w="538" w:type="pct"/>
            <w:tcBorders>
              <w:top w:val="nil"/>
              <w:bottom w:val="nil"/>
            </w:tcBorders>
            <w:shd w:val="clear" w:color="auto" w:fill="auto"/>
            <w:noWrap/>
            <w:vAlign w:val="bottom"/>
            <w:hideMark/>
          </w:tcPr>
          <w:p w:rsidR="00C73737" w:rsidRPr="003A1421" w:rsidRDefault="00C73737" w:rsidP="00C73737">
            <w:pPr>
              <w:spacing w:after="0" w:line="240" w:lineRule="auto"/>
              <w:jc w:val="right"/>
              <w:rPr>
                <w:rFonts w:cs="Arial"/>
                <w:color w:val="000000"/>
                <w:sz w:val="16"/>
                <w:szCs w:val="16"/>
              </w:rPr>
            </w:pPr>
            <w:r w:rsidRPr="003A1421">
              <w:rPr>
                <w:rFonts w:cs="Arial"/>
                <w:color w:val="000000"/>
                <w:sz w:val="16"/>
                <w:szCs w:val="16"/>
              </w:rPr>
              <w:t>73,3</w:t>
            </w:r>
          </w:p>
        </w:tc>
        <w:tc>
          <w:tcPr>
            <w:tcW w:w="539" w:type="pct"/>
            <w:tcBorders>
              <w:top w:val="nil"/>
              <w:left w:val="nil"/>
              <w:bottom w:val="nil"/>
              <w:right w:val="nil"/>
            </w:tcBorders>
            <w:shd w:val="clear" w:color="auto" w:fill="auto"/>
            <w:noWrap/>
            <w:vAlign w:val="bottom"/>
            <w:hideMark/>
          </w:tcPr>
          <w:p w:rsidR="00C73737" w:rsidRPr="003A1421" w:rsidRDefault="00C73737" w:rsidP="00C73737">
            <w:pPr>
              <w:spacing w:after="0" w:line="240" w:lineRule="auto"/>
              <w:jc w:val="right"/>
              <w:rPr>
                <w:rFonts w:cs="Arial"/>
                <w:color w:val="000000"/>
                <w:sz w:val="16"/>
                <w:szCs w:val="16"/>
              </w:rPr>
            </w:pPr>
            <w:r w:rsidRPr="003A1421">
              <w:rPr>
                <w:rFonts w:cs="Arial"/>
                <w:color w:val="000000"/>
                <w:sz w:val="16"/>
                <w:szCs w:val="16"/>
              </w:rPr>
              <w:t>53,2</w:t>
            </w:r>
          </w:p>
        </w:tc>
      </w:tr>
      <w:tr w:rsidR="00C73737" w:rsidRPr="00C73737" w:rsidTr="00C73737">
        <w:trPr>
          <w:trHeight w:val="300"/>
        </w:trPr>
        <w:tc>
          <w:tcPr>
            <w:tcW w:w="1771" w:type="pct"/>
            <w:tcBorders>
              <w:top w:val="nil"/>
              <w:left w:val="nil"/>
              <w:bottom w:val="nil"/>
              <w:right w:val="nil"/>
            </w:tcBorders>
            <w:shd w:val="clear" w:color="auto" w:fill="auto"/>
            <w:noWrap/>
            <w:vAlign w:val="bottom"/>
            <w:hideMark/>
          </w:tcPr>
          <w:p w:rsidR="00C73737" w:rsidRPr="00C73737" w:rsidRDefault="00C73737" w:rsidP="00C73737">
            <w:pPr>
              <w:spacing w:after="0" w:line="240" w:lineRule="auto"/>
              <w:ind w:firstLineChars="100" w:firstLine="160"/>
              <w:jc w:val="left"/>
              <w:rPr>
                <w:rFonts w:cs="Arial"/>
                <w:color w:val="000000"/>
                <w:sz w:val="16"/>
                <w:szCs w:val="16"/>
              </w:rPr>
            </w:pPr>
            <w:r w:rsidRPr="00C73737">
              <w:rPr>
                <w:rFonts w:cs="Arial"/>
                <w:color w:val="000000"/>
                <w:sz w:val="16"/>
                <w:szCs w:val="16"/>
              </w:rPr>
              <w:t>Nemoci dýchací soustavy</w:t>
            </w:r>
          </w:p>
        </w:tc>
        <w:tc>
          <w:tcPr>
            <w:tcW w:w="538" w:type="pct"/>
            <w:tcBorders>
              <w:top w:val="nil"/>
              <w:left w:val="single" w:sz="4" w:space="0" w:color="auto"/>
              <w:bottom w:val="nil"/>
            </w:tcBorders>
            <w:shd w:val="clear" w:color="auto" w:fill="auto"/>
            <w:noWrap/>
            <w:vAlign w:val="bottom"/>
            <w:hideMark/>
          </w:tcPr>
          <w:p w:rsidR="00C73737" w:rsidRPr="003A1421" w:rsidRDefault="00C73737" w:rsidP="00C73737">
            <w:pPr>
              <w:spacing w:after="0" w:line="240" w:lineRule="auto"/>
              <w:jc w:val="right"/>
              <w:rPr>
                <w:rFonts w:cs="Arial"/>
                <w:color w:val="000000"/>
                <w:sz w:val="16"/>
                <w:szCs w:val="16"/>
              </w:rPr>
            </w:pPr>
            <w:r w:rsidRPr="003A1421">
              <w:rPr>
                <w:rFonts w:cs="Arial"/>
                <w:color w:val="000000"/>
                <w:sz w:val="16"/>
                <w:szCs w:val="16"/>
              </w:rPr>
              <w:t>1 038,7</w:t>
            </w:r>
          </w:p>
        </w:tc>
        <w:tc>
          <w:tcPr>
            <w:tcW w:w="538" w:type="pct"/>
            <w:tcBorders>
              <w:top w:val="nil"/>
              <w:bottom w:val="nil"/>
            </w:tcBorders>
            <w:shd w:val="clear" w:color="auto" w:fill="auto"/>
            <w:noWrap/>
            <w:vAlign w:val="bottom"/>
            <w:hideMark/>
          </w:tcPr>
          <w:p w:rsidR="00C73737" w:rsidRPr="003A1421" w:rsidRDefault="00C73737" w:rsidP="00C73737">
            <w:pPr>
              <w:spacing w:after="0" w:line="240" w:lineRule="auto"/>
              <w:jc w:val="right"/>
              <w:rPr>
                <w:rFonts w:cs="Arial"/>
                <w:color w:val="000000"/>
                <w:sz w:val="16"/>
                <w:szCs w:val="16"/>
              </w:rPr>
            </w:pPr>
            <w:r w:rsidRPr="003A1421">
              <w:rPr>
                <w:rFonts w:cs="Arial"/>
                <w:color w:val="000000"/>
                <w:sz w:val="16"/>
                <w:szCs w:val="16"/>
              </w:rPr>
              <w:t>451,4</w:t>
            </w:r>
          </w:p>
        </w:tc>
        <w:tc>
          <w:tcPr>
            <w:tcW w:w="538" w:type="pct"/>
            <w:tcBorders>
              <w:top w:val="nil"/>
              <w:left w:val="nil"/>
              <w:bottom w:val="nil"/>
              <w:right w:val="single" w:sz="4" w:space="0" w:color="auto"/>
            </w:tcBorders>
            <w:shd w:val="clear" w:color="auto" w:fill="auto"/>
            <w:noWrap/>
            <w:vAlign w:val="bottom"/>
            <w:hideMark/>
          </w:tcPr>
          <w:p w:rsidR="00C73737" w:rsidRPr="003A1421" w:rsidRDefault="00C73737" w:rsidP="00C73737">
            <w:pPr>
              <w:spacing w:after="0" w:line="240" w:lineRule="auto"/>
              <w:jc w:val="right"/>
              <w:rPr>
                <w:rFonts w:cs="Arial"/>
                <w:color w:val="000000"/>
                <w:sz w:val="16"/>
                <w:szCs w:val="16"/>
              </w:rPr>
            </w:pPr>
            <w:r w:rsidRPr="003A1421">
              <w:rPr>
                <w:rFonts w:cs="Arial"/>
                <w:color w:val="000000"/>
                <w:sz w:val="16"/>
                <w:szCs w:val="16"/>
              </w:rPr>
              <w:t>587,3</w:t>
            </w:r>
          </w:p>
        </w:tc>
        <w:tc>
          <w:tcPr>
            <w:tcW w:w="538" w:type="pct"/>
            <w:tcBorders>
              <w:top w:val="nil"/>
              <w:left w:val="nil"/>
              <w:bottom w:val="nil"/>
            </w:tcBorders>
            <w:shd w:val="clear" w:color="auto" w:fill="auto"/>
            <w:noWrap/>
            <w:vAlign w:val="bottom"/>
            <w:hideMark/>
          </w:tcPr>
          <w:p w:rsidR="00C73737" w:rsidRPr="003A1421" w:rsidRDefault="00C73737" w:rsidP="00C73737">
            <w:pPr>
              <w:spacing w:after="0" w:line="240" w:lineRule="auto"/>
              <w:jc w:val="right"/>
              <w:rPr>
                <w:rFonts w:cs="Arial"/>
                <w:color w:val="000000"/>
                <w:sz w:val="16"/>
                <w:szCs w:val="16"/>
              </w:rPr>
            </w:pPr>
            <w:r w:rsidRPr="003A1421">
              <w:rPr>
                <w:rFonts w:cs="Arial"/>
                <w:color w:val="000000"/>
                <w:sz w:val="16"/>
                <w:szCs w:val="16"/>
              </w:rPr>
              <w:t>11,9</w:t>
            </w:r>
          </w:p>
        </w:tc>
        <w:tc>
          <w:tcPr>
            <w:tcW w:w="538" w:type="pct"/>
            <w:tcBorders>
              <w:top w:val="nil"/>
              <w:bottom w:val="nil"/>
            </w:tcBorders>
            <w:shd w:val="clear" w:color="auto" w:fill="auto"/>
            <w:noWrap/>
            <w:vAlign w:val="bottom"/>
            <w:hideMark/>
          </w:tcPr>
          <w:p w:rsidR="00C73737" w:rsidRPr="003A1421" w:rsidRDefault="00C73737" w:rsidP="00C73737">
            <w:pPr>
              <w:spacing w:after="0" w:line="240" w:lineRule="auto"/>
              <w:jc w:val="right"/>
              <w:rPr>
                <w:rFonts w:cs="Arial"/>
                <w:color w:val="000000"/>
                <w:sz w:val="16"/>
                <w:szCs w:val="16"/>
              </w:rPr>
            </w:pPr>
            <w:r w:rsidRPr="003A1421">
              <w:rPr>
                <w:rFonts w:cs="Arial"/>
                <w:color w:val="000000"/>
                <w:sz w:val="16"/>
                <w:szCs w:val="16"/>
              </w:rPr>
              <w:t>11,9</w:t>
            </w:r>
          </w:p>
        </w:tc>
        <w:tc>
          <w:tcPr>
            <w:tcW w:w="539" w:type="pct"/>
            <w:tcBorders>
              <w:top w:val="nil"/>
              <w:left w:val="nil"/>
              <w:bottom w:val="nil"/>
              <w:right w:val="nil"/>
            </w:tcBorders>
            <w:shd w:val="clear" w:color="auto" w:fill="auto"/>
            <w:noWrap/>
            <w:vAlign w:val="bottom"/>
            <w:hideMark/>
          </w:tcPr>
          <w:p w:rsidR="00C73737" w:rsidRPr="003A1421" w:rsidRDefault="00C73737" w:rsidP="00C73737">
            <w:pPr>
              <w:spacing w:after="0" w:line="240" w:lineRule="auto"/>
              <w:jc w:val="right"/>
              <w:rPr>
                <w:rFonts w:cs="Arial"/>
                <w:color w:val="000000"/>
                <w:sz w:val="16"/>
                <w:szCs w:val="16"/>
              </w:rPr>
            </w:pPr>
            <w:r w:rsidRPr="003A1421">
              <w:rPr>
                <w:rFonts w:cs="Arial"/>
                <w:color w:val="000000"/>
                <w:sz w:val="16"/>
                <w:szCs w:val="16"/>
              </w:rPr>
              <w:t>11,9</w:t>
            </w:r>
          </w:p>
        </w:tc>
      </w:tr>
      <w:tr w:rsidR="00C73737" w:rsidRPr="00C73737" w:rsidTr="00C73737">
        <w:trPr>
          <w:trHeight w:val="300"/>
        </w:trPr>
        <w:tc>
          <w:tcPr>
            <w:tcW w:w="1771" w:type="pct"/>
            <w:tcBorders>
              <w:top w:val="nil"/>
              <w:left w:val="nil"/>
              <w:bottom w:val="nil"/>
              <w:right w:val="nil"/>
            </w:tcBorders>
            <w:shd w:val="clear" w:color="auto" w:fill="auto"/>
            <w:noWrap/>
            <w:vAlign w:val="bottom"/>
            <w:hideMark/>
          </w:tcPr>
          <w:p w:rsidR="00C73737" w:rsidRPr="00C73737" w:rsidRDefault="00C73737" w:rsidP="00C73737">
            <w:pPr>
              <w:spacing w:after="0" w:line="240" w:lineRule="auto"/>
              <w:ind w:firstLineChars="200" w:firstLine="320"/>
              <w:jc w:val="left"/>
              <w:rPr>
                <w:rFonts w:cs="Arial"/>
                <w:color w:val="000000"/>
                <w:sz w:val="16"/>
                <w:szCs w:val="16"/>
              </w:rPr>
            </w:pPr>
            <w:r w:rsidRPr="00C73737">
              <w:rPr>
                <w:rFonts w:cs="Arial"/>
                <w:color w:val="000000"/>
                <w:sz w:val="16"/>
                <w:szCs w:val="16"/>
              </w:rPr>
              <w:t xml:space="preserve"> akutní infekce dýchacích cest</w:t>
            </w:r>
          </w:p>
        </w:tc>
        <w:tc>
          <w:tcPr>
            <w:tcW w:w="538" w:type="pct"/>
            <w:tcBorders>
              <w:top w:val="nil"/>
              <w:left w:val="single" w:sz="4" w:space="0" w:color="auto"/>
              <w:bottom w:val="nil"/>
            </w:tcBorders>
            <w:shd w:val="clear" w:color="auto" w:fill="auto"/>
            <w:noWrap/>
            <w:vAlign w:val="bottom"/>
            <w:hideMark/>
          </w:tcPr>
          <w:p w:rsidR="00C73737" w:rsidRPr="003A1421" w:rsidRDefault="00C73737" w:rsidP="00C73737">
            <w:pPr>
              <w:spacing w:after="0" w:line="240" w:lineRule="auto"/>
              <w:jc w:val="right"/>
              <w:rPr>
                <w:rFonts w:cs="Arial"/>
                <w:color w:val="000000"/>
                <w:sz w:val="16"/>
                <w:szCs w:val="16"/>
              </w:rPr>
            </w:pPr>
            <w:r w:rsidRPr="003A1421">
              <w:rPr>
                <w:rFonts w:cs="Arial"/>
                <w:color w:val="000000"/>
                <w:sz w:val="16"/>
                <w:szCs w:val="16"/>
              </w:rPr>
              <w:t>910,5</w:t>
            </w:r>
          </w:p>
        </w:tc>
        <w:tc>
          <w:tcPr>
            <w:tcW w:w="538" w:type="pct"/>
            <w:tcBorders>
              <w:top w:val="nil"/>
              <w:bottom w:val="nil"/>
            </w:tcBorders>
            <w:shd w:val="clear" w:color="auto" w:fill="auto"/>
            <w:noWrap/>
            <w:vAlign w:val="bottom"/>
            <w:hideMark/>
          </w:tcPr>
          <w:p w:rsidR="00C73737" w:rsidRPr="003A1421" w:rsidRDefault="00C73737" w:rsidP="00C73737">
            <w:pPr>
              <w:spacing w:after="0" w:line="240" w:lineRule="auto"/>
              <w:jc w:val="right"/>
              <w:rPr>
                <w:rFonts w:cs="Arial"/>
                <w:color w:val="000000"/>
                <w:sz w:val="16"/>
                <w:szCs w:val="16"/>
              </w:rPr>
            </w:pPr>
            <w:r w:rsidRPr="003A1421">
              <w:rPr>
                <w:rFonts w:cs="Arial"/>
                <w:color w:val="000000"/>
                <w:sz w:val="16"/>
                <w:szCs w:val="16"/>
              </w:rPr>
              <w:t>391,6</w:t>
            </w:r>
          </w:p>
        </w:tc>
        <w:tc>
          <w:tcPr>
            <w:tcW w:w="538" w:type="pct"/>
            <w:tcBorders>
              <w:top w:val="nil"/>
              <w:left w:val="nil"/>
              <w:bottom w:val="nil"/>
              <w:right w:val="single" w:sz="4" w:space="0" w:color="auto"/>
            </w:tcBorders>
            <w:shd w:val="clear" w:color="auto" w:fill="auto"/>
            <w:noWrap/>
            <w:vAlign w:val="bottom"/>
            <w:hideMark/>
          </w:tcPr>
          <w:p w:rsidR="00C73737" w:rsidRPr="003A1421" w:rsidRDefault="00C73737" w:rsidP="00C73737">
            <w:pPr>
              <w:spacing w:after="0" w:line="240" w:lineRule="auto"/>
              <w:jc w:val="right"/>
              <w:rPr>
                <w:rFonts w:cs="Arial"/>
                <w:color w:val="000000"/>
                <w:sz w:val="16"/>
                <w:szCs w:val="16"/>
              </w:rPr>
            </w:pPr>
            <w:r w:rsidRPr="003A1421">
              <w:rPr>
                <w:rFonts w:cs="Arial"/>
                <w:color w:val="000000"/>
                <w:sz w:val="16"/>
                <w:szCs w:val="16"/>
              </w:rPr>
              <w:t>518,9</w:t>
            </w:r>
          </w:p>
        </w:tc>
        <w:tc>
          <w:tcPr>
            <w:tcW w:w="538" w:type="pct"/>
            <w:tcBorders>
              <w:top w:val="nil"/>
              <w:left w:val="nil"/>
              <w:bottom w:val="nil"/>
            </w:tcBorders>
            <w:shd w:val="clear" w:color="auto" w:fill="auto"/>
            <w:noWrap/>
            <w:vAlign w:val="bottom"/>
            <w:hideMark/>
          </w:tcPr>
          <w:p w:rsidR="00C73737" w:rsidRPr="003A1421" w:rsidRDefault="00C73737" w:rsidP="00C73737">
            <w:pPr>
              <w:spacing w:after="0" w:line="240" w:lineRule="auto"/>
              <w:jc w:val="right"/>
              <w:rPr>
                <w:rFonts w:cs="Arial"/>
                <w:color w:val="000000"/>
                <w:sz w:val="16"/>
                <w:szCs w:val="16"/>
              </w:rPr>
            </w:pPr>
            <w:r w:rsidRPr="003A1421">
              <w:rPr>
                <w:rFonts w:cs="Arial"/>
                <w:color w:val="000000"/>
                <w:sz w:val="16"/>
                <w:szCs w:val="16"/>
              </w:rPr>
              <w:t>11,2</w:t>
            </w:r>
          </w:p>
        </w:tc>
        <w:tc>
          <w:tcPr>
            <w:tcW w:w="538" w:type="pct"/>
            <w:tcBorders>
              <w:top w:val="nil"/>
              <w:bottom w:val="nil"/>
            </w:tcBorders>
            <w:shd w:val="clear" w:color="auto" w:fill="auto"/>
            <w:noWrap/>
            <w:vAlign w:val="bottom"/>
            <w:hideMark/>
          </w:tcPr>
          <w:p w:rsidR="00C73737" w:rsidRPr="003A1421" w:rsidRDefault="00C73737" w:rsidP="00C73737">
            <w:pPr>
              <w:spacing w:after="0" w:line="240" w:lineRule="auto"/>
              <w:jc w:val="right"/>
              <w:rPr>
                <w:rFonts w:cs="Arial"/>
                <w:color w:val="000000"/>
                <w:sz w:val="16"/>
                <w:szCs w:val="16"/>
              </w:rPr>
            </w:pPr>
            <w:r w:rsidRPr="003A1421">
              <w:rPr>
                <w:rFonts w:cs="Arial"/>
                <w:color w:val="000000"/>
                <w:sz w:val="16"/>
                <w:szCs w:val="16"/>
              </w:rPr>
              <w:t>11,1</w:t>
            </w:r>
          </w:p>
        </w:tc>
        <w:tc>
          <w:tcPr>
            <w:tcW w:w="539" w:type="pct"/>
            <w:tcBorders>
              <w:top w:val="nil"/>
              <w:left w:val="nil"/>
              <w:bottom w:val="nil"/>
              <w:right w:val="nil"/>
            </w:tcBorders>
            <w:shd w:val="clear" w:color="auto" w:fill="auto"/>
            <w:noWrap/>
            <w:vAlign w:val="bottom"/>
            <w:hideMark/>
          </w:tcPr>
          <w:p w:rsidR="00C73737" w:rsidRPr="003A1421" w:rsidRDefault="00C73737" w:rsidP="00C73737">
            <w:pPr>
              <w:spacing w:after="0" w:line="240" w:lineRule="auto"/>
              <w:jc w:val="right"/>
              <w:rPr>
                <w:rFonts w:cs="Arial"/>
                <w:color w:val="000000"/>
                <w:sz w:val="16"/>
                <w:szCs w:val="16"/>
              </w:rPr>
            </w:pPr>
            <w:r w:rsidRPr="003A1421">
              <w:rPr>
                <w:rFonts w:cs="Arial"/>
                <w:color w:val="000000"/>
                <w:sz w:val="16"/>
                <w:szCs w:val="16"/>
              </w:rPr>
              <w:t>11,3</w:t>
            </w:r>
          </w:p>
        </w:tc>
      </w:tr>
      <w:tr w:rsidR="00C73737" w:rsidRPr="00C73737" w:rsidTr="00C73737">
        <w:trPr>
          <w:trHeight w:val="300"/>
        </w:trPr>
        <w:tc>
          <w:tcPr>
            <w:tcW w:w="1771" w:type="pct"/>
            <w:tcBorders>
              <w:top w:val="nil"/>
              <w:left w:val="nil"/>
              <w:bottom w:val="nil"/>
              <w:right w:val="nil"/>
            </w:tcBorders>
            <w:shd w:val="clear" w:color="auto" w:fill="auto"/>
            <w:noWrap/>
            <w:vAlign w:val="bottom"/>
            <w:hideMark/>
          </w:tcPr>
          <w:p w:rsidR="00C73737" w:rsidRPr="00C73737" w:rsidRDefault="00C73737" w:rsidP="00C73737">
            <w:pPr>
              <w:spacing w:after="0" w:line="240" w:lineRule="auto"/>
              <w:ind w:firstLineChars="200" w:firstLine="320"/>
              <w:jc w:val="left"/>
              <w:rPr>
                <w:rFonts w:cs="Arial"/>
                <w:color w:val="000000"/>
                <w:sz w:val="16"/>
                <w:szCs w:val="16"/>
              </w:rPr>
            </w:pPr>
            <w:r w:rsidRPr="00C73737">
              <w:rPr>
                <w:rFonts w:cs="Arial"/>
                <w:color w:val="000000"/>
                <w:sz w:val="16"/>
                <w:szCs w:val="16"/>
              </w:rPr>
              <w:t xml:space="preserve"> chřipka</w:t>
            </w:r>
          </w:p>
        </w:tc>
        <w:tc>
          <w:tcPr>
            <w:tcW w:w="538" w:type="pct"/>
            <w:tcBorders>
              <w:top w:val="nil"/>
              <w:left w:val="single" w:sz="4" w:space="0" w:color="auto"/>
              <w:bottom w:val="nil"/>
            </w:tcBorders>
            <w:shd w:val="clear" w:color="auto" w:fill="auto"/>
            <w:noWrap/>
            <w:vAlign w:val="bottom"/>
            <w:hideMark/>
          </w:tcPr>
          <w:p w:rsidR="00C73737" w:rsidRPr="003A1421" w:rsidRDefault="00C73737" w:rsidP="00C73737">
            <w:pPr>
              <w:spacing w:after="0" w:line="240" w:lineRule="auto"/>
              <w:jc w:val="right"/>
              <w:rPr>
                <w:rFonts w:cs="Arial"/>
                <w:color w:val="000000"/>
                <w:sz w:val="16"/>
                <w:szCs w:val="16"/>
              </w:rPr>
            </w:pPr>
            <w:r w:rsidRPr="003A1421">
              <w:rPr>
                <w:rFonts w:cs="Arial"/>
                <w:color w:val="000000"/>
                <w:sz w:val="16"/>
                <w:szCs w:val="16"/>
              </w:rPr>
              <w:t>105,1</w:t>
            </w:r>
          </w:p>
        </w:tc>
        <w:tc>
          <w:tcPr>
            <w:tcW w:w="538" w:type="pct"/>
            <w:tcBorders>
              <w:top w:val="nil"/>
              <w:bottom w:val="nil"/>
            </w:tcBorders>
            <w:shd w:val="clear" w:color="auto" w:fill="auto"/>
            <w:noWrap/>
            <w:vAlign w:val="bottom"/>
            <w:hideMark/>
          </w:tcPr>
          <w:p w:rsidR="00C73737" w:rsidRPr="003A1421" w:rsidRDefault="00C73737" w:rsidP="00C73737">
            <w:pPr>
              <w:spacing w:after="0" w:line="240" w:lineRule="auto"/>
              <w:jc w:val="right"/>
              <w:rPr>
                <w:rFonts w:cs="Arial"/>
                <w:color w:val="000000"/>
                <w:sz w:val="16"/>
                <w:szCs w:val="16"/>
              </w:rPr>
            </w:pPr>
            <w:r w:rsidRPr="003A1421">
              <w:rPr>
                <w:rFonts w:cs="Arial"/>
                <w:color w:val="000000"/>
                <w:sz w:val="16"/>
                <w:szCs w:val="16"/>
              </w:rPr>
              <w:t>48,8</w:t>
            </w:r>
          </w:p>
        </w:tc>
        <w:tc>
          <w:tcPr>
            <w:tcW w:w="538" w:type="pct"/>
            <w:tcBorders>
              <w:top w:val="nil"/>
              <w:left w:val="nil"/>
              <w:bottom w:val="nil"/>
              <w:right w:val="single" w:sz="4" w:space="0" w:color="auto"/>
            </w:tcBorders>
            <w:shd w:val="clear" w:color="auto" w:fill="auto"/>
            <w:noWrap/>
            <w:vAlign w:val="bottom"/>
            <w:hideMark/>
          </w:tcPr>
          <w:p w:rsidR="00C73737" w:rsidRPr="003A1421" w:rsidRDefault="00C73737" w:rsidP="00C73737">
            <w:pPr>
              <w:spacing w:after="0" w:line="240" w:lineRule="auto"/>
              <w:jc w:val="right"/>
              <w:rPr>
                <w:rFonts w:cs="Arial"/>
                <w:color w:val="000000"/>
                <w:sz w:val="16"/>
                <w:szCs w:val="16"/>
              </w:rPr>
            </w:pPr>
            <w:r w:rsidRPr="003A1421">
              <w:rPr>
                <w:rFonts w:cs="Arial"/>
                <w:color w:val="000000"/>
                <w:sz w:val="16"/>
                <w:szCs w:val="16"/>
              </w:rPr>
              <w:t>56,3</w:t>
            </w:r>
          </w:p>
        </w:tc>
        <w:tc>
          <w:tcPr>
            <w:tcW w:w="538" w:type="pct"/>
            <w:tcBorders>
              <w:top w:val="nil"/>
              <w:left w:val="nil"/>
              <w:bottom w:val="nil"/>
            </w:tcBorders>
            <w:shd w:val="clear" w:color="auto" w:fill="auto"/>
            <w:noWrap/>
            <w:vAlign w:val="bottom"/>
            <w:hideMark/>
          </w:tcPr>
          <w:p w:rsidR="00C73737" w:rsidRPr="003A1421" w:rsidRDefault="00C73737" w:rsidP="00C73737">
            <w:pPr>
              <w:spacing w:after="0" w:line="240" w:lineRule="auto"/>
              <w:jc w:val="right"/>
              <w:rPr>
                <w:rFonts w:cs="Arial"/>
                <w:color w:val="000000"/>
                <w:sz w:val="16"/>
                <w:szCs w:val="16"/>
              </w:rPr>
            </w:pPr>
            <w:r w:rsidRPr="003A1421">
              <w:rPr>
                <w:rFonts w:cs="Arial"/>
                <w:color w:val="000000"/>
                <w:sz w:val="16"/>
                <w:szCs w:val="16"/>
              </w:rPr>
              <w:t>13,7</w:t>
            </w:r>
          </w:p>
        </w:tc>
        <w:tc>
          <w:tcPr>
            <w:tcW w:w="538" w:type="pct"/>
            <w:tcBorders>
              <w:top w:val="nil"/>
              <w:bottom w:val="nil"/>
            </w:tcBorders>
            <w:shd w:val="clear" w:color="auto" w:fill="auto"/>
            <w:noWrap/>
            <w:vAlign w:val="bottom"/>
            <w:hideMark/>
          </w:tcPr>
          <w:p w:rsidR="00C73737" w:rsidRPr="003A1421" w:rsidRDefault="00C73737" w:rsidP="00C73737">
            <w:pPr>
              <w:spacing w:after="0" w:line="240" w:lineRule="auto"/>
              <w:jc w:val="right"/>
              <w:rPr>
                <w:rFonts w:cs="Arial"/>
                <w:color w:val="000000"/>
                <w:sz w:val="16"/>
                <w:szCs w:val="16"/>
              </w:rPr>
            </w:pPr>
            <w:r w:rsidRPr="003A1421">
              <w:rPr>
                <w:rFonts w:cs="Arial"/>
                <w:color w:val="000000"/>
                <w:sz w:val="16"/>
                <w:szCs w:val="16"/>
              </w:rPr>
              <w:t>13,8</w:t>
            </w:r>
          </w:p>
        </w:tc>
        <w:tc>
          <w:tcPr>
            <w:tcW w:w="539" w:type="pct"/>
            <w:tcBorders>
              <w:top w:val="nil"/>
              <w:left w:val="nil"/>
              <w:bottom w:val="nil"/>
              <w:right w:val="nil"/>
            </w:tcBorders>
            <w:shd w:val="clear" w:color="auto" w:fill="auto"/>
            <w:noWrap/>
            <w:vAlign w:val="bottom"/>
            <w:hideMark/>
          </w:tcPr>
          <w:p w:rsidR="00C73737" w:rsidRPr="003A1421" w:rsidRDefault="00C73737" w:rsidP="00C73737">
            <w:pPr>
              <w:spacing w:after="0" w:line="240" w:lineRule="auto"/>
              <w:jc w:val="right"/>
              <w:rPr>
                <w:rFonts w:cs="Arial"/>
                <w:color w:val="000000"/>
                <w:sz w:val="16"/>
                <w:szCs w:val="16"/>
              </w:rPr>
            </w:pPr>
            <w:r w:rsidRPr="003A1421">
              <w:rPr>
                <w:rFonts w:cs="Arial"/>
                <w:color w:val="000000"/>
                <w:sz w:val="16"/>
                <w:szCs w:val="16"/>
              </w:rPr>
              <w:t>13,6</w:t>
            </w:r>
          </w:p>
        </w:tc>
      </w:tr>
      <w:tr w:rsidR="00C73737" w:rsidRPr="00C73737" w:rsidTr="00C73737">
        <w:trPr>
          <w:trHeight w:val="300"/>
        </w:trPr>
        <w:tc>
          <w:tcPr>
            <w:tcW w:w="1771" w:type="pct"/>
            <w:tcBorders>
              <w:top w:val="nil"/>
              <w:left w:val="nil"/>
              <w:bottom w:val="nil"/>
              <w:right w:val="nil"/>
            </w:tcBorders>
            <w:shd w:val="clear" w:color="auto" w:fill="auto"/>
            <w:noWrap/>
            <w:vAlign w:val="bottom"/>
            <w:hideMark/>
          </w:tcPr>
          <w:p w:rsidR="00C73737" w:rsidRPr="00C73737" w:rsidRDefault="00C73737" w:rsidP="00C73737">
            <w:pPr>
              <w:spacing w:after="0" w:line="240" w:lineRule="auto"/>
              <w:ind w:firstLineChars="200" w:firstLine="320"/>
              <w:jc w:val="left"/>
              <w:rPr>
                <w:rFonts w:cs="Arial"/>
                <w:color w:val="000000"/>
                <w:spacing w:val="-2"/>
                <w:sz w:val="16"/>
                <w:szCs w:val="16"/>
              </w:rPr>
            </w:pPr>
            <w:r w:rsidRPr="00C73737">
              <w:rPr>
                <w:rFonts w:cs="Arial"/>
                <w:color w:val="000000"/>
                <w:sz w:val="16"/>
                <w:szCs w:val="16"/>
              </w:rPr>
              <w:t xml:space="preserve"> </w:t>
            </w:r>
            <w:r w:rsidRPr="00C73737">
              <w:rPr>
                <w:rFonts w:cs="Arial"/>
                <w:color w:val="000000"/>
                <w:spacing w:val="-2"/>
                <w:sz w:val="16"/>
                <w:szCs w:val="16"/>
              </w:rPr>
              <w:t>chronické nemoci dolních dýchacích cest</w:t>
            </w:r>
          </w:p>
        </w:tc>
        <w:tc>
          <w:tcPr>
            <w:tcW w:w="538" w:type="pct"/>
            <w:tcBorders>
              <w:top w:val="nil"/>
              <w:left w:val="single" w:sz="4" w:space="0" w:color="auto"/>
              <w:bottom w:val="nil"/>
            </w:tcBorders>
            <w:shd w:val="clear" w:color="auto" w:fill="auto"/>
            <w:noWrap/>
            <w:vAlign w:val="bottom"/>
            <w:hideMark/>
          </w:tcPr>
          <w:p w:rsidR="00C73737" w:rsidRPr="003A1421" w:rsidRDefault="00C73737" w:rsidP="00C73737">
            <w:pPr>
              <w:spacing w:after="0" w:line="240" w:lineRule="auto"/>
              <w:jc w:val="right"/>
              <w:rPr>
                <w:rFonts w:cs="Arial"/>
                <w:color w:val="000000"/>
                <w:sz w:val="16"/>
                <w:szCs w:val="16"/>
              </w:rPr>
            </w:pPr>
            <w:r w:rsidRPr="003A1421">
              <w:rPr>
                <w:rFonts w:cs="Arial"/>
                <w:color w:val="000000"/>
                <w:sz w:val="16"/>
                <w:szCs w:val="16"/>
              </w:rPr>
              <w:t>10,5</w:t>
            </w:r>
          </w:p>
        </w:tc>
        <w:tc>
          <w:tcPr>
            <w:tcW w:w="538" w:type="pct"/>
            <w:tcBorders>
              <w:top w:val="nil"/>
              <w:bottom w:val="nil"/>
            </w:tcBorders>
            <w:shd w:val="clear" w:color="auto" w:fill="auto"/>
            <w:noWrap/>
            <w:vAlign w:val="bottom"/>
            <w:hideMark/>
          </w:tcPr>
          <w:p w:rsidR="00C73737" w:rsidRPr="003A1421" w:rsidRDefault="00C73737" w:rsidP="00C73737">
            <w:pPr>
              <w:spacing w:after="0" w:line="240" w:lineRule="auto"/>
              <w:jc w:val="right"/>
              <w:rPr>
                <w:rFonts w:cs="Arial"/>
                <w:color w:val="000000"/>
                <w:sz w:val="16"/>
                <w:szCs w:val="16"/>
              </w:rPr>
            </w:pPr>
            <w:r w:rsidRPr="003A1421">
              <w:rPr>
                <w:rFonts w:cs="Arial"/>
                <w:color w:val="000000"/>
                <w:sz w:val="16"/>
                <w:szCs w:val="16"/>
              </w:rPr>
              <w:t>4,6</w:t>
            </w:r>
          </w:p>
        </w:tc>
        <w:tc>
          <w:tcPr>
            <w:tcW w:w="538" w:type="pct"/>
            <w:tcBorders>
              <w:top w:val="nil"/>
              <w:left w:val="nil"/>
              <w:bottom w:val="nil"/>
              <w:right w:val="single" w:sz="4" w:space="0" w:color="auto"/>
            </w:tcBorders>
            <w:shd w:val="clear" w:color="auto" w:fill="auto"/>
            <w:noWrap/>
            <w:vAlign w:val="bottom"/>
            <w:hideMark/>
          </w:tcPr>
          <w:p w:rsidR="00C73737" w:rsidRPr="003A1421" w:rsidRDefault="00C73737" w:rsidP="00C73737">
            <w:pPr>
              <w:spacing w:after="0" w:line="240" w:lineRule="auto"/>
              <w:jc w:val="right"/>
              <w:rPr>
                <w:rFonts w:cs="Arial"/>
                <w:color w:val="000000"/>
                <w:sz w:val="16"/>
                <w:szCs w:val="16"/>
              </w:rPr>
            </w:pPr>
            <w:r w:rsidRPr="003A1421">
              <w:rPr>
                <w:rFonts w:cs="Arial"/>
                <w:color w:val="000000"/>
                <w:sz w:val="16"/>
                <w:szCs w:val="16"/>
              </w:rPr>
              <w:t>5,9</w:t>
            </w:r>
          </w:p>
        </w:tc>
        <w:tc>
          <w:tcPr>
            <w:tcW w:w="538" w:type="pct"/>
            <w:tcBorders>
              <w:top w:val="nil"/>
              <w:left w:val="nil"/>
              <w:bottom w:val="nil"/>
            </w:tcBorders>
            <w:shd w:val="clear" w:color="auto" w:fill="auto"/>
            <w:noWrap/>
            <w:vAlign w:val="bottom"/>
            <w:hideMark/>
          </w:tcPr>
          <w:p w:rsidR="00C73737" w:rsidRPr="003A1421" w:rsidRDefault="00C73737" w:rsidP="00C73737">
            <w:pPr>
              <w:spacing w:after="0" w:line="240" w:lineRule="auto"/>
              <w:jc w:val="right"/>
              <w:rPr>
                <w:rFonts w:cs="Arial"/>
                <w:color w:val="000000"/>
                <w:sz w:val="16"/>
                <w:szCs w:val="16"/>
              </w:rPr>
            </w:pPr>
            <w:r w:rsidRPr="003A1421">
              <w:rPr>
                <w:rFonts w:cs="Arial"/>
                <w:color w:val="000000"/>
                <w:sz w:val="16"/>
                <w:szCs w:val="16"/>
              </w:rPr>
              <w:t>39,0</w:t>
            </w:r>
          </w:p>
        </w:tc>
        <w:tc>
          <w:tcPr>
            <w:tcW w:w="538" w:type="pct"/>
            <w:tcBorders>
              <w:top w:val="nil"/>
              <w:bottom w:val="nil"/>
            </w:tcBorders>
            <w:shd w:val="clear" w:color="auto" w:fill="auto"/>
            <w:noWrap/>
            <w:vAlign w:val="bottom"/>
            <w:hideMark/>
          </w:tcPr>
          <w:p w:rsidR="00C73737" w:rsidRPr="003A1421" w:rsidRDefault="00C73737" w:rsidP="00C73737">
            <w:pPr>
              <w:spacing w:after="0" w:line="240" w:lineRule="auto"/>
              <w:jc w:val="right"/>
              <w:rPr>
                <w:rFonts w:cs="Arial"/>
                <w:color w:val="000000"/>
                <w:sz w:val="16"/>
                <w:szCs w:val="16"/>
              </w:rPr>
            </w:pPr>
            <w:r w:rsidRPr="003A1421">
              <w:rPr>
                <w:rFonts w:cs="Arial"/>
                <w:color w:val="000000"/>
                <w:sz w:val="16"/>
                <w:szCs w:val="16"/>
              </w:rPr>
              <w:t>41,9</w:t>
            </w:r>
          </w:p>
        </w:tc>
        <w:tc>
          <w:tcPr>
            <w:tcW w:w="539" w:type="pct"/>
            <w:tcBorders>
              <w:top w:val="nil"/>
              <w:left w:val="nil"/>
              <w:bottom w:val="nil"/>
              <w:right w:val="nil"/>
            </w:tcBorders>
            <w:shd w:val="clear" w:color="auto" w:fill="auto"/>
            <w:noWrap/>
            <w:vAlign w:val="bottom"/>
            <w:hideMark/>
          </w:tcPr>
          <w:p w:rsidR="00C73737" w:rsidRPr="003A1421" w:rsidRDefault="00C73737" w:rsidP="00C73737">
            <w:pPr>
              <w:spacing w:after="0" w:line="240" w:lineRule="auto"/>
              <w:jc w:val="right"/>
              <w:rPr>
                <w:rFonts w:cs="Arial"/>
                <w:color w:val="000000"/>
                <w:sz w:val="16"/>
                <w:szCs w:val="16"/>
              </w:rPr>
            </w:pPr>
            <w:r w:rsidRPr="003A1421">
              <w:rPr>
                <w:rFonts w:cs="Arial"/>
                <w:color w:val="000000"/>
                <w:sz w:val="16"/>
                <w:szCs w:val="16"/>
              </w:rPr>
              <w:t>36,8</w:t>
            </w:r>
          </w:p>
        </w:tc>
      </w:tr>
      <w:tr w:rsidR="00C73737" w:rsidRPr="00C73737" w:rsidTr="00C73737">
        <w:trPr>
          <w:trHeight w:val="300"/>
        </w:trPr>
        <w:tc>
          <w:tcPr>
            <w:tcW w:w="1771" w:type="pct"/>
            <w:tcBorders>
              <w:top w:val="nil"/>
              <w:left w:val="nil"/>
              <w:bottom w:val="nil"/>
              <w:right w:val="nil"/>
            </w:tcBorders>
            <w:shd w:val="clear" w:color="auto" w:fill="auto"/>
            <w:noWrap/>
            <w:vAlign w:val="bottom"/>
            <w:hideMark/>
          </w:tcPr>
          <w:p w:rsidR="00C73737" w:rsidRPr="00C73737" w:rsidRDefault="00C73737" w:rsidP="00C73737">
            <w:pPr>
              <w:spacing w:after="0" w:line="240" w:lineRule="auto"/>
              <w:ind w:firstLineChars="200" w:firstLine="320"/>
              <w:jc w:val="left"/>
              <w:rPr>
                <w:rFonts w:cs="Arial"/>
                <w:color w:val="000000"/>
                <w:sz w:val="16"/>
                <w:szCs w:val="16"/>
              </w:rPr>
            </w:pPr>
            <w:r w:rsidRPr="00C73737">
              <w:rPr>
                <w:rFonts w:cs="Arial"/>
                <w:color w:val="000000"/>
                <w:sz w:val="16"/>
                <w:szCs w:val="16"/>
              </w:rPr>
              <w:t xml:space="preserve"> jiné nemoci dýchacích cest</w:t>
            </w:r>
          </w:p>
        </w:tc>
        <w:tc>
          <w:tcPr>
            <w:tcW w:w="538" w:type="pct"/>
            <w:tcBorders>
              <w:top w:val="nil"/>
              <w:left w:val="single" w:sz="4" w:space="0" w:color="auto"/>
              <w:bottom w:val="nil"/>
            </w:tcBorders>
            <w:shd w:val="clear" w:color="auto" w:fill="auto"/>
            <w:noWrap/>
            <w:vAlign w:val="bottom"/>
            <w:hideMark/>
          </w:tcPr>
          <w:p w:rsidR="00C73737" w:rsidRPr="003A1421" w:rsidRDefault="00C73737" w:rsidP="00C73737">
            <w:pPr>
              <w:spacing w:after="0" w:line="240" w:lineRule="auto"/>
              <w:jc w:val="right"/>
              <w:rPr>
                <w:rFonts w:cs="Arial"/>
                <w:color w:val="000000"/>
                <w:sz w:val="16"/>
                <w:szCs w:val="16"/>
              </w:rPr>
            </w:pPr>
            <w:r w:rsidRPr="003A1421">
              <w:rPr>
                <w:rFonts w:cs="Arial"/>
                <w:color w:val="000000"/>
                <w:sz w:val="16"/>
                <w:szCs w:val="16"/>
              </w:rPr>
              <w:t>12,6</w:t>
            </w:r>
          </w:p>
        </w:tc>
        <w:tc>
          <w:tcPr>
            <w:tcW w:w="538" w:type="pct"/>
            <w:tcBorders>
              <w:top w:val="nil"/>
              <w:bottom w:val="nil"/>
            </w:tcBorders>
            <w:shd w:val="clear" w:color="auto" w:fill="auto"/>
            <w:noWrap/>
            <w:vAlign w:val="bottom"/>
            <w:hideMark/>
          </w:tcPr>
          <w:p w:rsidR="00C73737" w:rsidRPr="003A1421" w:rsidRDefault="00C73737" w:rsidP="00C73737">
            <w:pPr>
              <w:spacing w:after="0" w:line="240" w:lineRule="auto"/>
              <w:jc w:val="right"/>
              <w:rPr>
                <w:rFonts w:cs="Arial"/>
                <w:color w:val="000000"/>
                <w:sz w:val="16"/>
                <w:szCs w:val="16"/>
              </w:rPr>
            </w:pPr>
            <w:r w:rsidRPr="003A1421">
              <w:rPr>
                <w:rFonts w:cs="Arial"/>
                <w:color w:val="000000"/>
                <w:sz w:val="16"/>
                <w:szCs w:val="16"/>
              </w:rPr>
              <w:t>6,5</w:t>
            </w:r>
          </w:p>
        </w:tc>
        <w:tc>
          <w:tcPr>
            <w:tcW w:w="538" w:type="pct"/>
            <w:tcBorders>
              <w:top w:val="nil"/>
              <w:left w:val="nil"/>
              <w:bottom w:val="nil"/>
              <w:right w:val="single" w:sz="4" w:space="0" w:color="auto"/>
            </w:tcBorders>
            <w:shd w:val="clear" w:color="auto" w:fill="auto"/>
            <w:noWrap/>
            <w:vAlign w:val="bottom"/>
            <w:hideMark/>
          </w:tcPr>
          <w:p w:rsidR="00C73737" w:rsidRPr="003A1421" w:rsidRDefault="00C73737" w:rsidP="00C73737">
            <w:pPr>
              <w:spacing w:after="0" w:line="240" w:lineRule="auto"/>
              <w:jc w:val="right"/>
              <w:rPr>
                <w:rFonts w:cs="Arial"/>
                <w:color w:val="000000"/>
                <w:sz w:val="16"/>
                <w:szCs w:val="16"/>
              </w:rPr>
            </w:pPr>
            <w:r w:rsidRPr="003A1421">
              <w:rPr>
                <w:rFonts w:cs="Arial"/>
                <w:color w:val="000000"/>
                <w:sz w:val="16"/>
                <w:szCs w:val="16"/>
              </w:rPr>
              <w:t>6,2</w:t>
            </w:r>
          </w:p>
        </w:tc>
        <w:tc>
          <w:tcPr>
            <w:tcW w:w="538" w:type="pct"/>
            <w:tcBorders>
              <w:top w:val="nil"/>
              <w:left w:val="nil"/>
              <w:bottom w:val="nil"/>
            </w:tcBorders>
            <w:shd w:val="clear" w:color="auto" w:fill="auto"/>
            <w:noWrap/>
            <w:vAlign w:val="bottom"/>
            <w:hideMark/>
          </w:tcPr>
          <w:p w:rsidR="00C73737" w:rsidRPr="003A1421" w:rsidRDefault="00C73737" w:rsidP="00C73737">
            <w:pPr>
              <w:spacing w:after="0" w:line="240" w:lineRule="auto"/>
              <w:jc w:val="right"/>
              <w:rPr>
                <w:rFonts w:cs="Arial"/>
                <w:color w:val="000000"/>
                <w:sz w:val="16"/>
                <w:szCs w:val="16"/>
              </w:rPr>
            </w:pPr>
            <w:r w:rsidRPr="003A1421">
              <w:rPr>
                <w:rFonts w:cs="Arial"/>
                <w:color w:val="000000"/>
                <w:sz w:val="16"/>
                <w:szCs w:val="16"/>
              </w:rPr>
              <w:t>23,8</w:t>
            </w:r>
          </w:p>
        </w:tc>
        <w:tc>
          <w:tcPr>
            <w:tcW w:w="538" w:type="pct"/>
            <w:tcBorders>
              <w:top w:val="nil"/>
              <w:bottom w:val="nil"/>
            </w:tcBorders>
            <w:shd w:val="clear" w:color="auto" w:fill="auto"/>
            <w:noWrap/>
            <w:vAlign w:val="bottom"/>
            <w:hideMark/>
          </w:tcPr>
          <w:p w:rsidR="00C73737" w:rsidRPr="003A1421" w:rsidRDefault="00C73737" w:rsidP="00C73737">
            <w:pPr>
              <w:spacing w:after="0" w:line="240" w:lineRule="auto"/>
              <w:jc w:val="right"/>
              <w:rPr>
                <w:rFonts w:cs="Arial"/>
                <w:color w:val="000000"/>
                <w:sz w:val="16"/>
                <w:szCs w:val="16"/>
              </w:rPr>
            </w:pPr>
            <w:r w:rsidRPr="003A1421">
              <w:rPr>
                <w:rFonts w:cs="Arial"/>
                <w:color w:val="000000"/>
                <w:sz w:val="16"/>
                <w:szCs w:val="16"/>
              </w:rPr>
              <w:t>26,6</w:t>
            </w:r>
          </w:p>
        </w:tc>
        <w:tc>
          <w:tcPr>
            <w:tcW w:w="539" w:type="pct"/>
            <w:tcBorders>
              <w:top w:val="nil"/>
              <w:left w:val="nil"/>
              <w:bottom w:val="nil"/>
              <w:right w:val="nil"/>
            </w:tcBorders>
            <w:shd w:val="clear" w:color="auto" w:fill="auto"/>
            <w:noWrap/>
            <w:vAlign w:val="bottom"/>
            <w:hideMark/>
          </w:tcPr>
          <w:p w:rsidR="00C73737" w:rsidRPr="003A1421" w:rsidRDefault="00C73737" w:rsidP="00C73737">
            <w:pPr>
              <w:spacing w:after="0" w:line="240" w:lineRule="auto"/>
              <w:jc w:val="right"/>
              <w:rPr>
                <w:rFonts w:cs="Arial"/>
                <w:color w:val="000000"/>
                <w:sz w:val="16"/>
                <w:szCs w:val="16"/>
              </w:rPr>
            </w:pPr>
            <w:r w:rsidRPr="003A1421">
              <w:rPr>
                <w:rFonts w:cs="Arial"/>
                <w:color w:val="000000"/>
                <w:sz w:val="16"/>
                <w:szCs w:val="16"/>
              </w:rPr>
              <w:t>20,7</w:t>
            </w:r>
          </w:p>
        </w:tc>
      </w:tr>
      <w:tr w:rsidR="00C73737" w:rsidRPr="00C73737" w:rsidTr="00C73737">
        <w:trPr>
          <w:trHeight w:val="300"/>
        </w:trPr>
        <w:tc>
          <w:tcPr>
            <w:tcW w:w="1771" w:type="pct"/>
            <w:tcBorders>
              <w:top w:val="nil"/>
              <w:left w:val="nil"/>
              <w:bottom w:val="nil"/>
              <w:right w:val="nil"/>
            </w:tcBorders>
            <w:shd w:val="clear" w:color="auto" w:fill="auto"/>
            <w:noWrap/>
            <w:vAlign w:val="bottom"/>
            <w:hideMark/>
          </w:tcPr>
          <w:p w:rsidR="00C73737" w:rsidRPr="00C73737" w:rsidRDefault="00C73737" w:rsidP="00C73737">
            <w:pPr>
              <w:spacing w:after="0" w:line="240" w:lineRule="auto"/>
              <w:ind w:firstLineChars="100" w:firstLine="160"/>
              <w:jc w:val="left"/>
              <w:rPr>
                <w:rFonts w:cs="Arial"/>
                <w:color w:val="000000"/>
                <w:sz w:val="16"/>
                <w:szCs w:val="16"/>
              </w:rPr>
            </w:pPr>
            <w:r w:rsidRPr="00C73737">
              <w:rPr>
                <w:rFonts w:cs="Arial"/>
                <w:color w:val="000000"/>
                <w:sz w:val="16"/>
                <w:szCs w:val="16"/>
              </w:rPr>
              <w:t>Nemoci trávicí soustavy</w:t>
            </w:r>
          </w:p>
        </w:tc>
        <w:tc>
          <w:tcPr>
            <w:tcW w:w="538" w:type="pct"/>
            <w:tcBorders>
              <w:top w:val="nil"/>
              <w:left w:val="single" w:sz="4" w:space="0" w:color="auto"/>
              <w:bottom w:val="nil"/>
            </w:tcBorders>
            <w:shd w:val="clear" w:color="auto" w:fill="auto"/>
            <w:noWrap/>
            <w:vAlign w:val="bottom"/>
            <w:hideMark/>
          </w:tcPr>
          <w:p w:rsidR="00C73737" w:rsidRPr="003A1421" w:rsidRDefault="00C73737" w:rsidP="00C73737">
            <w:pPr>
              <w:spacing w:after="0" w:line="240" w:lineRule="auto"/>
              <w:jc w:val="right"/>
              <w:rPr>
                <w:rFonts w:cs="Arial"/>
                <w:color w:val="000000"/>
                <w:sz w:val="16"/>
                <w:szCs w:val="16"/>
              </w:rPr>
            </w:pPr>
            <w:r w:rsidRPr="003A1421">
              <w:rPr>
                <w:rFonts w:cs="Arial"/>
                <w:color w:val="000000"/>
                <w:sz w:val="16"/>
                <w:szCs w:val="16"/>
              </w:rPr>
              <w:t>160,5</w:t>
            </w:r>
          </w:p>
        </w:tc>
        <w:tc>
          <w:tcPr>
            <w:tcW w:w="538" w:type="pct"/>
            <w:tcBorders>
              <w:top w:val="nil"/>
              <w:bottom w:val="nil"/>
            </w:tcBorders>
            <w:shd w:val="clear" w:color="auto" w:fill="auto"/>
            <w:noWrap/>
            <w:vAlign w:val="bottom"/>
            <w:hideMark/>
          </w:tcPr>
          <w:p w:rsidR="00C73737" w:rsidRPr="003A1421" w:rsidRDefault="00C73737" w:rsidP="00C73737">
            <w:pPr>
              <w:spacing w:after="0" w:line="240" w:lineRule="auto"/>
              <w:jc w:val="right"/>
              <w:rPr>
                <w:rFonts w:cs="Arial"/>
                <w:color w:val="000000"/>
                <w:sz w:val="16"/>
                <w:szCs w:val="16"/>
              </w:rPr>
            </w:pPr>
            <w:r w:rsidRPr="003A1421">
              <w:rPr>
                <w:rFonts w:cs="Arial"/>
                <w:color w:val="000000"/>
                <w:sz w:val="16"/>
                <w:szCs w:val="16"/>
              </w:rPr>
              <w:t>81,8</w:t>
            </w:r>
          </w:p>
        </w:tc>
        <w:tc>
          <w:tcPr>
            <w:tcW w:w="538" w:type="pct"/>
            <w:tcBorders>
              <w:top w:val="nil"/>
              <w:left w:val="nil"/>
              <w:bottom w:val="nil"/>
              <w:right w:val="single" w:sz="4" w:space="0" w:color="auto"/>
            </w:tcBorders>
            <w:shd w:val="clear" w:color="auto" w:fill="auto"/>
            <w:noWrap/>
            <w:vAlign w:val="bottom"/>
            <w:hideMark/>
          </w:tcPr>
          <w:p w:rsidR="00C73737" w:rsidRPr="003A1421" w:rsidRDefault="00C73737" w:rsidP="00C73737">
            <w:pPr>
              <w:spacing w:after="0" w:line="240" w:lineRule="auto"/>
              <w:jc w:val="right"/>
              <w:rPr>
                <w:rFonts w:cs="Arial"/>
                <w:color w:val="000000"/>
                <w:sz w:val="16"/>
                <w:szCs w:val="16"/>
              </w:rPr>
            </w:pPr>
            <w:r w:rsidRPr="003A1421">
              <w:rPr>
                <w:rFonts w:cs="Arial"/>
                <w:color w:val="000000"/>
                <w:sz w:val="16"/>
                <w:szCs w:val="16"/>
              </w:rPr>
              <w:t>78,7</w:t>
            </w:r>
          </w:p>
        </w:tc>
        <w:tc>
          <w:tcPr>
            <w:tcW w:w="538" w:type="pct"/>
            <w:tcBorders>
              <w:top w:val="nil"/>
              <w:left w:val="nil"/>
              <w:bottom w:val="nil"/>
            </w:tcBorders>
            <w:shd w:val="clear" w:color="auto" w:fill="auto"/>
            <w:noWrap/>
            <w:vAlign w:val="bottom"/>
            <w:hideMark/>
          </w:tcPr>
          <w:p w:rsidR="00C73737" w:rsidRPr="003A1421" w:rsidRDefault="00C73737" w:rsidP="00C73737">
            <w:pPr>
              <w:spacing w:after="0" w:line="240" w:lineRule="auto"/>
              <w:jc w:val="right"/>
              <w:rPr>
                <w:rFonts w:cs="Arial"/>
                <w:color w:val="000000"/>
                <w:sz w:val="16"/>
                <w:szCs w:val="16"/>
              </w:rPr>
            </w:pPr>
            <w:r w:rsidRPr="003A1421">
              <w:rPr>
                <w:rFonts w:cs="Arial"/>
                <w:color w:val="000000"/>
                <w:sz w:val="16"/>
                <w:szCs w:val="16"/>
              </w:rPr>
              <w:t>23,0</w:t>
            </w:r>
          </w:p>
        </w:tc>
        <w:tc>
          <w:tcPr>
            <w:tcW w:w="538" w:type="pct"/>
            <w:tcBorders>
              <w:top w:val="nil"/>
              <w:bottom w:val="nil"/>
            </w:tcBorders>
            <w:shd w:val="clear" w:color="auto" w:fill="auto"/>
            <w:noWrap/>
            <w:vAlign w:val="bottom"/>
            <w:hideMark/>
          </w:tcPr>
          <w:p w:rsidR="00C73737" w:rsidRPr="003A1421" w:rsidRDefault="00C73737" w:rsidP="00C73737">
            <w:pPr>
              <w:spacing w:after="0" w:line="240" w:lineRule="auto"/>
              <w:jc w:val="right"/>
              <w:rPr>
                <w:rFonts w:cs="Arial"/>
                <w:color w:val="000000"/>
                <w:sz w:val="16"/>
                <w:szCs w:val="16"/>
              </w:rPr>
            </w:pPr>
            <w:r w:rsidRPr="003A1421">
              <w:rPr>
                <w:rFonts w:cs="Arial"/>
                <w:color w:val="000000"/>
                <w:sz w:val="16"/>
                <w:szCs w:val="16"/>
              </w:rPr>
              <w:t>24,8</w:t>
            </w:r>
          </w:p>
        </w:tc>
        <w:tc>
          <w:tcPr>
            <w:tcW w:w="539" w:type="pct"/>
            <w:tcBorders>
              <w:top w:val="nil"/>
              <w:left w:val="nil"/>
              <w:bottom w:val="nil"/>
              <w:right w:val="nil"/>
            </w:tcBorders>
            <w:shd w:val="clear" w:color="auto" w:fill="auto"/>
            <w:noWrap/>
            <w:vAlign w:val="bottom"/>
            <w:hideMark/>
          </w:tcPr>
          <w:p w:rsidR="00C73737" w:rsidRPr="003A1421" w:rsidRDefault="00C73737" w:rsidP="00C73737">
            <w:pPr>
              <w:spacing w:after="0" w:line="240" w:lineRule="auto"/>
              <w:jc w:val="right"/>
              <w:rPr>
                <w:rFonts w:cs="Arial"/>
                <w:color w:val="000000"/>
                <w:sz w:val="16"/>
                <w:szCs w:val="16"/>
              </w:rPr>
            </w:pPr>
            <w:r w:rsidRPr="003A1421">
              <w:rPr>
                <w:rFonts w:cs="Arial"/>
                <w:color w:val="000000"/>
                <w:sz w:val="16"/>
                <w:szCs w:val="16"/>
              </w:rPr>
              <w:t>21,1</w:t>
            </w:r>
          </w:p>
        </w:tc>
      </w:tr>
      <w:tr w:rsidR="00C73737" w:rsidRPr="00C73737" w:rsidTr="00C73737">
        <w:trPr>
          <w:trHeight w:val="300"/>
        </w:trPr>
        <w:tc>
          <w:tcPr>
            <w:tcW w:w="1771" w:type="pct"/>
            <w:tcBorders>
              <w:top w:val="nil"/>
              <w:left w:val="nil"/>
              <w:bottom w:val="nil"/>
              <w:right w:val="nil"/>
            </w:tcBorders>
            <w:shd w:val="clear" w:color="auto" w:fill="auto"/>
            <w:noWrap/>
            <w:vAlign w:val="bottom"/>
            <w:hideMark/>
          </w:tcPr>
          <w:p w:rsidR="00C73737" w:rsidRPr="00C73737" w:rsidRDefault="00C73737" w:rsidP="00C73737">
            <w:pPr>
              <w:spacing w:after="0" w:line="240" w:lineRule="auto"/>
              <w:ind w:firstLineChars="100" w:firstLine="160"/>
              <w:jc w:val="left"/>
              <w:rPr>
                <w:rFonts w:cs="Arial"/>
                <w:color w:val="000000"/>
                <w:sz w:val="16"/>
                <w:szCs w:val="16"/>
              </w:rPr>
            </w:pPr>
            <w:r w:rsidRPr="00C73737">
              <w:rPr>
                <w:rFonts w:cs="Arial"/>
                <w:color w:val="000000"/>
                <w:sz w:val="16"/>
                <w:szCs w:val="16"/>
              </w:rPr>
              <w:t>Nemoci kůže</w:t>
            </w:r>
          </w:p>
        </w:tc>
        <w:tc>
          <w:tcPr>
            <w:tcW w:w="538" w:type="pct"/>
            <w:tcBorders>
              <w:top w:val="nil"/>
              <w:left w:val="single" w:sz="4" w:space="0" w:color="auto"/>
              <w:bottom w:val="nil"/>
            </w:tcBorders>
            <w:shd w:val="clear" w:color="auto" w:fill="auto"/>
            <w:noWrap/>
            <w:vAlign w:val="bottom"/>
            <w:hideMark/>
          </w:tcPr>
          <w:p w:rsidR="00C73737" w:rsidRPr="003A1421" w:rsidRDefault="00C73737" w:rsidP="00C73737">
            <w:pPr>
              <w:spacing w:after="0" w:line="240" w:lineRule="auto"/>
              <w:jc w:val="right"/>
              <w:rPr>
                <w:rFonts w:cs="Arial"/>
                <w:color w:val="000000"/>
                <w:sz w:val="16"/>
                <w:szCs w:val="16"/>
              </w:rPr>
            </w:pPr>
            <w:r w:rsidRPr="003A1421">
              <w:rPr>
                <w:rFonts w:cs="Arial"/>
                <w:color w:val="000000"/>
                <w:sz w:val="16"/>
                <w:szCs w:val="16"/>
              </w:rPr>
              <w:t>34,1</w:t>
            </w:r>
          </w:p>
        </w:tc>
        <w:tc>
          <w:tcPr>
            <w:tcW w:w="538" w:type="pct"/>
            <w:tcBorders>
              <w:top w:val="nil"/>
              <w:bottom w:val="nil"/>
            </w:tcBorders>
            <w:shd w:val="clear" w:color="auto" w:fill="auto"/>
            <w:noWrap/>
            <w:vAlign w:val="bottom"/>
            <w:hideMark/>
          </w:tcPr>
          <w:p w:rsidR="00C73737" w:rsidRPr="003A1421" w:rsidRDefault="00C73737" w:rsidP="00C73737">
            <w:pPr>
              <w:spacing w:after="0" w:line="240" w:lineRule="auto"/>
              <w:jc w:val="right"/>
              <w:rPr>
                <w:rFonts w:cs="Arial"/>
                <w:color w:val="000000"/>
                <w:sz w:val="16"/>
                <w:szCs w:val="16"/>
              </w:rPr>
            </w:pPr>
            <w:r w:rsidRPr="003A1421">
              <w:rPr>
                <w:rFonts w:cs="Arial"/>
                <w:color w:val="000000"/>
                <w:sz w:val="16"/>
                <w:szCs w:val="16"/>
              </w:rPr>
              <w:t>19,1</w:t>
            </w:r>
          </w:p>
        </w:tc>
        <w:tc>
          <w:tcPr>
            <w:tcW w:w="538" w:type="pct"/>
            <w:tcBorders>
              <w:top w:val="nil"/>
              <w:left w:val="nil"/>
              <w:bottom w:val="nil"/>
              <w:right w:val="single" w:sz="4" w:space="0" w:color="auto"/>
            </w:tcBorders>
            <w:shd w:val="clear" w:color="auto" w:fill="auto"/>
            <w:noWrap/>
            <w:vAlign w:val="bottom"/>
            <w:hideMark/>
          </w:tcPr>
          <w:p w:rsidR="00C73737" w:rsidRPr="003A1421" w:rsidRDefault="00C73737" w:rsidP="00C73737">
            <w:pPr>
              <w:spacing w:after="0" w:line="240" w:lineRule="auto"/>
              <w:jc w:val="right"/>
              <w:rPr>
                <w:rFonts w:cs="Arial"/>
                <w:color w:val="000000"/>
                <w:sz w:val="16"/>
                <w:szCs w:val="16"/>
              </w:rPr>
            </w:pPr>
            <w:r w:rsidRPr="003A1421">
              <w:rPr>
                <w:rFonts w:cs="Arial"/>
                <w:color w:val="000000"/>
                <w:sz w:val="16"/>
                <w:szCs w:val="16"/>
              </w:rPr>
              <w:t>15,0</w:t>
            </w:r>
          </w:p>
        </w:tc>
        <w:tc>
          <w:tcPr>
            <w:tcW w:w="538" w:type="pct"/>
            <w:tcBorders>
              <w:top w:val="nil"/>
              <w:left w:val="nil"/>
              <w:bottom w:val="nil"/>
            </w:tcBorders>
            <w:shd w:val="clear" w:color="auto" w:fill="auto"/>
            <w:noWrap/>
            <w:vAlign w:val="bottom"/>
            <w:hideMark/>
          </w:tcPr>
          <w:p w:rsidR="00C73737" w:rsidRPr="003A1421" w:rsidRDefault="00C73737" w:rsidP="00C73737">
            <w:pPr>
              <w:spacing w:after="0" w:line="240" w:lineRule="auto"/>
              <w:jc w:val="right"/>
              <w:rPr>
                <w:rFonts w:cs="Arial"/>
                <w:color w:val="000000"/>
                <w:sz w:val="16"/>
                <w:szCs w:val="16"/>
              </w:rPr>
            </w:pPr>
            <w:r w:rsidRPr="003A1421">
              <w:rPr>
                <w:rFonts w:cs="Arial"/>
                <w:color w:val="000000"/>
                <w:sz w:val="16"/>
                <w:szCs w:val="16"/>
              </w:rPr>
              <w:t>28,2</w:t>
            </w:r>
          </w:p>
        </w:tc>
        <w:tc>
          <w:tcPr>
            <w:tcW w:w="538" w:type="pct"/>
            <w:tcBorders>
              <w:top w:val="nil"/>
              <w:bottom w:val="nil"/>
            </w:tcBorders>
            <w:shd w:val="clear" w:color="auto" w:fill="auto"/>
            <w:noWrap/>
            <w:vAlign w:val="bottom"/>
            <w:hideMark/>
          </w:tcPr>
          <w:p w:rsidR="00C73737" w:rsidRPr="003A1421" w:rsidRDefault="00C73737" w:rsidP="00C73737">
            <w:pPr>
              <w:spacing w:after="0" w:line="240" w:lineRule="auto"/>
              <w:jc w:val="right"/>
              <w:rPr>
                <w:rFonts w:cs="Arial"/>
                <w:color w:val="000000"/>
                <w:sz w:val="16"/>
                <w:szCs w:val="16"/>
              </w:rPr>
            </w:pPr>
            <w:r w:rsidRPr="003A1421">
              <w:rPr>
                <w:rFonts w:cs="Arial"/>
                <w:color w:val="000000"/>
                <w:sz w:val="16"/>
                <w:szCs w:val="16"/>
              </w:rPr>
              <w:t>29,1</w:t>
            </w:r>
          </w:p>
        </w:tc>
        <w:tc>
          <w:tcPr>
            <w:tcW w:w="539" w:type="pct"/>
            <w:tcBorders>
              <w:top w:val="nil"/>
              <w:left w:val="nil"/>
              <w:bottom w:val="nil"/>
              <w:right w:val="nil"/>
            </w:tcBorders>
            <w:shd w:val="clear" w:color="auto" w:fill="auto"/>
            <w:noWrap/>
            <w:vAlign w:val="bottom"/>
            <w:hideMark/>
          </w:tcPr>
          <w:p w:rsidR="00C73737" w:rsidRPr="003A1421" w:rsidRDefault="00C73737" w:rsidP="00C73737">
            <w:pPr>
              <w:spacing w:after="0" w:line="240" w:lineRule="auto"/>
              <w:jc w:val="right"/>
              <w:rPr>
                <w:rFonts w:cs="Arial"/>
                <w:color w:val="000000"/>
                <w:sz w:val="16"/>
                <w:szCs w:val="16"/>
              </w:rPr>
            </w:pPr>
            <w:r w:rsidRPr="003A1421">
              <w:rPr>
                <w:rFonts w:cs="Arial"/>
                <w:color w:val="000000"/>
                <w:sz w:val="16"/>
                <w:szCs w:val="16"/>
              </w:rPr>
              <w:t>27,0</w:t>
            </w:r>
          </w:p>
        </w:tc>
      </w:tr>
      <w:tr w:rsidR="00C73737" w:rsidRPr="00C73737" w:rsidTr="00C73737">
        <w:trPr>
          <w:trHeight w:val="300"/>
        </w:trPr>
        <w:tc>
          <w:tcPr>
            <w:tcW w:w="1771" w:type="pct"/>
            <w:tcBorders>
              <w:top w:val="nil"/>
              <w:left w:val="nil"/>
              <w:bottom w:val="nil"/>
              <w:right w:val="nil"/>
            </w:tcBorders>
            <w:shd w:val="clear" w:color="auto" w:fill="auto"/>
            <w:noWrap/>
            <w:vAlign w:val="bottom"/>
            <w:hideMark/>
          </w:tcPr>
          <w:p w:rsidR="00C73737" w:rsidRPr="00C73737" w:rsidRDefault="00C73737" w:rsidP="00C73737">
            <w:pPr>
              <w:spacing w:after="0" w:line="240" w:lineRule="auto"/>
              <w:ind w:firstLineChars="100" w:firstLine="160"/>
              <w:jc w:val="left"/>
              <w:rPr>
                <w:rFonts w:cs="Arial"/>
                <w:color w:val="000000"/>
                <w:sz w:val="16"/>
                <w:szCs w:val="16"/>
              </w:rPr>
            </w:pPr>
            <w:r w:rsidRPr="00C73737">
              <w:rPr>
                <w:rFonts w:cs="Arial"/>
                <w:color w:val="000000"/>
                <w:sz w:val="16"/>
                <w:szCs w:val="16"/>
              </w:rPr>
              <w:t>Nemoci pohybové soustavy</w:t>
            </w:r>
          </w:p>
        </w:tc>
        <w:tc>
          <w:tcPr>
            <w:tcW w:w="538" w:type="pct"/>
            <w:tcBorders>
              <w:top w:val="nil"/>
              <w:left w:val="single" w:sz="4" w:space="0" w:color="auto"/>
              <w:bottom w:val="nil"/>
            </w:tcBorders>
            <w:shd w:val="clear" w:color="auto" w:fill="auto"/>
            <w:noWrap/>
            <w:vAlign w:val="bottom"/>
            <w:hideMark/>
          </w:tcPr>
          <w:p w:rsidR="00C73737" w:rsidRPr="003A1421" w:rsidRDefault="00C73737" w:rsidP="00C73737">
            <w:pPr>
              <w:spacing w:after="0" w:line="240" w:lineRule="auto"/>
              <w:jc w:val="right"/>
              <w:rPr>
                <w:rFonts w:cs="Arial"/>
                <w:color w:val="000000"/>
                <w:sz w:val="16"/>
                <w:szCs w:val="16"/>
              </w:rPr>
            </w:pPr>
            <w:r w:rsidRPr="003A1421">
              <w:rPr>
                <w:rFonts w:cs="Arial"/>
                <w:color w:val="000000"/>
                <w:sz w:val="16"/>
                <w:szCs w:val="16"/>
              </w:rPr>
              <w:t>375,5</w:t>
            </w:r>
          </w:p>
        </w:tc>
        <w:tc>
          <w:tcPr>
            <w:tcW w:w="538" w:type="pct"/>
            <w:tcBorders>
              <w:top w:val="nil"/>
              <w:bottom w:val="nil"/>
            </w:tcBorders>
            <w:shd w:val="clear" w:color="auto" w:fill="auto"/>
            <w:noWrap/>
            <w:vAlign w:val="bottom"/>
            <w:hideMark/>
          </w:tcPr>
          <w:p w:rsidR="00C73737" w:rsidRPr="003A1421" w:rsidRDefault="00C73737" w:rsidP="00C73737">
            <w:pPr>
              <w:spacing w:after="0" w:line="240" w:lineRule="auto"/>
              <w:jc w:val="right"/>
              <w:rPr>
                <w:rFonts w:cs="Arial"/>
                <w:color w:val="000000"/>
                <w:sz w:val="16"/>
                <w:szCs w:val="16"/>
              </w:rPr>
            </w:pPr>
            <w:r w:rsidRPr="003A1421">
              <w:rPr>
                <w:rFonts w:cs="Arial"/>
                <w:color w:val="000000"/>
                <w:sz w:val="16"/>
                <w:szCs w:val="16"/>
              </w:rPr>
              <w:t>187,6</w:t>
            </w:r>
          </w:p>
        </w:tc>
        <w:tc>
          <w:tcPr>
            <w:tcW w:w="538" w:type="pct"/>
            <w:tcBorders>
              <w:top w:val="nil"/>
              <w:left w:val="nil"/>
              <w:bottom w:val="nil"/>
              <w:right w:val="single" w:sz="4" w:space="0" w:color="auto"/>
            </w:tcBorders>
            <w:shd w:val="clear" w:color="auto" w:fill="auto"/>
            <w:noWrap/>
            <w:vAlign w:val="bottom"/>
            <w:hideMark/>
          </w:tcPr>
          <w:p w:rsidR="00C73737" w:rsidRPr="003A1421" w:rsidRDefault="00C73737" w:rsidP="00C73737">
            <w:pPr>
              <w:spacing w:after="0" w:line="240" w:lineRule="auto"/>
              <w:jc w:val="right"/>
              <w:rPr>
                <w:rFonts w:cs="Arial"/>
                <w:color w:val="000000"/>
                <w:sz w:val="16"/>
                <w:szCs w:val="16"/>
              </w:rPr>
            </w:pPr>
            <w:r w:rsidRPr="003A1421">
              <w:rPr>
                <w:rFonts w:cs="Arial"/>
                <w:color w:val="000000"/>
                <w:sz w:val="16"/>
                <w:szCs w:val="16"/>
              </w:rPr>
              <w:t>188,0</w:t>
            </w:r>
          </w:p>
        </w:tc>
        <w:tc>
          <w:tcPr>
            <w:tcW w:w="538" w:type="pct"/>
            <w:tcBorders>
              <w:top w:val="nil"/>
              <w:left w:val="nil"/>
              <w:bottom w:val="nil"/>
            </w:tcBorders>
            <w:shd w:val="clear" w:color="auto" w:fill="auto"/>
            <w:noWrap/>
            <w:vAlign w:val="bottom"/>
            <w:hideMark/>
          </w:tcPr>
          <w:p w:rsidR="00C73737" w:rsidRPr="003A1421" w:rsidRDefault="00C73737" w:rsidP="00C73737">
            <w:pPr>
              <w:spacing w:after="0" w:line="240" w:lineRule="auto"/>
              <w:jc w:val="right"/>
              <w:rPr>
                <w:rFonts w:cs="Arial"/>
                <w:color w:val="000000"/>
                <w:sz w:val="16"/>
                <w:szCs w:val="16"/>
              </w:rPr>
            </w:pPr>
            <w:r w:rsidRPr="003A1421">
              <w:rPr>
                <w:rFonts w:cs="Arial"/>
                <w:color w:val="000000"/>
                <w:sz w:val="16"/>
                <w:szCs w:val="16"/>
              </w:rPr>
              <w:t>60,7</w:t>
            </w:r>
          </w:p>
        </w:tc>
        <w:tc>
          <w:tcPr>
            <w:tcW w:w="538" w:type="pct"/>
            <w:tcBorders>
              <w:top w:val="nil"/>
              <w:bottom w:val="nil"/>
            </w:tcBorders>
            <w:shd w:val="clear" w:color="auto" w:fill="auto"/>
            <w:noWrap/>
            <w:vAlign w:val="bottom"/>
            <w:hideMark/>
          </w:tcPr>
          <w:p w:rsidR="00C73737" w:rsidRPr="003A1421" w:rsidRDefault="00C73737" w:rsidP="00C73737">
            <w:pPr>
              <w:spacing w:after="0" w:line="240" w:lineRule="auto"/>
              <w:jc w:val="right"/>
              <w:rPr>
                <w:rFonts w:cs="Arial"/>
                <w:color w:val="000000"/>
                <w:sz w:val="16"/>
                <w:szCs w:val="16"/>
              </w:rPr>
            </w:pPr>
            <w:r w:rsidRPr="003A1421">
              <w:rPr>
                <w:rFonts w:cs="Arial"/>
                <w:color w:val="000000"/>
                <w:sz w:val="16"/>
                <w:szCs w:val="16"/>
              </w:rPr>
              <w:t>57,4</w:t>
            </w:r>
          </w:p>
        </w:tc>
        <w:tc>
          <w:tcPr>
            <w:tcW w:w="539" w:type="pct"/>
            <w:tcBorders>
              <w:top w:val="nil"/>
              <w:left w:val="nil"/>
              <w:bottom w:val="nil"/>
              <w:right w:val="nil"/>
            </w:tcBorders>
            <w:shd w:val="clear" w:color="auto" w:fill="auto"/>
            <w:noWrap/>
            <w:vAlign w:val="bottom"/>
            <w:hideMark/>
          </w:tcPr>
          <w:p w:rsidR="00C73737" w:rsidRPr="003A1421" w:rsidRDefault="00C73737" w:rsidP="00C73737">
            <w:pPr>
              <w:spacing w:after="0" w:line="240" w:lineRule="auto"/>
              <w:jc w:val="right"/>
              <w:rPr>
                <w:rFonts w:cs="Arial"/>
                <w:color w:val="000000"/>
                <w:sz w:val="16"/>
                <w:szCs w:val="16"/>
              </w:rPr>
            </w:pPr>
            <w:r w:rsidRPr="003A1421">
              <w:rPr>
                <w:rFonts w:cs="Arial"/>
                <w:color w:val="000000"/>
                <w:sz w:val="16"/>
                <w:szCs w:val="16"/>
              </w:rPr>
              <w:t>64,0</w:t>
            </w:r>
          </w:p>
        </w:tc>
      </w:tr>
      <w:tr w:rsidR="00C73737" w:rsidRPr="00C73737" w:rsidTr="00C73737">
        <w:trPr>
          <w:trHeight w:val="300"/>
        </w:trPr>
        <w:tc>
          <w:tcPr>
            <w:tcW w:w="1771" w:type="pct"/>
            <w:tcBorders>
              <w:top w:val="nil"/>
              <w:left w:val="nil"/>
              <w:bottom w:val="nil"/>
              <w:right w:val="nil"/>
            </w:tcBorders>
            <w:shd w:val="clear" w:color="auto" w:fill="auto"/>
            <w:noWrap/>
            <w:vAlign w:val="bottom"/>
            <w:hideMark/>
          </w:tcPr>
          <w:p w:rsidR="00C73737" w:rsidRPr="00C73737" w:rsidRDefault="00C73737" w:rsidP="00C73737">
            <w:pPr>
              <w:spacing w:after="0" w:line="240" w:lineRule="auto"/>
              <w:ind w:firstLineChars="200" w:firstLine="320"/>
              <w:jc w:val="left"/>
              <w:rPr>
                <w:rFonts w:cs="Arial"/>
                <w:color w:val="000000"/>
                <w:sz w:val="16"/>
                <w:szCs w:val="16"/>
              </w:rPr>
            </w:pPr>
            <w:r w:rsidRPr="00C73737">
              <w:rPr>
                <w:rFonts w:cs="Arial"/>
                <w:color w:val="000000"/>
                <w:sz w:val="16"/>
                <w:szCs w:val="16"/>
              </w:rPr>
              <w:t xml:space="preserve"> nemoci páteře</w:t>
            </w:r>
          </w:p>
        </w:tc>
        <w:tc>
          <w:tcPr>
            <w:tcW w:w="538" w:type="pct"/>
            <w:tcBorders>
              <w:top w:val="nil"/>
              <w:left w:val="single" w:sz="4" w:space="0" w:color="auto"/>
              <w:bottom w:val="nil"/>
            </w:tcBorders>
            <w:shd w:val="clear" w:color="auto" w:fill="auto"/>
            <w:noWrap/>
            <w:vAlign w:val="bottom"/>
            <w:hideMark/>
          </w:tcPr>
          <w:p w:rsidR="00C73737" w:rsidRPr="003A1421" w:rsidRDefault="00C73737" w:rsidP="00C73737">
            <w:pPr>
              <w:spacing w:after="0" w:line="240" w:lineRule="auto"/>
              <w:jc w:val="right"/>
              <w:rPr>
                <w:rFonts w:cs="Arial"/>
                <w:color w:val="000000"/>
                <w:sz w:val="16"/>
                <w:szCs w:val="16"/>
              </w:rPr>
            </w:pPr>
            <w:r w:rsidRPr="003A1421">
              <w:rPr>
                <w:rFonts w:cs="Arial"/>
                <w:color w:val="000000"/>
                <w:sz w:val="16"/>
                <w:szCs w:val="16"/>
              </w:rPr>
              <w:t>241,5</w:t>
            </w:r>
          </w:p>
        </w:tc>
        <w:tc>
          <w:tcPr>
            <w:tcW w:w="538" w:type="pct"/>
            <w:tcBorders>
              <w:top w:val="nil"/>
              <w:bottom w:val="nil"/>
            </w:tcBorders>
            <w:shd w:val="clear" w:color="auto" w:fill="auto"/>
            <w:noWrap/>
            <w:vAlign w:val="bottom"/>
            <w:hideMark/>
          </w:tcPr>
          <w:p w:rsidR="00C73737" w:rsidRPr="003A1421" w:rsidRDefault="00C73737" w:rsidP="00C73737">
            <w:pPr>
              <w:spacing w:after="0" w:line="240" w:lineRule="auto"/>
              <w:jc w:val="right"/>
              <w:rPr>
                <w:rFonts w:cs="Arial"/>
                <w:color w:val="000000"/>
                <w:sz w:val="16"/>
                <w:szCs w:val="16"/>
              </w:rPr>
            </w:pPr>
            <w:r w:rsidRPr="003A1421">
              <w:rPr>
                <w:rFonts w:cs="Arial"/>
                <w:color w:val="000000"/>
                <w:sz w:val="16"/>
                <w:szCs w:val="16"/>
              </w:rPr>
              <w:t>121,0</w:t>
            </w:r>
          </w:p>
        </w:tc>
        <w:tc>
          <w:tcPr>
            <w:tcW w:w="538" w:type="pct"/>
            <w:tcBorders>
              <w:top w:val="nil"/>
              <w:left w:val="nil"/>
              <w:bottom w:val="nil"/>
              <w:right w:val="single" w:sz="4" w:space="0" w:color="auto"/>
            </w:tcBorders>
            <w:shd w:val="clear" w:color="auto" w:fill="auto"/>
            <w:noWrap/>
            <w:vAlign w:val="bottom"/>
            <w:hideMark/>
          </w:tcPr>
          <w:p w:rsidR="00C73737" w:rsidRPr="003A1421" w:rsidRDefault="00C73737" w:rsidP="00C73737">
            <w:pPr>
              <w:spacing w:after="0" w:line="240" w:lineRule="auto"/>
              <w:jc w:val="right"/>
              <w:rPr>
                <w:rFonts w:cs="Arial"/>
                <w:color w:val="000000"/>
                <w:sz w:val="16"/>
                <w:szCs w:val="16"/>
              </w:rPr>
            </w:pPr>
            <w:r w:rsidRPr="003A1421">
              <w:rPr>
                <w:rFonts w:cs="Arial"/>
                <w:color w:val="000000"/>
                <w:sz w:val="16"/>
                <w:szCs w:val="16"/>
              </w:rPr>
              <w:t>120,5</w:t>
            </w:r>
          </w:p>
        </w:tc>
        <w:tc>
          <w:tcPr>
            <w:tcW w:w="538" w:type="pct"/>
            <w:tcBorders>
              <w:top w:val="nil"/>
              <w:left w:val="nil"/>
              <w:bottom w:val="nil"/>
            </w:tcBorders>
            <w:shd w:val="clear" w:color="auto" w:fill="auto"/>
            <w:noWrap/>
            <w:vAlign w:val="bottom"/>
            <w:hideMark/>
          </w:tcPr>
          <w:p w:rsidR="00C73737" w:rsidRPr="003A1421" w:rsidRDefault="00C73737" w:rsidP="00C73737">
            <w:pPr>
              <w:spacing w:after="0" w:line="240" w:lineRule="auto"/>
              <w:jc w:val="right"/>
              <w:rPr>
                <w:rFonts w:cs="Arial"/>
                <w:color w:val="000000"/>
                <w:sz w:val="16"/>
                <w:szCs w:val="16"/>
              </w:rPr>
            </w:pPr>
            <w:r w:rsidRPr="003A1421">
              <w:rPr>
                <w:rFonts w:cs="Arial"/>
                <w:color w:val="000000"/>
                <w:sz w:val="16"/>
                <w:szCs w:val="16"/>
              </w:rPr>
              <w:t>54,4</w:t>
            </w:r>
          </w:p>
        </w:tc>
        <w:tc>
          <w:tcPr>
            <w:tcW w:w="538" w:type="pct"/>
            <w:tcBorders>
              <w:top w:val="nil"/>
              <w:bottom w:val="nil"/>
            </w:tcBorders>
            <w:shd w:val="clear" w:color="auto" w:fill="auto"/>
            <w:noWrap/>
            <w:vAlign w:val="bottom"/>
            <w:hideMark/>
          </w:tcPr>
          <w:p w:rsidR="00C73737" w:rsidRPr="003A1421" w:rsidRDefault="00C73737" w:rsidP="00C73737">
            <w:pPr>
              <w:spacing w:after="0" w:line="240" w:lineRule="auto"/>
              <w:jc w:val="right"/>
              <w:rPr>
                <w:rFonts w:cs="Arial"/>
                <w:color w:val="000000"/>
                <w:sz w:val="16"/>
                <w:szCs w:val="16"/>
              </w:rPr>
            </w:pPr>
            <w:r w:rsidRPr="003A1421">
              <w:rPr>
                <w:rFonts w:cs="Arial"/>
                <w:color w:val="000000"/>
                <w:sz w:val="16"/>
                <w:szCs w:val="16"/>
              </w:rPr>
              <w:t>51,1</w:t>
            </w:r>
          </w:p>
        </w:tc>
        <w:tc>
          <w:tcPr>
            <w:tcW w:w="539" w:type="pct"/>
            <w:tcBorders>
              <w:top w:val="nil"/>
              <w:left w:val="nil"/>
              <w:bottom w:val="nil"/>
              <w:right w:val="nil"/>
            </w:tcBorders>
            <w:shd w:val="clear" w:color="auto" w:fill="auto"/>
            <w:noWrap/>
            <w:vAlign w:val="bottom"/>
            <w:hideMark/>
          </w:tcPr>
          <w:p w:rsidR="00C73737" w:rsidRPr="003A1421" w:rsidRDefault="00C73737" w:rsidP="00C73737">
            <w:pPr>
              <w:spacing w:after="0" w:line="240" w:lineRule="auto"/>
              <w:jc w:val="right"/>
              <w:rPr>
                <w:rFonts w:cs="Arial"/>
                <w:color w:val="000000"/>
                <w:sz w:val="16"/>
                <w:szCs w:val="16"/>
              </w:rPr>
            </w:pPr>
            <w:r w:rsidRPr="003A1421">
              <w:rPr>
                <w:rFonts w:cs="Arial"/>
                <w:color w:val="000000"/>
                <w:sz w:val="16"/>
                <w:szCs w:val="16"/>
              </w:rPr>
              <w:t>57,7</w:t>
            </w:r>
          </w:p>
        </w:tc>
      </w:tr>
      <w:tr w:rsidR="00C73737" w:rsidRPr="00C73737" w:rsidTr="00C73737">
        <w:trPr>
          <w:trHeight w:val="300"/>
        </w:trPr>
        <w:tc>
          <w:tcPr>
            <w:tcW w:w="1771" w:type="pct"/>
            <w:tcBorders>
              <w:top w:val="nil"/>
              <w:left w:val="nil"/>
              <w:bottom w:val="nil"/>
              <w:right w:val="nil"/>
            </w:tcBorders>
            <w:shd w:val="clear" w:color="auto" w:fill="auto"/>
            <w:noWrap/>
            <w:vAlign w:val="bottom"/>
            <w:hideMark/>
          </w:tcPr>
          <w:p w:rsidR="00C73737" w:rsidRPr="00C73737" w:rsidRDefault="00C73737" w:rsidP="00C73737">
            <w:pPr>
              <w:spacing w:after="0" w:line="240" w:lineRule="auto"/>
              <w:ind w:firstLineChars="200" w:firstLine="320"/>
              <w:jc w:val="left"/>
              <w:rPr>
                <w:rFonts w:cs="Arial"/>
                <w:color w:val="000000"/>
                <w:sz w:val="16"/>
                <w:szCs w:val="16"/>
              </w:rPr>
            </w:pPr>
            <w:r w:rsidRPr="00C73737">
              <w:rPr>
                <w:rFonts w:cs="Arial"/>
                <w:color w:val="000000"/>
                <w:sz w:val="16"/>
                <w:szCs w:val="16"/>
              </w:rPr>
              <w:t xml:space="preserve"> jiné nemoci pohybové soustavy</w:t>
            </w:r>
          </w:p>
        </w:tc>
        <w:tc>
          <w:tcPr>
            <w:tcW w:w="538" w:type="pct"/>
            <w:tcBorders>
              <w:top w:val="nil"/>
              <w:left w:val="single" w:sz="4" w:space="0" w:color="auto"/>
              <w:bottom w:val="nil"/>
            </w:tcBorders>
            <w:shd w:val="clear" w:color="auto" w:fill="auto"/>
            <w:noWrap/>
            <w:vAlign w:val="bottom"/>
            <w:hideMark/>
          </w:tcPr>
          <w:p w:rsidR="00C73737" w:rsidRPr="003A1421" w:rsidRDefault="00C73737" w:rsidP="00C73737">
            <w:pPr>
              <w:spacing w:after="0" w:line="240" w:lineRule="auto"/>
              <w:jc w:val="right"/>
              <w:rPr>
                <w:rFonts w:cs="Arial"/>
                <w:color w:val="000000"/>
                <w:sz w:val="16"/>
                <w:szCs w:val="16"/>
              </w:rPr>
            </w:pPr>
            <w:r w:rsidRPr="003A1421">
              <w:rPr>
                <w:rFonts w:cs="Arial"/>
                <w:color w:val="000000"/>
                <w:sz w:val="16"/>
                <w:szCs w:val="16"/>
              </w:rPr>
              <w:t>134,0</w:t>
            </w:r>
          </w:p>
        </w:tc>
        <w:tc>
          <w:tcPr>
            <w:tcW w:w="538" w:type="pct"/>
            <w:tcBorders>
              <w:top w:val="nil"/>
              <w:bottom w:val="nil"/>
            </w:tcBorders>
            <w:shd w:val="clear" w:color="auto" w:fill="auto"/>
            <w:noWrap/>
            <w:vAlign w:val="bottom"/>
            <w:hideMark/>
          </w:tcPr>
          <w:p w:rsidR="00C73737" w:rsidRPr="003A1421" w:rsidRDefault="00C73737" w:rsidP="00C73737">
            <w:pPr>
              <w:spacing w:after="0" w:line="240" w:lineRule="auto"/>
              <w:jc w:val="right"/>
              <w:rPr>
                <w:rFonts w:cs="Arial"/>
                <w:color w:val="000000"/>
                <w:sz w:val="16"/>
                <w:szCs w:val="16"/>
              </w:rPr>
            </w:pPr>
            <w:r w:rsidRPr="003A1421">
              <w:rPr>
                <w:rFonts w:cs="Arial"/>
                <w:color w:val="000000"/>
                <w:sz w:val="16"/>
                <w:szCs w:val="16"/>
              </w:rPr>
              <w:t>66,6</w:t>
            </w:r>
          </w:p>
        </w:tc>
        <w:tc>
          <w:tcPr>
            <w:tcW w:w="538" w:type="pct"/>
            <w:tcBorders>
              <w:top w:val="nil"/>
              <w:left w:val="nil"/>
              <w:bottom w:val="nil"/>
              <w:right w:val="single" w:sz="4" w:space="0" w:color="auto"/>
            </w:tcBorders>
            <w:shd w:val="clear" w:color="auto" w:fill="auto"/>
            <w:noWrap/>
            <w:vAlign w:val="bottom"/>
            <w:hideMark/>
          </w:tcPr>
          <w:p w:rsidR="00C73737" w:rsidRPr="003A1421" w:rsidRDefault="00C73737" w:rsidP="00C73737">
            <w:pPr>
              <w:spacing w:after="0" w:line="240" w:lineRule="auto"/>
              <w:jc w:val="right"/>
              <w:rPr>
                <w:rFonts w:cs="Arial"/>
                <w:color w:val="000000"/>
                <w:sz w:val="16"/>
                <w:szCs w:val="16"/>
              </w:rPr>
            </w:pPr>
            <w:r w:rsidRPr="003A1421">
              <w:rPr>
                <w:rFonts w:cs="Arial"/>
                <w:color w:val="000000"/>
                <w:sz w:val="16"/>
                <w:szCs w:val="16"/>
              </w:rPr>
              <w:t>67,4</w:t>
            </w:r>
          </w:p>
        </w:tc>
        <w:tc>
          <w:tcPr>
            <w:tcW w:w="538" w:type="pct"/>
            <w:tcBorders>
              <w:top w:val="nil"/>
              <w:left w:val="nil"/>
              <w:bottom w:val="nil"/>
            </w:tcBorders>
            <w:shd w:val="clear" w:color="auto" w:fill="auto"/>
            <w:noWrap/>
            <w:vAlign w:val="bottom"/>
            <w:hideMark/>
          </w:tcPr>
          <w:p w:rsidR="00C73737" w:rsidRPr="003A1421" w:rsidRDefault="00C73737" w:rsidP="00C73737">
            <w:pPr>
              <w:spacing w:after="0" w:line="240" w:lineRule="auto"/>
              <w:jc w:val="right"/>
              <w:rPr>
                <w:rFonts w:cs="Arial"/>
                <w:color w:val="000000"/>
                <w:sz w:val="16"/>
                <w:szCs w:val="16"/>
              </w:rPr>
            </w:pPr>
            <w:r w:rsidRPr="003A1421">
              <w:rPr>
                <w:rFonts w:cs="Arial"/>
                <w:color w:val="000000"/>
                <w:sz w:val="16"/>
                <w:szCs w:val="16"/>
              </w:rPr>
              <w:t>72,2</w:t>
            </w:r>
          </w:p>
        </w:tc>
        <w:tc>
          <w:tcPr>
            <w:tcW w:w="538" w:type="pct"/>
            <w:tcBorders>
              <w:top w:val="nil"/>
              <w:bottom w:val="nil"/>
            </w:tcBorders>
            <w:shd w:val="clear" w:color="auto" w:fill="auto"/>
            <w:noWrap/>
            <w:vAlign w:val="bottom"/>
            <w:hideMark/>
          </w:tcPr>
          <w:p w:rsidR="00C73737" w:rsidRPr="003A1421" w:rsidRDefault="00C73737" w:rsidP="00C73737">
            <w:pPr>
              <w:spacing w:after="0" w:line="240" w:lineRule="auto"/>
              <w:jc w:val="right"/>
              <w:rPr>
                <w:rFonts w:cs="Arial"/>
                <w:color w:val="000000"/>
                <w:sz w:val="16"/>
                <w:szCs w:val="16"/>
              </w:rPr>
            </w:pPr>
            <w:r w:rsidRPr="003A1421">
              <w:rPr>
                <w:rFonts w:cs="Arial"/>
                <w:color w:val="000000"/>
                <w:sz w:val="16"/>
                <w:szCs w:val="16"/>
              </w:rPr>
              <w:t>69,0</w:t>
            </w:r>
          </w:p>
        </w:tc>
        <w:tc>
          <w:tcPr>
            <w:tcW w:w="539" w:type="pct"/>
            <w:tcBorders>
              <w:top w:val="nil"/>
              <w:left w:val="nil"/>
              <w:bottom w:val="nil"/>
              <w:right w:val="nil"/>
            </w:tcBorders>
            <w:shd w:val="clear" w:color="auto" w:fill="auto"/>
            <w:noWrap/>
            <w:vAlign w:val="bottom"/>
            <w:hideMark/>
          </w:tcPr>
          <w:p w:rsidR="00C73737" w:rsidRPr="003A1421" w:rsidRDefault="00C73737" w:rsidP="00C73737">
            <w:pPr>
              <w:spacing w:after="0" w:line="240" w:lineRule="auto"/>
              <w:jc w:val="right"/>
              <w:rPr>
                <w:rFonts w:cs="Arial"/>
                <w:color w:val="000000"/>
                <w:sz w:val="16"/>
                <w:szCs w:val="16"/>
              </w:rPr>
            </w:pPr>
            <w:r w:rsidRPr="003A1421">
              <w:rPr>
                <w:rFonts w:cs="Arial"/>
                <w:color w:val="000000"/>
                <w:sz w:val="16"/>
                <w:szCs w:val="16"/>
              </w:rPr>
              <w:t>75,3</w:t>
            </w:r>
          </w:p>
        </w:tc>
      </w:tr>
      <w:tr w:rsidR="00C73737" w:rsidRPr="00C73737" w:rsidTr="00C73737">
        <w:trPr>
          <w:trHeight w:val="300"/>
        </w:trPr>
        <w:tc>
          <w:tcPr>
            <w:tcW w:w="1771" w:type="pct"/>
            <w:tcBorders>
              <w:top w:val="nil"/>
              <w:left w:val="nil"/>
              <w:bottom w:val="nil"/>
              <w:right w:val="nil"/>
            </w:tcBorders>
            <w:shd w:val="clear" w:color="auto" w:fill="auto"/>
            <w:noWrap/>
            <w:vAlign w:val="bottom"/>
            <w:hideMark/>
          </w:tcPr>
          <w:p w:rsidR="00C73737" w:rsidRPr="00C73737" w:rsidRDefault="00C73737" w:rsidP="00C73737">
            <w:pPr>
              <w:spacing w:after="0" w:line="240" w:lineRule="auto"/>
              <w:ind w:firstLineChars="100" w:firstLine="160"/>
              <w:jc w:val="left"/>
              <w:rPr>
                <w:rFonts w:cs="Arial"/>
                <w:color w:val="000000"/>
                <w:sz w:val="16"/>
                <w:szCs w:val="16"/>
              </w:rPr>
            </w:pPr>
            <w:r w:rsidRPr="00C73737">
              <w:rPr>
                <w:rFonts w:cs="Arial"/>
                <w:color w:val="000000"/>
                <w:sz w:val="16"/>
                <w:szCs w:val="16"/>
              </w:rPr>
              <w:t>Nemoci močové a pohlavní soustavy</w:t>
            </w:r>
          </w:p>
        </w:tc>
        <w:tc>
          <w:tcPr>
            <w:tcW w:w="538" w:type="pct"/>
            <w:tcBorders>
              <w:top w:val="nil"/>
              <w:left w:val="single" w:sz="4" w:space="0" w:color="auto"/>
              <w:bottom w:val="nil"/>
            </w:tcBorders>
            <w:shd w:val="clear" w:color="auto" w:fill="auto"/>
            <w:noWrap/>
            <w:vAlign w:val="bottom"/>
            <w:hideMark/>
          </w:tcPr>
          <w:p w:rsidR="00C73737" w:rsidRPr="003A1421" w:rsidRDefault="00C73737" w:rsidP="00C73737">
            <w:pPr>
              <w:spacing w:after="0" w:line="240" w:lineRule="auto"/>
              <w:jc w:val="right"/>
              <w:rPr>
                <w:rFonts w:cs="Arial"/>
                <w:color w:val="000000"/>
                <w:sz w:val="16"/>
                <w:szCs w:val="16"/>
              </w:rPr>
            </w:pPr>
            <w:r w:rsidRPr="003A1421">
              <w:rPr>
                <w:rFonts w:cs="Arial"/>
                <w:color w:val="000000"/>
                <w:sz w:val="16"/>
                <w:szCs w:val="16"/>
              </w:rPr>
              <w:t>83,7</w:t>
            </w:r>
          </w:p>
        </w:tc>
        <w:tc>
          <w:tcPr>
            <w:tcW w:w="538" w:type="pct"/>
            <w:tcBorders>
              <w:top w:val="nil"/>
              <w:bottom w:val="nil"/>
            </w:tcBorders>
            <w:shd w:val="clear" w:color="auto" w:fill="auto"/>
            <w:noWrap/>
            <w:vAlign w:val="bottom"/>
            <w:hideMark/>
          </w:tcPr>
          <w:p w:rsidR="00C73737" w:rsidRPr="003A1421" w:rsidRDefault="00C73737" w:rsidP="00C73737">
            <w:pPr>
              <w:spacing w:after="0" w:line="240" w:lineRule="auto"/>
              <w:jc w:val="right"/>
              <w:rPr>
                <w:rFonts w:cs="Arial"/>
                <w:color w:val="000000"/>
                <w:sz w:val="16"/>
                <w:szCs w:val="16"/>
              </w:rPr>
            </w:pPr>
            <w:r w:rsidRPr="003A1421">
              <w:rPr>
                <w:rFonts w:cs="Arial"/>
                <w:color w:val="000000"/>
                <w:sz w:val="16"/>
                <w:szCs w:val="16"/>
              </w:rPr>
              <w:t>18,9</w:t>
            </w:r>
          </w:p>
        </w:tc>
        <w:tc>
          <w:tcPr>
            <w:tcW w:w="538" w:type="pct"/>
            <w:tcBorders>
              <w:top w:val="nil"/>
              <w:left w:val="nil"/>
              <w:bottom w:val="nil"/>
              <w:right w:val="single" w:sz="4" w:space="0" w:color="auto"/>
            </w:tcBorders>
            <w:shd w:val="clear" w:color="auto" w:fill="auto"/>
            <w:noWrap/>
            <w:vAlign w:val="bottom"/>
            <w:hideMark/>
          </w:tcPr>
          <w:p w:rsidR="00C73737" w:rsidRPr="003A1421" w:rsidRDefault="00C73737" w:rsidP="00C73737">
            <w:pPr>
              <w:spacing w:after="0" w:line="240" w:lineRule="auto"/>
              <w:jc w:val="right"/>
              <w:rPr>
                <w:rFonts w:cs="Arial"/>
                <w:color w:val="000000"/>
                <w:sz w:val="16"/>
                <w:szCs w:val="16"/>
              </w:rPr>
            </w:pPr>
            <w:r w:rsidRPr="003A1421">
              <w:rPr>
                <w:rFonts w:cs="Arial"/>
                <w:color w:val="000000"/>
                <w:sz w:val="16"/>
                <w:szCs w:val="16"/>
              </w:rPr>
              <w:t>64,8</w:t>
            </w:r>
          </w:p>
        </w:tc>
        <w:tc>
          <w:tcPr>
            <w:tcW w:w="538" w:type="pct"/>
            <w:tcBorders>
              <w:top w:val="nil"/>
              <w:left w:val="nil"/>
              <w:bottom w:val="nil"/>
            </w:tcBorders>
            <w:shd w:val="clear" w:color="auto" w:fill="auto"/>
            <w:noWrap/>
            <w:vAlign w:val="bottom"/>
            <w:hideMark/>
          </w:tcPr>
          <w:p w:rsidR="00C73737" w:rsidRPr="003A1421" w:rsidRDefault="00C73737" w:rsidP="00C73737">
            <w:pPr>
              <w:spacing w:after="0" w:line="240" w:lineRule="auto"/>
              <w:jc w:val="right"/>
              <w:rPr>
                <w:rFonts w:cs="Arial"/>
                <w:color w:val="000000"/>
                <w:sz w:val="16"/>
                <w:szCs w:val="16"/>
              </w:rPr>
            </w:pPr>
            <w:r w:rsidRPr="003A1421">
              <w:rPr>
                <w:rFonts w:cs="Arial"/>
                <w:color w:val="000000"/>
                <w:sz w:val="16"/>
                <w:szCs w:val="16"/>
              </w:rPr>
              <w:t>28,0</w:t>
            </w:r>
          </w:p>
        </w:tc>
        <w:tc>
          <w:tcPr>
            <w:tcW w:w="538" w:type="pct"/>
            <w:tcBorders>
              <w:top w:val="nil"/>
              <w:bottom w:val="nil"/>
            </w:tcBorders>
            <w:shd w:val="clear" w:color="auto" w:fill="auto"/>
            <w:noWrap/>
            <w:vAlign w:val="bottom"/>
            <w:hideMark/>
          </w:tcPr>
          <w:p w:rsidR="00C73737" w:rsidRPr="003A1421" w:rsidRDefault="00C73737" w:rsidP="00C73737">
            <w:pPr>
              <w:spacing w:after="0" w:line="240" w:lineRule="auto"/>
              <w:jc w:val="right"/>
              <w:rPr>
                <w:rFonts w:cs="Arial"/>
                <w:color w:val="000000"/>
                <w:sz w:val="16"/>
                <w:szCs w:val="16"/>
              </w:rPr>
            </w:pPr>
            <w:r w:rsidRPr="003A1421">
              <w:rPr>
                <w:rFonts w:cs="Arial"/>
                <w:color w:val="000000"/>
                <w:sz w:val="16"/>
                <w:szCs w:val="16"/>
              </w:rPr>
              <w:t>31,4</w:t>
            </w:r>
          </w:p>
        </w:tc>
        <w:tc>
          <w:tcPr>
            <w:tcW w:w="539" w:type="pct"/>
            <w:tcBorders>
              <w:top w:val="nil"/>
              <w:left w:val="nil"/>
              <w:bottom w:val="nil"/>
              <w:right w:val="nil"/>
            </w:tcBorders>
            <w:shd w:val="clear" w:color="auto" w:fill="auto"/>
            <w:noWrap/>
            <w:vAlign w:val="bottom"/>
            <w:hideMark/>
          </w:tcPr>
          <w:p w:rsidR="00C73737" w:rsidRPr="003A1421" w:rsidRDefault="00C73737" w:rsidP="00C73737">
            <w:pPr>
              <w:spacing w:after="0" w:line="240" w:lineRule="auto"/>
              <w:jc w:val="right"/>
              <w:rPr>
                <w:rFonts w:cs="Arial"/>
                <w:color w:val="000000"/>
                <w:sz w:val="16"/>
                <w:szCs w:val="16"/>
              </w:rPr>
            </w:pPr>
            <w:r w:rsidRPr="003A1421">
              <w:rPr>
                <w:rFonts w:cs="Arial"/>
                <w:color w:val="000000"/>
                <w:sz w:val="16"/>
                <w:szCs w:val="16"/>
              </w:rPr>
              <w:t>27,1</w:t>
            </w:r>
          </w:p>
        </w:tc>
      </w:tr>
      <w:tr w:rsidR="00C73737" w:rsidRPr="00C73737" w:rsidTr="00C73737">
        <w:trPr>
          <w:trHeight w:val="300"/>
        </w:trPr>
        <w:tc>
          <w:tcPr>
            <w:tcW w:w="1771" w:type="pct"/>
            <w:tcBorders>
              <w:top w:val="nil"/>
              <w:left w:val="nil"/>
              <w:bottom w:val="nil"/>
              <w:right w:val="nil"/>
            </w:tcBorders>
            <w:shd w:val="clear" w:color="auto" w:fill="auto"/>
            <w:noWrap/>
            <w:vAlign w:val="bottom"/>
            <w:hideMark/>
          </w:tcPr>
          <w:p w:rsidR="00C73737" w:rsidRPr="00C73737" w:rsidRDefault="00C73737" w:rsidP="00C73737">
            <w:pPr>
              <w:spacing w:after="0" w:line="240" w:lineRule="auto"/>
              <w:ind w:firstLineChars="100" w:firstLine="160"/>
              <w:jc w:val="left"/>
              <w:rPr>
                <w:rFonts w:cs="Arial"/>
                <w:color w:val="000000"/>
                <w:sz w:val="16"/>
                <w:szCs w:val="16"/>
              </w:rPr>
            </w:pPr>
            <w:r w:rsidRPr="00C73737">
              <w:rPr>
                <w:rFonts w:cs="Arial"/>
                <w:color w:val="000000"/>
                <w:sz w:val="16"/>
                <w:szCs w:val="16"/>
              </w:rPr>
              <w:t>Těhotenství, porod, šestinedělí</w:t>
            </w:r>
          </w:p>
        </w:tc>
        <w:tc>
          <w:tcPr>
            <w:tcW w:w="538" w:type="pct"/>
            <w:tcBorders>
              <w:top w:val="nil"/>
              <w:left w:val="single" w:sz="4" w:space="0" w:color="auto"/>
              <w:bottom w:val="nil"/>
            </w:tcBorders>
            <w:shd w:val="clear" w:color="auto" w:fill="auto"/>
            <w:noWrap/>
            <w:vAlign w:val="bottom"/>
            <w:hideMark/>
          </w:tcPr>
          <w:p w:rsidR="00C73737" w:rsidRPr="003A1421" w:rsidRDefault="00C73737" w:rsidP="00C73737">
            <w:pPr>
              <w:spacing w:after="0" w:line="240" w:lineRule="auto"/>
              <w:jc w:val="right"/>
              <w:rPr>
                <w:rFonts w:cs="Arial"/>
                <w:color w:val="000000"/>
                <w:sz w:val="16"/>
                <w:szCs w:val="16"/>
              </w:rPr>
            </w:pPr>
            <w:r w:rsidRPr="003A1421">
              <w:rPr>
                <w:rFonts w:cs="Arial"/>
                <w:color w:val="000000"/>
                <w:sz w:val="16"/>
                <w:szCs w:val="16"/>
              </w:rPr>
              <w:t>23,0</w:t>
            </w:r>
          </w:p>
        </w:tc>
        <w:tc>
          <w:tcPr>
            <w:tcW w:w="538" w:type="pct"/>
            <w:tcBorders>
              <w:top w:val="nil"/>
              <w:bottom w:val="nil"/>
            </w:tcBorders>
            <w:shd w:val="clear" w:color="auto" w:fill="auto"/>
            <w:noWrap/>
            <w:vAlign w:val="bottom"/>
            <w:hideMark/>
          </w:tcPr>
          <w:p w:rsidR="00C73737" w:rsidRPr="003A1421" w:rsidRDefault="003A1421" w:rsidP="00C73737">
            <w:pPr>
              <w:spacing w:after="0" w:line="240" w:lineRule="auto"/>
              <w:jc w:val="right"/>
              <w:rPr>
                <w:rFonts w:cs="Arial"/>
                <w:color w:val="000000"/>
                <w:sz w:val="16"/>
                <w:szCs w:val="16"/>
              </w:rPr>
            </w:pPr>
            <w:r w:rsidRPr="003A1421">
              <w:rPr>
                <w:rFonts w:cs="Arial"/>
                <w:color w:val="000000"/>
                <w:sz w:val="16"/>
                <w:szCs w:val="16"/>
              </w:rPr>
              <w:t>X</w:t>
            </w:r>
          </w:p>
        </w:tc>
        <w:tc>
          <w:tcPr>
            <w:tcW w:w="538" w:type="pct"/>
            <w:tcBorders>
              <w:top w:val="nil"/>
              <w:left w:val="nil"/>
              <w:bottom w:val="nil"/>
              <w:right w:val="single" w:sz="4" w:space="0" w:color="auto"/>
            </w:tcBorders>
            <w:shd w:val="clear" w:color="auto" w:fill="auto"/>
            <w:noWrap/>
            <w:vAlign w:val="bottom"/>
            <w:hideMark/>
          </w:tcPr>
          <w:p w:rsidR="00C73737" w:rsidRPr="003A1421" w:rsidRDefault="00C73737" w:rsidP="00C73737">
            <w:pPr>
              <w:spacing w:after="0" w:line="240" w:lineRule="auto"/>
              <w:jc w:val="right"/>
              <w:rPr>
                <w:rFonts w:cs="Arial"/>
                <w:color w:val="000000"/>
                <w:sz w:val="16"/>
                <w:szCs w:val="16"/>
              </w:rPr>
            </w:pPr>
            <w:r w:rsidRPr="003A1421">
              <w:rPr>
                <w:rFonts w:cs="Arial"/>
                <w:color w:val="000000"/>
                <w:sz w:val="16"/>
                <w:szCs w:val="16"/>
              </w:rPr>
              <w:t>23,0</w:t>
            </w:r>
          </w:p>
        </w:tc>
        <w:tc>
          <w:tcPr>
            <w:tcW w:w="538" w:type="pct"/>
            <w:tcBorders>
              <w:top w:val="nil"/>
              <w:left w:val="nil"/>
              <w:bottom w:val="nil"/>
            </w:tcBorders>
            <w:shd w:val="clear" w:color="auto" w:fill="auto"/>
            <w:noWrap/>
            <w:vAlign w:val="bottom"/>
            <w:hideMark/>
          </w:tcPr>
          <w:p w:rsidR="00C73737" w:rsidRPr="003A1421" w:rsidRDefault="00C73737" w:rsidP="00C73737">
            <w:pPr>
              <w:spacing w:after="0" w:line="240" w:lineRule="auto"/>
              <w:jc w:val="right"/>
              <w:rPr>
                <w:rFonts w:cs="Arial"/>
                <w:color w:val="000000"/>
                <w:sz w:val="16"/>
                <w:szCs w:val="16"/>
              </w:rPr>
            </w:pPr>
            <w:r w:rsidRPr="003A1421">
              <w:rPr>
                <w:rFonts w:cs="Arial"/>
                <w:color w:val="000000"/>
                <w:sz w:val="16"/>
                <w:szCs w:val="16"/>
              </w:rPr>
              <w:t>89,8</w:t>
            </w:r>
          </w:p>
        </w:tc>
        <w:tc>
          <w:tcPr>
            <w:tcW w:w="538" w:type="pct"/>
            <w:tcBorders>
              <w:top w:val="nil"/>
              <w:bottom w:val="nil"/>
            </w:tcBorders>
            <w:shd w:val="clear" w:color="auto" w:fill="auto"/>
            <w:noWrap/>
            <w:vAlign w:val="bottom"/>
            <w:hideMark/>
          </w:tcPr>
          <w:p w:rsidR="00C73737" w:rsidRPr="003A1421" w:rsidRDefault="003A1421" w:rsidP="00C73737">
            <w:pPr>
              <w:spacing w:after="0" w:line="240" w:lineRule="auto"/>
              <w:jc w:val="right"/>
              <w:rPr>
                <w:rFonts w:cs="Arial"/>
                <w:color w:val="000000"/>
                <w:sz w:val="16"/>
                <w:szCs w:val="16"/>
              </w:rPr>
            </w:pPr>
            <w:r w:rsidRPr="003A1421">
              <w:rPr>
                <w:rFonts w:cs="Arial"/>
                <w:color w:val="000000"/>
                <w:sz w:val="16"/>
                <w:szCs w:val="16"/>
              </w:rPr>
              <w:t>X</w:t>
            </w:r>
          </w:p>
        </w:tc>
        <w:tc>
          <w:tcPr>
            <w:tcW w:w="539" w:type="pct"/>
            <w:tcBorders>
              <w:top w:val="nil"/>
              <w:left w:val="nil"/>
              <w:bottom w:val="nil"/>
              <w:right w:val="nil"/>
            </w:tcBorders>
            <w:shd w:val="clear" w:color="auto" w:fill="auto"/>
            <w:noWrap/>
            <w:vAlign w:val="bottom"/>
            <w:hideMark/>
          </w:tcPr>
          <w:p w:rsidR="00C73737" w:rsidRPr="003A1421" w:rsidRDefault="00C73737" w:rsidP="00C73737">
            <w:pPr>
              <w:spacing w:after="0" w:line="240" w:lineRule="auto"/>
              <w:jc w:val="right"/>
              <w:rPr>
                <w:rFonts w:cs="Arial"/>
                <w:color w:val="000000"/>
                <w:sz w:val="16"/>
                <w:szCs w:val="16"/>
              </w:rPr>
            </w:pPr>
            <w:r w:rsidRPr="003A1421">
              <w:rPr>
                <w:rFonts w:cs="Arial"/>
                <w:color w:val="000000"/>
                <w:sz w:val="16"/>
                <w:szCs w:val="16"/>
              </w:rPr>
              <w:t>89,8</w:t>
            </w:r>
          </w:p>
        </w:tc>
      </w:tr>
      <w:tr w:rsidR="00C73737" w:rsidRPr="00C73737" w:rsidTr="00C73737">
        <w:trPr>
          <w:trHeight w:val="300"/>
        </w:trPr>
        <w:tc>
          <w:tcPr>
            <w:tcW w:w="1771" w:type="pct"/>
            <w:tcBorders>
              <w:top w:val="nil"/>
              <w:left w:val="nil"/>
              <w:bottom w:val="nil"/>
              <w:right w:val="nil"/>
            </w:tcBorders>
            <w:shd w:val="clear" w:color="auto" w:fill="auto"/>
            <w:noWrap/>
            <w:vAlign w:val="bottom"/>
            <w:hideMark/>
          </w:tcPr>
          <w:p w:rsidR="00C73737" w:rsidRPr="00C73737" w:rsidRDefault="00C73737" w:rsidP="00C73737">
            <w:pPr>
              <w:spacing w:after="0" w:line="240" w:lineRule="auto"/>
              <w:ind w:firstLineChars="100" w:firstLine="160"/>
              <w:jc w:val="left"/>
              <w:rPr>
                <w:rFonts w:cs="Arial"/>
                <w:color w:val="000000"/>
                <w:sz w:val="16"/>
                <w:szCs w:val="16"/>
              </w:rPr>
            </w:pPr>
            <w:r w:rsidRPr="00C73737">
              <w:rPr>
                <w:rFonts w:cs="Arial"/>
                <w:color w:val="000000"/>
                <w:sz w:val="16"/>
                <w:szCs w:val="16"/>
              </w:rPr>
              <w:t>Úrazy, otravy</w:t>
            </w:r>
          </w:p>
        </w:tc>
        <w:tc>
          <w:tcPr>
            <w:tcW w:w="538" w:type="pct"/>
            <w:tcBorders>
              <w:top w:val="nil"/>
              <w:left w:val="single" w:sz="4" w:space="0" w:color="auto"/>
              <w:bottom w:val="nil"/>
            </w:tcBorders>
            <w:shd w:val="clear" w:color="auto" w:fill="auto"/>
            <w:noWrap/>
            <w:vAlign w:val="bottom"/>
            <w:hideMark/>
          </w:tcPr>
          <w:p w:rsidR="00C73737" w:rsidRPr="003A1421" w:rsidRDefault="00C73737" w:rsidP="00C73737">
            <w:pPr>
              <w:spacing w:after="0" w:line="240" w:lineRule="auto"/>
              <w:jc w:val="right"/>
              <w:rPr>
                <w:rFonts w:cs="Arial"/>
                <w:color w:val="000000"/>
                <w:sz w:val="16"/>
                <w:szCs w:val="16"/>
              </w:rPr>
            </w:pPr>
            <w:r w:rsidRPr="003A1421">
              <w:rPr>
                <w:rFonts w:cs="Arial"/>
                <w:color w:val="000000"/>
                <w:sz w:val="16"/>
                <w:szCs w:val="16"/>
              </w:rPr>
              <w:t>199,0</w:t>
            </w:r>
          </w:p>
        </w:tc>
        <w:tc>
          <w:tcPr>
            <w:tcW w:w="538" w:type="pct"/>
            <w:tcBorders>
              <w:top w:val="nil"/>
              <w:bottom w:val="nil"/>
            </w:tcBorders>
            <w:shd w:val="clear" w:color="auto" w:fill="auto"/>
            <w:noWrap/>
            <w:vAlign w:val="bottom"/>
            <w:hideMark/>
          </w:tcPr>
          <w:p w:rsidR="00C73737" w:rsidRPr="003A1421" w:rsidRDefault="00C73737" w:rsidP="00C73737">
            <w:pPr>
              <w:spacing w:after="0" w:line="240" w:lineRule="auto"/>
              <w:jc w:val="right"/>
              <w:rPr>
                <w:rFonts w:cs="Arial"/>
                <w:color w:val="000000"/>
                <w:sz w:val="16"/>
                <w:szCs w:val="16"/>
              </w:rPr>
            </w:pPr>
            <w:r w:rsidRPr="003A1421">
              <w:rPr>
                <w:rFonts w:cs="Arial"/>
                <w:color w:val="000000"/>
                <w:sz w:val="16"/>
                <w:szCs w:val="16"/>
              </w:rPr>
              <w:t>120,5</w:t>
            </w:r>
          </w:p>
        </w:tc>
        <w:tc>
          <w:tcPr>
            <w:tcW w:w="538" w:type="pct"/>
            <w:tcBorders>
              <w:top w:val="nil"/>
              <w:left w:val="nil"/>
              <w:bottom w:val="nil"/>
              <w:right w:val="single" w:sz="4" w:space="0" w:color="auto"/>
            </w:tcBorders>
            <w:shd w:val="clear" w:color="auto" w:fill="auto"/>
            <w:noWrap/>
            <w:vAlign w:val="bottom"/>
            <w:hideMark/>
          </w:tcPr>
          <w:p w:rsidR="00C73737" w:rsidRPr="003A1421" w:rsidRDefault="00C73737" w:rsidP="00C73737">
            <w:pPr>
              <w:spacing w:after="0" w:line="240" w:lineRule="auto"/>
              <w:jc w:val="right"/>
              <w:rPr>
                <w:rFonts w:cs="Arial"/>
                <w:color w:val="000000"/>
                <w:sz w:val="16"/>
                <w:szCs w:val="16"/>
              </w:rPr>
            </w:pPr>
            <w:r w:rsidRPr="003A1421">
              <w:rPr>
                <w:rFonts w:cs="Arial"/>
                <w:color w:val="000000"/>
                <w:sz w:val="16"/>
                <w:szCs w:val="16"/>
              </w:rPr>
              <w:t>78,5</w:t>
            </w:r>
          </w:p>
        </w:tc>
        <w:tc>
          <w:tcPr>
            <w:tcW w:w="538" w:type="pct"/>
            <w:tcBorders>
              <w:top w:val="nil"/>
              <w:left w:val="nil"/>
              <w:bottom w:val="nil"/>
            </w:tcBorders>
            <w:shd w:val="clear" w:color="auto" w:fill="auto"/>
            <w:noWrap/>
            <w:vAlign w:val="bottom"/>
            <w:hideMark/>
          </w:tcPr>
          <w:p w:rsidR="00C73737" w:rsidRPr="003A1421" w:rsidRDefault="00C73737" w:rsidP="00C73737">
            <w:pPr>
              <w:spacing w:after="0" w:line="240" w:lineRule="auto"/>
              <w:jc w:val="right"/>
              <w:rPr>
                <w:rFonts w:cs="Arial"/>
                <w:color w:val="000000"/>
                <w:sz w:val="16"/>
                <w:szCs w:val="16"/>
              </w:rPr>
            </w:pPr>
            <w:r w:rsidRPr="003A1421">
              <w:rPr>
                <w:rFonts w:cs="Arial"/>
                <w:color w:val="000000"/>
                <w:sz w:val="16"/>
                <w:szCs w:val="16"/>
              </w:rPr>
              <w:t>51,8</w:t>
            </w:r>
          </w:p>
        </w:tc>
        <w:tc>
          <w:tcPr>
            <w:tcW w:w="538" w:type="pct"/>
            <w:tcBorders>
              <w:top w:val="nil"/>
              <w:bottom w:val="nil"/>
            </w:tcBorders>
            <w:shd w:val="clear" w:color="auto" w:fill="auto"/>
            <w:noWrap/>
            <w:vAlign w:val="bottom"/>
            <w:hideMark/>
          </w:tcPr>
          <w:p w:rsidR="00C73737" w:rsidRPr="003A1421" w:rsidRDefault="00C73737" w:rsidP="00C73737">
            <w:pPr>
              <w:spacing w:after="0" w:line="240" w:lineRule="auto"/>
              <w:jc w:val="right"/>
              <w:rPr>
                <w:rFonts w:cs="Arial"/>
                <w:color w:val="000000"/>
                <w:sz w:val="16"/>
                <w:szCs w:val="16"/>
              </w:rPr>
            </w:pPr>
            <w:r w:rsidRPr="003A1421">
              <w:rPr>
                <w:rFonts w:cs="Arial"/>
                <w:color w:val="000000"/>
                <w:sz w:val="16"/>
                <w:szCs w:val="16"/>
              </w:rPr>
              <w:t>50,7</w:t>
            </w:r>
          </w:p>
        </w:tc>
        <w:tc>
          <w:tcPr>
            <w:tcW w:w="539" w:type="pct"/>
            <w:tcBorders>
              <w:top w:val="nil"/>
              <w:left w:val="nil"/>
              <w:bottom w:val="nil"/>
              <w:right w:val="nil"/>
            </w:tcBorders>
            <w:shd w:val="clear" w:color="auto" w:fill="auto"/>
            <w:noWrap/>
            <w:vAlign w:val="bottom"/>
            <w:hideMark/>
          </w:tcPr>
          <w:p w:rsidR="00C73737" w:rsidRPr="003A1421" w:rsidRDefault="00C73737" w:rsidP="00C73737">
            <w:pPr>
              <w:spacing w:after="0" w:line="240" w:lineRule="auto"/>
              <w:jc w:val="right"/>
              <w:rPr>
                <w:rFonts w:cs="Arial"/>
                <w:color w:val="000000"/>
                <w:sz w:val="16"/>
                <w:szCs w:val="16"/>
              </w:rPr>
            </w:pPr>
            <w:r w:rsidRPr="003A1421">
              <w:rPr>
                <w:rFonts w:cs="Arial"/>
                <w:color w:val="000000"/>
                <w:sz w:val="16"/>
                <w:szCs w:val="16"/>
              </w:rPr>
              <w:t>53,6</w:t>
            </w:r>
          </w:p>
        </w:tc>
      </w:tr>
      <w:tr w:rsidR="00C73737" w:rsidRPr="00C73737" w:rsidTr="00C73737">
        <w:trPr>
          <w:trHeight w:val="300"/>
        </w:trPr>
        <w:tc>
          <w:tcPr>
            <w:tcW w:w="1771" w:type="pct"/>
            <w:tcBorders>
              <w:top w:val="nil"/>
              <w:left w:val="nil"/>
              <w:bottom w:val="nil"/>
              <w:right w:val="nil"/>
            </w:tcBorders>
            <w:shd w:val="clear" w:color="auto" w:fill="auto"/>
            <w:noWrap/>
            <w:vAlign w:val="bottom"/>
            <w:hideMark/>
          </w:tcPr>
          <w:p w:rsidR="00C73737" w:rsidRPr="00C73737" w:rsidRDefault="00C73737" w:rsidP="00C73737">
            <w:pPr>
              <w:spacing w:after="0" w:line="240" w:lineRule="auto"/>
              <w:ind w:firstLineChars="100" w:firstLine="160"/>
              <w:jc w:val="left"/>
              <w:rPr>
                <w:rFonts w:cs="Arial"/>
                <w:color w:val="000000"/>
                <w:sz w:val="16"/>
                <w:szCs w:val="16"/>
              </w:rPr>
            </w:pPr>
            <w:r w:rsidRPr="00C73737">
              <w:rPr>
                <w:rFonts w:cs="Arial"/>
                <w:color w:val="000000"/>
                <w:sz w:val="16"/>
                <w:szCs w:val="16"/>
              </w:rPr>
              <w:t>Nemoci ostatní</w:t>
            </w:r>
          </w:p>
        </w:tc>
        <w:tc>
          <w:tcPr>
            <w:tcW w:w="538" w:type="pct"/>
            <w:tcBorders>
              <w:top w:val="nil"/>
              <w:left w:val="single" w:sz="4" w:space="0" w:color="auto"/>
              <w:bottom w:val="nil"/>
            </w:tcBorders>
            <w:shd w:val="clear" w:color="auto" w:fill="auto"/>
            <w:noWrap/>
            <w:vAlign w:val="bottom"/>
            <w:hideMark/>
          </w:tcPr>
          <w:p w:rsidR="00C73737" w:rsidRPr="003A1421" w:rsidRDefault="00C73737" w:rsidP="00C73737">
            <w:pPr>
              <w:spacing w:after="0" w:line="240" w:lineRule="auto"/>
              <w:jc w:val="right"/>
              <w:rPr>
                <w:rFonts w:cs="Arial"/>
                <w:color w:val="000000"/>
                <w:sz w:val="16"/>
                <w:szCs w:val="16"/>
              </w:rPr>
            </w:pPr>
            <w:r w:rsidRPr="003A1421">
              <w:rPr>
                <w:rFonts w:cs="Arial"/>
                <w:color w:val="000000"/>
                <w:sz w:val="16"/>
                <w:szCs w:val="16"/>
              </w:rPr>
              <w:t>356,7</w:t>
            </w:r>
          </w:p>
        </w:tc>
        <w:tc>
          <w:tcPr>
            <w:tcW w:w="538" w:type="pct"/>
            <w:tcBorders>
              <w:top w:val="nil"/>
              <w:bottom w:val="nil"/>
            </w:tcBorders>
            <w:shd w:val="clear" w:color="auto" w:fill="auto"/>
            <w:noWrap/>
            <w:vAlign w:val="bottom"/>
            <w:hideMark/>
          </w:tcPr>
          <w:p w:rsidR="00C73737" w:rsidRPr="003A1421" w:rsidRDefault="00C73737" w:rsidP="00C73737">
            <w:pPr>
              <w:spacing w:after="0" w:line="240" w:lineRule="auto"/>
              <w:jc w:val="right"/>
              <w:rPr>
                <w:rFonts w:cs="Arial"/>
                <w:color w:val="000000"/>
                <w:sz w:val="16"/>
                <w:szCs w:val="16"/>
              </w:rPr>
            </w:pPr>
            <w:r w:rsidRPr="003A1421">
              <w:rPr>
                <w:rFonts w:cs="Arial"/>
                <w:color w:val="000000"/>
                <w:sz w:val="16"/>
                <w:szCs w:val="16"/>
              </w:rPr>
              <w:t>143,3</w:t>
            </w:r>
          </w:p>
        </w:tc>
        <w:tc>
          <w:tcPr>
            <w:tcW w:w="538" w:type="pct"/>
            <w:tcBorders>
              <w:top w:val="nil"/>
              <w:left w:val="nil"/>
              <w:bottom w:val="nil"/>
              <w:right w:val="single" w:sz="4" w:space="0" w:color="auto"/>
            </w:tcBorders>
            <w:shd w:val="clear" w:color="auto" w:fill="auto"/>
            <w:noWrap/>
            <w:vAlign w:val="bottom"/>
            <w:hideMark/>
          </w:tcPr>
          <w:p w:rsidR="00C73737" w:rsidRPr="003A1421" w:rsidRDefault="00C73737" w:rsidP="00C73737">
            <w:pPr>
              <w:spacing w:after="0" w:line="240" w:lineRule="auto"/>
              <w:jc w:val="right"/>
              <w:rPr>
                <w:rFonts w:cs="Arial"/>
                <w:color w:val="000000"/>
                <w:sz w:val="16"/>
                <w:szCs w:val="16"/>
              </w:rPr>
            </w:pPr>
            <w:r w:rsidRPr="003A1421">
              <w:rPr>
                <w:rFonts w:cs="Arial"/>
                <w:color w:val="000000"/>
                <w:sz w:val="16"/>
                <w:szCs w:val="16"/>
              </w:rPr>
              <w:t>213,4</w:t>
            </w:r>
          </w:p>
        </w:tc>
        <w:tc>
          <w:tcPr>
            <w:tcW w:w="538" w:type="pct"/>
            <w:tcBorders>
              <w:top w:val="nil"/>
              <w:left w:val="nil"/>
              <w:bottom w:val="nil"/>
            </w:tcBorders>
            <w:shd w:val="clear" w:color="auto" w:fill="auto"/>
            <w:noWrap/>
            <w:vAlign w:val="bottom"/>
            <w:hideMark/>
          </w:tcPr>
          <w:p w:rsidR="00C73737" w:rsidRPr="003A1421" w:rsidRDefault="00C73737" w:rsidP="00C73737">
            <w:pPr>
              <w:spacing w:after="0" w:line="240" w:lineRule="auto"/>
              <w:jc w:val="right"/>
              <w:rPr>
                <w:rFonts w:cs="Arial"/>
                <w:color w:val="000000"/>
                <w:sz w:val="16"/>
                <w:szCs w:val="16"/>
              </w:rPr>
            </w:pPr>
            <w:r w:rsidRPr="003A1421">
              <w:rPr>
                <w:rFonts w:cs="Arial"/>
                <w:color w:val="000000"/>
                <w:sz w:val="16"/>
                <w:szCs w:val="16"/>
              </w:rPr>
              <w:t>22,6</w:t>
            </w:r>
          </w:p>
        </w:tc>
        <w:tc>
          <w:tcPr>
            <w:tcW w:w="538" w:type="pct"/>
            <w:tcBorders>
              <w:top w:val="nil"/>
              <w:bottom w:val="nil"/>
            </w:tcBorders>
            <w:shd w:val="clear" w:color="auto" w:fill="auto"/>
            <w:noWrap/>
            <w:vAlign w:val="bottom"/>
            <w:hideMark/>
          </w:tcPr>
          <w:p w:rsidR="00C73737" w:rsidRPr="003A1421" w:rsidRDefault="00C73737" w:rsidP="00C73737">
            <w:pPr>
              <w:spacing w:after="0" w:line="240" w:lineRule="auto"/>
              <w:jc w:val="right"/>
              <w:rPr>
                <w:rFonts w:cs="Arial"/>
                <w:color w:val="000000"/>
                <w:sz w:val="16"/>
                <w:szCs w:val="16"/>
              </w:rPr>
            </w:pPr>
            <w:r w:rsidRPr="003A1421">
              <w:rPr>
                <w:rFonts w:cs="Arial"/>
                <w:color w:val="000000"/>
                <w:sz w:val="16"/>
                <w:szCs w:val="16"/>
              </w:rPr>
              <w:t>20,3</w:t>
            </w:r>
          </w:p>
        </w:tc>
        <w:tc>
          <w:tcPr>
            <w:tcW w:w="539" w:type="pct"/>
            <w:tcBorders>
              <w:top w:val="nil"/>
              <w:left w:val="nil"/>
              <w:bottom w:val="nil"/>
              <w:right w:val="nil"/>
            </w:tcBorders>
            <w:shd w:val="clear" w:color="auto" w:fill="auto"/>
            <w:noWrap/>
            <w:vAlign w:val="bottom"/>
            <w:hideMark/>
          </w:tcPr>
          <w:p w:rsidR="00C73737" w:rsidRPr="003A1421" w:rsidRDefault="00C73737" w:rsidP="00C73737">
            <w:pPr>
              <w:spacing w:after="0" w:line="240" w:lineRule="auto"/>
              <w:jc w:val="right"/>
              <w:rPr>
                <w:rFonts w:cs="Arial"/>
                <w:color w:val="000000"/>
                <w:sz w:val="16"/>
                <w:szCs w:val="16"/>
              </w:rPr>
            </w:pPr>
            <w:r w:rsidRPr="003A1421">
              <w:rPr>
                <w:rFonts w:cs="Arial"/>
                <w:color w:val="000000"/>
                <w:sz w:val="16"/>
                <w:szCs w:val="16"/>
              </w:rPr>
              <w:t>24,2</w:t>
            </w:r>
          </w:p>
        </w:tc>
      </w:tr>
    </w:tbl>
    <w:p w:rsidR="001A1051" w:rsidRPr="007233C8" w:rsidRDefault="007233C8" w:rsidP="00C73737">
      <w:pPr>
        <w:spacing w:before="120" w:after="0"/>
        <w:rPr>
          <w:sz w:val="16"/>
          <w:szCs w:val="16"/>
        </w:rPr>
      </w:pPr>
      <w:r w:rsidRPr="007233C8">
        <w:rPr>
          <w:sz w:val="16"/>
          <w:szCs w:val="16"/>
        </w:rPr>
        <w:t>Pozn</w:t>
      </w:r>
      <w:r>
        <w:rPr>
          <w:sz w:val="16"/>
          <w:szCs w:val="16"/>
        </w:rPr>
        <w:t>ámka</w:t>
      </w:r>
      <w:r w:rsidRPr="007233C8">
        <w:rPr>
          <w:sz w:val="16"/>
          <w:szCs w:val="16"/>
        </w:rPr>
        <w:t xml:space="preserve">: </w:t>
      </w:r>
      <w:r>
        <w:rPr>
          <w:sz w:val="16"/>
          <w:szCs w:val="16"/>
        </w:rPr>
        <w:t>X</w:t>
      </w:r>
      <w:r w:rsidR="003A1421">
        <w:rPr>
          <w:sz w:val="16"/>
          <w:szCs w:val="16"/>
        </w:rPr>
        <w:t xml:space="preserve"> v tabulce značí, že</w:t>
      </w:r>
      <w:r w:rsidRPr="007233C8">
        <w:rPr>
          <w:sz w:val="16"/>
          <w:szCs w:val="16"/>
        </w:rPr>
        <w:t xml:space="preserve"> jev</w:t>
      </w:r>
      <w:r w:rsidR="003A1421">
        <w:rPr>
          <w:sz w:val="16"/>
          <w:szCs w:val="16"/>
        </w:rPr>
        <w:t xml:space="preserve"> není logicky možný</w:t>
      </w:r>
      <w:r>
        <w:rPr>
          <w:sz w:val="16"/>
          <w:szCs w:val="16"/>
        </w:rPr>
        <w:t>.</w:t>
      </w:r>
    </w:p>
    <w:p w:rsidR="007233C8" w:rsidRPr="007233C8" w:rsidRDefault="007233C8" w:rsidP="007233C8">
      <w:pPr>
        <w:rPr>
          <w:sz w:val="16"/>
          <w:szCs w:val="16"/>
        </w:rPr>
      </w:pPr>
      <w:r w:rsidRPr="007233C8">
        <w:rPr>
          <w:sz w:val="16"/>
          <w:szCs w:val="16"/>
        </w:rPr>
        <w:t>Zdroj: ČSSZ</w:t>
      </w:r>
    </w:p>
    <w:p w:rsidR="00443707" w:rsidRPr="00443707" w:rsidRDefault="00443707" w:rsidP="00C5497F">
      <w:r w:rsidRPr="00443707">
        <w:rPr>
          <w:b/>
        </w:rPr>
        <w:t xml:space="preserve">Nemoci pohybové soustavy </w:t>
      </w:r>
      <w:r w:rsidRPr="00443707">
        <w:t>způsobily 15 % pracovních neschopností.</w:t>
      </w:r>
      <w:r w:rsidRPr="00443707">
        <w:rPr>
          <w:b/>
        </w:rPr>
        <w:t xml:space="preserve"> </w:t>
      </w:r>
      <w:r w:rsidR="00203EDD">
        <w:t>Tato onemocnění</w:t>
      </w:r>
      <w:r w:rsidRPr="00443707">
        <w:t xml:space="preserve"> se vyznačují poměrně dlouhou délkou trvání, v průměru zhruba </w:t>
      </w:r>
      <w:r w:rsidR="00203EDD">
        <w:t xml:space="preserve">61 dní </w:t>
      </w:r>
      <w:r w:rsidRPr="00443707">
        <w:t>na 1 případ. Počet prostona</w:t>
      </w:r>
      <w:r w:rsidR="00203EDD">
        <w:t>ných dnů v této kategorii činil 22,8</w:t>
      </w:r>
      <w:r w:rsidRPr="00443707">
        <w:t xml:space="preserve"> mil</w:t>
      </w:r>
      <w:r w:rsidR="00203EDD">
        <w:t xml:space="preserve">ionů, </w:t>
      </w:r>
      <w:r w:rsidRPr="00443707">
        <w:t>dlouhodobě</w:t>
      </w:r>
      <w:r w:rsidR="00203EDD">
        <w:t xml:space="preserve"> </w:t>
      </w:r>
      <w:r w:rsidRPr="00443707">
        <w:t>nejvyšší podíl</w:t>
      </w:r>
      <w:r w:rsidR="00203EDD">
        <w:t xml:space="preserve"> prostonaných dnů </w:t>
      </w:r>
      <w:r w:rsidRPr="00443707">
        <w:t>ze všech skupin diagnóz</w:t>
      </w:r>
      <w:r w:rsidR="00203EDD">
        <w:t xml:space="preserve"> (okolo 30 %)</w:t>
      </w:r>
      <w:r w:rsidRPr="00443707">
        <w:t xml:space="preserve">. </w:t>
      </w:r>
      <w:r w:rsidR="00203EDD">
        <w:t xml:space="preserve">V rámci </w:t>
      </w:r>
      <w:r w:rsidRPr="00443707">
        <w:t>nemocí pohybové soustavy je pracovní neschopnost nejčastěji způsobena nemocemi páteře.</w:t>
      </w:r>
    </w:p>
    <w:p w:rsidR="00443707" w:rsidRPr="00443707" w:rsidRDefault="00567115" w:rsidP="00C5497F">
      <w:r w:rsidRPr="00567115">
        <w:rPr>
          <w:spacing w:val="-2"/>
        </w:rPr>
        <w:t xml:space="preserve">Necelých 15 % všech pracovních neschopností v roce 2024 připadalo na </w:t>
      </w:r>
      <w:r w:rsidRPr="00567115">
        <w:rPr>
          <w:b/>
          <w:spacing w:val="-2"/>
        </w:rPr>
        <w:t>o</w:t>
      </w:r>
      <w:r w:rsidR="00443707" w:rsidRPr="00567115">
        <w:rPr>
          <w:b/>
          <w:spacing w:val="-2"/>
        </w:rPr>
        <w:t>statní</w:t>
      </w:r>
      <w:r w:rsidRPr="00567115">
        <w:rPr>
          <w:b/>
          <w:spacing w:val="-2"/>
        </w:rPr>
        <w:t xml:space="preserve"> nemoci</w:t>
      </w:r>
      <w:r w:rsidRPr="00567115">
        <w:rPr>
          <w:spacing w:val="-2"/>
        </w:rPr>
        <w:t>, mezi které patří</w:t>
      </w:r>
      <w:r>
        <w:t xml:space="preserve"> také </w:t>
      </w:r>
      <w:r w:rsidRPr="00567115">
        <w:t>karantény.</w:t>
      </w:r>
      <w:r>
        <w:t xml:space="preserve"> </w:t>
      </w:r>
      <w:r w:rsidR="00443707" w:rsidRPr="00443707">
        <w:t>Oproti minulým letům</w:t>
      </w:r>
      <w:r>
        <w:t xml:space="preserve"> zde</w:t>
      </w:r>
      <w:r w:rsidR="00443707" w:rsidRPr="00443707">
        <w:t xml:space="preserve"> došlo k významnému poklesu. V roce 2022 tvořily ostatní nemoci 41 % všech ukončených případů pracovní neschopnosti.</w:t>
      </w:r>
      <w:r w:rsidR="009B2406">
        <w:t xml:space="preserve"> </w:t>
      </w:r>
      <w:r w:rsidR="00443707" w:rsidRPr="00443707">
        <w:t>V</w:t>
      </w:r>
      <w:r w:rsidR="009B2406">
        <w:t xml:space="preserve"> </w:t>
      </w:r>
      <w:r w:rsidR="00443707" w:rsidRPr="00443707">
        <w:t>období let 2015 až</w:t>
      </w:r>
      <w:r>
        <w:t xml:space="preserve"> 2019, tedy před </w:t>
      </w:r>
      <w:proofErr w:type="spellStart"/>
      <w:r>
        <w:t>koronavirovou</w:t>
      </w:r>
      <w:proofErr w:type="spellEnd"/>
      <w:r>
        <w:t xml:space="preserve"> epidemií</w:t>
      </w:r>
      <w:r w:rsidR="00443707" w:rsidRPr="00443707">
        <w:t>, se zastoupení ostatních nemocí jako příčiny pracovní neschopnosti pohybovalo mezi 8 a 10 %.</w:t>
      </w:r>
    </w:p>
    <w:p w:rsidR="00443707" w:rsidRPr="00443707" w:rsidRDefault="00876FBE" w:rsidP="00C5497F">
      <w:r>
        <w:lastRenderedPageBreak/>
        <w:t>Další relativně častou příčinou</w:t>
      </w:r>
      <w:r w:rsidR="00443707" w:rsidRPr="00443707">
        <w:t xml:space="preserve"> pracovní neschopnosti</w:t>
      </w:r>
      <w:r>
        <w:t xml:space="preserve"> byly</w:t>
      </w:r>
      <w:r w:rsidR="00443707" w:rsidRPr="00443707">
        <w:t xml:space="preserve"> </w:t>
      </w:r>
      <w:r w:rsidR="00443707" w:rsidRPr="00443707">
        <w:rPr>
          <w:b/>
        </w:rPr>
        <w:t>úrazy a otravy</w:t>
      </w:r>
      <w:r w:rsidR="00443707" w:rsidRPr="00443707">
        <w:t xml:space="preserve">. Na </w:t>
      </w:r>
      <w:r>
        <w:t>celkovém počtu neschopenek</w:t>
      </w:r>
      <w:r w:rsidR="00443707" w:rsidRPr="00443707">
        <w:t xml:space="preserve"> se podílely 8 %. Průměrná délka trvání pracovní neschopnosti</w:t>
      </w:r>
      <w:r w:rsidR="00C5497F">
        <w:t xml:space="preserve"> činila </w:t>
      </w:r>
      <w:r w:rsidR="00443707" w:rsidRPr="00443707">
        <w:t>v t</w:t>
      </w:r>
      <w:r w:rsidR="00C5497F">
        <w:t>ěchto případech 52 dní,</w:t>
      </w:r>
      <w:r w:rsidR="00443707" w:rsidRPr="00443707">
        <w:t xml:space="preserve"> celkový počet prostonaných</w:t>
      </w:r>
      <w:r w:rsidR="00C5497F">
        <w:t xml:space="preserve"> dní pak</w:t>
      </w:r>
      <w:r w:rsidR="00443707" w:rsidRPr="00443707">
        <w:t xml:space="preserve"> 10,</w:t>
      </w:r>
      <w:r w:rsidR="00C5497F">
        <w:t>3</w:t>
      </w:r>
      <w:r w:rsidR="00443707" w:rsidRPr="00443707">
        <w:t xml:space="preserve"> mil</w:t>
      </w:r>
      <w:r w:rsidR="00C5497F">
        <w:t>ionu</w:t>
      </w:r>
      <w:r w:rsidR="00443707" w:rsidRPr="00443707">
        <w:t>.</w:t>
      </w:r>
    </w:p>
    <w:p w:rsidR="00AD25A6" w:rsidRDefault="00C5497F" w:rsidP="003222C5">
      <w:r>
        <w:t xml:space="preserve">Nejvyšší </w:t>
      </w:r>
      <w:r w:rsidR="00443707" w:rsidRPr="00C5497F">
        <w:t>průměrná délka</w:t>
      </w:r>
      <w:r w:rsidR="00443707" w:rsidRPr="00443707">
        <w:t xml:space="preserve"> trvání pracovní neschopnosti </w:t>
      </w:r>
      <w:r w:rsidRPr="00443707">
        <w:t>v roce 202</w:t>
      </w:r>
      <w:r>
        <w:t>4</w:t>
      </w:r>
      <w:r w:rsidRPr="00443707">
        <w:t xml:space="preserve"> </w:t>
      </w:r>
      <w:r w:rsidR="00443707" w:rsidRPr="00443707">
        <w:t>byla</w:t>
      </w:r>
      <w:r w:rsidRPr="00C5497F">
        <w:t xml:space="preserve"> </w:t>
      </w:r>
      <w:r w:rsidRPr="00443707">
        <w:t>evidována</w:t>
      </w:r>
      <w:r>
        <w:t>, při pominutí téměř se nevyskytující tuberkulózy (95 případů),</w:t>
      </w:r>
      <w:r w:rsidR="00443707" w:rsidRPr="00443707">
        <w:t xml:space="preserve"> u </w:t>
      </w:r>
      <w:r w:rsidR="00443707" w:rsidRPr="00C5497F">
        <w:rPr>
          <w:b/>
        </w:rPr>
        <w:t>zhoubných novotvarů</w:t>
      </w:r>
      <w:r w:rsidR="00443707" w:rsidRPr="00443707">
        <w:t xml:space="preserve"> (170 dnů). Neschopenka u této skupiny </w:t>
      </w:r>
      <w:r>
        <w:t>onemocnění</w:t>
      </w:r>
      <w:r w:rsidR="00443707" w:rsidRPr="00443707">
        <w:t xml:space="preserve"> trvala v průměru 16</w:t>
      </w:r>
      <w:r>
        <w:t>1 dní</w:t>
      </w:r>
      <w:r w:rsidR="00443707" w:rsidRPr="00443707">
        <w:t xml:space="preserve"> u mužů</w:t>
      </w:r>
      <w:r>
        <w:t xml:space="preserve"> a 177 dní u žen.</w:t>
      </w:r>
    </w:p>
    <w:p w:rsidR="00C5497F" w:rsidRDefault="00C73737" w:rsidP="0039112B">
      <w:r>
        <w:t xml:space="preserve">V pracovní neschopnosti jsou častěji </w:t>
      </w:r>
      <w:r w:rsidR="00C5497F" w:rsidRPr="00251BF8">
        <w:t>žen</w:t>
      </w:r>
      <w:r>
        <w:t>y</w:t>
      </w:r>
      <w:r w:rsidR="00C5497F" w:rsidRPr="00251BF8">
        <w:t>, v roce 202</w:t>
      </w:r>
      <w:r>
        <w:t>4</w:t>
      </w:r>
      <w:r w:rsidR="00C5497F" w:rsidRPr="00251BF8">
        <w:t xml:space="preserve"> </w:t>
      </w:r>
      <w:r w:rsidR="00464C4F">
        <w:t>zaznamenaly 1 343</w:t>
      </w:r>
      <w:r>
        <w:t xml:space="preserve"> tisíc</w:t>
      </w:r>
      <w:r w:rsidR="00C5497F" w:rsidRPr="00251BF8">
        <w:t xml:space="preserve"> ukončených případů pracovní neschopnosti, muži 1</w:t>
      </w:r>
      <w:r w:rsidR="00C5497F">
        <w:t> </w:t>
      </w:r>
      <w:r w:rsidR="00464C4F">
        <w:t>099</w:t>
      </w:r>
      <w:r w:rsidR="00C5497F" w:rsidRPr="00251BF8">
        <w:t xml:space="preserve"> tis</w:t>
      </w:r>
      <w:r w:rsidR="00464C4F">
        <w:t>íc</w:t>
      </w:r>
      <w:r w:rsidR="00C5497F" w:rsidRPr="00251BF8">
        <w:t xml:space="preserve">. Výraznější rozdíl v pracovní neschopnosti podle pohlaví se objevuje u </w:t>
      </w:r>
      <w:r w:rsidR="00C5497F" w:rsidRPr="00464C4F">
        <w:rPr>
          <w:b/>
        </w:rPr>
        <w:t>nemocí močové a pohlavní soustavy</w:t>
      </w:r>
      <w:r w:rsidR="003222C5">
        <w:t>, kde byl v roce 2024</w:t>
      </w:r>
      <w:r w:rsidR="00C5497F" w:rsidRPr="00251BF8">
        <w:t xml:space="preserve"> počet ukončených případů u mužů oproti ženám </w:t>
      </w:r>
      <w:r w:rsidR="003222C5">
        <w:t xml:space="preserve">téměř </w:t>
      </w:r>
      <w:r w:rsidR="00C5497F" w:rsidRPr="00251BF8">
        <w:t xml:space="preserve">3,5krát nižší. </w:t>
      </w:r>
      <w:r w:rsidR="00C5497F" w:rsidRPr="003222C5">
        <w:rPr>
          <w:b/>
        </w:rPr>
        <w:t>Duševní onemocnění</w:t>
      </w:r>
      <w:r w:rsidR="00C5497F" w:rsidRPr="00251BF8">
        <w:t xml:space="preserve"> vedou</w:t>
      </w:r>
      <w:r w:rsidR="003222C5">
        <w:t xml:space="preserve">cí k pracovní neschopnosti </w:t>
      </w:r>
      <w:r w:rsidR="00C5497F" w:rsidRPr="00251BF8">
        <w:t>v roce 202</w:t>
      </w:r>
      <w:r w:rsidR="003222C5">
        <w:t xml:space="preserve">4 téměř dvakrát častěji postihovaly </w:t>
      </w:r>
      <w:r w:rsidR="00C5497F" w:rsidRPr="00251BF8">
        <w:t>žen</w:t>
      </w:r>
      <w:r w:rsidR="003222C5">
        <w:t xml:space="preserve">y než muže. Muži byli </w:t>
      </w:r>
      <w:r w:rsidR="00C5497F" w:rsidRPr="00251BF8">
        <w:t xml:space="preserve">naopak náchylnější </w:t>
      </w:r>
      <w:r w:rsidR="003222C5">
        <w:t xml:space="preserve">k nemocem oběhové a trávicí soustavy, </w:t>
      </w:r>
      <w:r w:rsidR="00C5497F" w:rsidRPr="00251BF8">
        <w:t>úraz</w:t>
      </w:r>
      <w:r w:rsidR="003222C5">
        <w:t>ům</w:t>
      </w:r>
      <w:r w:rsidR="00C5497F" w:rsidRPr="00251BF8">
        <w:t xml:space="preserve"> a</w:t>
      </w:r>
      <w:r w:rsidR="003222C5">
        <w:t> otravám.</w:t>
      </w:r>
    </w:p>
    <w:p w:rsidR="0039112B" w:rsidRPr="003D05A0" w:rsidRDefault="0039112B" w:rsidP="0039112B">
      <w:pPr>
        <w:spacing w:after="0"/>
        <w:rPr>
          <w:b/>
          <w:spacing w:val="-4"/>
        </w:rPr>
      </w:pPr>
      <w:r w:rsidRPr="003D05A0">
        <w:rPr>
          <w:b/>
          <w:spacing w:val="-4"/>
        </w:rPr>
        <w:t>Graf 3.1: Struktura ukončených případů dočasné pracovní neschopnosti podle skupin diagnóz, 2024</w:t>
      </w:r>
      <w:r w:rsidR="003D05A0" w:rsidRPr="003D05A0">
        <w:rPr>
          <w:b/>
          <w:spacing w:val="-4"/>
        </w:rPr>
        <w:t xml:space="preserve"> (v %)</w:t>
      </w:r>
    </w:p>
    <w:p w:rsidR="00294A6A" w:rsidRDefault="00294A6A" w:rsidP="0039112B">
      <w:pPr>
        <w:spacing w:after="0"/>
        <w:rPr>
          <w:b/>
          <w:sz w:val="16"/>
          <w:szCs w:val="16"/>
        </w:rPr>
      </w:pPr>
      <w:r>
        <w:rPr>
          <w:noProof/>
        </w:rPr>
        <w:drawing>
          <wp:inline distT="0" distB="0" distL="0" distR="0" wp14:anchorId="780E7D58" wp14:editId="0B946A72">
            <wp:extent cx="6120000" cy="2880000"/>
            <wp:effectExtent l="0" t="0" r="0" b="0"/>
            <wp:docPr id="25" name="Graf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39112B" w:rsidRDefault="00294A6A" w:rsidP="00294A6A">
      <w:pPr>
        <w:rPr>
          <w:sz w:val="16"/>
          <w:szCs w:val="16"/>
        </w:rPr>
      </w:pPr>
      <w:r>
        <w:rPr>
          <w:sz w:val="16"/>
          <w:szCs w:val="16"/>
        </w:rPr>
        <w:t>Zdroj: ČSSZ</w:t>
      </w:r>
    </w:p>
    <w:p w:rsidR="00294A6A" w:rsidRDefault="00294A6A" w:rsidP="00CD67F3">
      <w:pPr>
        <w:pStyle w:val="Nadpis3"/>
      </w:pPr>
      <w:bookmarkStart w:id="7" w:name="_Toc198986220"/>
      <w:r>
        <w:t>4.4 Výdaje na dávky nemocenského pojištění</w:t>
      </w:r>
      <w:bookmarkEnd w:id="7"/>
    </w:p>
    <w:p w:rsidR="00CD67F3" w:rsidRPr="00CD67F3" w:rsidRDefault="00CD67F3" w:rsidP="00CD67F3">
      <w:r w:rsidRPr="00CD67F3">
        <w:t xml:space="preserve">Systém nemocenského pojištění je určen pro výdělečně činné osoby, které při ztrátě příjmu v případech </w:t>
      </w:r>
      <w:r w:rsidRPr="00CD67F3">
        <w:rPr>
          <w:spacing w:val="-4"/>
        </w:rPr>
        <w:t>tzv. krátkodobých sociálních událostí zabezpečuje peněžitými dávkami nemocenského pojištění. Z</w:t>
      </w:r>
      <w:r>
        <w:t xml:space="preserve"> </w:t>
      </w:r>
      <w:r w:rsidRPr="00CD67F3">
        <w:t>nemocenského pojištění se poskytuje 6 peněžitých dávek, a to:</w:t>
      </w:r>
    </w:p>
    <w:p w:rsidR="00CD67F3" w:rsidRPr="00CD67F3" w:rsidRDefault="00CD67F3" w:rsidP="00CD67F3">
      <w:pPr>
        <w:numPr>
          <w:ilvl w:val="0"/>
          <w:numId w:val="28"/>
        </w:numPr>
        <w:spacing w:after="0"/>
        <w:contextualSpacing/>
        <w:jc w:val="left"/>
      </w:pPr>
      <w:r w:rsidRPr="00CD67F3">
        <w:t>nemocenské,</w:t>
      </w:r>
    </w:p>
    <w:p w:rsidR="00CD67F3" w:rsidRPr="00CD67F3" w:rsidRDefault="00CD67F3" w:rsidP="00CD67F3">
      <w:pPr>
        <w:numPr>
          <w:ilvl w:val="0"/>
          <w:numId w:val="28"/>
        </w:numPr>
        <w:spacing w:after="0"/>
        <w:ind w:left="714" w:hanging="357"/>
        <w:contextualSpacing/>
        <w:jc w:val="left"/>
      </w:pPr>
      <w:r w:rsidRPr="00CD67F3">
        <w:t>peněžitá pomoc v mateřství,</w:t>
      </w:r>
    </w:p>
    <w:p w:rsidR="00CD67F3" w:rsidRPr="00CD67F3" w:rsidRDefault="00CD67F3" w:rsidP="00CD67F3">
      <w:pPr>
        <w:numPr>
          <w:ilvl w:val="0"/>
          <w:numId w:val="28"/>
        </w:numPr>
        <w:spacing w:after="0"/>
        <w:contextualSpacing/>
        <w:jc w:val="left"/>
      </w:pPr>
      <w:r w:rsidRPr="00CD67F3">
        <w:t>ošetřovné,</w:t>
      </w:r>
    </w:p>
    <w:p w:rsidR="00CD67F3" w:rsidRPr="00CD67F3" w:rsidRDefault="00CD67F3" w:rsidP="00CD67F3">
      <w:pPr>
        <w:numPr>
          <w:ilvl w:val="0"/>
          <w:numId w:val="28"/>
        </w:numPr>
        <w:spacing w:after="0"/>
        <w:contextualSpacing/>
        <w:jc w:val="left"/>
      </w:pPr>
      <w:r w:rsidRPr="00CD67F3">
        <w:t>vyrovnávací příspěvek v těhotenství a mateřství,</w:t>
      </w:r>
    </w:p>
    <w:p w:rsidR="00CD67F3" w:rsidRPr="00CD67F3" w:rsidRDefault="00CD67F3" w:rsidP="00CD67F3">
      <w:pPr>
        <w:numPr>
          <w:ilvl w:val="0"/>
          <w:numId w:val="28"/>
        </w:numPr>
        <w:spacing w:after="0"/>
        <w:contextualSpacing/>
        <w:jc w:val="left"/>
      </w:pPr>
      <w:r w:rsidRPr="00CD67F3">
        <w:t>dávka otcovské poporodní péče (tzv. otcovská),</w:t>
      </w:r>
    </w:p>
    <w:p w:rsidR="00CD67F3" w:rsidRPr="00CD67F3" w:rsidRDefault="00CD67F3" w:rsidP="00CD67F3">
      <w:pPr>
        <w:numPr>
          <w:ilvl w:val="0"/>
          <w:numId w:val="28"/>
        </w:numPr>
        <w:spacing w:after="60"/>
        <w:ind w:left="714" w:hanging="357"/>
        <w:jc w:val="left"/>
      </w:pPr>
      <w:r w:rsidRPr="00CD67F3">
        <w:t>dlouhodobé ošetřovné.</w:t>
      </w:r>
    </w:p>
    <w:p w:rsidR="00CD67F3" w:rsidRPr="00CD67F3" w:rsidRDefault="00CD67F3" w:rsidP="00CD67F3">
      <w:pPr>
        <w:spacing w:before="120"/>
      </w:pPr>
      <w:r w:rsidRPr="00CD67F3">
        <w:rPr>
          <w:spacing w:val="-2"/>
        </w:rPr>
        <w:t xml:space="preserve">Výše dávek nemocenského pojištění </w:t>
      </w:r>
      <w:r w:rsidRPr="00CD67F3">
        <w:rPr>
          <w:b/>
          <w:spacing w:val="-2"/>
        </w:rPr>
        <w:t>závisí</w:t>
      </w:r>
      <w:r w:rsidRPr="00CD67F3">
        <w:rPr>
          <w:spacing w:val="-2"/>
        </w:rPr>
        <w:t xml:space="preserve"> na dosahovaném </w:t>
      </w:r>
      <w:r w:rsidRPr="00CD67F3">
        <w:rPr>
          <w:b/>
          <w:spacing w:val="-2"/>
        </w:rPr>
        <w:t>výdělku, redukčních hranicích</w:t>
      </w:r>
      <w:r w:rsidRPr="00CD67F3">
        <w:rPr>
          <w:spacing w:val="-2"/>
        </w:rPr>
        <w:t xml:space="preserve"> pro redukci denního vyměřovacího základu, </w:t>
      </w:r>
      <w:r w:rsidRPr="00CD67F3">
        <w:rPr>
          <w:b/>
          <w:spacing w:val="-2"/>
        </w:rPr>
        <w:t xml:space="preserve">redukci mezi </w:t>
      </w:r>
      <w:r w:rsidRPr="00CD67F3">
        <w:rPr>
          <w:spacing w:val="-2"/>
        </w:rPr>
        <w:t xml:space="preserve">jednotlivými redukčními </w:t>
      </w:r>
      <w:r w:rsidRPr="00CD67F3">
        <w:rPr>
          <w:b/>
          <w:spacing w:val="-2"/>
        </w:rPr>
        <w:t>hranicemi</w:t>
      </w:r>
      <w:r w:rsidRPr="00CD67F3">
        <w:rPr>
          <w:spacing w:val="-2"/>
        </w:rPr>
        <w:t xml:space="preserve"> a na </w:t>
      </w:r>
      <w:r w:rsidRPr="00CD67F3">
        <w:rPr>
          <w:b/>
          <w:spacing w:val="-2"/>
        </w:rPr>
        <w:t>procentní sazbě</w:t>
      </w:r>
      <w:r w:rsidRPr="00CD67F3">
        <w:t xml:space="preserve"> pro jednotlivé dávky.</w:t>
      </w:r>
    </w:p>
    <w:p w:rsidR="00CD67F3" w:rsidRDefault="00CD67F3" w:rsidP="00CD67F3">
      <w:r w:rsidRPr="00CD67F3">
        <w:t>Všechny dávky nemocenského pojištění vyplácí okresní správa sociálního zabezpečení a hradí se ze státního rozpočtu (z příjmů z pojistného). Dávky nemocenského pojištění se vyplácejí za kalendářní dny.</w:t>
      </w:r>
    </w:p>
    <w:p w:rsidR="00CD67F3" w:rsidRPr="00CD67F3" w:rsidRDefault="00CD67F3" w:rsidP="00CD67F3">
      <w:pPr>
        <w:spacing w:after="0" w:line="240" w:lineRule="auto"/>
        <w:jc w:val="left"/>
      </w:pPr>
      <w:r>
        <w:br w:type="page"/>
      </w:r>
    </w:p>
    <w:p w:rsidR="00294A6A" w:rsidRDefault="00CD67F3" w:rsidP="00CD67F3">
      <w:pPr>
        <w:pStyle w:val="Box1"/>
        <w:spacing w:before="0" w:after="120"/>
        <w:ind w:left="0"/>
        <w:contextualSpacing w:val="0"/>
        <w:jc w:val="both"/>
        <w:rPr>
          <w:i/>
        </w:rPr>
      </w:pPr>
      <w:r w:rsidRPr="00CD67F3">
        <w:rPr>
          <w:b/>
          <w:i/>
        </w:rPr>
        <w:lastRenderedPageBreak/>
        <w:t xml:space="preserve">Nemocenské </w:t>
      </w:r>
      <w:r w:rsidRPr="00CD67F3">
        <w:rPr>
          <w:i/>
        </w:rPr>
        <w:t>– je základní peněžitou dávkou systému nemocenského pojištění. Na nemocenské má nárok pojištěnec, který je uznán ošetřujícím lékařem dočasně práce neschopným, a to od 15. kalendářního dne trvání jeho dočasné pracovní neschopnosti do konce dočasné pracovní neschopnosti, maximálně však 380 kalendářních dnů počítaných od vzniku dočasné pracovní neschopnosti.</w:t>
      </w:r>
    </w:p>
    <w:p w:rsidR="00CD67F3" w:rsidRDefault="00CD67F3" w:rsidP="00CD67F3">
      <w:r w:rsidRPr="00B943E2">
        <w:rPr>
          <w:b/>
          <w:spacing w:val="-6"/>
        </w:rPr>
        <w:t>Výdaje na dávky nemocenského</w:t>
      </w:r>
      <w:r w:rsidRPr="00B943E2">
        <w:rPr>
          <w:spacing w:val="-6"/>
        </w:rPr>
        <w:t xml:space="preserve"> </w:t>
      </w:r>
      <w:r w:rsidRPr="00B943E2">
        <w:rPr>
          <w:b/>
          <w:spacing w:val="-6"/>
        </w:rPr>
        <w:t>pojištění</w:t>
      </w:r>
      <w:r w:rsidR="002644A9" w:rsidRPr="00B943E2">
        <w:rPr>
          <w:spacing w:val="-6"/>
        </w:rPr>
        <w:t xml:space="preserve"> (více viz tabulka a graf 4.1) </w:t>
      </w:r>
      <w:r w:rsidRPr="00B943E2">
        <w:rPr>
          <w:spacing w:val="-6"/>
        </w:rPr>
        <w:t xml:space="preserve">za rok </w:t>
      </w:r>
      <w:r w:rsidRPr="00B943E2">
        <w:rPr>
          <w:color w:val="000000" w:themeColor="text1"/>
          <w:spacing w:val="-6"/>
        </w:rPr>
        <w:t>2024</w:t>
      </w:r>
      <w:r w:rsidR="007361A5" w:rsidRPr="00B943E2">
        <w:rPr>
          <w:color w:val="000000" w:themeColor="text1"/>
          <w:spacing w:val="-6"/>
        </w:rPr>
        <w:t xml:space="preserve"> činily 47,</w:t>
      </w:r>
      <w:r w:rsidR="004D3ECF" w:rsidRPr="00B943E2">
        <w:rPr>
          <w:color w:val="000000" w:themeColor="text1"/>
          <w:spacing w:val="-6"/>
        </w:rPr>
        <w:t>5</w:t>
      </w:r>
      <w:r w:rsidRPr="00B943E2">
        <w:rPr>
          <w:color w:val="000000" w:themeColor="text1"/>
          <w:spacing w:val="-6"/>
        </w:rPr>
        <w:t xml:space="preserve"> mld. Kč, o 2 mld. </w:t>
      </w:r>
      <w:r w:rsidRPr="00B943E2">
        <w:rPr>
          <w:color w:val="000000" w:themeColor="text1"/>
          <w:spacing w:val="-2"/>
        </w:rPr>
        <w:t xml:space="preserve">Kč </w:t>
      </w:r>
      <w:r w:rsidR="00B943E2" w:rsidRPr="00B943E2">
        <w:rPr>
          <w:color w:val="000000" w:themeColor="text1"/>
          <w:spacing w:val="-2"/>
        </w:rPr>
        <w:t>více</w:t>
      </w:r>
      <w:r w:rsidRPr="00B943E2">
        <w:rPr>
          <w:color w:val="000000" w:themeColor="text1"/>
          <w:spacing w:val="-2"/>
        </w:rPr>
        <w:t xml:space="preserve"> než v předchozím roce.</w:t>
      </w:r>
      <w:r w:rsidR="009B2406" w:rsidRPr="00B943E2">
        <w:rPr>
          <w:color w:val="000000" w:themeColor="text1"/>
          <w:spacing w:val="-2"/>
        </w:rPr>
        <w:t xml:space="preserve"> </w:t>
      </w:r>
      <w:r w:rsidRPr="007361A5">
        <w:rPr>
          <w:b/>
          <w:spacing w:val="-2"/>
        </w:rPr>
        <w:t xml:space="preserve">Výdaje </w:t>
      </w:r>
      <w:r w:rsidRPr="007361A5">
        <w:rPr>
          <w:spacing w:val="-2"/>
        </w:rPr>
        <w:t xml:space="preserve">na objemově </w:t>
      </w:r>
      <w:r w:rsidRPr="007361A5">
        <w:rPr>
          <w:b/>
          <w:spacing w:val="-2"/>
        </w:rPr>
        <w:t>nejvýznamnější dávku</w:t>
      </w:r>
      <w:r w:rsidRPr="007361A5">
        <w:rPr>
          <w:spacing w:val="-2"/>
        </w:rPr>
        <w:t xml:space="preserve"> – </w:t>
      </w:r>
      <w:r w:rsidRPr="007361A5">
        <w:rPr>
          <w:b/>
          <w:spacing w:val="-2"/>
        </w:rPr>
        <w:t>nemocenské</w:t>
      </w:r>
      <w:r w:rsidRPr="007361A5">
        <w:rPr>
          <w:spacing w:val="-2"/>
        </w:rPr>
        <w:t xml:space="preserve"> – meziročně </w:t>
      </w:r>
      <w:r w:rsidR="007361A5" w:rsidRPr="007361A5">
        <w:rPr>
          <w:spacing w:val="-2"/>
        </w:rPr>
        <w:t>vzrostly</w:t>
      </w:r>
      <w:r w:rsidRPr="007361A5">
        <w:rPr>
          <w:spacing w:val="-2"/>
        </w:rPr>
        <w:t xml:space="preserve"> o </w:t>
      </w:r>
      <w:r w:rsidR="007361A5" w:rsidRPr="007361A5">
        <w:rPr>
          <w:spacing w:val="-2"/>
        </w:rPr>
        <w:t>2,4</w:t>
      </w:r>
      <w:r w:rsidRPr="007361A5">
        <w:rPr>
          <w:spacing w:val="-2"/>
        </w:rPr>
        <w:t> </w:t>
      </w:r>
      <w:r w:rsidR="007361A5" w:rsidRPr="007361A5">
        <w:rPr>
          <w:spacing w:val="-2"/>
        </w:rPr>
        <w:t>mld. Kč (o 7,5 %) na 34</w:t>
      </w:r>
      <w:r w:rsidRPr="007361A5">
        <w:rPr>
          <w:spacing w:val="-2"/>
        </w:rPr>
        <w:t xml:space="preserve"> mld. Kč</w:t>
      </w:r>
      <w:r w:rsidR="007361A5">
        <w:rPr>
          <w:spacing w:val="-2"/>
        </w:rPr>
        <w:t>.</w:t>
      </w:r>
      <w:r w:rsidR="004D3ECF">
        <w:rPr>
          <w:spacing w:val="-2"/>
        </w:rPr>
        <w:t xml:space="preserve"> </w:t>
      </w:r>
      <w:r w:rsidR="009B2406">
        <w:rPr>
          <w:spacing w:val="-2"/>
        </w:rPr>
        <w:t xml:space="preserve">V této souvislosti je však třeba mít na paměti, že </w:t>
      </w:r>
      <w:r w:rsidR="008B5721">
        <w:rPr>
          <w:spacing w:val="-2"/>
        </w:rPr>
        <w:t xml:space="preserve">výše výdajů na nemocenské také souvisí s inflací a růstem mezd, ze kterých se výše nemocenských dávek odvíjí. </w:t>
      </w:r>
      <w:r w:rsidRPr="00251BF8">
        <w:t>Výdaje na nemocenské v přepočtu na jednoho pojištěnce v roce</w:t>
      </w:r>
      <w:r w:rsidR="002644A9">
        <w:t xml:space="preserve"> 2024</w:t>
      </w:r>
      <w:r w:rsidRPr="00251BF8">
        <w:t xml:space="preserve"> činily </w:t>
      </w:r>
      <w:r w:rsidR="00791C1F">
        <w:t>7 147</w:t>
      </w:r>
      <w:r w:rsidRPr="00251BF8">
        <w:t xml:space="preserve"> Kč, o </w:t>
      </w:r>
      <w:r w:rsidR="00791C1F">
        <w:t>501</w:t>
      </w:r>
      <w:r w:rsidR="002644A9">
        <w:t xml:space="preserve"> Kč více</w:t>
      </w:r>
      <w:r w:rsidRPr="00251BF8">
        <w:t xml:space="preserve"> než před rokem.</w:t>
      </w:r>
      <w:r w:rsidR="002644A9">
        <w:t xml:space="preserve"> </w:t>
      </w:r>
    </w:p>
    <w:p w:rsidR="002644A9" w:rsidRDefault="00F4161A" w:rsidP="00CD67F3">
      <w:r>
        <w:t>Z</w:t>
      </w:r>
      <w:r w:rsidR="002644A9" w:rsidRPr="002644A9">
        <w:t xml:space="preserve">a </w:t>
      </w:r>
      <w:r>
        <w:t xml:space="preserve">vysoký </w:t>
      </w:r>
      <w:r w:rsidR="002644A9" w:rsidRPr="002644A9">
        <w:t xml:space="preserve">nárůst výdajů na dávky nemocenského pojištění mezi roky 2019 a 2020 </w:t>
      </w:r>
      <w:r>
        <w:t>jsou odpo</w:t>
      </w:r>
      <w:bookmarkStart w:id="8" w:name="_GoBack"/>
      <w:bookmarkEnd w:id="8"/>
      <w:r>
        <w:t xml:space="preserve">vědné zejména </w:t>
      </w:r>
      <w:r w:rsidR="002644A9" w:rsidRPr="002644A9">
        <w:rPr>
          <w:b/>
        </w:rPr>
        <w:t>finanční kompenzace</w:t>
      </w:r>
      <w:r>
        <w:rPr>
          <w:b/>
        </w:rPr>
        <w:t xml:space="preserve"> </w:t>
      </w:r>
      <w:r w:rsidRPr="00F4161A">
        <w:t>(v podobě nemocenského a ošetřovného</w:t>
      </w:r>
      <w:r>
        <w:t>)</w:t>
      </w:r>
      <w:r w:rsidR="002644A9" w:rsidRPr="002644A9">
        <w:rPr>
          <w:b/>
        </w:rPr>
        <w:t xml:space="preserve"> </w:t>
      </w:r>
      <w:r w:rsidR="002644A9" w:rsidRPr="002644A9">
        <w:t xml:space="preserve">vyplacené v souvislosti </w:t>
      </w:r>
      <w:r w:rsidR="002644A9" w:rsidRPr="002644A9">
        <w:rPr>
          <w:b/>
        </w:rPr>
        <w:t>s</w:t>
      </w:r>
      <w:r w:rsidR="002644A9" w:rsidRPr="002644A9">
        <w:t> </w:t>
      </w:r>
      <w:r w:rsidR="002644A9" w:rsidRPr="002644A9">
        <w:rPr>
          <w:b/>
        </w:rPr>
        <w:t>onemocněním</w:t>
      </w:r>
      <w:r w:rsidR="002644A9" w:rsidRPr="002644A9">
        <w:t xml:space="preserve"> </w:t>
      </w:r>
      <w:r>
        <w:rPr>
          <w:b/>
        </w:rPr>
        <w:t>COVID</w:t>
      </w:r>
      <w:r w:rsidR="002644A9" w:rsidRPr="002644A9">
        <w:rPr>
          <w:b/>
        </w:rPr>
        <w:t>-19</w:t>
      </w:r>
      <w:r w:rsidR="002644A9" w:rsidRPr="002644A9">
        <w:t>. Zatímco do roku 2019 činil podíl výdajů za ošetřovné maximálně 5 % celkových výdajů na dávky nemocenského pojištění, v roce 2020 to byla více než pětina. Navýšení nákladů bylo způsobeno jednak vyšším počtem případů, jednak zvýšením částky pro výpočet ošetřovného při epidemii uzákoněné na podzim roku 2020 (tzv. krizové ošetřovné</w:t>
      </w:r>
      <w:r>
        <w:rPr>
          <w:rStyle w:val="Znakapoznpodarou"/>
        </w:rPr>
        <w:footnoteReference w:id="3"/>
      </w:r>
      <w:r w:rsidR="002644A9" w:rsidRPr="002644A9">
        <w:t>). Z dosud počítaných 60 % byl podíl zvýšen na 70 %</w:t>
      </w:r>
      <w:r>
        <w:rPr>
          <w:rStyle w:val="Znakapoznpodarou"/>
        </w:rPr>
        <w:footnoteReference w:id="4"/>
      </w:r>
      <w:r w:rsidR="00E77573">
        <w:t xml:space="preserve"> </w:t>
      </w:r>
      <w:r w:rsidR="002644A9" w:rsidRPr="002644A9">
        <w:t>redukovaného denního vyměřovacího základu. Zatímco dříve bylo možné čerpat ošetřovné maximálně 9 dnů, při uzavření školních a dětských zařízení trvala podpůrčí doba po celou dobu mimořádných vládních opatření. Náklady na ošetřovné za rok 2020 představovaly 11 442 mil</w:t>
      </w:r>
      <w:r w:rsidR="00E77573">
        <w:t>ionů</w:t>
      </w:r>
      <w:r w:rsidR="002644A9" w:rsidRPr="002644A9">
        <w:t xml:space="preserve"> Kč, o rok později 5 664 mil</w:t>
      </w:r>
      <w:r w:rsidR="00E77573">
        <w:t>ionů Kč</w:t>
      </w:r>
      <w:r w:rsidR="002644A9" w:rsidRPr="002644A9">
        <w:t>. Pokles výdajů na ošetřovné pokračoval i v dalších letech a v roce 202</w:t>
      </w:r>
      <w:r w:rsidR="00E77573">
        <w:t>4</w:t>
      </w:r>
      <w:r w:rsidR="002644A9" w:rsidRPr="002644A9">
        <w:t xml:space="preserve"> prostředky na ošetřovné </w:t>
      </w:r>
      <w:r w:rsidR="00E77573">
        <w:t>dosáhly hodnoty 2 453</w:t>
      </w:r>
      <w:r w:rsidR="002644A9" w:rsidRPr="002644A9">
        <w:t> mil</w:t>
      </w:r>
      <w:r w:rsidR="00E77573">
        <w:t>ionů Kč</w:t>
      </w:r>
      <w:r w:rsidR="002644A9" w:rsidRPr="002644A9">
        <w:t xml:space="preserve">., neboli opět </w:t>
      </w:r>
      <w:r w:rsidR="00E77573">
        <w:t xml:space="preserve">okolo </w:t>
      </w:r>
      <w:r w:rsidR="002644A9" w:rsidRPr="002644A9">
        <w:t>5 % z celkových výdajů na dáv</w:t>
      </w:r>
      <w:r w:rsidR="00E77573">
        <w:t xml:space="preserve">ky nemocenského pojištění, </w:t>
      </w:r>
      <w:r w:rsidR="002644A9" w:rsidRPr="002644A9">
        <w:t>stejný podíl jako do roku 2019.</w:t>
      </w:r>
    </w:p>
    <w:p w:rsidR="002644A9" w:rsidRPr="002644A9" w:rsidRDefault="002644A9" w:rsidP="002644A9">
      <w:pPr>
        <w:spacing w:after="40" w:line="240" w:lineRule="auto"/>
        <w:jc w:val="left"/>
        <w:rPr>
          <w:rFonts w:cs="Arial"/>
          <w:b/>
          <w:bCs/>
          <w:color w:val="000000"/>
          <w:szCs w:val="20"/>
        </w:rPr>
      </w:pPr>
      <w:r w:rsidRPr="002644A9">
        <w:rPr>
          <w:rFonts w:cs="Arial"/>
          <w:b/>
          <w:bCs/>
          <w:color w:val="000000"/>
          <w:szCs w:val="20"/>
        </w:rPr>
        <w:t>Tab. 4.1: Výdaje na dá</w:t>
      </w:r>
      <w:r>
        <w:rPr>
          <w:rFonts w:cs="Arial"/>
          <w:b/>
          <w:bCs/>
          <w:color w:val="000000"/>
          <w:szCs w:val="20"/>
        </w:rPr>
        <w:t>vky nemocenského pojištění, 2014–2024</w:t>
      </w:r>
      <w:r w:rsidRPr="002644A9">
        <w:rPr>
          <w:rFonts w:cs="Arial"/>
          <w:b/>
          <w:bCs/>
          <w:color w:val="000000"/>
          <w:szCs w:val="20"/>
        </w:rPr>
        <w:t xml:space="preserve"> (v mld. Kč)</w:t>
      </w:r>
    </w:p>
    <w:tbl>
      <w:tblPr>
        <w:tblW w:w="9638" w:type="dxa"/>
        <w:tblCellMar>
          <w:left w:w="70" w:type="dxa"/>
          <w:right w:w="70" w:type="dxa"/>
        </w:tblCellMar>
        <w:tblLook w:val="04A0" w:firstRow="1" w:lastRow="0" w:firstColumn="1" w:lastColumn="0" w:noHBand="0" w:noVBand="1"/>
      </w:tblPr>
      <w:tblGrid>
        <w:gridCol w:w="2257"/>
        <w:gridCol w:w="673"/>
        <w:gridCol w:w="673"/>
        <w:gridCol w:w="673"/>
        <w:gridCol w:w="673"/>
        <w:gridCol w:w="673"/>
        <w:gridCol w:w="673"/>
        <w:gridCol w:w="673"/>
        <w:gridCol w:w="673"/>
        <w:gridCol w:w="666"/>
        <w:gridCol w:w="668"/>
        <w:gridCol w:w="663"/>
      </w:tblGrid>
      <w:tr w:rsidR="002644A9" w:rsidRPr="002644A9" w:rsidTr="002644A9">
        <w:trPr>
          <w:trHeight w:val="315"/>
        </w:trPr>
        <w:tc>
          <w:tcPr>
            <w:tcW w:w="2257" w:type="dxa"/>
            <w:tcBorders>
              <w:top w:val="single" w:sz="4" w:space="0" w:color="auto"/>
              <w:left w:val="nil"/>
              <w:bottom w:val="single" w:sz="4" w:space="0" w:color="auto"/>
              <w:right w:val="single" w:sz="4" w:space="0" w:color="auto"/>
            </w:tcBorders>
            <w:shd w:val="clear" w:color="auto" w:fill="E6C483"/>
            <w:vAlign w:val="center"/>
            <w:hideMark/>
          </w:tcPr>
          <w:p w:rsidR="002644A9" w:rsidRPr="002644A9" w:rsidRDefault="002644A9" w:rsidP="002644A9">
            <w:pPr>
              <w:spacing w:after="0" w:line="240" w:lineRule="auto"/>
              <w:jc w:val="center"/>
              <w:rPr>
                <w:rFonts w:cs="Arial"/>
                <w:sz w:val="16"/>
                <w:szCs w:val="16"/>
              </w:rPr>
            </w:pPr>
            <w:r w:rsidRPr="002644A9">
              <w:rPr>
                <w:rFonts w:cs="Arial"/>
                <w:sz w:val="16"/>
                <w:szCs w:val="16"/>
              </w:rPr>
              <w:t>Druh dávky</w:t>
            </w:r>
          </w:p>
        </w:tc>
        <w:tc>
          <w:tcPr>
            <w:tcW w:w="673" w:type="dxa"/>
            <w:tcBorders>
              <w:top w:val="single" w:sz="4" w:space="0" w:color="auto"/>
              <w:left w:val="nil"/>
              <w:bottom w:val="single" w:sz="4" w:space="0" w:color="auto"/>
              <w:right w:val="nil"/>
            </w:tcBorders>
            <w:shd w:val="clear" w:color="auto" w:fill="E6C483"/>
            <w:noWrap/>
            <w:vAlign w:val="center"/>
            <w:hideMark/>
          </w:tcPr>
          <w:p w:rsidR="002644A9" w:rsidRPr="002644A9" w:rsidRDefault="002644A9" w:rsidP="002644A9">
            <w:pPr>
              <w:spacing w:after="0" w:line="240" w:lineRule="auto"/>
              <w:jc w:val="center"/>
              <w:rPr>
                <w:rFonts w:cs="Arial"/>
                <w:sz w:val="16"/>
                <w:szCs w:val="16"/>
              </w:rPr>
            </w:pPr>
            <w:r>
              <w:rPr>
                <w:rFonts w:cs="Arial"/>
                <w:sz w:val="16"/>
                <w:szCs w:val="16"/>
              </w:rPr>
              <w:t>2014</w:t>
            </w:r>
          </w:p>
        </w:tc>
        <w:tc>
          <w:tcPr>
            <w:tcW w:w="673" w:type="dxa"/>
            <w:tcBorders>
              <w:top w:val="single" w:sz="4" w:space="0" w:color="auto"/>
              <w:left w:val="nil"/>
              <w:bottom w:val="single" w:sz="4" w:space="0" w:color="auto"/>
              <w:right w:val="nil"/>
            </w:tcBorders>
            <w:shd w:val="clear" w:color="auto" w:fill="E6C483"/>
            <w:noWrap/>
            <w:vAlign w:val="center"/>
            <w:hideMark/>
          </w:tcPr>
          <w:p w:rsidR="002644A9" w:rsidRPr="002644A9" w:rsidRDefault="002644A9" w:rsidP="002644A9">
            <w:pPr>
              <w:spacing w:after="0" w:line="240" w:lineRule="auto"/>
              <w:jc w:val="center"/>
              <w:rPr>
                <w:rFonts w:cs="Arial"/>
                <w:sz w:val="16"/>
                <w:szCs w:val="16"/>
              </w:rPr>
            </w:pPr>
            <w:r>
              <w:rPr>
                <w:rFonts w:cs="Arial"/>
                <w:sz w:val="16"/>
                <w:szCs w:val="16"/>
              </w:rPr>
              <w:t>2015</w:t>
            </w:r>
          </w:p>
        </w:tc>
        <w:tc>
          <w:tcPr>
            <w:tcW w:w="673" w:type="dxa"/>
            <w:tcBorders>
              <w:top w:val="single" w:sz="4" w:space="0" w:color="auto"/>
              <w:left w:val="nil"/>
              <w:bottom w:val="single" w:sz="4" w:space="0" w:color="auto"/>
              <w:right w:val="nil"/>
            </w:tcBorders>
            <w:shd w:val="clear" w:color="auto" w:fill="E6C483"/>
            <w:noWrap/>
            <w:vAlign w:val="center"/>
            <w:hideMark/>
          </w:tcPr>
          <w:p w:rsidR="002644A9" w:rsidRPr="002644A9" w:rsidRDefault="002644A9" w:rsidP="002644A9">
            <w:pPr>
              <w:spacing w:after="0" w:line="240" w:lineRule="auto"/>
              <w:jc w:val="center"/>
              <w:rPr>
                <w:rFonts w:cs="Arial"/>
                <w:sz w:val="16"/>
                <w:szCs w:val="16"/>
              </w:rPr>
            </w:pPr>
            <w:r>
              <w:rPr>
                <w:rFonts w:cs="Arial"/>
                <w:sz w:val="16"/>
                <w:szCs w:val="16"/>
              </w:rPr>
              <w:t>2016</w:t>
            </w:r>
          </w:p>
        </w:tc>
        <w:tc>
          <w:tcPr>
            <w:tcW w:w="673" w:type="dxa"/>
            <w:tcBorders>
              <w:top w:val="single" w:sz="4" w:space="0" w:color="auto"/>
              <w:left w:val="nil"/>
              <w:bottom w:val="single" w:sz="4" w:space="0" w:color="auto"/>
              <w:right w:val="nil"/>
            </w:tcBorders>
            <w:shd w:val="clear" w:color="auto" w:fill="E6C483"/>
            <w:noWrap/>
            <w:vAlign w:val="center"/>
            <w:hideMark/>
          </w:tcPr>
          <w:p w:rsidR="002644A9" w:rsidRPr="002644A9" w:rsidRDefault="002644A9" w:rsidP="002644A9">
            <w:pPr>
              <w:spacing w:after="0" w:line="240" w:lineRule="auto"/>
              <w:jc w:val="center"/>
              <w:rPr>
                <w:rFonts w:cs="Arial"/>
                <w:sz w:val="16"/>
                <w:szCs w:val="16"/>
              </w:rPr>
            </w:pPr>
            <w:r>
              <w:rPr>
                <w:rFonts w:cs="Arial"/>
                <w:sz w:val="16"/>
                <w:szCs w:val="16"/>
              </w:rPr>
              <w:t>2017</w:t>
            </w:r>
          </w:p>
        </w:tc>
        <w:tc>
          <w:tcPr>
            <w:tcW w:w="673" w:type="dxa"/>
            <w:tcBorders>
              <w:top w:val="single" w:sz="4" w:space="0" w:color="auto"/>
              <w:left w:val="nil"/>
              <w:bottom w:val="single" w:sz="4" w:space="0" w:color="auto"/>
              <w:right w:val="nil"/>
            </w:tcBorders>
            <w:shd w:val="clear" w:color="auto" w:fill="E6C483"/>
            <w:noWrap/>
            <w:vAlign w:val="center"/>
            <w:hideMark/>
          </w:tcPr>
          <w:p w:rsidR="002644A9" w:rsidRPr="002644A9" w:rsidRDefault="002644A9" w:rsidP="002644A9">
            <w:pPr>
              <w:spacing w:after="0" w:line="240" w:lineRule="auto"/>
              <w:jc w:val="center"/>
              <w:rPr>
                <w:rFonts w:cs="Arial"/>
                <w:sz w:val="16"/>
                <w:szCs w:val="16"/>
              </w:rPr>
            </w:pPr>
            <w:r>
              <w:rPr>
                <w:rFonts w:cs="Arial"/>
                <w:sz w:val="16"/>
                <w:szCs w:val="16"/>
              </w:rPr>
              <w:t>2018</w:t>
            </w:r>
          </w:p>
        </w:tc>
        <w:tc>
          <w:tcPr>
            <w:tcW w:w="673" w:type="dxa"/>
            <w:tcBorders>
              <w:top w:val="single" w:sz="4" w:space="0" w:color="auto"/>
              <w:left w:val="nil"/>
              <w:bottom w:val="single" w:sz="4" w:space="0" w:color="auto"/>
              <w:right w:val="nil"/>
            </w:tcBorders>
            <w:shd w:val="clear" w:color="auto" w:fill="E6C483"/>
            <w:noWrap/>
            <w:vAlign w:val="center"/>
            <w:hideMark/>
          </w:tcPr>
          <w:p w:rsidR="002644A9" w:rsidRPr="002644A9" w:rsidRDefault="002644A9" w:rsidP="002644A9">
            <w:pPr>
              <w:spacing w:after="0" w:line="240" w:lineRule="auto"/>
              <w:jc w:val="center"/>
              <w:rPr>
                <w:rFonts w:cs="Arial"/>
                <w:sz w:val="16"/>
                <w:szCs w:val="16"/>
              </w:rPr>
            </w:pPr>
            <w:r>
              <w:rPr>
                <w:rFonts w:cs="Arial"/>
                <w:sz w:val="16"/>
                <w:szCs w:val="16"/>
              </w:rPr>
              <w:t>2019</w:t>
            </w:r>
          </w:p>
        </w:tc>
        <w:tc>
          <w:tcPr>
            <w:tcW w:w="673" w:type="dxa"/>
            <w:tcBorders>
              <w:top w:val="single" w:sz="4" w:space="0" w:color="auto"/>
              <w:left w:val="nil"/>
              <w:bottom w:val="single" w:sz="4" w:space="0" w:color="auto"/>
              <w:right w:val="nil"/>
            </w:tcBorders>
            <w:shd w:val="clear" w:color="auto" w:fill="E6C483"/>
            <w:noWrap/>
            <w:vAlign w:val="center"/>
            <w:hideMark/>
          </w:tcPr>
          <w:p w:rsidR="002644A9" w:rsidRPr="002644A9" w:rsidRDefault="002644A9" w:rsidP="002644A9">
            <w:pPr>
              <w:spacing w:after="0" w:line="240" w:lineRule="auto"/>
              <w:jc w:val="center"/>
              <w:rPr>
                <w:rFonts w:cs="Arial"/>
                <w:sz w:val="16"/>
                <w:szCs w:val="16"/>
              </w:rPr>
            </w:pPr>
            <w:r>
              <w:rPr>
                <w:rFonts w:cs="Arial"/>
                <w:sz w:val="16"/>
                <w:szCs w:val="16"/>
              </w:rPr>
              <w:t>2020</w:t>
            </w:r>
          </w:p>
        </w:tc>
        <w:tc>
          <w:tcPr>
            <w:tcW w:w="673" w:type="dxa"/>
            <w:tcBorders>
              <w:top w:val="single" w:sz="4" w:space="0" w:color="auto"/>
              <w:left w:val="nil"/>
              <w:bottom w:val="single" w:sz="4" w:space="0" w:color="auto"/>
              <w:right w:val="nil"/>
            </w:tcBorders>
            <w:shd w:val="clear" w:color="auto" w:fill="E6C483"/>
            <w:noWrap/>
            <w:vAlign w:val="center"/>
            <w:hideMark/>
          </w:tcPr>
          <w:p w:rsidR="002644A9" w:rsidRPr="002644A9" w:rsidRDefault="002644A9" w:rsidP="002644A9">
            <w:pPr>
              <w:spacing w:after="0" w:line="240" w:lineRule="auto"/>
              <w:jc w:val="center"/>
              <w:rPr>
                <w:rFonts w:cs="Arial"/>
                <w:sz w:val="16"/>
                <w:szCs w:val="16"/>
              </w:rPr>
            </w:pPr>
            <w:r w:rsidRPr="002644A9">
              <w:rPr>
                <w:rFonts w:cs="Arial"/>
                <w:sz w:val="16"/>
                <w:szCs w:val="16"/>
              </w:rPr>
              <w:t>2021</w:t>
            </w:r>
          </w:p>
        </w:tc>
        <w:tc>
          <w:tcPr>
            <w:tcW w:w="666" w:type="dxa"/>
            <w:tcBorders>
              <w:top w:val="single" w:sz="4" w:space="0" w:color="auto"/>
              <w:bottom w:val="single" w:sz="4" w:space="0" w:color="auto"/>
            </w:tcBorders>
            <w:shd w:val="clear" w:color="auto" w:fill="E6C483"/>
            <w:vAlign w:val="center"/>
          </w:tcPr>
          <w:p w:rsidR="002644A9" w:rsidRPr="002644A9" w:rsidRDefault="002644A9" w:rsidP="002644A9">
            <w:pPr>
              <w:spacing w:after="0" w:line="240" w:lineRule="auto"/>
              <w:jc w:val="center"/>
            </w:pPr>
            <w:r w:rsidRPr="002644A9">
              <w:rPr>
                <w:rFonts w:cs="Arial"/>
                <w:sz w:val="16"/>
                <w:szCs w:val="16"/>
              </w:rPr>
              <w:t>2022</w:t>
            </w:r>
          </w:p>
        </w:tc>
        <w:tc>
          <w:tcPr>
            <w:tcW w:w="668" w:type="dxa"/>
            <w:tcBorders>
              <w:top w:val="single" w:sz="4" w:space="0" w:color="auto"/>
              <w:bottom w:val="single" w:sz="4" w:space="0" w:color="auto"/>
            </w:tcBorders>
            <w:shd w:val="clear" w:color="auto" w:fill="E6C483"/>
            <w:vAlign w:val="center"/>
          </w:tcPr>
          <w:p w:rsidR="002644A9" w:rsidRPr="002644A9" w:rsidRDefault="002644A9" w:rsidP="002644A9">
            <w:pPr>
              <w:spacing w:after="0" w:line="240" w:lineRule="auto"/>
              <w:jc w:val="center"/>
              <w:rPr>
                <w:rFonts w:cs="Arial"/>
                <w:sz w:val="16"/>
                <w:szCs w:val="16"/>
                <w:shd w:val="clear" w:color="auto" w:fill="F5DADD"/>
              </w:rPr>
            </w:pPr>
            <w:r w:rsidRPr="002644A9">
              <w:rPr>
                <w:rFonts w:cs="Arial"/>
                <w:sz w:val="16"/>
                <w:szCs w:val="16"/>
              </w:rPr>
              <w:t>2023</w:t>
            </w:r>
          </w:p>
        </w:tc>
        <w:tc>
          <w:tcPr>
            <w:tcW w:w="663" w:type="dxa"/>
            <w:tcBorders>
              <w:top w:val="single" w:sz="4" w:space="0" w:color="auto"/>
              <w:bottom w:val="single" w:sz="4" w:space="0" w:color="auto"/>
            </w:tcBorders>
            <w:shd w:val="clear" w:color="auto" w:fill="E6C483"/>
            <w:vAlign w:val="center"/>
          </w:tcPr>
          <w:p w:rsidR="002644A9" w:rsidRPr="002644A9" w:rsidRDefault="002644A9" w:rsidP="002644A9">
            <w:pPr>
              <w:spacing w:after="0" w:line="240" w:lineRule="auto"/>
              <w:jc w:val="center"/>
              <w:rPr>
                <w:rFonts w:cs="Arial"/>
                <w:sz w:val="16"/>
                <w:szCs w:val="16"/>
                <w:shd w:val="clear" w:color="auto" w:fill="F5DADD"/>
              </w:rPr>
            </w:pPr>
            <w:r>
              <w:rPr>
                <w:rFonts w:cs="Arial"/>
                <w:sz w:val="16"/>
                <w:szCs w:val="16"/>
              </w:rPr>
              <w:t>2024</w:t>
            </w:r>
          </w:p>
        </w:tc>
      </w:tr>
      <w:tr w:rsidR="002644A9" w:rsidRPr="002644A9" w:rsidTr="002644A9">
        <w:trPr>
          <w:trHeight w:val="300"/>
        </w:trPr>
        <w:tc>
          <w:tcPr>
            <w:tcW w:w="2257" w:type="dxa"/>
            <w:tcBorders>
              <w:top w:val="single" w:sz="4" w:space="0" w:color="auto"/>
              <w:left w:val="nil"/>
              <w:bottom w:val="nil"/>
              <w:right w:val="single" w:sz="4" w:space="0" w:color="auto"/>
            </w:tcBorders>
            <w:shd w:val="clear" w:color="auto" w:fill="auto"/>
            <w:vAlign w:val="center"/>
            <w:hideMark/>
          </w:tcPr>
          <w:p w:rsidR="002644A9" w:rsidRPr="002644A9" w:rsidRDefault="002644A9" w:rsidP="002644A9">
            <w:pPr>
              <w:spacing w:after="0" w:line="240" w:lineRule="auto"/>
              <w:jc w:val="left"/>
              <w:rPr>
                <w:rFonts w:cs="Arial"/>
                <w:b/>
                <w:bCs/>
                <w:sz w:val="16"/>
                <w:szCs w:val="16"/>
              </w:rPr>
            </w:pPr>
            <w:r w:rsidRPr="002644A9">
              <w:rPr>
                <w:rFonts w:cs="Arial"/>
                <w:b/>
                <w:bCs/>
                <w:sz w:val="16"/>
                <w:szCs w:val="16"/>
              </w:rPr>
              <w:t>Celkem</w:t>
            </w:r>
          </w:p>
        </w:tc>
        <w:tc>
          <w:tcPr>
            <w:tcW w:w="673" w:type="dxa"/>
            <w:tcBorders>
              <w:top w:val="single" w:sz="4" w:space="0" w:color="auto"/>
              <w:left w:val="nil"/>
              <w:bottom w:val="nil"/>
              <w:right w:val="nil"/>
            </w:tcBorders>
            <w:shd w:val="clear" w:color="auto" w:fill="auto"/>
            <w:noWrap/>
            <w:vAlign w:val="center"/>
            <w:hideMark/>
          </w:tcPr>
          <w:p w:rsidR="002644A9" w:rsidRPr="002644A9" w:rsidRDefault="002644A9" w:rsidP="002644A9">
            <w:pPr>
              <w:spacing w:after="0" w:line="240" w:lineRule="auto"/>
              <w:jc w:val="right"/>
              <w:rPr>
                <w:rFonts w:cs="Arial"/>
                <w:b/>
                <w:bCs/>
                <w:sz w:val="16"/>
                <w:szCs w:val="16"/>
              </w:rPr>
            </w:pPr>
            <w:r w:rsidRPr="002644A9">
              <w:rPr>
                <w:rFonts w:cs="Arial"/>
                <w:b/>
                <w:bCs/>
                <w:sz w:val="16"/>
                <w:szCs w:val="16"/>
              </w:rPr>
              <w:t>22,08</w:t>
            </w:r>
          </w:p>
        </w:tc>
        <w:tc>
          <w:tcPr>
            <w:tcW w:w="673" w:type="dxa"/>
            <w:tcBorders>
              <w:top w:val="single" w:sz="4" w:space="0" w:color="auto"/>
              <w:left w:val="nil"/>
              <w:bottom w:val="nil"/>
              <w:right w:val="nil"/>
            </w:tcBorders>
            <w:shd w:val="clear" w:color="auto" w:fill="auto"/>
            <w:noWrap/>
            <w:vAlign w:val="center"/>
            <w:hideMark/>
          </w:tcPr>
          <w:p w:rsidR="002644A9" w:rsidRPr="002644A9" w:rsidRDefault="002644A9" w:rsidP="002644A9">
            <w:pPr>
              <w:spacing w:after="0" w:line="240" w:lineRule="auto"/>
              <w:jc w:val="right"/>
              <w:rPr>
                <w:rFonts w:cs="Arial"/>
                <w:b/>
                <w:bCs/>
                <w:sz w:val="16"/>
                <w:szCs w:val="16"/>
              </w:rPr>
            </w:pPr>
            <w:r w:rsidRPr="002644A9">
              <w:rPr>
                <w:rFonts w:cs="Arial"/>
                <w:b/>
                <w:bCs/>
                <w:sz w:val="16"/>
                <w:szCs w:val="16"/>
              </w:rPr>
              <w:t>24,11</w:t>
            </w:r>
          </w:p>
        </w:tc>
        <w:tc>
          <w:tcPr>
            <w:tcW w:w="673" w:type="dxa"/>
            <w:tcBorders>
              <w:top w:val="single" w:sz="4" w:space="0" w:color="auto"/>
              <w:left w:val="nil"/>
              <w:bottom w:val="nil"/>
              <w:right w:val="nil"/>
            </w:tcBorders>
            <w:shd w:val="clear" w:color="auto" w:fill="auto"/>
            <w:noWrap/>
            <w:vAlign w:val="center"/>
            <w:hideMark/>
          </w:tcPr>
          <w:p w:rsidR="002644A9" w:rsidRPr="002644A9" w:rsidRDefault="002644A9" w:rsidP="002644A9">
            <w:pPr>
              <w:spacing w:after="0" w:line="240" w:lineRule="auto"/>
              <w:jc w:val="right"/>
              <w:rPr>
                <w:rFonts w:cs="Arial"/>
                <w:b/>
                <w:bCs/>
                <w:sz w:val="16"/>
                <w:szCs w:val="16"/>
              </w:rPr>
            </w:pPr>
            <w:r w:rsidRPr="002644A9">
              <w:rPr>
                <w:rFonts w:cs="Arial"/>
                <w:b/>
                <w:bCs/>
                <w:sz w:val="16"/>
                <w:szCs w:val="16"/>
              </w:rPr>
              <w:t>26,28</w:t>
            </w:r>
          </w:p>
        </w:tc>
        <w:tc>
          <w:tcPr>
            <w:tcW w:w="673" w:type="dxa"/>
            <w:tcBorders>
              <w:top w:val="single" w:sz="4" w:space="0" w:color="auto"/>
              <w:left w:val="nil"/>
              <w:bottom w:val="nil"/>
              <w:right w:val="nil"/>
            </w:tcBorders>
            <w:shd w:val="clear" w:color="auto" w:fill="auto"/>
            <w:noWrap/>
            <w:vAlign w:val="center"/>
            <w:hideMark/>
          </w:tcPr>
          <w:p w:rsidR="002644A9" w:rsidRPr="002644A9" w:rsidRDefault="002644A9" w:rsidP="002644A9">
            <w:pPr>
              <w:spacing w:after="0" w:line="240" w:lineRule="auto"/>
              <w:jc w:val="right"/>
              <w:rPr>
                <w:rFonts w:cs="Arial"/>
                <w:b/>
                <w:bCs/>
                <w:sz w:val="16"/>
                <w:szCs w:val="16"/>
              </w:rPr>
            </w:pPr>
            <w:r w:rsidRPr="002644A9">
              <w:rPr>
                <w:rFonts w:cs="Arial"/>
                <w:b/>
                <w:bCs/>
                <w:sz w:val="16"/>
                <w:szCs w:val="16"/>
              </w:rPr>
              <w:t>28,32</w:t>
            </w:r>
          </w:p>
        </w:tc>
        <w:tc>
          <w:tcPr>
            <w:tcW w:w="673" w:type="dxa"/>
            <w:tcBorders>
              <w:top w:val="single" w:sz="4" w:space="0" w:color="auto"/>
              <w:left w:val="nil"/>
              <w:bottom w:val="nil"/>
              <w:right w:val="nil"/>
            </w:tcBorders>
            <w:shd w:val="clear" w:color="auto" w:fill="auto"/>
            <w:noWrap/>
            <w:vAlign w:val="center"/>
            <w:hideMark/>
          </w:tcPr>
          <w:p w:rsidR="002644A9" w:rsidRPr="002644A9" w:rsidRDefault="002644A9" w:rsidP="002644A9">
            <w:pPr>
              <w:spacing w:after="0" w:line="240" w:lineRule="auto"/>
              <w:jc w:val="right"/>
              <w:rPr>
                <w:rFonts w:cs="Arial"/>
                <w:b/>
                <w:bCs/>
                <w:sz w:val="16"/>
                <w:szCs w:val="16"/>
              </w:rPr>
            </w:pPr>
            <w:r w:rsidRPr="002644A9">
              <w:rPr>
                <w:rFonts w:cs="Arial"/>
                <w:b/>
                <w:bCs/>
                <w:sz w:val="16"/>
                <w:szCs w:val="16"/>
              </w:rPr>
              <w:t>33,97</w:t>
            </w:r>
          </w:p>
        </w:tc>
        <w:tc>
          <w:tcPr>
            <w:tcW w:w="673" w:type="dxa"/>
            <w:tcBorders>
              <w:top w:val="single" w:sz="4" w:space="0" w:color="auto"/>
              <w:left w:val="nil"/>
              <w:bottom w:val="nil"/>
              <w:right w:val="nil"/>
            </w:tcBorders>
            <w:shd w:val="clear" w:color="auto" w:fill="auto"/>
            <w:noWrap/>
            <w:vAlign w:val="center"/>
            <w:hideMark/>
          </w:tcPr>
          <w:p w:rsidR="002644A9" w:rsidRPr="002644A9" w:rsidRDefault="002644A9" w:rsidP="002644A9">
            <w:pPr>
              <w:spacing w:after="0" w:line="240" w:lineRule="auto"/>
              <w:jc w:val="right"/>
              <w:rPr>
                <w:rFonts w:cs="Arial"/>
                <w:b/>
                <w:bCs/>
                <w:sz w:val="16"/>
                <w:szCs w:val="16"/>
              </w:rPr>
            </w:pPr>
            <w:r w:rsidRPr="002644A9">
              <w:rPr>
                <w:rFonts w:cs="Arial"/>
                <w:b/>
                <w:bCs/>
                <w:sz w:val="16"/>
                <w:szCs w:val="16"/>
              </w:rPr>
              <w:t>38,89</w:t>
            </w:r>
          </w:p>
        </w:tc>
        <w:tc>
          <w:tcPr>
            <w:tcW w:w="673" w:type="dxa"/>
            <w:tcBorders>
              <w:top w:val="single" w:sz="4" w:space="0" w:color="auto"/>
              <w:left w:val="nil"/>
              <w:bottom w:val="nil"/>
              <w:right w:val="nil"/>
            </w:tcBorders>
            <w:shd w:val="clear" w:color="auto" w:fill="auto"/>
            <w:noWrap/>
            <w:vAlign w:val="center"/>
            <w:hideMark/>
          </w:tcPr>
          <w:p w:rsidR="002644A9" w:rsidRPr="002644A9" w:rsidRDefault="002644A9" w:rsidP="002644A9">
            <w:pPr>
              <w:spacing w:after="0" w:line="240" w:lineRule="auto"/>
              <w:jc w:val="right"/>
              <w:rPr>
                <w:rFonts w:cs="Arial"/>
                <w:b/>
                <w:bCs/>
                <w:sz w:val="16"/>
                <w:szCs w:val="16"/>
              </w:rPr>
            </w:pPr>
            <w:r w:rsidRPr="002644A9">
              <w:rPr>
                <w:rFonts w:cs="Arial"/>
                <w:b/>
                <w:bCs/>
                <w:sz w:val="16"/>
                <w:szCs w:val="16"/>
              </w:rPr>
              <w:t>55,21</w:t>
            </w:r>
          </w:p>
        </w:tc>
        <w:tc>
          <w:tcPr>
            <w:tcW w:w="673" w:type="dxa"/>
            <w:tcBorders>
              <w:top w:val="single" w:sz="4" w:space="0" w:color="auto"/>
              <w:left w:val="nil"/>
              <w:bottom w:val="nil"/>
              <w:right w:val="nil"/>
            </w:tcBorders>
            <w:shd w:val="clear" w:color="auto" w:fill="auto"/>
            <w:noWrap/>
            <w:vAlign w:val="center"/>
            <w:hideMark/>
          </w:tcPr>
          <w:p w:rsidR="002644A9" w:rsidRPr="002644A9" w:rsidRDefault="002644A9" w:rsidP="002644A9">
            <w:pPr>
              <w:spacing w:after="0" w:line="240" w:lineRule="auto"/>
              <w:jc w:val="right"/>
            </w:pPr>
            <w:r w:rsidRPr="002644A9">
              <w:rPr>
                <w:rFonts w:cs="Arial"/>
                <w:b/>
                <w:bCs/>
                <w:sz w:val="16"/>
                <w:szCs w:val="16"/>
              </w:rPr>
              <w:t>51,47</w:t>
            </w:r>
          </w:p>
        </w:tc>
        <w:tc>
          <w:tcPr>
            <w:tcW w:w="666" w:type="dxa"/>
            <w:tcBorders>
              <w:top w:val="single" w:sz="4" w:space="0" w:color="auto"/>
            </w:tcBorders>
            <w:vAlign w:val="center"/>
          </w:tcPr>
          <w:p w:rsidR="002644A9" w:rsidRPr="002644A9" w:rsidRDefault="002644A9" w:rsidP="002644A9">
            <w:pPr>
              <w:spacing w:after="0" w:line="240" w:lineRule="auto"/>
              <w:jc w:val="right"/>
              <w:rPr>
                <w:rFonts w:cs="Arial"/>
                <w:b/>
                <w:bCs/>
                <w:sz w:val="16"/>
                <w:szCs w:val="16"/>
              </w:rPr>
            </w:pPr>
            <w:r w:rsidRPr="002644A9">
              <w:rPr>
                <w:rFonts w:cs="Arial"/>
                <w:b/>
                <w:bCs/>
                <w:sz w:val="16"/>
                <w:szCs w:val="16"/>
              </w:rPr>
              <w:t>47,63</w:t>
            </w:r>
          </w:p>
        </w:tc>
        <w:tc>
          <w:tcPr>
            <w:tcW w:w="668" w:type="dxa"/>
            <w:tcBorders>
              <w:top w:val="single" w:sz="4" w:space="0" w:color="auto"/>
            </w:tcBorders>
            <w:vAlign w:val="center"/>
          </w:tcPr>
          <w:p w:rsidR="002644A9" w:rsidRPr="002644A9" w:rsidRDefault="002644A9" w:rsidP="002644A9">
            <w:pPr>
              <w:spacing w:after="0" w:line="240" w:lineRule="auto"/>
              <w:jc w:val="right"/>
              <w:rPr>
                <w:rFonts w:cs="Arial"/>
                <w:b/>
                <w:bCs/>
                <w:sz w:val="16"/>
                <w:szCs w:val="16"/>
              </w:rPr>
            </w:pPr>
            <w:r w:rsidRPr="002644A9">
              <w:rPr>
                <w:rFonts w:cs="Arial"/>
                <w:b/>
                <w:bCs/>
                <w:sz w:val="16"/>
                <w:szCs w:val="16"/>
              </w:rPr>
              <w:t>45,45</w:t>
            </w:r>
          </w:p>
        </w:tc>
        <w:tc>
          <w:tcPr>
            <w:tcW w:w="663" w:type="dxa"/>
            <w:tcBorders>
              <w:top w:val="single" w:sz="4" w:space="0" w:color="auto"/>
            </w:tcBorders>
            <w:vAlign w:val="center"/>
          </w:tcPr>
          <w:p w:rsidR="002644A9" w:rsidRPr="002644A9" w:rsidRDefault="002644A9" w:rsidP="002644A9">
            <w:pPr>
              <w:spacing w:after="0" w:line="240" w:lineRule="auto"/>
              <w:jc w:val="right"/>
              <w:rPr>
                <w:rFonts w:cs="Arial"/>
                <w:b/>
                <w:bCs/>
                <w:sz w:val="16"/>
                <w:szCs w:val="16"/>
              </w:rPr>
            </w:pPr>
            <w:r>
              <w:rPr>
                <w:rFonts w:cs="Arial"/>
                <w:b/>
                <w:bCs/>
                <w:sz w:val="16"/>
                <w:szCs w:val="16"/>
              </w:rPr>
              <w:t>47,54</w:t>
            </w:r>
          </w:p>
        </w:tc>
      </w:tr>
      <w:tr w:rsidR="002644A9" w:rsidRPr="002644A9" w:rsidTr="002644A9">
        <w:trPr>
          <w:trHeight w:val="300"/>
        </w:trPr>
        <w:tc>
          <w:tcPr>
            <w:tcW w:w="2257" w:type="dxa"/>
            <w:tcBorders>
              <w:top w:val="nil"/>
              <w:left w:val="nil"/>
              <w:bottom w:val="nil"/>
              <w:right w:val="single" w:sz="4" w:space="0" w:color="auto"/>
            </w:tcBorders>
            <w:shd w:val="clear" w:color="auto" w:fill="auto"/>
            <w:vAlign w:val="center"/>
            <w:hideMark/>
          </w:tcPr>
          <w:p w:rsidR="002644A9" w:rsidRPr="002644A9" w:rsidRDefault="002644A9" w:rsidP="002644A9">
            <w:pPr>
              <w:spacing w:after="0" w:line="240" w:lineRule="auto"/>
              <w:ind w:firstLineChars="100" w:firstLine="160"/>
              <w:jc w:val="left"/>
              <w:rPr>
                <w:rFonts w:cs="Arial"/>
                <w:sz w:val="16"/>
                <w:szCs w:val="16"/>
              </w:rPr>
            </w:pPr>
            <w:r w:rsidRPr="002644A9">
              <w:rPr>
                <w:rFonts w:cs="Arial"/>
                <w:sz w:val="16"/>
                <w:szCs w:val="16"/>
              </w:rPr>
              <w:t>nemocenské</w:t>
            </w:r>
          </w:p>
        </w:tc>
        <w:tc>
          <w:tcPr>
            <w:tcW w:w="673" w:type="dxa"/>
            <w:tcBorders>
              <w:top w:val="nil"/>
              <w:left w:val="nil"/>
              <w:bottom w:val="nil"/>
              <w:right w:val="nil"/>
            </w:tcBorders>
            <w:shd w:val="clear" w:color="auto" w:fill="auto"/>
            <w:noWrap/>
            <w:vAlign w:val="center"/>
            <w:hideMark/>
          </w:tcPr>
          <w:p w:rsidR="002644A9" w:rsidRPr="002644A9" w:rsidRDefault="002644A9" w:rsidP="002644A9">
            <w:pPr>
              <w:spacing w:after="0" w:line="240" w:lineRule="auto"/>
              <w:jc w:val="right"/>
              <w:rPr>
                <w:rFonts w:cs="Arial"/>
                <w:sz w:val="16"/>
                <w:szCs w:val="16"/>
              </w:rPr>
            </w:pPr>
            <w:r w:rsidRPr="002644A9">
              <w:rPr>
                <w:rFonts w:cs="Arial"/>
                <w:sz w:val="16"/>
                <w:szCs w:val="16"/>
              </w:rPr>
              <w:t>13,88</w:t>
            </w:r>
          </w:p>
        </w:tc>
        <w:tc>
          <w:tcPr>
            <w:tcW w:w="673" w:type="dxa"/>
            <w:tcBorders>
              <w:top w:val="nil"/>
              <w:left w:val="nil"/>
              <w:bottom w:val="nil"/>
              <w:right w:val="nil"/>
            </w:tcBorders>
            <w:shd w:val="clear" w:color="auto" w:fill="auto"/>
            <w:noWrap/>
            <w:vAlign w:val="center"/>
            <w:hideMark/>
          </w:tcPr>
          <w:p w:rsidR="002644A9" w:rsidRPr="002644A9" w:rsidRDefault="002644A9" w:rsidP="002644A9">
            <w:pPr>
              <w:spacing w:after="0" w:line="240" w:lineRule="auto"/>
              <w:jc w:val="right"/>
              <w:rPr>
                <w:rFonts w:cs="Arial"/>
                <w:sz w:val="16"/>
                <w:szCs w:val="16"/>
              </w:rPr>
            </w:pPr>
            <w:r w:rsidRPr="002644A9">
              <w:rPr>
                <w:rFonts w:cs="Arial"/>
                <w:sz w:val="16"/>
                <w:szCs w:val="16"/>
              </w:rPr>
              <w:t>15,43</w:t>
            </w:r>
          </w:p>
        </w:tc>
        <w:tc>
          <w:tcPr>
            <w:tcW w:w="673" w:type="dxa"/>
            <w:tcBorders>
              <w:top w:val="nil"/>
              <w:left w:val="nil"/>
              <w:bottom w:val="nil"/>
              <w:right w:val="nil"/>
            </w:tcBorders>
            <w:shd w:val="clear" w:color="auto" w:fill="auto"/>
            <w:noWrap/>
            <w:vAlign w:val="center"/>
            <w:hideMark/>
          </w:tcPr>
          <w:p w:rsidR="002644A9" w:rsidRPr="002644A9" w:rsidRDefault="002644A9" w:rsidP="002644A9">
            <w:pPr>
              <w:spacing w:after="0" w:line="240" w:lineRule="auto"/>
              <w:jc w:val="right"/>
              <w:rPr>
                <w:rFonts w:cs="Arial"/>
                <w:sz w:val="16"/>
                <w:szCs w:val="16"/>
              </w:rPr>
            </w:pPr>
            <w:r w:rsidRPr="002644A9">
              <w:rPr>
                <w:rFonts w:cs="Arial"/>
                <w:sz w:val="16"/>
                <w:szCs w:val="16"/>
              </w:rPr>
              <w:t>16,99</w:t>
            </w:r>
          </w:p>
        </w:tc>
        <w:tc>
          <w:tcPr>
            <w:tcW w:w="673" w:type="dxa"/>
            <w:tcBorders>
              <w:top w:val="nil"/>
              <w:left w:val="nil"/>
              <w:bottom w:val="nil"/>
              <w:right w:val="nil"/>
            </w:tcBorders>
            <w:shd w:val="clear" w:color="auto" w:fill="auto"/>
            <w:noWrap/>
            <w:vAlign w:val="center"/>
            <w:hideMark/>
          </w:tcPr>
          <w:p w:rsidR="002644A9" w:rsidRPr="002644A9" w:rsidRDefault="002644A9" w:rsidP="002644A9">
            <w:pPr>
              <w:spacing w:after="0" w:line="240" w:lineRule="auto"/>
              <w:jc w:val="right"/>
              <w:rPr>
                <w:rFonts w:cs="Arial"/>
                <w:color w:val="000000"/>
                <w:sz w:val="16"/>
                <w:szCs w:val="16"/>
              </w:rPr>
            </w:pPr>
            <w:r w:rsidRPr="002644A9">
              <w:rPr>
                <w:rFonts w:cs="Arial"/>
                <w:color w:val="000000"/>
                <w:sz w:val="16"/>
                <w:szCs w:val="16"/>
              </w:rPr>
              <w:t>18,29</w:t>
            </w:r>
          </w:p>
        </w:tc>
        <w:tc>
          <w:tcPr>
            <w:tcW w:w="673" w:type="dxa"/>
            <w:tcBorders>
              <w:top w:val="nil"/>
              <w:left w:val="nil"/>
              <w:bottom w:val="nil"/>
              <w:right w:val="nil"/>
            </w:tcBorders>
            <w:shd w:val="clear" w:color="auto" w:fill="auto"/>
            <w:noWrap/>
            <w:vAlign w:val="center"/>
            <w:hideMark/>
          </w:tcPr>
          <w:p w:rsidR="002644A9" w:rsidRPr="002644A9" w:rsidRDefault="002644A9" w:rsidP="002644A9">
            <w:pPr>
              <w:spacing w:after="0" w:line="240" w:lineRule="auto"/>
              <w:jc w:val="right"/>
              <w:rPr>
                <w:rFonts w:cs="Arial"/>
                <w:color w:val="000000"/>
                <w:sz w:val="16"/>
                <w:szCs w:val="16"/>
              </w:rPr>
            </w:pPr>
            <w:r w:rsidRPr="002644A9">
              <w:rPr>
                <w:rFonts w:cs="Arial"/>
                <w:color w:val="000000"/>
                <w:sz w:val="16"/>
                <w:szCs w:val="16"/>
              </w:rPr>
              <w:t>22,68</w:t>
            </w:r>
          </w:p>
        </w:tc>
        <w:tc>
          <w:tcPr>
            <w:tcW w:w="673" w:type="dxa"/>
            <w:tcBorders>
              <w:top w:val="nil"/>
              <w:left w:val="nil"/>
              <w:bottom w:val="nil"/>
              <w:right w:val="nil"/>
            </w:tcBorders>
            <w:shd w:val="clear" w:color="auto" w:fill="auto"/>
            <w:noWrap/>
            <w:vAlign w:val="center"/>
            <w:hideMark/>
          </w:tcPr>
          <w:p w:rsidR="002644A9" w:rsidRPr="002644A9" w:rsidRDefault="002644A9" w:rsidP="002644A9">
            <w:pPr>
              <w:spacing w:after="0" w:line="240" w:lineRule="auto"/>
              <w:jc w:val="right"/>
              <w:rPr>
                <w:rFonts w:cs="Arial"/>
                <w:color w:val="000000"/>
                <w:sz w:val="16"/>
                <w:szCs w:val="16"/>
              </w:rPr>
            </w:pPr>
            <w:r w:rsidRPr="002644A9">
              <w:rPr>
                <w:rFonts w:cs="Arial"/>
                <w:color w:val="000000"/>
                <w:sz w:val="16"/>
                <w:szCs w:val="16"/>
              </w:rPr>
              <w:t>26,67</w:t>
            </w:r>
          </w:p>
        </w:tc>
        <w:tc>
          <w:tcPr>
            <w:tcW w:w="673" w:type="dxa"/>
            <w:tcBorders>
              <w:top w:val="nil"/>
              <w:left w:val="nil"/>
              <w:bottom w:val="nil"/>
              <w:right w:val="nil"/>
            </w:tcBorders>
            <w:shd w:val="clear" w:color="auto" w:fill="auto"/>
            <w:noWrap/>
            <w:vAlign w:val="center"/>
            <w:hideMark/>
          </w:tcPr>
          <w:p w:rsidR="002644A9" w:rsidRPr="002644A9" w:rsidRDefault="002644A9" w:rsidP="002644A9">
            <w:pPr>
              <w:spacing w:after="0" w:line="240" w:lineRule="auto"/>
              <w:jc w:val="right"/>
              <w:rPr>
                <w:rFonts w:cs="Arial"/>
                <w:color w:val="000000"/>
                <w:sz w:val="16"/>
                <w:szCs w:val="16"/>
              </w:rPr>
            </w:pPr>
            <w:r w:rsidRPr="002644A9">
              <w:rPr>
                <w:rFonts w:cs="Arial"/>
                <w:color w:val="000000"/>
                <w:sz w:val="16"/>
                <w:szCs w:val="16"/>
              </w:rPr>
              <w:t>32,77</w:t>
            </w:r>
          </w:p>
        </w:tc>
        <w:tc>
          <w:tcPr>
            <w:tcW w:w="673" w:type="dxa"/>
            <w:tcBorders>
              <w:top w:val="nil"/>
              <w:left w:val="nil"/>
              <w:bottom w:val="nil"/>
              <w:right w:val="nil"/>
            </w:tcBorders>
            <w:shd w:val="clear" w:color="auto" w:fill="auto"/>
            <w:noWrap/>
            <w:vAlign w:val="center"/>
            <w:hideMark/>
          </w:tcPr>
          <w:p w:rsidR="002644A9" w:rsidRPr="002644A9" w:rsidRDefault="002644A9" w:rsidP="002644A9">
            <w:pPr>
              <w:spacing w:after="0" w:line="240" w:lineRule="auto"/>
              <w:jc w:val="right"/>
              <w:rPr>
                <w:sz w:val="16"/>
                <w:szCs w:val="16"/>
              </w:rPr>
            </w:pPr>
            <w:r w:rsidRPr="002644A9">
              <w:rPr>
                <w:sz w:val="16"/>
                <w:szCs w:val="16"/>
              </w:rPr>
              <w:t>34,04</w:t>
            </w:r>
          </w:p>
        </w:tc>
        <w:tc>
          <w:tcPr>
            <w:tcW w:w="666" w:type="dxa"/>
            <w:shd w:val="clear" w:color="auto" w:fill="auto"/>
            <w:vAlign w:val="center"/>
          </w:tcPr>
          <w:p w:rsidR="002644A9" w:rsidRPr="002644A9" w:rsidRDefault="002644A9" w:rsidP="002644A9">
            <w:pPr>
              <w:spacing w:after="0" w:line="240" w:lineRule="auto"/>
              <w:jc w:val="right"/>
              <w:rPr>
                <w:rFonts w:cs="Arial"/>
                <w:color w:val="000000"/>
                <w:sz w:val="16"/>
                <w:szCs w:val="16"/>
              </w:rPr>
            </w:pPr>
            <w:r w:rsidRPr="002644A9">
              <w:rPr>
                <w:rFonts w:cs="Arial"/>
                <w:color w:val="000000"/>
                <w:sz w:val="16"/>
                <w:szCs w:val="16"/>
              </w:rPr>
              <w:t>32,75</w:t>
            </w:r>
          </w:p>
        </w:tc>
        <w:tc>
          <w:tcPr>
            <w:tcW w:w="668" w:type="dxa"/>
            <w:shd w:val="clear" w:color="auto" w:fill="auto"/>
            <w:vAlign w:val="center"/>
          </w:tcPr>
          <w:p w:rsidR="002644A9" w:rsidRPr="002644A9" w:rsidRDefault="002644A9" w:rsidP="002644A9">
            <w:pPr>
              <w:spacing w:after="0" w:line="240" w:lineRule="auto"/>
              <w:jc w:val="right"/>
              <w:rPr>
                <w:rFonts w:cs="Arial"/>
                <w:color w:val="000000"/>
                <w:sz w:val="16"/>
                <w:szCs w:val="16"/>
              </w:rPr>
            </w:pPr>
            <w:r w:rsidRPr="002644A9">
              <w:rPr>
                <w:rFonts w:cs="Arial"/>
                <w:color w:val="000000"/>
                <w:sz w:val="16"/>
                <w:szCs w:val="16"/>
              </w:rPr>
              <w:t>31,68</w:t>
            </w:r>
          </w:p>
        </w:tc>
        <w:tc>
          <w:tcPr>
            <w:tcW w:w="663" w:type="dxa"/>
            <w:shd w:val="clear" w:color="auto" w:fill="auto"/>
            <w:vAlign w:val="center"/>
          </w:tcPr>
          <w:p w:rsidR="002644A9" w:rsidRPr="002644A9" w:rsidRDefault="002644A9" w:rsidP="002644A9">
            <w:pPr>
              <w:spacing w:after="0" w:line="240" w:lineRule="auto"/>
              <w:jc w:val="right"/>
              <w:rPr>
                <w:rFonts w:cs="Arial"/>
                <w:color w:val="000000"/>
                <w:sz w:val="16"/>
                <w:szCs w:val="16"/>
              </w:rPr>
            </w:pPr>
            <w:r w:rsidRPr="002644A9">
              <w:rPr>
                <w:rFonts w:cs="Arial"/>
                <w:color w:val="000000"/>
                <w:sz w:val="16"/>
                <w:szCs w:val="16"/>
              </w:rPr>
              <w:t>34,05</w:t>
            </w:r>
          </w:p>
        </w:tc>
      </w:tr>
      <w:tr w:rsidR="002644A9" w:rsidRPr="002644A9" w:rsidTr="002644A9">
        <w:trPr>
          <w:trHeight w:val="300"/>
        </w:trPr>
        <w:tc>
          <w:tcPr>
            <w:tcW w:w="2257" w:type="dxa"/>
            <w:tcBorders>
              <w:top w:val="nil"/>
              <w:left w:val="nil"/>
              <w:bottom w:val="nil"/>
              <w:right w:val="single" w:sz="4" w:space="0" w:color="auto"/>
            </w:tcBorders>
            <w:shd w:val="clear" w:color="auto" w:fill="auto"/>
            <w:vAlign w:val="center"/>
            <w:hideMark/>
          </w:tcPr>
          <w:p w:rsidR="002644A9" w:rsidRPr="002644A9" w:rsidRDefault="002644A9" w:rsidP="002644A9">
            <w:pPr>
              <w:spacing w:after="0" w:line="240" w:lineRule="auto"/>
              <w:ind w:firstLineChars="100" w:firstLine="160"/>
              <w:jc w:val="left"/>
              <w:rPr>
                <w:rFonts w:cs="Arial"/>
                <w:sz w:val="16"/>
                <w:szCs w:val="16"/>
              </w:rPr>
            </w:pPr>
            <w:r w:rsidRPr="002644A9">
              <w:rPr>
                <w:rFonts w:cs="Arial"/>
                <w:sz w:val="16"/>
                <w:szCs w:val="16"/>
              </w:rPr>
              <w:t>ošetřovné</w:t>
            </w:r>
          </w:p>
        </w:tc>
        <w:tc>
          <w:tcPr>
            <w:tcW w:w="673" w:type="dxa"/>
            <w:tcBorders>
              <w:top w:val="nil"/>
              <w:left w:val="nil"/>
              <w:bottom w:val="nil"/>
              <w:right w:val="nil"/>
            </w:tcBorders>
            <w:shd w:val="clear" w:color="auto" w:fill="auto"/>
            <w:noWrap/>
            <w:vAlign w:val="center"/>
            <w:hideMark/>
          </w:tcPr>
          <w:p w:rsidR="002644A9" w:rsidRPr="002644A9" w:rsidRDefault="002644A9" w:rsidP="002644A9">
            <w:pPr>
              <w:spacing w:after="0" w:line="240" w:lineRule="auto"/>
              <w:jc w:val="right"/>
              <w:rPr>
                <w:rFonts w:cs="Arial"/>
                <w:sz w:val="16"/>
                <w:szCs w:val="16"/>
              </w:rPr>
            </w:pPr>
            <w:r w:rsidRPr="002644A9">
              <w:rPr>
                <w:rFonts w:cs="Arial"/>
                <w:sz w:val="16"/>
                <w:szCs w:val="16"/>
              </w:rPr>
              <w:t>0,85</w:t>
            </w:r>
          </w:p>
        </w:tc>
        <w:tc>
          <w:tcPr>
            <w:tcW w:w="673" w:type="dxa"/>
            <w:tcBorders>
              <w:top w:val="nil"/>
              <w:left w:val="nil"/>
              <w:bottom w:val="nil"/>
              <w:right w:val="nil"/>
            </w:tcBorders>
            <w:shd w:val="clear" w:color="auto" w:fill="auto"/>
            <w:noWrap/>
            <w:vAlign w:val="center"/>
            <w:hideMark/>
          </w:tcPr>
          <w:p w:rsidR="002644A9" w:rsidRPr="002644A9" w:rsidRDefault="002644A9" w:rsidP="002644A9">
            <w:pPr>
              <w:spacing w:after="0" w:line="240" w:lineRule="auto"/>
              <w:jc w:val="right"/>
              <w:rPr>
                <w:rFonts w:cs="Arial"/>
                <w:sz w:val="16"/>
                <w:szCs w:val="16"/>
              </w:rPr>
            </w:pPr>
            <w:r w:rsidRPr="002644A9">
              <w:rPr>
                <w:rFonts w:cs="Arial"/>
                <w:sz w:val="16"/>
                <w:szCs w:val="16"/>
              </w:rPr>
              <w:t>1,06</w:t>
            </w:r>
          </w:p>
        </w:tc>
        <w:tc>
          <w:tcPr>
            <w:tcW w:w="673" w:type="dxa"/>
            <w:tcBorders>
              <w:top w:val="nil"/>
              <w:left w:val="nil"/>
              <w:bottom w:val="nil"/>
              <w:right w:val="nil"/>
            </w:tcBorders>
            <w:shd w:val="clear" w:color="auto" w:fill="auto"/>
            <w:noWrap/>
            <w:vAlign w:val="center"/>
            <w:hideMark/>
          </w:tcPr>
          <w:p w:rsidR="002644A9" w:rsidRPr="002644A9" w:rsidRDefault="002644A9" w:rsidP="002644A9">
            <w:pPr>
              <w:spacing w:after="0" w:line="240" w:lineRule="auto"/>
              <w:jc w:val="right"/>
              <w:rPr>
                <w:rFonts w:cs="Arial"/>
                <w:sz w:val="16"/>
                <w:szCs w:val="16"/>
              </w:rPr>
            </w:pPr>
            <w:r w:rsidRPr="002644A9">
              <w:rPr>
                <w:rFonts w:cs="Arial"/>
                <w:sz w:val="16"/>
                <w:szCs w:val="16"/>
              </w:rPr>
              <w:t>1,18</w:t>
            </w:r>
          </w:p>
        </w:tc>
        <w:tc>
          <w:tcPr>
            <w:tcW w:w="673" w:type="dxa"/>
            <w:tcBorders>
              <w:top w:val="nil"/>
              <w:left w:val="nil"/>
              <w:bottom w:val="nil"/>
              <w:right w:val="nil"/>
            </w:tcBorders>
            <w:shd w:val="clear" w:color="auto" w:fill="auto"/>
            <w:noWrap/>
            <w:vAlign w:val="center"/>
            <w:hideMark/>
          </w:tcPr>
          <w:p w:rsidR="002644A9" w:rsidRPr="002644A9" w:rsidRDefault="002644A9" w:rsidP="002644A9">
            <w:pPr>
              <w:spacing w:after="0" w:line="240" w:lineRule="auto"/>
              <w:jc w:val="right"/>
              <w:rPr>
                <w:rFonts w:cs="Arial"/>
                <w:sz w:val="16"/>
                <w:szCs w:val="16"/>
              </w:rPr>
            </w:pPr>
            <w:r w:rsidRPr="002644A9">
              <w:rPr>
                <w:rFonts w:cs="Arial"/>
                <w:sz w:val="16"/>
                <w:szCs w:val="16"/>
              </w:rPr>
              <w:t>1,40</w:t>
            </w:r>
          </w:p>
        </w:tc>
        <w:tc>
          <w:tcPr>
            <w:tcW w:w="673" w:type="dxa"/>
            <w:tcBorders>
              <w:top w:val="nil"/>
              <w:left w:val="nil"/>
              <w:bottom w:val="nil"/>
              <w:right w:val="nil"/>
            </w:tcBorders>
            <w:shd w:val="clear" w:color="auto" w:fill="auto"/>
            <w:noWrap/>
            <w:vAlign w:val="center"/>
            <w:hideMark/>
          </w:tcPr>
          <w:p w:rsidR="002644A9" w:rsidRPr="002644A9" w:rsidRDefault="002644A9" w:rsidP="002644A9">
            <w:pPr>
              <w:spacing w:after="0" w:line="240" w:lineRule="auto"/>
              <w:jc w:val="right"/>
              <w:rPr>
                <w:rFonts w:cs="Arial"/>
                <w:sz w:val="16"/>
                <w:szCs w:val="16"/>
              </w:rPr>
            </w:pPr>
            <w:r w:rsidRPr="002644A9">
              <w:rPr>
                <w:rFonts w:cs="Arial"/>
                <w:sz w:val="16"/>
                <w:szCs w:val="16"/>
              </w:rPr>
              <w:t>1,63</w:t>
            </w:r>
          </w:p>
        </w:tc>
        <w:tc>
          <w:tcPr>
            <w:tcW w:w="673" w:type="dxa"/>
            <w:tcBorders>
              <w:top w:val="nil"/>
              <w:left w:val="nil"/>
              <w:bottom w:val="nil"/>
              <w:right w:val="nil"/>
            </w:tcBorders>
            <w:shd w:val="clear" w:color="auto" w:fill="auto"/>
            <w:noWrap/>
            <w:vAlign w:val="center"/>
            <w:hideMark/>
          </w:tcPr>
          <w:p w:rsidR="002644A9" w:rsidRPr="002644A9" w:rsidRDefault="002644A9" w:rsidP="002644A9">
            <w:pPr>
              <w:spacing w:after="0" w:line="240" w:lineRule="auto"/>
              <w:jc w:val="right"/>
              <w:rPr>
                <w:rFonts w:cs="Arial"/>
                <w:sz w:val="16"/>
                <w:szCs w:val="16"/>
              </w:rPr>
            </w:pPr>
            <w:r w:rsidRPr="002644A9">
              <w:rPr>
                <w:rFonts w:cs="Arial"/>
                <w:sz w:val="16"/>
                <w:szCs w:val="16"/>
              </w:rPr>
              <w:t>1,73</w:t>
            </w:r>
          </w:p>
        </w:tc>
        <w:tc>
          <w:tcPr>
            <w:tcW w:w="673" w:type="dxa"/>
            <w:tcBorders>
              <w:top w:val="nil"/>
              <w:left w:val="nil"/>
              <w:bottom w:val="nil"/>
              <w:right w:val="nil"/>
            </w:tcBorders>
            <w:shd w:val="clear" w:color="auto" w:fill="auto"/>
            <w:noWrap/>
            <w:vAlign w:val="center"/>
            <w:hideMark/>
          </w:tcPr>
          <w:p w:rsidR="002644A9" w:rsidRPr="002644A9" w:rsidRDefault="002644A9" w:rsidP="002644A9">
            <w:pPr>
              <w:spacing w:after="0" w:line="240" w:lineRule="auto"/>
              <w:jc w:val="right"/>
              <w:rPr>
                <w:rFonts w:cs="Arial"/>
                <w:sz w:val="16"/>
                <w:szCs w:val="16"/>
              </w:rPr>
            </w:pPr>
            <w:r w:rsidRPr="002644A9">
              <w:rPr>
                <w:rFonts w:cs="Arial"/>
                <w:sz w:val="16"/>
                <w:szCs w:val="16"/>
              </w:rPr>
              <w:t>11,44</w:t>
            </w:r>
          </w:p>
        </w:tc>
        <w:tc>
          <w:tcPr>
            <w:tcW w:w="673" w:type="dxa"/>
            <w:tcBorders>
              <w:top w:val="nil"/>
              <w:left w:val="nil"/>
              <w:bottom w:val="nil"/>
              <w:right w:val="nil"/>
            </w:tcBorders>
            <w:shd w:val="clear" w:color="auto" w:fill="auto"/>
            <w:noWrap/>
            <w:vAlign w:val="center"/>
            <w:hideMark/>
          </w:tcPr>
          <w:p w:rsidR="002644A9" w:rsidRPr="002644A9" w:rsidRDefault="002644A9" w:rsidP="002644A9">
            <w:pPr>
              <w:spacing w:after="0" w:line="240" w:lineRule="auto"/>
              <w:jc w:val="right"/>
            </w:pPr>
            <w:r w:rsidRPr="002644A9">
              <w:rPr>
                <w:rFonts w:cs="Arial"/>
                <w:sz w:val="16"/>
                <w:szCs w:val="16"/>
              </w:rPr>
              <w:t>5,66</w:t>
            </w:r>
          </w:p>
        </w:tc>
        <w:tc>
          <w:tcPr>
            <w:tcW w:w="666" w:type="dxa"/>
            <w:vAlign w:val="center"/>
          </w:tcPr>
          <w:p w:rsidR="002644A9" w:rsidRPr="002644A9" w:rsidRDefault="002644A9" w:rsidP="002644A9">
            <w:pPr>
              <w:spacing w:after="0" w:line="240" w:lineRule="auto"/>
              <w:jc w:val="right"/>
              <w:rPr>
                <w:rFonts w:cs="Arial"/>
                <w:sz w:val="16"/>
                <w:szCs w:val="16"/>
              </w:rPr>
            </w:pPr>
            <w:r w:rsidRPr="002644A9">
              <w:rPr>
                <w:rFonts w:cs="Arial"/>
                <w:sz w:val="16"/>
                <w:szCs w:val="16"/>
              </w:rPr>
              <w:t>2,83</w:t>
            </w:r>
          </w:p>
        </w:tc>
        <w:tc>
          <w:tcPr>
            <w:tcW w:w="668" w:type="dxa"/>
            <w:shd w:val="clear" w:color="auto" w:fill="auto"/>
            <w:vAlign w:val="center"/>
          </w:tcPr>
          <w:p w:rsidR="002644A9" w:rsidRPr="002644A9" w:rsidRDefault="002644A9" w:rsidP="002644A9">
            <w:pPr>
              <w:spacing w:after="0" w:line="240" w:lineRule="auto"/>
              <w:jc w:val="right"/>
              <w:rPr>
                <w:rFonts w:cs="Arial"/>
                <w:sz w:val="16"/>
                <w:szCs w:val="16"/>
              </w:rPr>
            </w:pPr>
            <w:r w:rsidRPr="002644A9">
              <w:rPr>
                <w:rFonts w:cs="Arial"/>
                <w:sz w:val="16"/>
                <w:szCs w:val="16"/>
              </w:rPr>
              <w:t>2,46</w:t>
            </w:r>
          </w:p>
        </w:tc>
        <w:tc>
          <w:tcPr>
            <w:tcW w:w="663" w:type="dxa"/>
            <w:vAlign w:val="center"/>
          </w:tcPr>
          <w:p w:rsidR="002644A9" w:rsidRPr="002644A9" w:rsidRDefault="002644A9" w:rsidP="002644A9">
            <w:pPr>
              <w:spacing w:after="0" w:line="240" w:lineRule="auto"/>
              <w:jc w:val="right"/>
              <w:rPr>
                <w:rFonts w:cs="Arial"/>
                <w:sz w:val="16"/>
                <w:szCs w:val="16"/>
              </w:rPr>
            </w:pPr>
            <w:r>
              <w:rPr>
                <w:rFonts w:cs="Arial"/>
                <w:sz w:val="16"/>
                <w:szCs w:val="16"/>
              </w:rPr>
              <w:t>2,45</w:t>
            </w:r>
          </w:p>
        </w:tc>
      </w:tr>
      <w:tr w:rsidR="002644A9" w:rsidRPr="002644A9" w:rsidTr="002644A9">
        <w:trPr>
          <w:trHeight w:val="300"/>
        </w:trPr>
        <w:tc>
          <w:tcPr>
            <w:tcW w:w="2257" w:type="dxa"/>
            <w:tcBorders>
              <w:top w:val="nil"/>
              <w:left w:val="nil"/>
              <w:bottom w:val="nil"/>
              <w:right w:val="single" w:sz="4" w:space="0" w:color="auto"/>
            </w:tcBorders>
            <w:shd w:val="clear" w:color="auto" w:fill="auto"/>
            <w:vAlign w:val="center"/>
            <w:hideMark/>
          </w:tcPr>
          <w:p w:rsidR="002644A9" w:rsidRPr="002644A9" w:rsidRDefault="002644A9" w:rsidP="002644A9">
            <w:pPr>
              <w:spacing w:after="0" w:line="240" w:lineRule="auto"/>
              <w:ind w:firstLineChars="100" w:firstLine="160"/>
              <w:jc w:val="left"/>
              <w:rPr>
                <w:rFonts w:cs="Arial"/>
                <w:sz w:val="16"/>
                <w:szCs w:val="16"/>
              </w:rPr>
            </w:pPr>
            <w:r w:rsidRPr="002644A9">
              <w:rPr>
                <w:rFonts w:cs="Arial"/>
                <w:sz w:val="16"/>
                <w:szCs w:val="16"/>
              </w:rPr>
              <w:t>peněžitá pomoc v mateřství</w:t>
            </w:r>
          </w:p>
        </w:tc>
        <w:tc>
          <w:tcPr>
            <w:tcW w:w="673" w:type="dxa"/>
            <w:tcBorders>
              <w:top w:val="nil"/>
              <w:left w:val="nil"/>
              <w:bottom w:val="nil"/>
              <w:right w:val="nil"/>
            </w:tcBorders>
            <w:shd w:val="clear" w:color="auto" w:fill="auto"/>
            <w:noWrap/>
            <w:vAlign w:val="center"/>
            <w:hideMark/>
          </w:tcPr>
          <w:p w:rsidR="002644A9" w:rsidRPr="002644A9" w:rsidRDefault="002644A9" w:rsidP="002644A9">
            <w:pPr>
              <w:spacing w:after="0" w:line="240" w:lineRule="auto"/>
              <w:jc w:val="right"/>
              <w:rPr>
                <w:rFonts w:cs="Arial"/>
                <w:sz w:val="16"/>
                <w:szCs w:val="16"/>
              </w:rPr>
            </w:pPr>
            <w:r w:rsidRPr="002644A9">
              <w:rPr>
                <w:rFonts w:cs="Arial"/>
                <w:sz w:val="16"/>
                <w:szCs w:val="16"/>
              </w:rPr>
              <w:t>7,33</w:t>
            </w:r>
          </w:p>
        </w:tc>
        <w:tc>
          <w:tcPr>
            <w:tcW w:w="673" w:type="dxa"/>
            <w:tcBorders>
              <w:top w:val="nil"/>
              <w:left w:val="nil"/>
              <w:bottom w:val="nil"/>
              <w:right w:val="nil"/>
            </w:tcBorders>
            <w:shd w:val="clear" w:color="auto" w:fill="auto"/>
            <w:noWrap/>
            <w:vAlign w:val="center"/>
            <w:hideMark/>
          </w:tcPr>
          <w:p w:rsidR="002644A9" w:rsidRPr="002644A9" w:rsidRDefault="002644A9" w:rsidP="002644A9">
            <w:pPr>
              <w:spacing w:after="0" w:line="240" w:lineRule="auto"/>
              <w:jc w:val="right"/>
              <w:rPr>
                <w:rFonts w:cs="Arial"/>
                <w:sz w:val="16"/>
                <w:szCs w:val="16"/>
              </w:rPr>
            </w:pPr>
            <w:r w:rsidRPr="002644A9">
              <w:rPr>
                <w:rFonts w:cs="Arial"/>
                <w:sz w:val="16"/>
                <w:szCs w:val="16"/>
              </w:rPr>
              <w:t>7,61</w:t>
            </w:r>
          </w:p>
        </w:tc>
        <w:tc>
          <w:tcPr>
            <w:tcW w:w="673" w:type="dxa"/>
            <w:tcBorders>
              <w:top w:val="nil"/>
              <w:left w:val="nil"/>
              <w:bottom w:val="nil"/>
              <w:right w:val="nil"/>
            </w:tcBorders>
            <w:shd w:val="clear" w:color="auto" w:fill="auto"/>
            <w:noWrap/>
            <w:vAlign w:val="center"/>
            <w:hideMark/>
          </w:tcPr>
          <w:p w:rsidR="002644A9" w:rsidRPr="002644A9" w:rsidRDefault="002644A9" w:rsidP="002644A9">
            <w:pPr>
              <w:spacing w:after="0" w:line="240" w:lineRule="auto"/>
              <w:jc w:val="right"/>
              <w:rPr>
                <w:rFonts w:cs="Arial"/>
                <w:sz w:val="16"/>
                <w:szCs w:val="16"/>
              </w:rPr>
            </w:pPr>
            <w:r w:rsidRPr="002644A9">
              <w:rPr>
                <w:rFonts w:cs="Arial"/>
                <w:sz w:val="16"/>
                <w:szCs w:val="16"/>
              </w:rPr>
              <w:t>8,11</w:t>
            </w:r>
          </w:p>
        </w:tc>
        <w:tc>
          <w:tcPr>
            <w:tcW w:w="673" w:type="dxa"/>
            <w:tcBorders>
              <w:top w:val="nil"/>
              <w:left w:val="nil"/>
              <w:bottom w:val="nil"/>
              <w:right w:val="nil"/>
            </w:tcBorders>
            <w:shd w:val="clear" w:color="auto" w:fill="auto"/>
            <w:noWrap/>
            <w:vAlign w:val="center"/>
            <w:hideMark/>
          </w:tcPr>
          <w:p w:rsidR="002644A9" w:rsidRPr="002644A9" w:rsidRDefault="002644A9" w:rsidP="002644A9">
            <w:pPr>
              <w:spacing w:after="0" w:line="240" w:lineRule="auto"/>
              <w:jc w:val="right"/>
              <w:rPr>
                <w:rFonts w:cs="Arial"/>
                <w:color w:val="000000"/>
                <w:sz w:val="16"/>
                <w:szCs w:val="16"/>
              </w:rPr>
            </w:pPr>
            <w:r w:rsidRPr="002644A9">
              <w:rPr>
                <w:rFonts w:cs="Arial"/>
                <w:color w:val="000000"/>
                <w:sz w:val="16"/>
                <w:szCs w:val="16"/>
              </w:rPr>
              <w:t>8,62</w:t>
            </w:r>
          </w:p>
        </w:tc>
        <w:tc>
          <w:tcPr>
            <w:tcW w:w="673" w:type="dxa"/>
            <w:tcBorders>
              <w:top w:val="nil"/>
              <w:left w:val="nil"/>
              <w:bottom w:val="nil"/>
              <w:right w:val="nil"/>
            </w:tcBorders>
            <w:shd w:val="clear" w:color="auto" w:fill="auto"/>
            <w:noWrap/>
            <w:vAlign w:val="center"/>
            <w:hideMark/>
          </w:tcPr>
          <w:p w:rsidR="002644A9" w:rsidRPr="002644A9" w:rsidRDefault="002644A9" w:rsidP="002644A9">
            <w:pPr>
              <w:spacing w:after="0" w:line="240" w:lineRule="auto"/>
              <w:jc w:val="right"/>
              <w:rPr>
                <w:rFonts w:cs="Arial"/>
                <w:color w:val="000000"/>
                <w:sz w:val="16"/>
                <w:szCs w:val="16"/>
              </w:rPr>
            </w:pPr>
            <w:r w:rsidRPr="002644A9">
              <w:rPr>
                <w:rFonts w:cs="Arial"/>
                <w:color w:val="000000"/>
                <w:sz w:val="16"/>
                <w:szCs w:val="16"/>
              </w:rPr>
              <w:t>9,40</w:t>
            </w:r>
          </w:p>
        </w:tc>
        <w:tc>
          <w:tcPr>
            <w:tcW w:w="673" w:type="dxa"/>
            <w:tcBorders>
              <w:top w:val="nil"/>
              <w:left w:val="nil"/>
              <w:bottom w:val="nil"/>
              <w:right w:val="nil"/>
            </w:tcBorders>
            <w:shd w:val="clear" w:color="auto" w:fill="auto"/>
            <w:noWrap/>
            <w:vAlign w:val="center"/>
            <w:hideMark/>
          </w:tcPr>
          <w:p w:rsidR="002644A9" w:rsidRPr="002644A9" w:rsidRDefault="002644A9" w:rsidP="002644A9">
            <w:pPr>
              <w:spacing w:after="0" w:line="240" w:lineRule="auto"/>
              <w:jc w:val="right"/>
              <w:rPr>
                <w:rFonts w:cs="Arial"/>
                <w:color w:val="000000"/>
                <w:sz w:val="16"/>
                <w:szCs w:val="16"/>
              </w:rPr>
            </w:pPr>
            <w:r w:rsidRPr="002644A9">
              <w:rPr>
                <w:rFonts w:cs="Arial"/>
                <w:color w:val="000000"/>
                <w:sz w:val="16"/>
                <w:szCs w:val="16"/>
              </w:rPr>
              <w:t>10,10</w:t>
            </w:r>
          </w:p>
        </w:tc>
        <w:tc>
          <w:tcPr>
            <w:tcW w:w="673" w:type="dxa"/>
            <w:tcBorders>
              <w:top w:val="nil"/>
              <w:left w:val="nil"/>
              <w:bottom w:val="nil"/>
              <w:right w:val="nil"/>
            </w:tcBorders>
            <w:shd w:val="clear" w:color="auto" w:fill="auto"/>
            <w:noWrap/>
            <w:vAlign w:val="center"/>
            <w:hideMark/>
          </w:tcPr>
          <w:p w:rsidR="002644A9" w:rsidRPr="002644A9" w:rsidRDefault="002644A9" w:rsidP="002644A9">
            <w:pPr>
              <w:spacing w:after="0" w:line="240" w:lineRule="auto"/>
              <w:jc w:val="right"/>
              <w:rPr>
                <w:rFonts w:cs="Arial"/>
                <w:color w:val="000000"/>
                <w:sz w:val="16"/>
                <w:szCs w:val="16"/>
              </w:rPr>
            </w:pPr>
            <w:r w:rsidRPr="002644A9">
              <w:rPr>
                <w:rFonts w:cs="Arial"/>
                <w:color w:val="000000"/>
                <w:sz w:val="16"/>
                <w:szCs w:val="16"/>
              </w:rPr>
              <w:t>10,58</w:t>
            </w:r>
          </w:p>
        </w:tc>
        <w:tc>
          <w:tcPr>
            <w:tcW w:w="673" w:type="dxa"/>
            <w:tcBorders>
              <w:top w:val="nil"/>
              <w:left w:val="nil"/>
              <w:bottom w:val="nil"/>
              <w:right w:val="nil"/>
            </w:tcBorders>
            <w:shd w:val="clear" w:color="auto" w:fill="auto"/>
            <w:noWrap/>
            <w:vAlign w:val="center"/>
            <w:hideMark/>
          </w:tcPr>
          <w:p w:rsidR="002644A9" w:rsidRPr="002644A9" w:rsidRDefault="002644A9" w:rsidP="002644A9">
            <w:pPr>
              <w:spacing w:after="0" w:line="240" w:lineRule="auto"/>
              <w:jc w:val="right"/>
            </w:pPr>
            <w:r w:rsidRPr="002644A9">
              <w:rPr>
                <w:rFonts w:cs="Arial"/>
                <w:color w:val="000000"/>
                <w:sz w:val="16"/>
                <w:szCs w:val="16"/>
              </w:rPr>
              <w:t>11,32</w:t>
            </w:r>
          </w:p>
        </w:tc>
        <w:tc>
          <w:tcPr>
            <w:tcW w:w="666" w:type="dxa"/>
            <w:vAlign w:val="center"/>
          </w:tcPr>
          <w:p w:rsidR="002644A9" w:rsidRPr="002644A9" w:rsidRDefault="002644A9" w:rsidP="002644A9">
            <w:pPr>
              <w:spacing w:after="0" w:line="240" w:lineRule="auto"/>
              <w:jc w:val="right"/>
              <w:rPr>
                <w:rFonts w:cs="Arial"/>
                <w:sz w:val="16"/>
                <w:szCs w:val="16"/>
              </w:rPr>
            </w:pPr>
            <w:r w:rsidRPr="002644A9">
              <w:rPr>
                <w:rFonts w:cs="Arial"/>
                <w:sz w:val="16"/>
                <w:szCs w:val="16"/>
              </w:rPr>
              <w:t>11,23</w:t>
            </w:r>
          </w:p>
        </w:tc>
        <w:tc>
          <w:tcPr>
            <w:tcW w:w="668" w:type="dxa"/>
            <w:shd w:val="clear" w:color="auto" w:fill="auto"/>
            <w:vAlign w:val="center"/>
          </w:tcPr>
          <w:p w:rsidR="002644A9" w:rsidRPr="002644A9" w:rsidRDefault="002644A9" w:rsidP="002644A9">
            <w:pPr>
              <w:spacing w:after="0" w:line="240" w:lineRule="auto"/>
              <w:jc w:val="right"/>
              <w:rPr>
                <w:rFonts w:cs="Arial"/>
                <w:sz w:val="16"/>
                <w:szCs w:val="16"/>
              </w:rPr>
            </w:pPr>
            <w:r w:rsidRPr="002644A9">
              <w:rPr>
                <w:rFonts w:cs="Arial"/>
                <w:color w:val="000000"/>
                <w:sz w:val="16"/>
                <w:szCs w:val="16"/>
              </w:rPr>
              <w:t>10,50</w:t>
            </w:r>
          </w:p>
        </w:tc>
        <w:tc>
          <w:tcPr>
            <w:tcW w:w="663" w:type="dxa"/>
            <w:vAlign w:val="center"/>
          </w:tcPr>
          <w:p w:rsidR="002644A9" w:rsidRPr="002644A9" w:rsidRDefault="002644A9" w:rsidP="002644A9">
            <w:pPr>
              <w:spacing w:after="0" w:line="240" w:lineRule="auto"/>
              <w:jc w:val="right"/>
              <w:rPr>
                <w:rFonts w:cs="Arial"/>
                <w:color w:val="000000"/>
                <w:sz w:val="16"/>
                <w:szCs w:val="16"/>
              </w:rPr>
            </w:pPr>
            <w:r>
              <w:rPr>
                <w:rFonts w:cs="Arial"/>
                <w:color w:val="000000"/>
                <w:sz w:val="16"/>
                <w:szCs w:val="16"/>
              </w:rPr>
              <w:t>10,21</w:t>
            </w:r>
          </w:p>
        </w:tc>
      </w:tr>
      <w:tr w:rsidR="002644A9" w:rsidRPr="002644A9" w:rsidTr="002644A9">
        <w:trPr>
          <w:trHeight w:val="480"/>
        </w:trPr>
        <w:tc>
          <w:tcPr>
            <w:tcW w:w="2257" w:type="dxa"/>
            <w:tcBorders>
              <w:top w:val="nil"/>
              <w:left w:val="nil"/>
              <w:bottom w:val="nil"/>
              <w:right w:val="single" w:sz="4" w:space="0" w:color="auto"/>
            </w:tcBorders>
            <w:shd w:val="clear" w:color="auto" w:fill="auto"/>
            <w:vAlign w:val="center"/>
            <w:hideMark/>
          </w:tcPr>
          <w:p w:rsidR="002644A9" w:rsidRPr="002644A9" w:rsidRDefault="002644A9" w:rsidP="002644A9">
            <w:pPr>
              <w:spacing w:after="0" w:line="240" w:lineRule="auto"/>
              <w:ind w:firstLineChars="100" w:firstLine="160"/>
              <w:jc w:val="left"/>
              <w:rPr>
                <w:rFonts w:cs="Arial"/>
                <w:sz w:val="16"/>
                <w:szCs w:val="16"/>
              </w:rPr>
            </w:pPr>
            <w:r w:rsidRPr="002644A9">
              <w:rPr>
                <w:rFonts w:cs="Arial"/>
                <w:sz w:val="16"/>
                <w:szCs w:val="16"/>
              </w:rPr>
              <w:t xml:space="preserve">vyrovnávací příspěvek </w:t>
            </w:r>
            <w:r w:rsidRPr="002644A9">
              <w:rPr>
                <w:rFonts w:cs="Arial"/>
                <w:sz w:val="16"/>
                <w:szCs w:val="16"/>
              </w:rPr>
              <w:br/>
              <w:t xml:space="preserve">    v těhotenství a mateřství</w:t>
            </w:r>
          </w:p>
        </w:tc>
        <w:tc>
          <w:tcPr>
            <w:tcW w:w="673" w:type="dxa"/>
            <w:tcBorders>
              <w:top w:val="nil"/>
              <w:left w:val="nil"/>
              <w:bottom w:val="nil"/>
              <w:right w:val="nil"/>
            </w:tcBorders>
            <w:shd w:val="clear" w:color="auto" w:fill="auto"/>
            <w:noWrap/>
            <w:vAlign w:val="center"/>
            <w:hideMark/>
          </w:tcPr>
          <w:p w:rsidR="002644A9" w:rsidRPr="002644A9" w:rsidRDefault="002644A9" w:rsidP="002644A9">
            <w:pPr>
              <w:spacing w:after="0" w:line="240" w:lineRule="auto"/>
              <w:jc w:val="right"/>
              <w:rPr>
                <w:rFonts w:cs="Arial"/>
                <w:sz w:val="16"/>
                <w:szCs w:val="16"/>
              </w:rPr>
            </w:pPr>
            <w:r w:rsidRPr="002644A9">
              <w:rPr>
                <w:rFonts w:cs="Arial"/>
                <w:sz w:val="16"/>
                <w:szCs w:val="16"/>
              </w:rPr>
              <w:t>0,009</w:t>
            </w:r>
          </w:p>
        </w:tc>
        <w:tc>
          <w:tcPr>
            <w:tcW w:w="673" w:type="dxa"/>
            <w:tcBorders>
              <w:top w:val="nil"/>
              <w:left w:val="nil"/>
              <w:bottom w:val="nil"/>
              <w:right w:val="nil"/>
            </w:tcBorders>
            <w:shd w:val="clear" w:color="auto" w:fill="auto"/>
            <w:noWrap/>
            <w:vAlign w:val="center"/>
            <w:hideMark/>
          </w:tcPr>
          <w:p w:rsidR="002644A9" w:rsidRPr="002644A9" w:rsidRDefault="002644A9" w:rsidP="002644A9">
            <w:pPr>
              <w:spacing w:after="0" w:line="240" w:lineRule="auto"/>
              <w:jc w:val="right"/>
              <w:rPr>
                <w:rFonts w:cs="Arial"/>
                <w:sz w:val="16"/>
                <w:szCs w:val="16"/>
              </w:rPr>
            </w:pPr>
            <w:r w:rsidRPr="002644A9">
              <w:rPr>
                <w:rFonts w:cs="Arial"/>
                <w:sz w:val="16"/>
                <w:szCs w:val="16"/>
              </w:rPr>
              <w:t>0,009</w:t>
            </w:r>
          </w:p>
        </w:tc>
        <w:tc>
          <w:tcPr>
            <w:tcW w:w="673" w:type="dxa"/>
            <w:tcBorders>
              <w:top w:val="nil"/>
              <w:left w:val="nil"/>
              <w:bottom w:val="nil"/>
              <w:right w:val="nil"/>
            </w:tcBorders>
            <w:shd w:val="clear" w:color="auto" w:fill="auto"/>
            <w:noWrap/>
            <w:vAlign w:val="center"/>
            <w:hideMark/>
          </w:tcPr>
          <w:p w:rsidR="002644A9" w:rsidRPr="002644A9" w:rsidRDefault="002644A9" w:rsidP="002644A9">
            <w:pPr>
              <w:spacing w:after="0" w:line="240" w:lineRule="auto"/>
              <w:jc w:val="right"/>
              <w:rPr>
                <w:rFonts w:cs="Arial"/>
                <w:sz w:val="16"/>
                <w:szCs w:val="16"/>
              </w:rPr>
            </w:pPr>
            <w:r w:rsidRPr="002644A9">
              <w:rPr>
                <w:rFonts w:cs="Arial"/>
                <w:sz w:val="16"/>
                <w:szCs w:val="16"/>
              </w:rPr>
              <w:t>0,009</w:t>
            </w:r>
          </w:p>
        </w:tc>
        <w:tc>
          <w:tcPr>
            <w:tcW w:w="673" w:type="dxa"/>
            <w:tcBorders>
              <w:top w:val="nil"/>
              <w:left w:val="nil"/>
              <w:bottom w:val="nil"/>
              <w:right w:val="nil"/>
            </w:tcBorders>
            <w:shd w:val="clear" w:color="auto" w:fill="auto"/>
            <w:noWrap/>
            <w:vAlign w:val="center"/>
            <w:hideMark/>
          </w:tcPr>
          <w:p w:rsidR="002644A9" w:rsidRPr="002644A9" w:rsidRDefault="002644A9" w:rsidP="002644A9">
            <w:pPr>
              <w:spacing w:after="0" w:line="240" w:lineRule="auto"/>
              <w:jc w:val="right"/>
              <w:rPr>
                <w:rFonts w:cs="Arial"/>
                <w:color w:val="000000"/>
                <w:sz w:val="16"/>
                <w:szCs w:val="16"/>
              </w:rPr>
            </w:pPr>
            <w:r w:rsidRPr="002644A9">
              <w:rPr>
                <w:rFonts w:cs="Arial"/>
                <w:color w:val="000000"/>
                <w:sz w:val="16"/>
                <w:szCs w:val="16"/>
              </w:rPr>
              <w:t>0,008</w:t>
            </w:r>
          </w:p>
        </w:tc>
        <w:tc>
          <w:tcPr>
            <w:tcW w:w="673" w:type="dxa"/>
            <w:tcBorders>
              <w:top w:val="nil"/>
              <w:left w:val="nil"/>
              <w:bottom w:val="nil"/>
              <w:right w:val="nil"/>
            </w:tcBorders>
            <w:shd w:val="clear" w:color="auto" w:fill="auto"/>
            <w:noWrap/>
            <w:vAlign w:val="center"/>
            <w:hideMark/>
          </w:tcPr>
          <w:p w:rsidR="002644A9" w:rsidRPr="002644A9" w:rsidRDefault="002644A9" w:rsidP="002644A9">
            <w:pPr>
              <w:spacing w:after="0" w:line="240" w:lineRule="auto"/>
              <w:jc w:val="right"/>
              <w:rPr>
                <w:rFonts w:cs="Arial"/>
                <w:color w:val="000000"/>
                <w:sz w:val="16"/>
                <w:szCs w:val="16"/>
              </w:rPr>
            </w:pPr>
            <w:r w:rsidRPr="002644A9">
              <w:rPr>
                <w:rFonts w:cs="Arial"/>
                <w:color w:val="000000"/>
                <w:sz w:val="16"/>
                <w:szCs w:val="16"/>
              </w:rPr>
              <w:t>0,009</w:t>
            </w:r>
          </w:p>
        </w:tc>
        <w:tc>
          <w:tcPr>
            <w:tcW w:w="673" w:type="dxa"/>
            <w:tcBorders>
              <w:top w:val="nil"/>
              <w:left w:val="nil"/>
              <w:bottom w:val="nil"/>
              <w:right w:val="nil"/>
            </w:tcBorders>
            <w:shd w:val="clear" w:color="auto" w:fill="auto"/>
            <w:noWrap/>
            <w:vAlign w:val="center"/>
            <w:hideMark/>
          </w:tcPr>
          <w:p w:rsidR="002644A9" w:rsidRPr="002644A9" w:rsidRDefault="002644A9" w:rsidP="002644A9">
            <w:pPr>
              <w:spacing w:after="0" w:line="240" w:lineRule="auto"/>
              <w:jc w:val="right"/>
              <w:rPr>
                <w:rFonts w:cs="Arial"/>
                <w:color w:val="000000"/>
                <w:sz w:val="16"/>
                <w:szCs w:val="16"/>
              </w:rPr>
            </w:pPr>
            <w:r w:rsidRPr="002644A9">
              <w:rPr>
                <w:rFonts w:cs="Arial"/>
                <w:color w:val="000000"/>
                <w:sz w:val="16"/>
                <w:szCs w:val="16"/>
              </w:rPr>
              <w:t>0,009</w:t>
            </w:r>
          </w:p>
        </w:tc>
        <w:tc>
          <w:tcPr>
            <w:tcW w:w="673" w:type="dxa"/>
            <w:tcBorders>
              <w:top w:val="nil"/>
              <w:left w:val="nil"/>
              <w:bottom w:val="nil"/>
              <w:right w:val="nil"/>
            </w:tcBorders>
            <w:shd w:val="clear" w:color="auto" w:fill="auto"/>
            <w:noWrap/>
            <w:vAlign w:val="center"/>
            <w:hideMark/>
          </w:tcPr>
          <w:p w:rsidR="002644A9" w:rsidRPr="002644A9" w:rsidRDefault="002644A9" w:rsidP="002644A9">
            <w:pPr>
              <w:spacing w:after="0" w:line="240" w:lineRule="auto"/>
              <w:jc w:val="right"/>
              <w:rPr>
                <w:rFonts w:cs="Arial"/>
                <w:color w:val="000000"/>
                <w:sz w:val="16"/>
                <w:szCs w:val="16"/>
              </w:rPr>
            </w:pPr>
            <w:r w:rsidRPr="002644A9">
              <w:rPr>
                <w:rFonts w:cs="Arial"/>
                <w:color w:val="000000"/>
                <w:sz w:val="16"/>
                <w:szCs w:val="16"/>
              </w:rPr>
              <w:t>0,007</w:t>
            </w:r>
          </w:p>
        </w:tc>
        <w:tc>
          <w:tcPr>
            <w:tcW w:w="673" w:type="dxa"/>
            <w:tcBorders>
              <w:top w:val="nil"/>
              <w:left w:val="nil"/>
              <w:bottom w:val="nil"/>
              <w:right w:val="nil"/>
            </w:tcBorders>
            <w:shd w:val="clear" w:color="auto" w:fill="auto"/>
            <w:noWrap/>
            <w:vAlign w:val="center"/>
            <w:hideMark/>
          </w:tcPr>
          <w:p w:rsidR="002644A9" w:rsidRPr="002644A9" w:rsidRDefault="002644A9" w:rsidP="002644A9">
            <w:pPr>
              <w:spacing w:after="0" w:line="240" w:lineRule="auto"/>
              <w:jc w:val="right"/>
            </w:pPr>
            <w:r w:rsidRPr="002644A9">
              <w:rPr>
                <w:rFonts w:cs="Arial"/>
                <w:color w:val="000000"/>
                <w:sz w:val="16"/>
                <w:szCs w:val="16"/>
              </w:rPr>
              <w:t>0,006</w:t>
            </w:r>
          </w:p>
        </w:tc>
        <w:tc>
          <w:tcPr>
            <w:tcW w:w="666" w:type="dxa"/>
            <w:vAlign w:val="center"/>
          </w:tcPr>
          <w:p w:rsidR="002644A9" w:rsidRPr="002644A9" w:rsidRDefault="002644A9" w:rsidP="002644A9">
            <w:pPr>
              <w:spacing w:after="0" w:line="240" w:lineRule="auto"/>
              <w:jc w:val="right"/>
              <w:rPr>
                <w:rFonts w:cs="Arial"/>
                <w:sz w:val="16"/>
                <w:szCs w:val="16"/>
              </w:rPr>
            </w:pPr>
            <w:r w:rsidRPr="002644A9">
              <w:rPr>
                <w:rFonts w:cs="Arial"/>
                <w:sz w:val="16"/>
                <w:szCs w:val="16"/>
              </w:rPr>
              <w:t>0,008</w:t>
            </w:r>
          </w:p>
        </w:tc>
        <w:tc>
          <w:tcPr>
            <w:tcW w:w="668" w:type="dxa"/>
            <w:shd w:val="clear" w:color="auto" w:fill="auto"/>
            <w:vAlign w:val="center"/>
          </w:tcPr>
          <w:p w:rsidR="002644A9" w:rsidRPr="002644A9" w:rsidRDefault="002644A9" w:rsidP="002644A9">
            <w:pPr>
              <w:spacing w:after="0" w:line="240" w:lineRule="auto"/>
              <w:jc w:val="right"/>
              <w:rPr>
                <w:rFonts w:cs="Arial"/>
                <w:sz w:val="16"/>
                <w:szCs w:val="16"/>
              </w:rPr>
            </w:pPr>
            <w:r w:rsidRPr="002644A9">
              <w:rPr>
                <w:rFonts w:cs="Arial"/>
                <w:color w:val="000000"/>
                <w:sz w:val="16"/>
                <w:szCs w:val="16"/>
              </w:rPr>
              <w:t>0,007</w:t>
            </w:r>
          </w:p>
        </w:tc>
        <w:tc>
          <w:tcPr>
            <w:tcW w:w="663" w:type="dxa"/>
            <w:vAlign w:val="center"/>
          </w:tcPr>
          <w:p w:rsidR="002644A9" w:rsidRPr="002644A9" w:rsidRDefault="002644A9" w:rsidP="002644A9">
            <w:pPr>
              <w:spacing w:after="0" w:line="240" w:lineRule="auto"/>
              <w:jc w:val="right"/>
              <w:rPr>
                <w:rFonts w:cs="Arial"/>
                <w:sz w:val="16"/>
                <w:szCs w:val="16"/>
              </w:rPr>
            </w:pPr>
            <w:r>
              <w:rPr>
                <w:rFonts w:cs="Arial"/>
                <w:sz w:val="16"/>
                <w:szCs w:val="16"/>
              </w:rPr>
              <w:t>0,006</w:t>
            </w:r>
          </w:p>
        </w:tc>
      </w:tr>
      <w:tr w:rsidR="002644A9" w:rsidRPr="002644A9" w:rsidTr="002644A9">
        <w:trPr>
          <w:trHeight w:val="300"/>
        </w:trPr>
        <w:tc>
          <w:tcPr>
            <w:tcW w:w="2257" w:type="dxa"/>
            <w:tcBorders>
              <w:top w:val="nil"/>
              <w:left w:val="nil"/>
              <w:bottom w:val="nil"/>
              <w:right w:val="single" w:sz="4" w:space="0" w:color="auto"/>
            </w:tcBorders>
            <w:shd w:val="clear" w:color="auto" w:fill="auto"/>
            <w:vAlign w:val="center"/>
            <w:hideMark/>
          </w:tcPr>
          <w:p w:rsidR="002644A9" w:rsidRPr="002644A9" w:rsidRDefault="002644A9" w:rsidP="002644A9">
            <w:pPr>
              <w:spacing w:after="0" w:line="240" w:lineRule="auto"/>
              <w:ind w:firstLineChars="100" w:firstLine="160"/>
              <w:jc w:val="left"/>
              <w:rPr>
                <w:rFonts w:cs="Arial"/>
                <w:color w:val="000000" w:themeColor="text1"/>
                <w:sz w:val="16"/>
                <w:szCs w:val="16"/>
              </w:rPr>
            </w:pPr>
            <w:r w:rsidRPr="002644A9">
              <w:rPr>
                <w:rFonts w:cs="Arial"/>
                <w:color w:val="000000" w:themeColor="text1"/>
                <w:sz w:val="16"/>
                <w:szCs w:val="16"/>
              </w:rPr>
              <w:t>otcovská poporodní péče</w:t>
            </w:r>
            <w:r w:rsidRPr="002644A9">
              <w:rPr>
                <w:rFonts w:cs="Arial"/>
                <w:color w:val="000000" w:themeColor="text1"/>
                <w:sz w:val="16"/>
                <w:szCs w:val="16"/>
                <w:vertAlign w:val="superscript"/>
              </w:rPr>
              <w:t>1)</w:t>
            </w:r>
          </w:p>
        </w:tc>
        <w:tc>
          <w:tcPr>
            <w:tcW w:w="673" w:type="dxa"/>
            <w:tcBorders>
              <w:top w:val="nil"/>
              <w:left w:val="nil"/>
              <w:bottom w:val="nil"/>
              <w:right w:val="nil"/>
            </w:tcBorders>
            <w:shd w:val="clear" w:color="auto" w:fill="auto"/>
            <w:noWrap/>
            <w:vAlign w:val="bottom"/>
            <w:hideMark/>
          </w:tcPr>
          <w:p w:rsidR="002644A9" w:rsidRPr="002644A9" w:rsidRDefault="002644A9" w:rsidP="002644A9">
            <w:pPr>
              <w:spacing w:after="0" w:line="240" w:lineRule="auto"/>
              <w:jc w:val="right"/>
              <w:rPr>
                <w:rFonts w:ascii="Calibri" w:hAnsi="Calibri" w:cs="Calibri"/>
                <w:color w:val="000000"/>
                <w:sz w:val="22"/>
                <w:szCs w:val="22"/>
              </w:rPr>
            </w:pPr>
            <w:r w:rsidRPr="002644A9">
              <w:rPr>
                <w:rFonts w:ascii="Calibri" w:hAnsi="Calibri" w:cs="Calibri"/>
                <w:color w:val="000000"/>
                <w:sz w:val="22"/>
                <w:szCs w:val="22"/>
              </w:rPr>
              <w:t>–</w:t>
            </w:r>
          </w:p>
        </w:tc>
        <w:tc>
          <w:tcPr>
            <w:tcW w:w="673" w:type="dxa"/>
            <w:tcBorders>
              <w:top w:val="nil"/>
              <w:left w:val="nil"/>
              <w:bottom w:val="nil"/>
              <w:right w:val="nil"/>
            </w:tcBorders>
            <w:shd w:val="clear" w:color="auto" w:fill="auto"/>
            <w:noWrap/>
            <w:vAlign w:val="bottom"/>
            <w:hideMark/>
          </w:tcPr>
          <w:p w:rsidR="002644A9" w:rsidRPr="002644A9" w:rsidRDefault="002644A9" w:rsidP="002644A9">
            <w:pPr>
              <w:spacing w:after="0" w:line="240" w:lineRule="auto"/>
              <w:jc w:val="right"/>
              <w:rPr>
                <w:rFonts w:ascii="Calibri" w:hAnsi="Calibri" w:cs="Calibri"/>
                <w:color w:val="000000"/>
                <w:sz w:val="22"/>
                <w:szCs w:val="22"/>
              </w:rPr>
            </w:pPr>
            <w:r w:rsidRPr="002644A9">
              <w:rPr>
                <w:rFonts w:ascii="Calibri" w:hAnsi="Calibri" w:cs="Calibri"/>
                <w:color w:val="000000"/>
                <w:sz w:val="22"/>
                <w:szCs w:val="22"/>
              </w:rPr>
              <w:t>–</w:t>
            </w:r>
          </w:p>
        </w:tc>
        <w:tc>
          <w:tcPr>
            <w:tcW w:w="673" w:type="dxa"/>
            <w:tcBorders>
              <w:top w:val="nil"/>
              <w:left w:val="nil"/>
              <w:bottom w:val="nil"/>
              <w:right w:val="nil"/>
            </w:tcBorders>
            <w:shd w:val="clear" w:color="auto" w:fill="auto"/>
            <w:noWrap/>
            <w:vAlign w:val="bottom"/>
            <w:hideMark/>
          </w:tcPr>
          <w:p w:rsidR="002644A9" w:rsidRPr="002644A9" w:rsidRDefault="002644A9" w:rsidP="002644A9">
            <w:pPr>
              <w:spacing w:after="0" w:line="240" w:lineRule="auto"/>
              <w:jc w:val="right"/>
              <w:rPr>
                <w:rFonts w:ascii="Calibri" w:hAnsi="Calibri" w:cs="Calibri"/>
                <w:color w:val="000000"/>
                <w:sz w:val="22"/>
                <w:szCs w:val="22"/>
              </w:rPr>
            </w:pPr>
            <w:r w:rsidRPr="002644A9">
              <w:rPr>
                <w:rFonts w:ascii="Calibri" w:hAnsi="Calibri" w:cs="Calibri"/>
                <w:color w:val="000000"/>
                <w:sz w:val="22"/>
                <w:szCs w:val="22"/>
              </w:rPr>
              <w:t>–</w:t>
            </w:r>
          </w:p>
        </w:tc>
        <w:tc>
          <w:tcPr>
            <w:tcW w:w="673" w:type="dxa"/>
            <w:tcBorders>
              <w:top w:val="nil"/>
              <w:left w:val="nil"/>
              <w:bottom w:val="nil"/>
              <w:right w:val="nil"/>
            </w:tcBorders>
            <w:shd w:val="clear" w:color="auto" w:fill="auto"/>
            <w:noWrap/>
            <w:vAlign w:val="bottom"/>
            <w:hideMark/>
          </w:tcPr>
          <w:p w:rsidR="002644A9" w:rsidRPr="002644A9" w:rsidRDefault="002644A9" w:rsidP="002644A9">
            <w:pPr>
              <w:spacing w:after="0" w:line="240" w:lineRule="auto"/>
              <w:jc w:val="right"/>
              <w:rPr>
                <w:rFonts w:ascii="Calibri" w:hAnsi="Calibri" w:cs="Calibri"/>
                <w:color w:val="000000"/>
                <w:sz w:val="22"/>
                <w:szCs w:val="22"/>
              </w:rPr>
            </w:pPr>
            <w:r w:rsidRPr="002644A9">
              <w:rPr>
                <w:rFonts w:ascii="Calibri" w:hAnsi="Calibri" w:cs="Calibri"/>
                <w:color w:val="000000"/>
                <w:sz w:val="22"/>
                <w:szCs w:val="22"/>
              </w:rPr>
              <w:t>–</w:t>
            </w:r>
          </w:p>
        </w:tc>
        <w:tc>
          <w:tcPr>
            <w:tcW w:w="673" w:type="dxa"/>
            <w:tcBorders>
              <w:top w:val="nil"/>
              <w:left w:val="nil"/>
              <w:bottom w:val="nil"/>
              <w:right w:val="nil"/>
            </w:tcBorders>
            <w:shd w:val="clear" w:color="auto" w:fill="auto"/>
            <w:noWrap/>
            <w:vAlign w:val="center"/>
            <w:hideMark/>
          </w:tcPr>
          <w:p w:rsidR="002644A9" w:rsidRPr="002644A9" w:rsidRDefault="002644A9" w:rsidP="002644A9">
            <w:pPr>
              <w:spacing w:after="0" w:line="240" w:lineRule="auto"/>
              <w:jc w:val="right"/>
              <w:rPr>
                <w:rFonts w:cs="Arial"/>
                <w:color w:val="000000"/>
                <w:sz w:val="16"/>
                <w:szCs w:val="16"/>
              </w:rPr>
            </w:pPr>
            <w:r w:rsidRPr="002644A9">
              <w:rPr>
                <w:rFonts w:cs="Arial"/>
                <w:color w:val="000000"/>
                <w:sz w:val="16"/>
                <w:szCs w:val="16"/>
              </w:rPr>
              <w:t>0,221</w:t>
            </w:r>
          </w:p>
        </w:tc>
        <w:tc>
          <w:tcPr>
            <w:tcW w:w="673" w:type="dxa"/>
            <w:tcBorders>
              <w:top w:val="nil"/>
              <w:left w:val="nil"/>
              <w:bottom w:val="nil"/>
              <w:right w:val="nil"/>
            </w:tcBorders>
            <w:shd w:val="clear" w:color="auto" w:fill="auto"/>
            <w:noWrap/>
            <w:vAlign w:val="center"/>
            <w:hideMark/>
          </w:tcPr>
          <w:p w:rsidR="002644A9" w:rsidRPr="002644A9" w:rsidRDefault="002644A9" w:rsidP="002644A9">
            <w:pPr>
              <w:spacing w:after="0" w:line="240" w:lineRule="auto"/>
              <w:jc w:val="right"/>
              <w:rPr>
                <w:rFonts w:cs="Arial"/>
                <w:color w:val="000000"/>
                <w:sz w:val="16"/>
                <w:szCs w:val="16"/>
              </w:rPr>
            </w:pPr>
            <w:r w:rsidRPr="002644A9">
              <w:rPr>
                <w:rFonts w:cs="Arial"/>
                <w:color w:val="000000"/>
                <w:sz w:val="16"/>
                <w:szCs w:val="16"/>
              </w:rPr>
              <w:t>0,273</w:t>
            </w:r>
          </w:p>
        </w:tc>
        <w:tc>
          <w:tcPr>
            <w:tcW w:w="673" w:type="dxa"/>
            <w:tcBorders>
              <w:top w:val="nil"/>
              <w:left w:val="nil"/>
              <w:bottom w:val="nil"/>
              <w:right w:val="nil"/>
            </w:tcBorders>
            <w:shd w:val="clear" w:color="auto" w:fill="auto"/>
            <w:noWrap/>
            <w:vAlign w:val="center"/>
            <w:hideMark/>
          </w:tcPr>
          <w:p w:rsidR="002644A9" w:rsidRPr="002644A9" w:rsidRDefault="002644A9" w:rsidP="002644A9">
            <w:pPr>
              <w:spacing w:after="0" w:line="240" w:lineRule="auto"/>
              <w:jc w:val="right"/>
              <w:rPr>
                <w:rFonts w:cs="Arial"/>
                <w:color w:val="000000"/>
                <w:sz w:val="16"/>
                <w:szCs w:val="16"/>
              </w:rPr>
            </w:pPr>
            <w:r w:rsidRPr="002644A9">
              <w:rPr>
                <w:rFonts w:cs="Arial"/>
                <w:color w:val="000000"/>
                <w:sz w:val="16"/>
                <w:szCs w:val="16"/>
              </w:rPr>
              <w:t>0,269</w:t>
            </w:r>
          </w:p>
        </w:tc>
        <w:tc>
          <w:tcPr>
            <w:tcW w:w="673" w:type="dxa"/>
            <w:tcBorders>
              <w:top w:val="nil"/>
              <w:left w:val="nil"/>
              <w:bottom w:val="nil"/>
              <w:right w:val="nil"/>
            </w:tcBorders>
            <w:shd w:val="clear" w:color="auto" w:fill="auto"/>
            <w:noWrap/>
            <w:vAlign w:val="center"/>
            <w:hideMark/>
          </w:tcPr>
          <w:p w:rsidR="002644A9" w:rsidRPr="002644A9" w:rsidRDefault="002644A9" w:rsidP="002644A9">
            <w:pPr>
              <w:spacing w:after="0" w:line="240" w:lineRule="auto"/>
              <w:jc w:val="right"/>
            </w:pPr>
            <w:r w:rsidRPr="002644A9">
              <w:rPr>
                <w:rFonts w:cs="Arial"/>
                <w:color w:val="000000"/>
                <w:sz w:val="16"/>
                <w:szCs w:val="16"/>
              </w:rPr>
              <w:t>0,291</w:t>
            </w:r>
          </w:p>
        </w:tc>
        <w:tc>
          <w:tcPr>
            <w:tcW w:w="666" w:type="dxa"/>
            <w:vAlign w:val="center"/>
          </w:tcPr>
          <w:p w:rsidR="002644A9" w:rsidRPr="002644A9" w:rsidRDefault="002644A9" w:rsidP="002644A9">
            <w:pPr>
              <w:spacing w:after="0" w:line="240" w:lineRule="auto"/>
              <w:jc w:val="right"/>
              <w:rPr>
                <w:rFonts w:cs="Arial"/>
                <w:sz w:val="16"/>
                <w:szCs w:val="16"/>
              </w:rPr>
            </w:pPr>
            <w:r w:rsidRPr="002644A9">
              <w:rPr>
                <w:rFonts w:cs="Arial"/>
                <w:sz w:val="16"/>
                <w:szCs w:val="16"/>
              </w:rPr>
              <w:t>0,601</w:t>
            </w:r>
          </w:p>
        </w:tc>
        <w:tc>
          <w:tcPr>
            <w:tcW w:w="668" w:type="dxa"/>
            <w:shd w:val="clear" w:color="auto" w:fill="auto"/>
            <w:vAlign w:val="center"/>
          </w:tcPr>
          <w:p w:rsidR="002644A9" w:rsidRPr="002644A9" w:rsidRDefault="002644A9" w:rsidP="002644A9">
            <w:pPr>
              <w:spacing w:after="0" w:line="240" w:lineRule="auto"/>
              <w:jc w:val="right"/>
              <w:rPr>
                <w:rFonts w:cs="Arial"/>
                <w:sz w:val="16"/>
                <w:szCs w:val="16"/>
              </w:rPr>
            </w:pPr>
            <w:r w:rsidRPr="002644A9">
              <w:rPr>
                <w:rFonts w:cs="Arial"/>
                <w:color w:val="000000"/>
                <w:sz w:val="16"/>
                <w:szCs w:val="16"/>
              </w:rPr>
              <w:t>0,580</w:t>
            </w:r>
          </w:p>
        </w:tc>
        <w:tc>
          <w:tcPr>
            <w:tcW w:w="663" w:type="dxa"/>
            <w:vAlign w:val="center"/>
          </w:tcPr>
          <w:p w:rsidR="002644A9" w:rsidRPr="002644A9" w:rsidRDefault="002644A9" w:rsidP="002644A9">
            <w:pPr>
              <w:spacing w:after="0" w:line="240" w:lineRule="auto"/>
              <w:jc w:val="right"/>
              <w:rPr>
                <w:rFonts w:cs="Arial"/>
                <w:sz w:val="16"/>
                <w:szCs w:val="16"/>
              </w:rPr>
            </w:pPr>
            <w:r>
              <w:rPr>
                <w:rFonts w:cs="Arial"/>
                <w:sz w:val="16"/>
                <w:szCs w:val="16"/>
              </w:rPr>
              <w:t>0,575</w:t>
            </w:r>
          </w:p>
        </w:tc>
      </w:tr>
      <w:tr w:rsidR="002644A9" w:rsidRPr="002644A9" w:rsidTr="002644A9">
        <w:trPr>
          <w:trHeight w:val="300"/>
        </w:trPr>
        <w:tc>
          <w:tcPr>
            <w:tcW w:w="2257" w:type="dxa"/>
            <w:tcBorders>
              <w:top w:val="nil"/>
              <w:left w:val="nil"/>
              <w:bottom w:val="nil"/>
              <w:right w:val="single" w:sz="4" w:space="0" w:color="auto"/>
            </w:tcBorders>
            <w:shd w:val="clear" w:color="auto" w:fill="auto"/>
            <w:vAlign w:val="center"/>
            <w:hideMark/>
          </w:tcPr>
          <w:p w:rsidR="002644A9" w:rsidRPr="002644A9" w:rsidRDefault="002644A9" w:rsidP="002644A9">
            <w:pPr>
              <w:spacing w:after="0" w:line="240" w:lineRule="auto"/>
              <w:ind w:firstLineChars="100" w:firstLine="160"/>
              <w:jc w:val="left"/>
              <w:rPr>
                <w:rFonts w:cs="Arial"/>
                <w:color w:val="000000" w:themeColor="text1"/>
                <w:sz w:val="16"/>
                <w:szCs w:val="16"/>
              </w:rPr>
            </w:pPr>
            <w:r w:rsidRPr="002644A9">
              <w:rPr>
                <w:rFonts w:cs="Arial"/>
                <w:color w:val="000000" w:themeColor="text1"/>
                <w:sz w:val="16"/>
                <w:szCs w:val="16"/>
              </w:rPr>
              <w:t>dlouhodobé ošetřovné</w:t>
            </w:r>
            <w:r w:rsidRPr="002644A9">
              <w:rPr>
                <w:rFonts w:cs="Arial"/>
                <w:color w:val="000000" w:themeColor="text1"/>
                <w:sz w:val="16"/>
                <w:szCs w:val="16"/>
                <w:vertAlign w:val="superscript"/>
              </w:rPr>
              <w:t>2)</w:t>
            </w:r>
          </w:p>
        </w:tc>
        <w:tc>
          <w:tcPr>
            <w:tcW w:w="673" w:type="dxa"/>
            <w:tcBorders>
              <w:top w:val="nil"/>
              <w:left w:val="nil"/>
              <w:bottom w:val="nil"/>
              <w:right w:val="nil"/>
            </w:tcBorders>
            <w:shd w:val="clear" w:color="auto" w:fill="auto"/>
            <w:noWrap/>
            <w:vAlign w:val="bottom"/>
            <w:hideMark/>
          </w:tcPr>
          <w:p w:rsidR="002644A9" w:rsidRPr="002644A9" w:rsidRDefault="002644A9" w:rsidP="002644A9">
            <w:pPr>
              <w:spacing w:after="0" w:line="240" w:lineRule="auto"/>
              <w:jc w:val="right"/>
              <w:rPr>
                <w:rFonts w:ascii="Calibri" w:hAnsi="Calibri" w:cs="Calibri"/>
                <w:color w:val="000000"/>
                <w:sz w:val="22"/>
                <w:szCs w:val="22"/>
              </w:rPr>
            </w:pPr>
            <w:r w:rsidRPr="002644A9">
              <w:rPr>
                <w:rFonts w:ascii="Calibri" w:hAnsi="Calibri" w:cs="Calibri"/>
                <w:color w:val="000000"/>
                <w:sz w:val="22"/>
                <w:szCs w:val="22"/>
              </w:rPr>
              <w:t>–</w:t>
            </w:r>
          </w:p>
        </w:tc>
        <w:tc>
          <w:tcPr>
            <w:tcW w:w="673" w:type="dxa"/>
            <w:tcBorders>
              <w:top w:val="nil"/>
              <w:left w:val="nil"/>
              <w:bottom w:val="nil"/>
              <w:right w:val="nil"/>
            </w:tcBorders>
            <w:shd w:val="clear" w:color="auto" w:fill="auto"/>
            <w:noWrap/>
            <w:vAlign w:val="bottom"/>
            <w:hideMark/>
          </w:tcPr>
          <w:p w:rsidR="002644A9" w:rsidRPr="002644A9" w:rsidRDefault="002644A9" w:rsidP="002644A9">
            <w:pPr>
              <w:spacing w:after="0" w:line="240" w:lineRule="auto"/>
              <w:jc w:val="right"/>
              <w:rPr>
                <w:rFonts w:ascii="Calibri" w:hAnsi="Calibri" w:cs="Calibri"/>
                <w:color w:val="000000"/>
                <w:sz w:val="22"/>
                <w:szCs w:val="22"/>
              </w:rPr>
            </w:pPr>
            <w:r w:rsidRPr="002644A9">
              <w:rPr>
                <w:rFonts w:ascii="Calibri" w:hAnsi="Calibri" w:cs="Calibri"/>
                <w:color w:val="000000"/>
                <w:sz w:val="22"/>
                <w:szCs w:val="22"/>
              </w:rPr>
              <w:t>–</w:t>
            </w:r>
          </w:p>
        </w:tc>
        <w:tc>
          <w:tcPr>
            <w:tcW w:w="673" w:type="dxa"/>
            <w:tcBorders>
              <w:top w:val="nil"/>
              <w:left w:val="nil"/>
              <w:bottom w:val="nil"/>
              <w:right w:val="nil"/>
            </w:tcBorders>
            <w:shd w:val="clear" w:color="auto" w:fill="auto"/>
            <w:noWrap/>
            <w:vAlign w:val="bottom"/>
            <w:hideMark/>
          </w:tcPr>
          <w:p w:rsidR="002644A9" w:rsidRPr="002644A9" w:rsidRDefault="002644A9" w:rsidP="002644A9">
            <w:pPr>
              <w:spacing w:after="0" w:line="240" w:lineRule="auto"/>
              <w:jc w:val="right"/>
              <w:rPr>
                <w:rFonts w:ascii="Calibri" w:hAnsi="Calibri" w:cs="Calibri"/>
                <w:color w:val="000000"/>
                <w:sz w:val="22"/>
                <w:szCs w:val="22"/>
              </w:rPr>
            </w:pPr>
            <w:r w:rsidRPr="002644A9">
              <w:rPr>
                <w:rFonts w:ascii="Calibri" w:hAnsi="Calibri" w:cs="Calibri"/>
                <w:color w:val="000000"/>
                <w:sz w:val="22"/>
                <w:szCs w:val="22"/>
              </w:rPr>
              <w:t>–</w:t>
            </w:r>
          </w:p>
        </w:tc>
        <w:tc>
          <w:tcPr>
            <w:tcW w:w="673" w:type="dxa"/>
            <w:tcBorders>
              <w:top w:val="nil"/>
              <w:left w:val="nil"/>
              <w:bottom w:val="nil"/>
              <w:right w:val="nil"/>
            </w:tcBorders>
            <w:shd w:val="clear" w:color="auto" w:fill="auto"/>
            <w:noWrap/>
            <w:vAlign w:val="bottom"/>
            <w:hideMark/>
          </w:tcPr>
          <w:p w:rsidR="002644A9" w:rsidRPr="002644A9" w:rsidRDefault="002644A9" w:rsidP="002644A9">
            <w:pPr>
              <w:spacing w:after="0" w:line="240" w:lineRule="auto"/>
              <w:jc w:val="right"/>
              <w:rPr>
                <w:rFonts w:ascii="Calibri" w:hAnsi="Calibri" w:cs="Calibri"/>
                <w:color w:val="000000"/>
                <w:sz w:val="22"/>
                <w:szCs w:val="22"/>
              </w:rPr>
            </w:pPr>
            <w:r w:rsidRPr="002644A9">
              <w:rPr>
                <w:rFonts w:ascii="Calibri" w:hAnsi="Calibri" w:cs="Calibri"/>
                <w:color w:val="000000"/>
                <w:sz w:val="22"/>
                <w:szCs w:val="22"/>
              </w:rPr>
              <w:t>–</w:t>
            </w:r>
          </w:p>
        </w:tc>
        <w:tc>
          <w:tcPr>
            <w:tcW w:w="673" w:type="dxa"/>
            <w:tcBorders>
              <w:top w:val="nil"/>
              <w:left w:val="nil"/>
              <w:bottom w:val="nil"/>
              <w:right w:val="nil"/>
            </w:tcBorders>
            <w:shd w:val="clear" w:color="auto" w:fill="auto"/>
            <w:noWrap/>
            <w:vAlign w:val="center"/>
            <w:hideMark/>
          </w:tcPr>
          <w:p w:rsidR="002644A9" w:rsidRPr="002644A9" w:rsidRDefault="002644A9" w:rsidP="002644A9">
            <w:pPr>
              <w:spacing w:after="0" w:line="240" w:lineRule="auto"/>
              <w:jc w:val="right"/>
              <w:rPr>
                <w:rFonts w:cs="Arial"/>
                <w:color w:val="000000"/>
                <w:sz w:val="16"/>
                <w:szCs w:val="16"/>
              </w:rPr>
            </w:pPr>
            <w:r w:rsidRPr="002644A9">
              <w:rPr>
                <w:rFonts w:cs="Arial"/>
                <w:color w:val="000000"/>
                <w:sz w:val="16"/>
                <w:szCs w:val="16"/>
              </w:rPr>
              <w:t>0,032</w:t>
            </w:r>
          </w:p>
        </w:tc>
        <w:tc>
          <w:tcPr>
            <w:tcW w:w="673" w:type="dxa"/>
            <w:tcBorders>
              <w:top w:val="nil"/>
              <w:left w:val="nil"/>
              <w:bottom w:val="nil"/>
              <w:right w:val="nil"/>
            </w:tcBorders>
            <w:shd w:val="clear" w:color="auto" w:fill="auto"/>
            <w:noWrap/>
            <w:vAlign w:val="center"/>
            <w:hideMark/>
          </w:tcPr>
          <w:p w:rsidR="002644A9" w:rsidRPr="002644A9" w:rsidRDefault="002644A9" w:rsidP="002644A9">
            <w:pPr>
              <w:spacing w:after="0" w:line="240" w:lineRule="auto"/>
              <w:jc w:val="right"/>
              <w:rPr>
                <w:rFonts w:cs="Arial"/>
                <w:color w:val="000000"/>
                <w:sz w:val="16"/>
                <w:szCs w:val="16"/>
              </w:rPr>
            </w:pPr>
            <w:r w:rsidRPr="002644A9">
              <w:rPr>
                <w:rFonts w:cs="Arial"/>
                <w:color w:val="000000"/>
                <w:sz w:val="16"/>
                <w:szCs w:val="16"/>
              </w:rPr>
              <w:t>0,110</w:t>
            </w:r>
          </w:p>
        </w:tc>
        <w:tc>
          <w:tcPr>
            <w:tcW w:w="673" w:type="dxa"/>
            <w:tcBorders>
              <w:top w:val="nil"/>
              <w:left w:val="nil"/>
              <w:bottom w:val="nil"/>
              <w:right w:val="nil"/>
            </w:tcBorders>
            <w:shd w:val="clear" w:color="auto" w:fill="auto"/>
            <w:noWrap/>
            <w:vAlign w:val="center"/>
            <w:hideMark/>
          </w:tcPr>
          <w:p w:rsidR="002644A9" w:rsidRPr="002644A9" w:rsidRDefault="002644A9" w:rsidP="002644A9">
            <w:pPr>
              <w:spacing w:after="0" w:line="240" w:lineRule="auto"/>
              <w:jc w:val="right"/>
              <w:rPr>
                <w:rFonts w:cs="Arial"/>
                <w:color w:val="000000"/>
                <w:sz w:val="16"/>
                <w:szCs w:val="16"/>
              </w:rPr>
            </w:pPr>
            <w:r w:rsidRPr="002644A9">
              <w:rPr>
                <w:rFonts w:cs="Arial"/>
                <w:color w:val="000000"/>
                <w:sz w:val="16"/>
                <w:szCs w:val="16"/>
              </w:rPr>
              <w:t>0,138</w:t>
            </w:r>
          </w:p>
        </w:tc>
        <w:tc>
          <w:tcPr>
            <w:tcW w:w="673" w:type="dxa"/>
            <w:tcBorders>
              <w:top w:val="nil"/>
              <w:left w:val="nil"/>
              <w:bottom w:val="nil"/>
              <w:right w:val="nil"/>
            </w:tcBorders>
            <w:shd w:val="clear" w:color="auto" w:fill="auto"/>
            <w:noWrap/>
            <w:vAlign w:val="center"/>
            <w:hideMark/>
          </w:tcPr>
          <w:p w:rsidR="002644A9" w:rsidRPr="002644A9" w:rsidRDefault="002644A9" w:rsidP="002644A9">
            <w:pPr>
              <w:spacing w:after="0" w:line="240" w:lineRule="auto"/>
              <w:jc w:val="right"/>
            </w:pPr>
            <w:r w:rsidRPr="002644A9">
              <w:rPr>
                <w:rFonts w:cs="Arial"/>
                <w:color w:val="000000"/>
                <w:sz w:val="16"/>
                <w:szCs w:val="16"/>
              </w:rPr>
              <w:t>0,157</w:t>
            </w:r>
          </w:p>
        </w:tc>
        <w:tc>
          <w:tcPr>
            <w:tcW w:w="666" w:type="dxa"/>
            <w:vAlign w:val="center"/>
          </w:tcPr>
          <w:p w:rsidR="002644A9" w:rsidRPr="002644A9" w:rsidRDefault="002644A9" w:rsidP="002644A9">
            <w:pPr>
              <w:spacing w:after="0" w:line="240" w:lineRule="auto"/>
              <w:jc w:val="right"/>
              <w:rPr>
                <w:rFonts w:cs="Arial"/>
                <w:sz w:val="16"/>
                <w:szCs w:val="16"/>
              </w:rPr>
            </w:pPr>
            <w:r w:rsidRPr="002644A9">
              <w:rPr>
                <w:rFonts w:cs="Arial"/>
                <w:sz w:val="16"/>
                <w:szCs w:val="16"/>
              </w:rPr>
              <w:t>0,207</w:t>
            </w:r>
          </w:p>
        </w:tc>
        <w:tc>
          <w:tcPr>
            <w:tcW w:w="668" w:type="dxa"/>
            <w:shd w:val="clear" w:color="auto" w:fill="auto"/>
            <w:vAlign w:val="center"/>
          </w:tcPr>
          <w:p w:rsidR="002644A9" w:rsidRPr="002644A9" w:rsidRDefault="002644A9" w:rsidP="002644A9">
            <w:pPr>
              <w:spacing w:after="0" w:line="240" w:lineRule="auto"/>
              <w:jc w:val="right"/>
              <w:rPr>
                <w:rFonts w:cs="Arial"/>
                <w:sz w:val="16"/>
                <w:szCs w:val="16"/>
              </w:rPr>
            </w:pPr>
            <w:r w:rsidRPr="002644A9">
              <w:rPr>
                <w:rFonts w:cs="Arial"/>
                <w:color w:val="000000"/>
                <w:sz w:val="16"/>
                <w:szCs w:val="16"/>
              </w:rPr>
              <w:t>0,220</w:t>
            </w:r>
          </w:p>
        </w:tc>
        <w:tc>
          <w:tcPr>
            <w:tcW w:w="663" w:type="dxa"/>
            <w:vAlign w:val="center"/>
          </w:tcPr>
          <w:p w:rsidR="002644A9" w:rsidRPr="002644A9" w:rsidRDefault="002644A9" w:rsidP="002644A9">
            <w:pPr>
              <w:spacing w:after="0" w:line="240" w:lineRule="auto"/>
              <w:jc w:val="right"/>
              <w:rPr>
                <w:rFonts w:cs="Arial"/>
                <w:sz w:val="16"/>
                <w:szCs w:val="16"/>
              </w:rPr>
            </w:pPr>
            <w:r>
              <w:rPr>
                <w:rFonts w:cs="Arial"/>
                <w:sz w:val="16"/>
                <w:szCs w:val="16"/>
              </w:rPr>
              <w:t>0,252</w:t>
            </w:r>
          </w:p>
        </w:tc>
      </w:tr>
    </w:tbl>
    <w:p w:rsidR="002644A9" w:rsidRPr="002644A9" w:rsidRDefault="002644A9" w:rsidP="002644A9">
      <w:pPr>
        <w:spacing w:before="120" w:after="0"/>
        <w:jc w:val="left"/>
        <w:rPr>
          <w:rFonts w:cs="Arial"/>
          <w:szCs w:val="20"/>
        </w:rPr>
      </w:pPr>
      <w:r w:rsidRPr="002644A9">
        <w:rPr>
          <w:rFonts w:cs="Arial"/>
          <w:color w:val="000000" w:themeColor="text1"/>
          <w:sz w:val="16"/>
          <w:szCs w:val="16"/>
          <w:vertAlign w:val="superscript"/>
        </w:rPr>
        <w:t xml:space="preserve">1) </w:t>
      </w:r>
      <w:r w:rsidRPr="002644A9">
        <w:rPr>
          <w:rFonts w:cs="Arial"/>
          <w:color w:val="000000" w:themeColor="text1"/>
          <w:sz w:val="16"/>
          <w:szCs w:val="16"/>
        </w:rPr>
        <w:t xml:space="preserve">Zavedení dávky otcovské poporodní péče, tzv. „otcovská“ – účinnost od 1. února 2018. </w:t>
      </w:r>
      <w:r w:rsidRPr="002644A9">
        <w:rPr>
          <w:rFonts w:cs="Arial"/>
          <w:color w:val="000000" w:themeColor="text1"/>
          <w:sz w:val="16"/>
          <w:szCs w:val="16"/>
        </w:rPr>
        <w:br/>
      </w:r>
      <w:r w:rsidRPr="002644A9">
        <w:rPr>
          <w:rFonts w:cs="Arial"/>
          <w:color w:val="000000" w:themeColor="text1"/>
          <w:sz w:val="16"/>
          <w:szCs w:val="16"/>
          <w:vertAlign w:val="superscript"/>
        </w:rPr>
        <w:t>2)</w:t>
      </w:r>
      <w:r w:rsidRPr="002644A9">
        <w:rPr>
          <w:rFonts w:cs="Arial"/>
          <w:color w:val="000000" w:themeColor="text1"/>
          <w:sz w:val="16"/>
          <w:szCs w:val="16"/>
        </w:rPr>
        <w:t xml:space="preserve"> Zavedení </w:t>
      </w:r>
      <w:r w:rsidRPr="002644A9">
        <w:rPr>
          <w:rFonts w:cs="Arial"/>
          <w:color w:val="000000"/>
          <w:sz w:val="16"/>
          <w:szCs w:val="16"/>
        </w:rPr>
        <w:t>dávky dlouhodobé ošetřovné – účinnost od 1. června 2018.</w:t>
      </w:r>
    </w:p>
    <w:p w:rsidR="002644A9" w:rsidRPr="002644A9" w:rsidRDefault="00601DFE" w:rsidP="00601DFE">
      <w:pPr>
        <w:spacing w:after="0"/>
      </w:pPr>
      <w:r>
        <w:rPr>
          <w:rFonts w:cs="Arial"/>
          <w:sz w:val="16"/>
          <w:szCs w:val="16"/>
        </w:rPr>
        <w:t xml:space="preserve">Poznámka: </w:t>
      </w:r>
      <w:r w:rsidR="002644A9" w:rsidRPr="002644A9">
        <w:rPr>
          <w:rFonts w:cs="Arial"/>
          <w:sz w:val="16"/>
          <w:szCs w:val="16"/>
        </w:rPr>
        <w:t>– pomlčka značí, že se jev nevyskytoval</w:t>
      </w:r>
      <w:r>
        <w:rPr>
          <w:rFonts w:cs="Arial"/>
          <w:sz w:val="16"/>
          <w:szCs w:val="16"/>
        </w:rPr>
        <w:t>.</w:t>
      </w:r>
    </w:p>
    <w:p w:rsidR="002644A9" w:rsidRDefault="002644A9" w:rsidP="00601DFE">
      <w:pPr>
        <w:rPr>
          <w:sz w:val="16"/>
        </w:rPr>
      </w:pPr>
      <w:r w:rsidRPr="002644A9">
        <w:rPr>
          <w:sz w:val="16"/>
        </w:rPr>
        <w:t>Zdroj: ČSSZ</w:t>
      </w:r>
    </w:p>
    <w:p w:rsidR="00F4161A" w:rsidRDefault="00E77573" w:rsidP="00F4161A">
      <w:pPr>
        <w:spacing w:after="0"/>
      </w:pPr>
      <w:r w:rsidRPr="00251BF8">
        <w:t xml:space="preserve">Ke značnému zvýšení </w:t>
      </w:r>
      <w:r>
        <w:t xml:space="preserve">výdajů </w:t>
      </w:r>
      <w:r w:rsidRPr="00251BF8">
        <w:t>však došlo i v roce 2018. V roce 2017</w:t>
      </w:r>
      <w:r w:rsidRPr="00E77573">
        <w:t xml:space="preserve"> bylo</w:t>
      </w:r>
      <w:r w:rsidRPr="00251BF8">
        <w:rPr>
          <w:b/>
        </w:rPr>
        <w:t xml:space="preserve"> </w:t>
      </w:r>
      <w:r w:rsidRPr="00251BF8">
        <w:t xml:space="preserve">totiž </w:t>
      </w:r>
      <w:r w:rsidRPr="00251BF8">
        <w:rPr>
          <w:b/>
        </w:rPr>
        <w:t>přijato několik významných legislativních opatření</w:t>
      </w:r>
      <w:r w:rsidRPr="00251BF8">
        <w:t xml:space="preserve"> v oblasti nemocenského pojištění, </w:t>
      </w:r>
      <w:r w:rsidRPr="00251BF8">
        <w:rPr>
          <w:b/>
        </w:rPr>
        <w:t>s účinností od roku 2018</w:t>
      </w:r>
      <w:r w:rsidRPr="00251BF8">
        <w:t xml:space="preserve">, která zásadním způsobem ovlivnila jeho finanční bilanci. Jednalo se o </w:t>
      </w:r>
      <w:r w:rsidRPr="00251BF8">
        <w:rPr>
          <w:b/>
        </w:rPr>
        <w:t xml:space="preserve">zvýšení nemocenského od 31. kalendářního dne </w:t>
      </w:r>
      <w:r>
        <w:rPr>
          <w:b/>
        </w:rPr>
        <w:t xml:space="preserve">dočasné pracovní </w:t>
      </w:r>
      <w:r w:rsidRPr="00431235">
        <w:rPr>
          <w:b/>
          <w:spacing w:val="-2"/>
        </w:rPr>
        <w:t>neschopnosti</w:t>
      </w:r>
      <w:r w:rsidRPr="00431235">
        <w:rPr>
          <w:spacing w:val="-2"/>
        </w:rPr>
        <w:t xml:space="preserve"> nebo karantény z 60 % na 66 % redukovaného denního vyměřovacího základu a od</w:t>
      </w:r>
      <w:r w:rsidRPr="00431235">
        <w:rPr>
          <w:b/>
          <w:spacing w:val="-2"/>
        </w:rPr>
        <w:t xml:space="preserve"> 61. kalendářního dne dočasné pracovní neschopnosti</w:t>
      </w:r>
      <w:r w:rsidR="003D05A0">
        <w:rPr>
          <w:spacing w:val="-2"/>
        </w:rPr>
        <w:t xml:space="preserve"> nebo karantény z 60 % na 72 </w:t>
      </w:r>
      <w:r w:rsidRPr="00431235">
        <w:rPr>
          <w:spacing w:val="-2"/>
        </w:rPr>
        <w:t>% redukovaného denního vyměřovacího základu s účinností od 1. ledna 2018. Kromě toho, ovšem s jen</w:t>
      </w:r>
      <w:r w:rsidRPr="00251BF8">
        <w:t xml:space="preserve"> nepatrným </w:t>
      </w:r>
      <w:r w:rsidRPr="00431235">
        <w:rPr>
          <w:spacing w:val="2"/>
        </w:rPr>
        <w:t>vlivem na celkovou výši výdajů nemocenského pojištění, byl rozšířen okruh dávek poskytovaných</w:t>
      </w:r>
      <w:r w:rsidRPr="00251BF8">
        <w:t xml:space="preserve"> z nemocenského pojištění o novou dávku otcovské poporodní péče (tzv. „otcovská“) s účinností od 1. února 2018 a dávku dlouhodobého ošetřovného s účinností od 1. června 2018.</w:t>
      </w:r>
      <w:r>
        <w:t xml:space="preserve"> V tab</w:t>
      </w:r>
      <w:r w:rsidR="00431235">
        <w:t>ulce</w:t>
      </w:r>
      <w:r>
        <w:t xml:space="preserve"> 4.1 je patrné zvýšení výdajů za otcovskou poporodní péči od roku 2022. Do té doby byla vyplácena po dobu 1 týdne, v roce 2022 došlo k prodloužení na 2 týdny.</w:t>
      </w:r>
    </w:p>
    <w:p w:rsidR="00E77573" w:rsidRPr="00E77573" w:rsidRDefault="00173371" w:rsidP="00173371">
      <w:pPr>
        <w:rPr>
          <w:rFonts w:cs="Arial"/>
          <w:szCs w:val="16"/>
        </w:rPr>
      </w:pPr>
      <w:r>
        <w:rPr>
          <w:rFonts w:cs="Arial"/>
          <w:szCs w:val="16"/>
        </w:rPr>
        <w:lastRenderedPageBreak/>
        <w:t>Od roku 2014</w:t>
      </w:r>
      <w:r w:rsidR="00E77573" w:rsidRPr="00E77573">
        <w:rPr>
          <w:rFonts w:cs="Arial"/>
          <w:szCs w:val="16"/>
        </w:rPr>
        <w:t xml:space="preserve"> výdaje na nemocenské až do roku 2021 nepřetržitě rostly. O rok později nastal mírný pokles, který pokračoval i v následujícím roce. Oproti roku 2019, tj. období před pandemií, se však výdaje v roce</w:t>
      </w:r>
      <w:r>
        <w:rPr>
          <w:rFonts w:cs="Arial"/>
          <w:szCs w:val="16"/>
        </w:rPr>
        <w:t xml:space="preserve"> 2024</w:t>
      </w:r>
      <w:r w:rsidR="00E77573" w:rsidRPr="00E77573">
        <w:rPr>
          <w:rFonts w:cs="Arial"/>
          <w:szCs w:val="16"/>
        </w:rPr>
        <w:t xml:space="preserve"> zvýšily o </w:t>
      </w:r>
      <w:r>
        <w:rPr>
          <w:rFonts w:cs="Arial"/>
          <w:szCs w:val="16"/>
        </w:rPr>
        <w:t>7,4 miliard</w:t>
      </w:r>
      <w:r w:rsidR="00E77573" w:rsidRPr="00E77573">
        <w:rPr>
          <w:rFonts w:cs="Arial"/>
          <w:szCs w:val="16"/>
        </w:rPr>
        <w:t xml:space="preserve"> Kč, téměř o pětinu. Za uplynulou dekádu výdaje vzrostly o 20 mld. Kč (</w:t>
      </w:r>
      <w:r>
        <w:rPr>
          <w:rFonts w:cs="Arial"/>
          <w:szCs w:val="16"/>
        </w:rPr>
        <w:t>o 145 %</w:t>
      </w:r>
      <w:r w:rsidR="00E77573" w:rsidRPr="00E77573">
        <w:rPr>
          <w:rFonts w:cs="Arial"/>
          <w:szCs w:val="16"/>
        </w:rPr>
        <w:t>).</w:t>
      </w:r>
    </w:p>
    <w:p w:rsidR="00E77573" w:rsidRDefault="00E77573" w:rsidP="00173371">
      <w:pPr>
        <w:rPr>
          <w:b/>
          <w:spacing w:val="-2"/>
        </w:rPr>
      </w:pPr>
      <w:r w:rsidRPr="00E77573">
        <w:t>Podrobnější informace k výdajům na nemocenské a dalším dávkám, které jsou poskytovány ze systému nemocenského pojištění, jsou k dispozici na internetových stránkách MPSV v</w:t>
      </w:r>
      <w:r w:rsidR="00173371">
        <w:t>e veřejně dostupné</w:t>
      </w:r>
      <w:r>
        <w:t xml:space="preserve"> publikaci </w:t>
      </w:r>
      <w:hyperlink r:id="rId27" w:history="1">
        <w:r w:rsidRPr="00173371">
          <w:rPr>
            <w:color w:val="000000" w:themeColor="text1"/>
            <w:u w:val="single"/>
          </w:rPr>
          <w:t>Analýza vývoje nemocenského pojištění</w:t>
        </w:r>
      </w:hyperlink>
      <w:r w:rsidRPr="00173371">
        <w:rPr>
          <w:color w:val="000000" w:themeColor="text1"/>
        </w:rPr>
        <w:t>.</w:t>
      </w:r>
    </w:p>
    <w:p w:rsidR="00F4161A" w:rsidRDefault="00F4161A" w:rsidP="00F4161A">
      <w:pPr>
        <w:spacing w:after="0"/>
        <w:rPr>
          <w:b/>
          <w:spacing w:val="-2"/>
        </w:rPr>
      </w:pPr>
      <w:r w:rsidRPr="00EE4F26">
        <w:rPr>
          <w:b/>
        </w:rPr>
        <w:t xml:space="preserve">Graf 4.1: Výdaje na nemocenské v mld. Kč a v přepočtu na 1 pojištěnce, </w:t>
      </w:r>
      <w:r>
        <w:rPr>
          <w:b/>
          <w:spacing w:val="-2"/>
        </w:rPr>
        <w:t>2014–2024</w:t>
      </w:r>
    </w:p>
    <w:p w:rsidR="00F4161A" w:rsidRDefault="00DE65FF" w:rsidP="00DE65FF">
      <w:pPr>
        <w:rPr>
          <w:rFonts w:cs="Arial"/>
          <w:bCs/>
          <w:color w:val="000000"/>
          <w:sz w:val="16"/>
          <w:szCs w:val="16"/>
        </w:rPr>
      </w:pPr>
      <w:r>
        <w:rPr>
          <w:noProof/>
        </w:rPr>
        <w:drawing>
          <wp:inline distT="0" distB="0" distL="0" distR="0" wp14:anchorId="2B9D78E3" wp14:editId="76FB2F44">
            <wp:extent cx="6120000" cy="2880000"/>
            <wp:effectExtent l="0" t="0" r="0" b="0"/>
            <wp:docPr id="20" name="Graf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r w:rsidR="00173371" w:rsidRPr="00173371">
        <w:rPr>
          <w:rFonts w:cs="Arial"/>
          <w:bCs/>
          <w:color w:val="000000"/>
          <w:sz w:val="16"/>
          <w:szCs w:val="16"/>
        </w:rPr>
        <w:t>Zdroj: ČSSZ</w:t>
      </w:r>
    </w:p>
    <w:p w:rsidR="00173371" w:rsidRDefault="00173371" w:rsidP="00173371">
      <w:pPr>
        <w:pStyle w:val="Nadpis3"/>
      </w:pPr>
      <w:bookmarkStart w:id="9" w:name="_Toc198986221"/>
      <w:r>
        <w:t>4.5 Pracovní úrazy</w:t>
      </w:r>
      <w:bookmarkEnd w:id="9"/>
    </w:p>
    <w:p w:rsidR="00173371" w:rsidRPr="00173371" w:rsidRDefault="00173371" w:rsidP="00173371">
      <w:pPr>
        <w:rPr>
          <w:spacing w:val="-2"/>
        </w:rPr>
      </w:pPr>
      <w:r w:rsidRPr="00173371">
        <w:rPr>
          <w:spacing w:val="-2"/>
        </w:rPr>
        <w:t xml:space="preserve">V oblasti pracovní úrazovosti ukládá česká i evropská legislativa zaměstnavatelům řadu povinností souvisejících s evidencí, hlášením a objasněním příčin a okolností vzniku každého pracovního úrazu. </w:t>
      </w:r>
    </w:p>
    <w:p w:rsidR="00173371" w:rsidRPr="00173371" w:rsidRDefault="00173371" w:rsidP="000E0CC3">
      <w:pPr>
        <w:pStyle w:val="Box1"/>
        <w:spacing w:before="0" w:after="120"/>
        <w:ind w:left="0"/>
        <w:contextualSpacing w:val="0"/>
        <w:jc w:val="both"/>
        <w:rPr>
          <w:i/>
        </w:rPr>
      </w:pPr>
      <w:r w:rsidRPr="00173371">
        <w:rPr>
          <w:b/>
          <w:i/>
        </w:rPr>
        <w:t xml:space="preserve">Pracovní úraz </w:t>
      </w:r>
      <w:r w:rsidRPr="00173371">
        <w:rPr>
          <w:i/>
        </w:rPr>
        <w:t>– pracovním úrazem se rozumí poškození zdraví nebo smrt zaměstnance, došlo-li k nim nezávisle na jeho vůli krátkodobým, náhlým a násilným působením zevních vlivů při plnění pracovních úkolů nebo v přímé souvislosti s ním (viz § 271k odst. 1 až 3 zákona č. 262/2006 Sb., zákoník práce, ve znění pozdějších předpisů).</w:t>
      </w:r>
    </w:p>
    <w:p w:rsidR="00173371" w:rsidRPr="00173371" w:rsidRDefault="00173371" w:rsidP="000E0CC3">
      <w:pPr>
        <w:pStyle w:val="Box1"/>
        <w:spacing w:before="0" w:after="120"/>
        <w:ind w:left="0"/>
        <w:contextualSpacing w:val="0"/>
        <w:jc w:val="both"/>
        <w:rPr>
          <w:b/>
          <w:i/>
        </w:rPr>
      </w:pPr>
      <w:r w:rsidRPr="00173371">
        <w:rPr>
          <w:b/>
          <w:i/>
        </w:rPr>
        <w:t>Smrtelný pracovní úraz</w:t>
      </w:r>
      <w:r w:rsidRPr="00173371">
        <w:rPr>
          <w:i/>
        </w:rPr>
        <w:t xml:space="preserve"> – je takové poškození zdraví, na jehož následky úrazem postižený zaměstnanec nejpozději do 1 roku zemřel.</w:t>
      </w:r>
    </w:p>
    <w:p w:rsidR="00173371" w:rsidRPr="00173371" w:rsidRDefault="00173371" w:rsidP="000E0CC3">
      <w:pPr>
        <w:pStyle w:val="Box1"/>
        <w:spacing w:before="0" w:after="120"/>
        <w:ind w:left="0"/>
        <w:contextualSpacing w:val="0"/>
        <w:jc w:val="both"/>
        <w:rPr>
          <w:b/>
          <w:i/>
        </w:rPr>
      </w:pPr>
      <w:r w:rsidRPr="00173371">
        <w:rPr>
          <w:b/>
          <w:i/>
        </w:rPr>
        <w:t>Závažný pracovní úraz</w:t>
      </w:r>
      <w:r w:rsidRPr="00173371">
        <w:rPr>
          <w:i/>
        </w:rPr>
        <w:t xml:space="preserve"> – je takové poškození zdraví, trvá-li hospitalizace úrazem postiženého zaměstnance déle než 5 dnů.</w:t>
      </w:r>
    </w:p>
    <w:p w:rsidR="00173371" w:rsidRPr="00173371" w:rsidRDefault="00173371" w:rsidP="000E0CC3">
      <w:pPr>
        <w:pStyle w:val="Box1"/>
        <w:spacing w:before="0" w:after="120"/>
        <w:ind w:left="0"/>
        <w:contextualSpacing w:val="0"/>
        <w:jc w:val="both"/>
        <w:rPr>
          <w:i/>
        </w:rPr>
      </w:pPr>
      <w:r w:rsidRPr="00173371">
        <w:rPr>
          <w:b/>
          <w:i/>
        </w:rPr>
        <w:t xml:space="preserve">Pracovní úraz s pracovní neschopností delší než 3 dny </w:t>
      </w:r>
      <w:r w:rsidRPr="00173371">
        <w:rPr>
          <w:i/>
        </w:rPr>
        <w:t>– ukazatel zahrnuje případy pracovních úrazů, které měly za následek dočasnou pracovní neschopnost delší než tři kalendářní dny. Do těchto tří dnů se nezapočítává den, ve kterém k úrazu došlo.</w:t>
      </w:r>
    </w:p>
    <w:p w:rsidR="00173371" w:rsidRPr="00173371" w:rsidRDefault="00173371" w:rsidP="000E0CC3">
      <w:r w:rsidRPr="00173371">
        <w:t>Ohlášení pracovního úrazu místně příslušnému Oblastnímu inspektorátu práce (OIP) podléhá smrtelný pracovní úraz a pracovní úraz s hospitalizací delší než 5 dnů (tzv. závažný pracovní úraz) nebo lze-li vzhledem k povaze zranění takovou dobu hospitalizace předpokládat. Vyhotovit záznam o úrazu (vč</w:t>
      </w:r>
      <w:r w:rsidR="000E0CC3">
        <w:t>etně</w:t>
      </w:r>
      <w:r w:rsidRPr="00173371">
        <w:t> případného hlášení změn) a zaslat jej na místně příslušný OIP je zaměstnavatel povinen i u pracovního úrazu s pracovní neschopností delší než 3 dny. V závislosti na druhu a okolnostech vzniku pracovního úrazu se pracovní úraz ohlašuje a záznam o něm se zasílá ještě na další stanovené orgány a instituce. Evidenci všech úrazů, tedy i takových, kterými nebyla způsobena pracovní neschopnost nebo jimi byla způsobena pracovní neschopnost nepřesahující 3 kalendářní dny, je zaměstnavatel povinen vést v knize úrazů.</w:t>
      </w:r>
    </w:p>
    <w:p w:rsidR="00173371" w:rsidRDefault="00173371" w:rsidP="005F5347">
      <w:pPr>
        <w:rPr>
          <w:rFonts w:cs="Arial"/>
        </w:rPr>
      </w:pPr>
      <w:r w:rsidRPr="00173371">
        <w:rPr>
          <w:rFonts w:cs="Arial"/>
        </w:rPr>
        <w:lastRenderedPageBreak/>
        <w:t xml:space="preserve">V roce 2020 se i vlivem uzavření některých podniků a větší míry práce z domova událo nejméně pracovních úrazů za posledních 10 let. </w:t>
      </w:r>
      <w:r w:rsidRPr="00173371">
        <w:rPr>
          <w:bCs/>
        </w:rPr>
        <w:t>Absolutní počet nově hlášených případů do</w:t>
      </w:r>
      <w:r w:rsidR="000E0CC3">
        <w:rPr>
          <w:bCs/>
        </w:rPr>
        <w:t>časné pracovní neschopnosti</w:t>
      </w:r>
      <w:r w:rsidRPr="00173371">
        <w:rPr>
          <w:rFonts w:cs="Arial"/>
        </w:rPr>
        <w:t xml:space="preserve"> pro pracovní úraz po propadu v roce 2020 vzrostl ze 41 358 případů na 44 933 případů v roce 2021 (tj. o 8 %) a vrátil se tak na hodnoty z období před pandemií. Od té doby se počet mírně snižoval na </w:t>
      </w:r>
      <w:r w:rsidR="00DE65FF">
        <w:rPr>
          <w:rFonts w:cs="Arial"/>
        </w:rPr>
        <w:t>43 815</w:t>
      </w:r>
      <w:r w:rsidRPr="00173371">
        <w:rPr>
          <w:rFonts w:cs="Arial"/>
        </w:rPr>
        <w:t xml:space="preserve"> pracovních úrazů s pracovní neschopností v roce</w:t>
      </w:r>
      <w:r w:rsidR="000E0CC3">
        <w:rPr>
          <w:rFonts w:cs="Arial"/>
        </w:rPr>
        <w:t xml:space="preserve"> 2024</w:t>
      </w:r>
      <w:r w:rsidRPr="00173371">
        <w:rPr>
          <w:rFonts w:cs="Arial"/>
        </w:rPr>
        <w:t>. Z tohoto celkového počtu případů</w:t>
      </w:r>
      <w:r w:rsidR="000E0CC3">
        <w:rPr>
          <w:rFonts w:cs="Arial"/>
        </w:rPr>
        <w:t xml:space="preserve"> </w:t>
      </w:r>
      <w:r w:rsidR="00DE65FF">
        <w:rPr>
          <w:rFonts w:cs="Arial"/>
        </w:rPr>
        <w:t>bylo 42 756</w:t>
      </w:r>
      <w:r w:rsidR="005F5347">
        <w:rPr>
          <w:rFonts w:cs="Arial"/>
        </w:rPr>
        <w:t xml:space="preserve"> </w:t>
      </w:r>
      <w:r w:rsidR="000E0CC3">
        <w:rPr>
          <w:rFonts w:cs="Arial"/>
        </w:rPr>
        <w:t>(</w:t>
      </w:r>
      <w:r w:rsidR="000E0CC3" w:rsidRPr="00251BF8">
        <w:rPr>
          <w:rFonts w:cs="Arial"/>
        </w:rPr>
        <w:t xml:space="preserve">98 %) </w:t>
      </w:r>
      <w:r w:rsidR="000E0CC3" w:rsidRPr="00251BF8">
        <w:rPr>
          <w:rFonts w:cs="Arial"/>
          <w:b/>
        </w:rPr>
        <w:t>pracovních úrazů s pracovní neschopností delší než 3 kalendářní dny</w:t>
      </w:r>
      <w:r w:rsidR="000E0CC3" w:rsidRPr="00251BF8">
        <w:rPr>
          <w:rFonts w:cs="Arial"/>
        </w:rPr>
        <w:t xml:space="preserve"> (tedy těch, které podléhají povinnosti vyhotovit záznam o úrazu a zaslat jej OIP).</w:t>
      </w:r>
    </w:p>
    <w:p w:rsidR="004B47B4" w:rsidRDefault="005F5347" w:rsidP="007551ED">
      <w:r w:rsidRPr="005F5347">
        <w:rPr>
          <w:rFonts w:cs="Arial"/>
        </w:rPr>
        <w:t xml:space="preserve">V pracovní úrazovosti je dlouhodobě patrný rozdíl mezi </w:t>
      </w:r>
      <w:r w:rsidRPr="005F5347">
        <w:rPr>
          <w:rFonts w:cs="Arial"/>
          <w:b/>
        </w:rPr>
        <w:t>pohlavími</w:t>
      </w:r>
      <w:r w:rsidRPr="005F5347">
        <w:rPr>
          <w:rFonts w:cs="Arial"/>
        </w:rPr>
        <w:t>, muži zde výrazně dominují</w:t>
      </w:r>
      <w:r w:rsidR="002B2BD0">
        <w:rPr>
          <w:rFonts w:cs="Arial"/>
        </w:rPr>
        <w:t>, viz tabulka</w:t>
      </w:r>
      <w:r w:rsidR="00FC39C6">
        <w:rPr>
          <w:rFonts w:cs="Arial"/>
        </w:rPr>
        <w:t> </w:t>
      </w:r>
      <w:r w:rsidR="002B2BD0">
        <w:rPr>
          <w:rFonts w:cs="Arial"/>
        </w:rPr>
        <w:t>5.1.</w:t>
      </w:r>
      <w:r w:rsidRPr="005F5347">
        <w:rPr>
          <w:rFonts w:cs="Arial"/>
        </w:rPr>
        <w:t xml:space="preserve"> Z celkového počtu pracovních úrazů </w:t>
      </w:r>
      <w:r w:rsidR="002B2BD0">
        <w:rPr>
          <w:rFonts w:cs="Arial"/>
        </w:rPr>
        <w:t xml:space="preserve">tvořili muži </w:t>
      </w:r>
      <w:r w:rsidRPr="005F5347">
        <w:rPr>
          <w:rFonts w:cs="Arial"/>
        </w:rPr>
        <w:t>v roce</w:t>
      </w:r>
      <w:r>
        <w:rPr>
          <w:rFonts w:cs="Arial"/>
        </w:rPr>
        <w:t xml:space="preserve"> 2024 </w:t>
      </w:r>
      <w:r w:rsidR="002B2BD0">
        <w:rPr>
          <w:rFonts w:cs="Arial"/>
        </w:rPr>
        <w:t xml:space="preserve">dvě třetiny </w:t>
      </w:r>
      <w:r w:rsidR="00DE65FF">
        <w:rPr>
          <w:rFonts w:cs="Arial"/>
        </w:rPr>
        <w:t>(65,5</w:t>
      </w:r>
      <w:r w:rsidRPr="005F5347">
        <w:rPr>
          <w:rFonts w:cs="Arial"/>
        </w:rPr>
        <w:t xml:space="preserve"> %), což je </w:t>
      </w:r>
      <w:r w:rsidRPr="005F5347">
        <w:rPr>
          <w:rFonts w:cs="Arial"/>
          <w:b/>
        </w:rPr>
        <w:t>dáno</w:t>
      </w:r>
      <w:r w:rsidRPr="005F5347">
        <w:rPr>
          <w:rFonts w:cs="Arial"/>
        </w:rPr>
        <w:t xml:space="preserve"> především</w:t>
      </w:r>
      <w:r w:rsidR="002B2BD0">
        <w:rPr>
          <w:rFonts w:cs="Arial"/>
          <w:b/>
        </w:rPr>
        <w:t xml:space="preserve"> </w:t>
      </w:r>
      <w:r w:rsidRPr="005F5347">
        <w:rPr>
          <w:rFonts w:cs="Arial"/>
          <w:b/>
        </w:rPr>
        <w:t>odlišnou strukturou zaměstnanosti žen a mužů</w:t>
      </w:r>
      <w:r w:rsidRPr="005F5347">
        <w:rPr>
          <w:rFonts w:cs="Arial"/>
        </w:rPr>
        <w:t xml:space="preserve">. V odvětvích rizikovějších na </w:t>
      </w:r>
      <w:r w:rsidR="00DE65FF">
        <w:rPr>
          <w:rFonts w:cs="Arial"/>
        </w:rPr>
        <w:t xml:space="preserve">výskyt </w:t>
      </w:r>
      <w:r w:rsidRPr="005F5347">
        <w:rPr>
          <w:rFonts w:cs="Arial"/>
        </w:rPr>
        <w:t>pracovn</w:t>
      </w:r>
      <w:r w:rsidR="00DE65FF">
        <w:rPr>
          <w:rFonts w:cs="Arial"/>
        </w:rPr>
        <w:t>ích úrazů</w:t>
      </w:r>
      <w:r w:rsidRPr="005F5347">
        <w:rPr>
          <w:rFonts w:cs="Arial"/>
        </w:rPr>
        <w:t xml:space="preserve"> jako je např</w:t>
      </w:r>
      <w:r w:rsidR="00DE65FF">
        <w:rPr>
          <w:rFonts w:cs="Arial"/>
        </w:rPr>
        <w:t>íklad</w:t>
      </w:r>
      <w:r w:rsidRPr="005F5347">
        <w:rPr>
          <w:rFonts w:cs="Arial"/>
        </w:rPr>
        <w:t xml:space="preserve"> </w:t>
      </w:r>
      <w:r w:rsidRPr="005F5347">
        <w:t>T</w:t>
      </w:r>
      <w:r w:rsidRPr="005F5347">
        <w:rPr>
          <w:rFonts w:cs="Arial"/>
        </w:rPr>
        <w:t>ěžba a dobývání, Zpracovatelský průmysl, S</w:t>
      </w:r>
      <w:r w:rsidRPr="005F5347">
        <w:t xml:space="preserve">tavebnictví, Doprava a skladování </w:t>
      </w:r>
      <w:r w:rsidRPr="005F5347">
        <w:rPr>
          <w:bCs/>
        </w:rPr>
        <w:t xml:space="preserve">či Zemědělství, lesnictví, rybářství </w:t>
      </w:r>
      <w:r w:rsidRPr="005F5347">
        <w:t xml:space="preserve">mezi zaměstnanými převládají muži. </w:t>
      </w:r>
    </w:p>
    <w:p w:rsidR="007551ED" w:rsidRDefault="004B47B4" w:rsidP="007551ED">
      <w:r w:rsidRPr="00E4324B">
        <w:t>Ještě výraznější</w:t>
      </w:r>
      <w:r w:rsidR="005347EB" w:rsidRPr="00E4324B">
        <w:t>ho</w:t>
      </w:r>
      <w:r w:rsidRPr="00E4324B">
        <w:t xml:space="preserve"> rozdíl</w:t>
      </w:r>
      <w:r w:rsidR="005347EB" w:rsidRPr="00E4324B">
        <w:t>u</w:t>
      </w:r>
      <w:r w:rsidRPr="00E4324B">
        <w:t xml:space="preserve"> </w:t>
      </w:r>
      <w:r w:rsidR="005347EB" w:rsidRPr="00E4324B">
        <w:t>hodnot mezi pohlavími bylo dosaženo v případě</w:t>
      </w:r>
      <w:r w:rsidRPr="00E4324B">
        <w:t xml:space="preserve"> </w:t>
      </w:r>
      <w:r w:rsidRPr="00E4324B">
        <w:rPr>
          <w:b/>
        </w:rPr>
        <w:t>smrtelných pracovních úrazů</w:t>
      </w:r>
      <w:r w:rsidRPr="00E4324B">
        <w:t>. V</w:t>
      </w:r>
      <w:r w:rsidR="005347EB" w:rsidRPr="00E4324B">
        <w:t> roce 2024 se z celkových 70</w:t>
      </w:r>
      <w:r w:rsidRPr="00E4324B">
        <w:t xml:space="preserve"> smrtelných p</w:t>
      </w:r>
      <w:r w:rsidR="005347EB" w:rsidRPr="00E4324B">
        <w:t>racovních úrazů 65</w:t>
      </w:r>
      <w:r w:rsidRPr="00E4324B">
        <w:t xml:space="preserve"> přihodilo mužům. Oproti předchozímu roku </w:t>
      </w:r>
      <w:r w:rsidR="005347EB" w:rsidRPr="00E4324B">
        <w:t>se událo o 7</w:t>
      </w:r>
      <w:r w:rsidRPr="00E4324B">
        <w:t xml:space="preserve"> </w:t>
      </w:r>
      <w:r w:rsidR="005347EB" w:rsidRPr="00E4324B">
        <w:t>smrtelných pracovních úrazů méně, resp</w:t>
      </w:r>
      <w:r w:rsidRPr="00E4324B">
        <w:t xml:space="preserve">. </w:t>
      </w:r>
      <w:r w:rsidR="005347EB" w:rsidRPr="00E4324B">
        <w:t>o 61</w:t>
      </w:r>
      <w:r w:rsidRPr="00E4324B">
        <w:t xml:space="preserve"> méně n</w:t>
      </w:r>
      <w:r w:rsidR="005347EB" w:rsidRPr="00E4324B">
        <w:t xml:space="preserve">ež v roce 2015, kdy došlo </w:t>
      </w:r>
      <w:r w:rsidRPr="00E4324B">
        <w:t xml:space="preserve">k nejvíce smrtelným pracovním úrazům za posledních 10 let. Rovněž se snížil počet </w:t>
      </w:r>
      <w:r w:rsidRPr="00880CF5">
        <w:rPr>
          <w:b/>
        </w:rPr>
        <w:t>závažných pracovních úrazů</w:t>
      </w:r>
      <w:r w:rsidRPr="00E4324B">
        <w:t>, které si vyžádaly alespoň 5denní ho</w:t>
      </w:r>
      <w:r w:rsidR="00E4324B" w:rsidRPr="00E4324B">
        <w:t>spitalizaci. Zatímco v roce 2014</w:t>
      </w:r>
      <w:r w:rsidRPr="00E4324B">
        <w:t xml:space="preserve"> se jejich</w:t>
      </w:r>
      <w:r w:rsidR="005347EB" w:rsidRPr="00E4324B">
        <w:t xml:space="preserve"> počet blížil 1 400, v roce 2024</w:t>
      </w:r>
      <w:r w:rsidR="00FC744D" w:rsidRPr="00E4324B">
        <w:t xml:space="preserve"> </w:t>
      </w:r>
      <w:r w:rsidRPr="00E4324B">
        <w:t xml:space="preserve">bylo </w:t>
      </w:r>
      <w:r w:rsidR="00FC744D" w:rsidRPr="00E4324B">
        <w:t>zaznamenáno téměř o polovinu (4</w:t>
      </w:r>
      <w:r w:rsidR="00E4324B" w:rsidRPr="00E4324B">
        <w:t>6</w:t>
      </w:r>
      <w:r w:rsidRPr="00E4324B">
        <w:t xml:space="preserve"> %) </w:t>
      </w:r>
      <w:r w:rsidR="00FC744D" w:rsidRPr="00E4324B">
        <w:t>závažných pracovních úrazů méně, konkrétně 746</w:t>
      </w:r>
      <w:r w:rsidR="00713204">
        <w:t xml:space="preserve"> (z toho 595 u mužů)</w:t>
      </w:r>
      <w:r w:rsidRPr="00E4324B">
        <w:t xml:space="preserve">. </w:t>
      </w:r>
      <w:r w:rsidR="00713204">
        <w:t xml:space="preserve">Je možné </w:t>
      </w:r>
      <w:r w:rsidRPr="00E4324B">
        <w:t>předpokládat souvislost s</w:t>
      </w:r>
      <w:r w:rsidR="00E4324B">
        <w:t> </w:t>
      </w:r>
      <w:r w:rsidRPr="00E4324B">
        <w:t>preferováním ambulantní léčby (tam, kde to povaha úrazu dovolí) před dlouhodobou hospitalizací.</w:t>
      </w:r>
    </w:p>
    <w:p w:rsidR="007551ED" w:rsidRDefault="007551ED" w:rsidP="007551ED">
      <w:pPr>
        <w:spacing w:after="0"/>
        <w:rPr>
          <w:b/>
        </w:rPr>
      </w:pPr>
      <w:r w:rsidRPr="007551ED">
        <w:rPr>
          <w:b/>
        </w:rPr>
        <w:t>Tab. 5.1: Pracovní úrazy podle pohlaví, 2014–2024</w:t>
      </w:r>
    </w:p>
    <w:tbl>
      <w:tblPr>
        <w:tblW w:w="9589" w:type="dxa"/>
        <w:tblCellMar>
          <w:left w:w="70" w:type="dxa"/>
          <w:right w:w="70" w:type="dxa"/>
        </w:tblCellMar>
        <w:tblLook w:val="04A0" w:firstRow="1" w:lastRow="0" w:firstColumn="1" w:lastColumn="0" w:noHBand="0" w:noVBand="1"/>
      </w:tblPr>
      <w:tblGrid>
        <w:gridCol w:w="1077"/>
        <w:gridCol w:w="710"/>
        <w:gridCol w:w="709"/>
        <w:gridCol w:w="709"/>
        <w:gridCol w:w="710"/>
        <w:gridCol w:w="709"/>
        <w:gridCol w:w="709"/>
        <w:gridCol w:w="710"/>
        <w:gridCol w:w="709"/>
        <w:gridCol w:w="709"/>
        <w:gridCol w:w="710"/>
        <w:gridCol w:w="709"/>
        <w:gridCol w:w="709"/>
      </w:tblGrid>
      <w:tr w:rsidR="00EC122C" w:rsidRPr="00EC122C" w:rsidTr="00E4324B">
        <w:trPr>
          <w:trHeight w:val="920"/>
        </w:trPr>
        <w:tc>
          <w:tcPr>
            <w:tcW w:w="1077" w:type="dxa"/>
            <w:vMerge w:val="restart"/>
            <w:tcBorders>
              <w:top w:val="single" w:sz="4" w:space="0" w:color="auto"/>
              <w:left w:val="nil"/>
              <w:bottom w:val="single" w:sz="4" w:space="0" w:color="auto"/>
              <w:right w:val="single" w:sz="4" w:space="0" w:color="auto"/>
            </w:tcBorders>
            <w:shd w:val="clear" w:color="auto" w:fill="E6C483"/>
            <w:vAlign w:val="center"/>
            <w:hideMark/>
          </w:tcPr>
          <w:p w:rsidR="00EC122C" w:rsidRPr="00EC122C" w:rsidRDefault="00EC122C" w:rsidP="00EC122C">
            <w:pPr>
              <w:spacing w:after="0" w:line="240" w:lineRule="auto"/>
              <w:jc w:val="center"/>
              <w:rPr>
                <w:rFonts w:cs="Arial"/>
                <w:color w:val="000000"/>
                <w:sz w:val="16"/>
                <w:szCs w:val="16"/>
              </w:rPr>
            </w:pPr>
            <w:r w:rsidRPr="00EC122C">
              <w:rPr>
                <w:rFonts w:cs="Arial"/>
                <w:color w:val="000000"/>
                <w:sz w:val="16"/>
                <w:szCs w:val="16"/>
              </w:rPr>
              <w:t>Rok</w:t>
            </w:r>
          </w:p>
        </w:tc>
        <w:tc>
          <w:tcPr>
            <w:tcW w:w="2128" w:type="dxa"/>
            <w:gridSpan w:val="3"/>
            <w:tcBorders>
              <w:top w:val="single" w:sz="4" w:space="0" w:color="auto"/>
              <w:left w:val="single" w:sz="4" w:space="0" w:color="auto"/>
              <w:right w:val="single" w:sz="4" w:space="0" w:color="000000"/>
            </w:tcBorders>
            <w:shd w:val="clear" w:color="auto" w:fill="E6C483"/>
            <w:vAlign w:val="center"/>
            <w:hideMark/>
          </w:tcPr>
          <w:p w:rsidR="00EC122C" w:rsidRPr="00EC122C" w:rsidRDefault="00EC122C" w:rsidP="00EC122C">
            <w:pPr>
              <w:spacing w:after="0" w:line="240" w:lineRule="auto"/>
              <w:jc w:val="center"/>
              <w:rPr>
                <w:rFonts w:cs="Arial"/>
                <w:color w:val="000000"/>
                <w:sz w:val="16"/>
                <w:szCs w:val="16"/>
              </w:rPr>
            </w:pPr>
            <w:r w:rsidRPr="00EC122C">
              <w:rPr>
                <w:rFonts w:cs="Arial"/>
                <w:color w:val="000000"/>
                <w:sz w:val="16"/>
                <w:szCs w:val="16"/>
              </w:rPr>
              <w:t xml:space="preserve">Počet pracovních úrazů </w:t>
            </w:r>
          </w:p>
          <w:p w:rsidR="00EC122C" w:rsidRPr="00EC122C" w:rsidRDefault="00EC122C" w:rsidP="00EC122C">
            <w:pPr>
              <w:spacing w:after="0" w:line="240" w:lineRule="auto"/>
              <w:jc w:val="center"/>
              <w:rPr>
                <w:rFonts w:cs="Arial"/>
                <w:color w:val="000000"/>
                <w:sz w:val="16"/>
                <w:szCs w:val="16"/>
              </w:rPr>
            </w:pPr>
            <w:r w:rsidRPr="00EC122C">
              <w:rPr>
                <w:rFonts w:cs="Arial"/>
                <w:color w:val="000000"/>
                <w:sz w:val="16"/>
                <w:szCs w:val="16"/>
              </w:rPr>
              <w:t xml:space="preserve">s pracovní neschopností </w:t>
            </w:r>
          </w:p>
        </w:tc>
        <w:tc>
          <w:tcPr>
            <w:tcW w:w="2128" w:type="dxa"/>
            <w:gridSpan w:val="3"/>
            <w:tcBorders>
              <w:top w:val="single" w:sz="4" w:space="0" w:color="auto"/>
              <w:left w:val="single" w:sz="4" w:space="0" w:color="auto"/>
              <w:right w:val="single" w:sz="4" w:space="0" w:color="000000"/>
            </w:tcBorders>
            <w:shd w:val="clear" w:color="auto" w:fill="E6C483"/>
            <w:vAlign w:val="center"/>
            <w:hideMark/>
          </w:tcPr>
          <w:p w:rsidR="00EC122C" w:rsidRPr="00EC122C" w:rsidRDefault="00EC122C" w:rsidP="00EC122C">
            <w:pPr>
              <w:spacing w:after="0" w:line="240" w:lineRule="auto"/>
              <w:jc w:val="center"/>
              <w:rPr>
                <w:rFonts w:cs="Arial"/>
                <w:color w:val="000000"/>
                <w:sz w:val="16"/>
                <w:szCs w:val="16"/>
              </w:rPr>
            </w:pPr>
            <w:r w:rsidRPr="00EC122C">
              <w:rPr>
                <w:rFonts w:cs="Arial"/>
                <w:color w:val="000000"/>
                <w:sz w:val="16"/>
                <w:szCs w:val="16"/>
              </w:rPr>
              <w:t xml:space="preserve">Počet pracovních úrazů </w:t>
            </w:r>
          </w:p>
          <w:p w:rsidR="00EC122C" w:rsidRPr="00EC122C" w:rsidRDefault="00EC122C" w:rsidP="00EC122C">
            <w:pPr>
              <w:spacing w:after="0" w:line="240" w:lineRule="auto"/>
              <w:jc w:val="center"/>
              <w:rPr>
                <w:rFonts w:cs="Arial"/>
                <w:color w:val="000000"/>
                <w:sz w:val="16"/>
                <w:szCs w:val="16"/>
              </w:rPr>
            </w:pPr>
            <w:r w:rsidRPr="00EC122C">
              <w:rPr>
                <w:rFonts w:cs="Arial"/>
                <w:color w:val="000000"/>
                <w:sz w:val="16"/>
                <w:szCs w:val="16"/>
              </w:rPr>
              <w:t>s pracovní neschopností delší než 3 dny</w:t>
            </w:r>
          </w:p>
        </w:tc>
        <w:tc>
          <w:tcPr>
            <w:tcW w:w="2128" w:type="dxa"/>
            <w:gridSpan w:val="3"/>
            <w:tcBorders>
              <w:top w:val="single" w:sz="4" w:space="0" w:color="auto"/>
              <w:left w:val="single" w:sz="4" w:space="0" w:color="auto"/>
              <w:right w:val="nil"/>
            </w:tcBorders>
            <w:shd w:val="clear" w:color="auto" w:fill="E6C483"/>
            <w:vAlign w:val="center"/>
            <w:hideMark/>
          </w:tcPr>
          <w:p w:rsidR="00EC122C" w:rsidRPr="00EC122C" w:rsidRDefault="00EC122C" w:rsidP="00EC122C">
            <w:pPr>
              <w:spacing w:after="0" w:line="240" w:lineRule="auto"/>
              <w:jc w:val="center"/>
              <w:rPr>
                <w:rFonts w:cs="Arial"/>
                <w:sz w:val="16"/>
                <w:szCs w:val="16"/>
              </w:rPr>
            </w:pPr>
            <w:r w:rsidRPr="00EC122C">
              <w:rPr>
                <w:rFonts w:cs="Arial"/>
                <w:sz w:val="16"/>
                <w:szCs w:val="16"/>
              </w:rPr>
              <w:t xml:space="preserve">Počet závažných pracovních úrazů </w:t>
            </w:r>
          </w:p>
          <w:p w:rsidR="00EC122C" w:rsidRPr="00EC122C" w:rsidRDefault="00EC122C" w:rsidP="00EC122C">
            <w:pPr>
              <w:spacing w:after="0" w:line="240" w:lineRule="auto"/>
              <w:jc w:val="center"/>
              <w:rPr>
                <w:rFonts w:cs="Arial"/>
                <w:color w:val="000000"/>
                <w:sz w:val="16"/>
                <w:szCs w:val="16"/>
              </w:rPr>
            </w:pPr>
            <w:r w:rsidRPr="00EC122C">
              <w:rPr>
                <w:rFonts w:cs="Arial"/>
                <w:sz w:val="16"/>
                <w:szCs w:val="16"/>
              </w:rPr>
              <w:t>s hospitalizací nad 5 dnů</w:t>
            </w:r>
          </w:p>
        </w:tc>
        <w:tc>
          <w:tcPr>
            <w:tcW w:w="2128" w:type="dxa"/>
            <w:gridSpan w:val="3"/>
            <w:tcBorders>
              <w:top w:val="single" w:sz="4" w:space="0" w:color="auto"/>
              <w:left w:val="single" w:sz="4" w:space="0" w:color="auto"/>
              <w:right w:val="nil"/>
            </w:tcBorders>
            <w:shd w:val="clear" w:color="auto" w:fill="E6C483"/>
            <w:vAlign w:val="center"/>
          </w:tcPr>
          <w:p w:rsidR="00EC122C" w:rsidRPr="00EC122C" w:rsidRDefault="00EC122C" w:rsidP="00EC122C">
            <w:pPr>
              <w:spacing w:after="0" w:line="240" w:lineRule="auto"/>
              <w:jc w:val="center"/>
              <w:rPr>
                <w:rFonts w:cs="Arial"/>
                <w:sz w:val="16"/>
                <w:szCs w:val="16"/>
              </w:rPr>
            </w:pPr>
            <w:r w:rsidRPr="00EC122C">
              <w:rPr>
                <w:rFonts w:cs="Arial"/>
                <w:color w:val="000000"/>
                <w:sz w:val="16"/>
                <w:szCs w:val="16"/>
              </w:rPr>
              <w:t>Počet smrtelných pracovních úrazů</w:t>
            </w:r>
          </w:p>
          <w:p w:rsidR="00EC122C" w:rsidRPr="00EC122C" w:rsidRDefault="00EC122C" w:rsidP="00EC122C">
            <w:pPr>
              <w:spacing w:after="0" w:line="240" w:lineRule="auto"/>
              <w:jc w:val="center"/>
              <w:rPr>
                <w:rFonts w:cs="Arial"/>
                <w:sz w:val="16"/>
                <w:szCs w:val="16"/>
              </w:rPr>
            </w:pPr>
          </w:p>
        </w:tc>
      </w:tr>
      <w:tr w:rsidR="00EC122C" w:rsidRPr="00EC122C" w:rsidTr="00E4324B">
        <w:trPr>
          <w:trHeight w:val="300"/>
        </w:trPr>
        <w:tc>
          <w:tcPr>
            <w:tcW w:w="1077" w:type="dxa"/>
            <w:vMerge/>
            <w:tcBorders>
              <w:top w:val="single" w:sz="4" w:space="0" w:color="auto"/>
              <w:left w:val="nil"/>
              <w:bottom w:val="single" w:sz="4" w:space="0" w:color="auto"/>
              <w:right w:val="single" w:sz="4" w:space="0" w:color="auto"/>
            </w:tcBorders>
            <w:shd w:val="clear" w:color="auto" w:fill="E6C483"/>
            <w:vAlign w:val="center"/>
            <w:hideMark/>
          </w:tcPr>
          <w:p w:rsidR="00EC122C" w:rsidRPr="00EC122C" w:rsidRDefault="00EC122C" w:rsidP="00EC122C">
            <w:pPr>
              <w:spacing w:after="0" w:line="240" w:lineRule="auto"/>
              <w:jc w:val="left"/>
              <w:rPr>
                <w:rFonts w:cs="Arial"/>
                <w:color w:val="000000"/>
                <w:sz w:val="16"/>
                <w:szCs w:val="16"/>
              </w:rPr>
            </w:pPr>
          </w:p>
        </w:tc>
        <w:tc>
          <w:tcPr>
            <w:tcW w:w="710" w:type="dxa"/>
            <w:vMerge w:val="restart"/>
            <w:tcBorders>
              <w:top w:val="single" w:sz="4" w:space="0" w:color="auto"/>
              <w:left w:val="single" w:sz="4" w:space="0" w:color="auto"/>
              <w:bottom w:val="single" w:sz="4" w:space="0" w:color="auto"/>
              <w:right w:val="single" w:sz="4" w:space="0" w:color="auto"/>
            </w:tcBorders>
            <w:shd w:val="clear" w:color="auto" w:fill="E6C483"/>
            <w:vAlign w:val="center"/>
            <w:hideMark/>
          </w:tcPr>
          <w:p w:rsidR="00EC122C" w:rsidRPr="00EC122C" w:rsidRDefault="00EC122C" w:rsidP="00EC122C">
            <w:pPr>
              <w:spacing w:after="0" w:line="240" w:lineRule="auto"/>
              <w:jc w:val="center"/>
              <w:rPr>
                <w:rFonts w:cs="Arial"/>
                <w:b/>
                <w:color w:val="000000"/>
                <w:sz w:val="16"/>
                <w:szCs w:val="16"/>
              </w:rPr>
            </w:pPr>
            <w:r w:rsidRPr="00EC122C">
              <w:rPr>
                <w:rFonts w:cs="Arial"/>
                <w:b/>
                <w:color w:val="000000"/>
                <w:sz w:val="16"/>
                <w:szCs w:val="16"/>
              </w:rPr>
              <w:t>Celkem</w:t>
            </w:r>
          </w:p>
        </w:tc>
        <w:tc>
          <w:tcPr>
            <w:tcW w:w="1418" w:type="dxa"/>
            <w:gridSpan w:val="2"/>
            <w:tcBorders>
              <w:top w:val="single" w:sz="4" w:space="0" w:color="auto"/>
              <w:left w:val="nil"/>
              <w:bottom w:val="single" w:sz="4" w:space="0" w:color="auto"/>
              <w:right w:val="single" w:sz="4" w:space="0" w:color="auto"/>
            </w:tcBorders>
            <w:shd w:val="clear" w:color="auto" w:fill="E6C483"/>
            <w:vAlign w:val="center"/>
            <w:hideMark/>
          </w:tcPr>
          <w:p w:rsidR="00EC122C" w:rsidRPr="00EC122C" w:rsidRDefault="00EC122C" w:rsidP="00EC122C">
            <w:pPr>
              <w:spacing w:after="0" w:line="240" w:lineRule="auto"/>
              <w:jc w:val="center"/>
              <w:rPr>
                <w:rFonts w:cs="Arial"/>
                <w:color w:val="000000"/>
                <w:sz w:val="16"/>
                <w:szCs w:val="16"/>
              </w:rPr>
            </w:pPr>
            <w:r w:rsidRPr="00EC122C">
              <w:rPr>
                <w:rFonts w:cs="Arial"/>
                <w:color w:val="000000"/>
                <w:sz w:val="16"/>
                <w:szCs w:val="16"/>
              </w:rPr>
              <w:t>podle pohlaví</w:t>
            </w:r>
          </w:p>
        </w:tc>
        <w:tc>
          <w:tcPr>
            <w:tcW w:w="710" w:type="dxa"/>
            <w:vMerge w:val="restart"/>
            <w:tcBorders>
              <w:top w:val="single" w:sz="4" w:space="0" w:color="auto"/>
              <w:left w:val="single" w:sz="4" w:space="0" w:color="auto"/>
              <w:bottom w:val="single" w:sz="4" w:space="0" w:color="auto"/>
              <w:right w:val="single" w:sz="4" w:space="0" w:color="auto"/>
            </w:tcBorders>
            <w:shd w:val="clear" w:color="auto" w:fill="E6C483"/>
            <w:vAlign w:val="center"/>
            <w:hideMark/>
          </w:tcPr>
          <w:p w:rsidR="00EC122C" w:rsidRPr="00EC122C" w:rsidRDefault="00EC122C" w:rsidP="00EC122C">
            <w:pPr>
              <w:spacing w:after="0" w:line="240" w:lineRule="auto"/>
              <w:jc w:val="center"/>
              <w:rPr>
                <w:rFonts w:cs="Arial"/>
                <w:b/>
                <w:color w:val="000000"/>
                <w:sz w:val="16"/>
                <w:szCs w:val="16"/>
              </w:rPr>
            </w:pPr>
            <w:r w:rsidRPr="00EC122C">
              <w:rPr>
                <w:rFonts w:cs="Arial"/>
                <w:b/>
                <w:color w:val="000000"/>
                <w:sz w:val="16"/>
                <w:szCs w:val="16"/>
              </w:rPr>
              <w:t>Celkem</w:t>
            </w:r>
          </w:p>
        </w:tc>
        <w:tc>
          <w:tcPr>
            <w:tcW w:w="1418" w:type="dxa"/>
            <w:gridSpan w:val="2"/>
            <w:tcBorders>
              <w:top w:val="single" w:sz="4" w:space="0" w:color="auto"/>
              <w:left w:val="nil"/>
              <w:bottom w:val="single" w:sz="4" w:space="0" w:color="auto"/>
              <w:right w:val="single" w:sz="4" w:space="0" w:color="auto"/>
            </w:tcBorders>
            <w:shd w:val="clear" w:color="auto" w:fill="E6C483"/>
            <w:vAlign w:val="center"/>
            <w:hideMark/>
          </w:tcPr>
          <w:p w:rsidR="00EC122C" w:rsidRPr="00EC122C" w:rsidRDefault="00EC122C" w:rsidP="00EC122C">
            <w:pPr>
              <w:spacing w:after="0" w:line="240" w:lineRule="auto"/>
              <w:jc w:val="center"/>
              <w:rPr>
                <w:rFonts w:cs="Arial"/>
                <w:color w:val="000000"/>
                <w:sz w:val="16"/>
                <w:szCs w:val="16"/>
              </w:rPr>
            </w:pPr>
            <w:r w:rsidRPr="00EC122C">
              <w:rPr>
                <w:rFonts w:cs="Arial"/>
                <w:color w:val="000000"/>
                <w:sz w:val="16"/>
                <w:szCs w:val="16"/>
              </w:rPr>
              <w:t>podle pohlaví</w:t>
            </w:r>
          </w:p>
        </w:tc>
        <w:tc>
          <w:tcPr>
            <w:tcW w:w="710" w:type="dxa"/>
            <w:vMerge w:val="restart"/>
            <w:tcBorders>
              <w:top w:val="single" w:sz="4" w:space="0" w:color="auto"/>
              <w:left w:val="single" w:sz="4" w:space="0" w:color="auto"/>
              <w:right w:val="single" w:sz="4" w:space="0" w:color="auto"/>
            </w:tcBorders>
            <w:shd w:val="clear" w:color="auto" w:fill="E6C483"/>
            <w:vAlign w:val="center"/>
            <w:hideMark/>
          </w:tcPr>
          <w:p w:rsidR="00EC122C" w:rsidRPr="00EC122C" w:rsidRDefault="00EC122C" w:rsidP="00EC122C">
            <w:pPr>
              <w:spacing w:after="0" w:line="240" w:lineRule="auto"/>
              <w:jc w:val="center"/>
              <w:rPr>
                <w:rFonts w:cs="Arial"/>
                <w:b/>
                <w:color w:val="000000"/>
                <w:sz w:val="16"/>
                <w:szCs w:val="16"/>
              </w:rPr>
            </w:pPr>
            <w:r w:rsidRPr="00EC122C">
              <w:rPr>
                <w:rFonts w:cs="Arial"/>
                <w:b/>
                <w:color w:val="000000"/>
                <w:sz w:val="16"/>
                <w:szCs w:val="16"/>
              </w:rPr>
              <w:t>Celkem</w:t>
            </w:r>
          </w:p>
        </w:tc>
        <w:tc>
          <w:tcPr>
            <w:tcW w:w="1418" w:type="dxa"/>
            <w:gridSpan w:val="2"/>
            <w:tcBorders>
              <w:top w:val="single" w:sz="4" w:space="0" w:color="auto"/>
              <w:left w:val="nil"/>
              <w:bottom w:val="single" w:sz="4" w:space="0" w:color="auto"/>
              <w:right w:val="single" w:sz="4" w:space="0" w:color="auto"/>
            </w:tcBorders>
            <w:shd w:val="clear" w:color="auto" w:fill="E6C483"/>
            <w:vAlign w:val="center"/>
            <w:hideMark/>
          </w:tcPr>
          <w:p w:rsidR="00EC122C" w:rsidRPr="00EC122C" w:rsidRDefault="00EC122C" w:rsidP="00EC122C">
            <w:pPr>
              <w:spacing w:after="0" w:line="240" w:lineRule="auto"/>
              <w:jc w:val="center"/>
              <w:rPr>
                <w:rFonts w:cs="Arial"/>
                <w:color w:val="000000"/>
                <w:sz w:val="16"/>
                <w:szCs w:val="16"/>
              </w:rPr>
            </w:pPr>
            <w:r w:rsidRPr="00EC122C">
              <w:rPr>
                <w:rFonts w:cs="Arial"/>
                <w:color w:val="000000"/>
                <w:sz w:val="16"/>
                <w:szCs w:val="16"/>
              </w:rPr>
              <w:t>podle pohlaví</w:t>
            </w:r>
          </w:p>
        </w:tc>
        <w:tc>
          <w:tcPr>
            <w:tcW w:w="710" w:type="dxa"/>
            <w:vMerge w:val="restart"/>
            <w:tcBorders>
              <w:top w:val="single" w:sz="4" w:space="0" w:color="auto"/>
              <w:left w:val="single" w:sz="4" w:space="0" w:color="auto"/>
              <w:right w:val="single" w:sz="4" w:space="0" w:color="auto"/>
            </w:tcBorders>
            <w:shd w:val="clear" w:color="auto" w:fill="E6C483"/>
            <w:vAlign w:val="center"/>
          </w:tcPr>
          <w:p w:rsidR="00EC122C" w:rsidRPr="00EC122C" w:rsidRDefault="00EC122C" w:rsidP="00EC122C">
            <w:pPr>
              <w:spacing w:after="0" w:line="240" w:lineRule="auto"/>
              <w:jc w:val="center"/>
              <w:rPr>
                <w:rFonts w:cs="Arial"/>
                <w:b/>
                <w:color w:val="000000"/>
                <w:sz w:val="16"/>
                <w:szCs w:val="16"/>
              </w:rPr>
            </w:pPr>
            <w:r w:rsidRPr="00EC122C">
              <w:rPr>
                <w:rFonts w:cs="Arial"/>
                <w:b/>
                <w:color w:val="000000"/>
                <w:sz w:val="16"/>
                <w:szCs w:val="16"/>
              </w:rPr>
              <w:t>Celkem</w:t>
            </w:r>
          </w:p>
        </w:tc>
        <w:tc>
          <w:tcPr>
            <w:tcW w:w="1418" w:type="dxa"/>
            <w:gridSpan w:val="2"/>
            <w:tcBorders>
              <w:top w:val="single" w:sz="4" w:space="0" w:color="auto"/>
              <w:left w:val="single" w:sz="4" w:space="0" w:color="auto"/>
              <w:bottom w:val="single" w:sz="4" w:space="0" w:color="auto"/>
            </w:tcBorders>
            <w:shd w:val="clear" w:color="auto" w:fill="E6C483"/>
            <w:vAlign w:val="center"/>
          </w:tcPr>
          <w:p w:rsidR="00EC122C" w:rsidRPr="00EC122C" w:rsidRDefault="00EC122C" w:rsidP="00EC122C">
            <w:pPr>
              <w:spacing w:after="0" w:line="240" w:lineRule="auto"/>
              <w:jc w:val="center"/>
              <w:rPr>
                <w:rFonts w:cs="Arial"/>
                <w:color w:val="000000"/>
                <w:sz w:val="16"/>
                <w:szCs w:val="16"/>
              </w:rPr>
            </w:pPr>
            <w:r w:rsidRPr="00EC122C">
              <w:rPr>
                <w:rFonts w:cs="Arial"/>
                <w:color w:val="000000"/>
                <w:sz w:val="16"/>
                <w:szCs w:val="16"/>
              </w:rPr>
              <w:t>podle pohlaví</w:t>
            </w:r>
          </w:p>
        </w:tc>
      </w:tr>
      <w:tr w:rsidR="00E4324B" w:rsidRPr="00EC122C" w:rsidTr="00E4324B">
        <w:trPr>
          <w:trHeight w:val="300"/>
        </w:trPr>
        <w:tc>
          <w:tcPr>
            <w:tcW w:w="1077" w:type="dxa"/>
            <w:vMerge/>
            <w:tcBorders>
              <w:top w:val="single" w:sz="4" w:space="0" w:color="auto"/>
              <w:left w:val="nil"/>
              <w:bottom w:val="single" w:sz="4" w:space="0" w:color="auto"/>
              <w:right w:val="single" w:sz="4" w:space="0" w:color="auto"/>
            </w:tcBorders>
            <w:shd w:val="clear" w:color="auto" w:fill="E6C483"/>
            <w:vAlign w:val="center"/>
            <w:hideMark/>
          </w:tcPr>
          <w:p w:rsidR="00EC122C" w:rsidRPr="00EC122C" w:rsidRDefault="00EC122C" w:rsidP="00EC122C">
            <w:pPr>
              <w:spacing w:after="0" w:line="240" w:lineRule="auto"/>
              <w:jc w:val="left"/>
              <w:rPr>
                <w:rFonts w:cs="Arial"/>
                <w:color w:val="000000"/>
                <w:sz w:val="16"/>
                <w:szCs w:val="16"/>
              </w:rPr>
            </w:pPr>
          </w:p>
        </w:tc>
        <w:tc>
          <w:tcPr>
            <w:tcW w:w="710" w:type="dxa"/>
            <w:vMerge/>
            <w:tcBorders>
              <w:top w:val="single" w:sz="4" w:space="0" w:color="auto"/>
              <w:left w:val="single" w:sz="4" w:space="0" w:color="auto"/>
              <w:bottom w:val="single" w:sz="4" w:space="0" w:color="auto"/>
              <w:right w:val="single" w:sz="4" w:space="0" w:color="auto"/>
            </w:tcBorders>
            <w:shd w:val="clear" w:color="auto" w:fill="E6C483"/>
            <w:vAlign w:val="center"/>
            <w:hideMark/>
          </w:tcPr>
          <w:p w:rsidR="00EC122C" w:rsidRPr="00EC122C" w:rsidRDefault="00EC122C" w:rsidP="00EC122C">
            <w:pPr>
              <w:spacing w:after="0" w:line="240" w:lineRule="auto"/>
              <w:jc w:val="left"/>
              <w:rPr>
                <w:rFonts w:cs="Arial"/>
                <w:color w:val="000000"/>
                <w:sz w:val="16"/>
                <w:szCs w:val="16"/>
              </w:rPr>
            </w:pPr>
          </w:p>
        </w:tc>
        <w:tc>
          <w:tcPr>
            <w:tcW w:w="709" w:type="dxa"/>
            <w:tcBorders>
              <w:top w:val="nil"/>
              <w:left w:val="nil"/>
              <w:bottom w:val="single" w:sz="4" w:space="0" w:color="auto"/>
              <w:right w:val="single" w:sz="4" w:space="0" w:color="auto"/>
            </w:tcBorders>
            <w:shd w:val="clear" w:color="auto" w:fill="E6C483"/>
            <w:vAlign w:val="center"/>
            <w:hideMark/>
          </w:tcPr>
          <w:p w:rsidR="00EC122C" w:rsidRPr="00EC122C" w:rsidRDefault="00EC122C" w:rsidP="00EC122C">
            <w:pPr>
              <w:spacing w:after="0" w:line="240" w:lineRule="auto"/>
              <w:jc w:val="center"/>
              <w:rPr>
                <w:rFonts w:cs="Arial"/>
                <w:color w:val="000000"/>
                <w:sz w:val="16"/>
                <w:szCs w:val="16"/>
              </w:rPr>
            </w:pPr>
            <w:r w:rsidRPr="00EC122C">
              <w:rPr>
                <w:rFonts w:cs="Arial"/>
                <w:color w:val="000000"/>
                <w:sz w:val="16"/>
                <w:szCs w:val="16"/>
              </w:rPr>
              <w:t>muži</w:t>
            </w:r>
          </w:p>
        </w:tc>
        <w:tc>
          <w:tcPr>
            <w:tcW w:w="709" w:type="dxa"/>
            <w:tcBorders>
              <w:top w:val="nil"/>
              <w:left w:val="nil"/>
              <w:bottom w:val="single" w:sz="4" w:space="0" w:color="auto"/>
              <w:right w:val="single" w:sz="4" w:space="0" w:color="auto"/>
            </w:tcBorders>
            <w:shd w:val="clear" w:color="auto" w:fill="E6C483"/>
            <w:vAlign w:val="center"/>
            <w:hideMark/>
          </w:tcPr>
          <w:p w:rsidR="00EC122C" w:rsidRPr="00EC122C" w:rsidRDefault="00EC122C" w:rsidP="00EC122C">
            <w:pPr>
              <w:spacing w:after="0" w:line="240" w:lineRule="auto"/>
              <w:jc w:val="center"/>
              <w:rPr>
                <w:rFonts w:cs="Arial"/>
                <w:color w:val="000000"/>
                <w:sz w:val="16"/>
                <w:szCs w:val="16"/>
              </w:rPr>
            </w:pPr>
            <w:r w:rsidRPr="00EC122C">
              <w:rPr>
                <w:rFonts w:cs="Arial"/>
                <w:color w:val="000000"/>
                <w:sz w:val="16"/>
                <w:szCs w:val="16"/>
              </w:rPr>
              <w:t>ženy</w:t>
            </w:r>
          </w:p>
        </w:tc>
        <w:tc>
          <w:tcPr>
            <w:tcW w:w="710" w:type="dxa"/>
            <w:vMerge/>
            <w:tcBorders>
              <w:left w:val="single" w:sz="4" w:space="0" w:color="auto"/>
              <w:bottom w:val="single" w:sz="4" w:space="0" w:color="auto"/>
              <w:right w:val="single" w:sz="4" w:space="0" w:color="auto"/>
            </w:tcBorders>
            <w:shd w:val="clear" w:color="auto" w:fill="E6C483"/>
            <w:vAlign w:val="center"/>
            <w:hideMark/>
          </w:tcPr>
          <w:p w:rsidR="00EC122C" w:rsidRPr="00EC122C" w:rsidRDefault="00EC122C" w:rsidP="00EC122C">
            <w:pPr>
              <w:spacing w:after="0" w:line="240" w:lineRule="auto"/>
              <w:jc w:val="left"/>
              <w:rPr>
                <w:rFonts w:cs="Arial"/>
                <w:color w:val="000000"/>
                <w:sz w:val="16"/>
                <w:szCs w:val="16"/>
              </w:rPr>
            </w:pPr>
          </w:p>
        </w:tc>
        <w:tc>
          <w:tcPr>
            <w:tcW w:w="709" w:type="dxa"/>
            <w:tcBorders>
              <w:top w:val="nil"/>
              <w:left w:val="nil"/>
              <w:bottom w:val="single" w:sz="4" w:space="0" w:color="auto"/>
              <w:right w:val="single" w:sz="4" w:space="0" w:color="auto"/>
            </w:tcBorders>
            <w:shd w:val="clear" w:color="auto" w:fill="E6C483"/>
            <w:vAlign w:val="center"/>
            <w:hideMark/>
          </w:tcPr>
          <w:p w:rsidR="00EC122C" w:rsidRPr="00EC122C" w:rsidRDefault="00EC122C" w:rsidP="00EC122C">
            <w:pPr>
              <w:spacing w:after="0" w:line="240" w:lineRule="auto"/>
              <w:jc w:val="center"/>
              <w:rPr>
                <w:rFonts w:cs="Arial"/>
                <w:color w:val="000000"/>
                <w:sz w:val="16"/>
                <w:szCs w:val="16"/>
              </w:rPr>
            </w:pPr>
            <w:r w:rsidRPr="00EC122C">
              <w:rPr>
                <w:rFonts w:cs="Arial"/>
                <w:color w:val="000000"/>
                <w:sz w:val="16"/>
                <w:szCs w:val="16"/>
              </w:rPr>
              <w:t>muži</w:t>
            </w:r>
          </w:p>
        </w:tc>
        <w:tc>
          <w:tcPr>
            <w:tcW w:w="709" w:type="dxa"/>
            <w:tcBorders>
              <w:top w:val="nil"/>
              <w:left w:val="nil"/>
              <w:bottom w:val="single" w:sz="4" w:space="0" w:color="auto"/>
              <w:right w:val="single" w:sz="4" w:space="0" w:color="auto"/>
            </w:tcBorders>
            <w:shd w:val="clear" w:color="auto" w:fill="E6C483"/>
            <w:vAlign w:val="center"/>
            <w:hideMark/>
          </w:tcPr>
          <w:p w:rsidR="00EC122C" w:rsidRPr="00EC122C" w:rsidRDefault="00EC122C" w:rsidP="00EC122C">
            <w:pPr>
              <w:spacing w:after="0" w:line="240" w:lineRule="auto"/>
              <w:jc w:val="center"/>
              <w:rPr>
                <w:rFonts w:cs="Arial"/>
                <w:color w:val="000000"/>
                <w:sz w:val="16"/>
                <w:szCs w:val="16"/>
              </w:rPr>
            </w:pPr>
            <w:r w:rsidRPr="00EC122C">
              <w:rPr>
                <w:rFonts w:cs="Arial"/>
                <w:color w:val="000000"/>
                <w:sz w:val="16"/>
                <w:szCs w:val="16"/>
              </w:rPr>
              <w:t>ženy</w:t>
            </w:r>
          </w:p>
        </w:tc>
        <w:tc>
          <w:tcPr>
            <w:tcW w:w="710" w:type="dxa"/>
            <w:vMerge/>
            <w:tcBorders>
              <w:left w:val="single" w:sz="4" w:space="0" w:color="auto"/>
              <w:bottom w:val="single" w:sz="4" w:space="0" w:color="auto"/>
              <w:right w:val="single" w:sz="4" w:space="0" w:color="auto"/>
            </w:tcBorders>
            <w:shd w:val="clear" w:color="auto" w:fill="E6C483"/>
            <w:vAlign w:val="center"/>
            <w:hideMark/>
          </w:tcPr>
          <w:p w:rsidR="00EC122C" w:rsidRPr="00EC122C" w:rsidRDefault="00EC122C" w:rsidP="00EC122C">
            <w:pPr>
              <w:spacing w:after="0" w:line="240" w:lineRule="auto"/>
              <w:jc w:val="left"/>
              <w:rPr>
                <w:rFonts w:cs="Arial"/>
                <w:color w:val="000000"/>
                <w:sz w:val="16"/>
                <w:szCs w:val="16"/>
              </w:rPr>
            </w:pPr>
          </w:p>
        </w:tc>
        <w:tc>
          <w:tcPr>
            <w:tcW w:w="709" w:type="dxa"/>
            <w:tcBorders>
              <w:top w:val="nil"/>
              <w:left w:val="nil"/>
              <w:bottom w:val="single" w:sz="4" w:space="0" w:color="auto"/>
              <w:right w:val="single" w:sz="4" w:space="0" w:color="auto"/>
            </w:tcBorders>
            <w:shd w:val="clear" w:color="auto" w:fill="E6C483"/>
            <w:vAlign w:val="center"/>
            <w:hideMark/>
          </w:tcPr>
          <w:p w:rsidR="00EC122C" w:rsidRPr="00EC122C" w:rsidRDefault="00EC122C" w:rsidP="00EC122C">
            <w:pPr>
              <w:spacing w:after="0" w:line="240" w:lineRule="auto"/>
              <w:jc w:val="center"/>
              <w:rPr>
                <w:rFonts w:cs="Arial"/>
                <w:color w:val="000000"/>
                <w:sz w:val="16"/>
                <w:szCs w:val="16"/>
              </w:rPr>
            </w:pPr>
            <w:r w:rsidRPr="00EC122C">
              <w:rPr>
                <w:rFonts w:cs="Arial"/>
                <w:color w:val="000000"/>
                <w:sz w:val="16"/>
                <w:szCs w:val="16"/>
              </w:rPr>
              <w:t>muži</w:t>
            </w:r>
          </w:p>
        </w:tc>
        <w:tc>
          <w:tcPr>
            <w:tcW w:w="709" w:type="dxa"/>
            <w:tcBorders>
              <w:top w:val="nil"/>
              <w:left w:val="nil"/>
              <w:bottom w:val="single" w:sz="4" w:space="0" w:color="auto"/>
              <w:right w:val="single" w:sz="4" w:space="0" w:color="auto"/>
            </w:tcBorders>
            <w:shd w:val="clear" w:color="auto" w:fill="E6C483"/>
            <w:vAlign w:val="center"/>
            <w:hideMark/>
          </w:tcPr>
          <w:p w:rsidR="00EC122C" w:rsidRPr="00EC122C" w:rsidRDefault="00EC122C" w:rsidP="00EC122C">
            <w:pPr>
              <w:spacing w:after="0" w:line="240" w:lineRule="auto"/>
              <w:jc w:val="center"/>
              <w:rPr>
                <w:rFonts w:cs="Arial"/>
                <w:color w:val="000000"/>
                <w:sz w:val="16"/>
                <w:szCs w:val="16"/>
              </w:rPr>
            </w:pPr>
            <w:r w:rsidRPr="00EC122C">
              <w:rPr>
                <w:rFonts w:cs="Arial"/>
                <w:color w:val="000000"/>
                <w:sz w:val="16"/>
                <w:szCs w:val="16"/>
              </w:rPr>
              <w:t>ženy</w:t>
            </w:r>
          </w:p>
        </w:tc>
        <w:tc>
          <w:tcPr>
            <w:tcW w:w="710" w:type="dxa"/>
            <w:vMerge/>
            <w:tcBorders>
              <w:left w:val="single" w:sz="4" w:space="0" w:color="auto"/>
              <w:bottom w:val="single" w:sz="4" w:space="0" w:color="auto"/>
              <w:right w:val="single" w:sz="4" w:space="0" w:color="auto"/>
            </w:tcBorders>
            <w:shd w:val="clear" w:color="auto" w:fill="E6C483"/>
          </w:tcPr>
          <w:p w:rsidR="00EC122C" w:rsidRPr="00EC122C" w:rsidRDefault="00EC122C" w:rsidP="00EC122C">
            <w:pPr>
              <w:spacing w:after="0" w:line="240" w:lineRule="auto"/>
              <w:jc w:val="center"/>
              <w:rPr>
                <w:rFonts w:cs="Arial"/>
                <w:color w:val="000000"/>
                <w:sz w:val="16"/>
                <w:szCs w:val="16"/>
              </w:rPr>
            </w:pPr>
          </w:p>
        </w:tc>
        <w:tc>
          <w:tcPr>
            <w:tcW w:w="709" w:type="dxa"/>
            <w:tcBorders>
              <w:top w:val="nil"/>
              <w:left w:val="single" w:sz="4" w:space="0" w:color="auto"/>
              <w:bottom w:val="single" w:sz="4" w:space="0" w:color="auto"/>
              <w:right w:val="single" w:sz="4" w:space="0" w:color="auto"/>
            </w:tcBorders>
            <w:shd w:val="clear" w:color="auto" w:fill="E6C483"/>
            <w:vAlign w:val="center"/>
          </w:tcPr>
          <w:p w:rsidR="00EC122C" w:rsidRPr="00EC122C" w:rsidRDefault="00EC122C" w:rsidP="00EC122C">
            <w:pPr>
              <w:spacing w:after="0" w:line="240" w:lineRule="auto"/>
              <w:jc w:val="center"/>
              <w:rPr>
                <w:rFonts w:cs="Arial"/>
                <w:color w:val="000000"/>
                <w:sz w:val="16"/>
                <w:szCs w:val="16"/>
              </w:rPr>
            </w:pPr>
            <w:r w:rsidRPr="00EC122C">
              <w:rPr>
                <w:rFonts w:cs="Arial"/>
                <w:color w:val="000000"/>
                <w:sz w:val="16"/>
                <w:szCs w:val="16"/>
              </w:rPr>
              <w:t>muži</w:t>
            </w:r>
          </w:p>
        </w:tc>
        <w:tc>
          <w:tcPr>
            <w:tcW w:w="709" w:type="dxa"/>
            <w:tcBorders>
              <w:top w:val="nil"/>
              <w:left w:val="single" w:sz="4" w:space="0" w:color="auto"/>
              <w:bottom w:val="single" w:sz="4" w:space="0" w:color="auto"/>
              <w:right w:val="nil"/>
            </w:tcBorders>
            <w:shd w:val="clear" w:color="auto" w:fill="E6C483"/>
            <w:vAlign w:val="center"/>
          </w:tcPr>
          <w:p w:rsidR="00EC122C" w:rsidRPr="00EC122C" w:rsidRDefault="00EC122C" w:rsidP="00EC122C">
            <w:pPr>
              <w:spacing w:after="0" w:line="240" w:lineRule="auto"/>
              <w:jc w:val="center"/>
              <w:rPr>
                <w:rFonts w:cs="Arial"/>
                <w:color w:val="000000"/>
                <w:sz w:val="16"/>
                <w:szCs w:val="16"/>
              </w:rPr>
            </w:pPr>
            <w:r w:rsidRPr="00EC122C">
              <w:rPr>
                <w:rFonts w:cs="Arial"/>
                <w:color w:val="000000"/>
                <w:sz w:val="16"/>
                <w:szCs w:val="16"/>
              </w:rPr>
              <w:t>ženy</w:t>
            </w:r>
          </w:p>
        </w:tc>
      </w:tr>
      <w:tr w:rsidR="00EC122C" w:rsidRPr="00EC122C" w:rsidTr="00687F03">
        <w:trPr>
          <w:trHeight w:val="300"/>
        </w:trPr>
        <w:tc>
          <w:tcPr>
            <w:tcW w:w="1077" w:type="dxa"/>
            <w:tcBorders>
              <w:top w:val="nil"/>
              <w:left w:val="nil"/>
              <w:bottom w:val="nil"/>
              <w:right w:val="single" w:sz="4" w:space="0" w:color="auto"/>
            </w:tcBorders>
            <w:shd w:val="clear" w:color="auto" w:fill="auto"/>
            <w:vAlign w:val="center"/>
            <w:hideMark/>
          </w:tcPr>
          <w:p w:rsidR="00EC122C" w:rsidRPr="00EC122C" w:rsidRDefault="00EC122C" w:rsidP="00EC122C">
            <w:pPr>
              <w:spacing w:after="0" w:line="240" w:lineRule="auto"/>
              <w:jc w:val="center"/>
              <w:rPr>
                <w:rFonts w:cs="Arial"/>
                <w:color w:val="000000"/>
                <w:sz w:val="16"/>
                <w:szCs w:val="16"/>
              </w:rPr>
            </w:pPr>
            <w:r w:rsidRPr="00EC122C">
              <w:rPr>
                <w:rFonts w:cs="Arial"/>
                <w:color w:val="000000"/>
                <w:sz w:val="16"/>
                <w:szCs w:val="16"/>
              </w:rPr>
              <w:t>2014</w:t>
            </w:r>
          </w:p>
        </w:tc>
        <w:tc>
          <w:tcPr>
            <w:tcW w:w="710" w:type="dxa"/>
            <w:tcBorders>
              <w:top w:val="nil"/>
              <w:left w:val="nil"/>
              <w:bottom w:val="nil"/>
              <w:right w:val="nil"/>
            </w:tcBorders>
            <w:shd w:val="clear" w:color="auto" w:fill="auto"/>
            <w:noWrap/>
            <w:vAlign w:val="center"/>
            <w:hideMark/>
          </w:tcPr>
          <w:p w:rsidR="00EC122C" w:rsidRPr="00EC122C" w:rsidRDefault="00EC122C" w:rsidP="00EC122C">
            <w:pPr>
              <w:spacing w:after="0" w:line="240" w:lineRule="auto"/>
              <w:jc w:val="right"/>
              <w:rPr>
                <w:rFonts w:cs="Arial"/>
                <w:color w:val="000000"/>
                <w:sz w:val="16"/>
                <w:szCs w:val="16"/>
              </w:rPr>
            </w:pPr>
            <w:r w:rsidRPr="00EC122C">
              <w:rPr>
                <w:rFonts w:cs="Arial"/>
                <w:color w:val="000000"/>
                <w:sz w:val="16"/>
                <w:szCs w:val="16"/>
              </w:rPr>
              <w:t>45 058</w:t>
            </w:r>
          </w:p>
        </w:tc>
        <w:tc>
          <w:tcPr>
            <w:tcW w:w="709" w:type="dxa"/>
            <w:tcBorders>
              <w:top w:val="nil"/>
              <w:left w:val="nil"/>
              <w:bottom w:val="nil"/>
              <w:right w:val="nil"/>
            </w:tcBorders>
            <w:shd w:val="clear" w:color="auto" w:fill="auto"/>
            <w:noWrap/>
            <w:vAlign w:val="center"/>
            <w:hideMark/>
          </w:tcPr>
          <w:p w:rsidR="00EC122C" w:rsidRPr="00EC122C" w:rsidRDefault="00EC122C" w:rsidP="00EC122C">
            <w:pPr>
              <w:spacing w:after="0" w:line="240" w:lineRule="auto"/>
              <w:jc w:val="right"/>
              <w:rPr>
                <w:rFonts w:cs="Arial"/>
                <w:color w:val="000000"/>
                <w:sz w:val="16"/>
                <w:szCs w:val="16"/>
              </w:rPr>
            </w:pPr>
            <w:r w:rsidRPr="00EC122C">
              <w:rPr>
                <w:rFonts w:cs="Arial"/>
                <w:color w:val="000000"/>
                <w:sz w:val="16"/>
                <w:szCs w:val="16"/>
              </w:rPr>
              <w:t>31 737</w:t>
            </w:r>
          </w:p>
        </w:tc>
        <w:tc>
          <w:tcPr>
            <w:tcW w:w="709" w:type="dxa"/>
            <w:tcBorders>
              <w:top w:val="nil"/>
              <w:left w:val="nil"/>
              <w:bottom w:val="nil"/>
              <w:right w:val="single" w:sz="4" w:space="0" w:color="auto"/>
            </w:tcBorders>
            <w:shd w:val="clear" w:color="auto" w:fill="auto"/>
            <w:noWrap/>
            <w:vAlign w:val="center"/>
            <w:hideMark/>
          </w:tcPr>
          <w:p w:rsidR="00EC122C" w:rsidRPr="00EC122C" w:rsidRDefault="00EC122C" w:rsidP="00EC122C">
            <w:pPr>
              <w:spacing w:after="0" w:line="240" w:lineRule="auto"/>
              <w:jc w:val="right"/>
              <w:rPr>
                <w:rFonts w:cs="Arial"/>
                <w:color w:val="000000"/>
                <w:sz w:val="16"/>
                <w:szCs w:val="16"/>
              </w:rPr>
            </w:pPr>
            <w:r w:rsidRPr="00EC122C">
              <w:rPr>
                <w:rFonts w:cs="Arial"/>
                <w:color w:val="000000"/>
                <w:sz w:val="16"/>
                <w:szCs w:val="16"/>
              </w:rPr>
              <w:t>13 321</w:t>
            </w:r>
          </w:p>
        </w:tc>
        <w:tc>
          <w:tcPr>
            <w:tcW w:w="710" w:type="dxa"/>
            <w:tcBorders>
              <w:top w:val="nil"/>
              <w:left w:val="nil"/>
              <w:bottom w:val="nil"/>
              <w:right w:val="nil"/>
            </w:tcBorders>
            <w:shd w:val="clear" w:color="auto" w:fill="auto"/>
            <w:noWrap/>
            <w:vAlign w:val="center"/>
            <w:hideMark/>
          </w:tcPr>
          <w:p w:rsidR="00EC122C" w:rsidRPr="00EC122C" w:rsidRDefault="00EC122C" w:rsidP="00EC122C">
            <w:pPr>
              <w:spacing w:after="0" w:line="240" w:lineRule="auto"/>
              <w:jc w:val="right"/>
              <w:rPr>
                <w:rFonts w:cs="Arial"/>
                <w:color w:val="000000"/>
                <w:sz w:val="16"/>
                <w:szCs w:val="16"/>
              </w:rPr>
            </w:pPr>
            <w:r w:rsidRPr="00EC122C">
              <w:rPr>
                <w:rFonts w:cs="Arial"/>
                <w:color w:val="000000"/>
                <w:sz w:val="16"/>
                <w:szCs w:val="16"/>
              </w:rPr>
              <w:t>44 301</w:t>
            </w:r>
          </w:p>
        </w:tc>
        <w:tc>
          <w:tcPr>
            <w:tcW w:w="709" w:type="dxa"/>
            <w:tcBorders>
              <w:top w:val="nil"/>
              <w:left w:val="nil"/>
              <w:bottom w:val="nil"/>
              <w:right w:val="nil"/>
            </w:tcBorders>
            <w:shd w:val="clear" w:color="auto" w:fill="auto"/>
            <w:vAlign w:val="center"/>
            <w:hideMark/>
          </w:tcPr>
          <w:p w:rsidR="00EC122C" w:rsidRPr="00EC122C" w:rsidRDefault="00EC122C" w:rsidP="00EC122C">
            <w:pPr>
              <w:spacing w:after="0" w:line="240" w:lineRule="auto"/>
              <w:jc w:val="right"/>
              <w:rPr>
                <w:rFonts w:cs="Arial"/>
                <w:color w:val="000000"/>
                <w:sz w:val="16"/>
                <w:szCs w:val="16"/>
              </w:rPr>
            </w:pPr>
            <w:r w:rsidRPr="00EC122C">
              <w:rPr>
                <w:rFonts w:cs="Arial"/>
                <w:color w:val="000000"/>
                <w:sz w:val="16"/>
                <w:szCs w:val="16"/>
              </w:rPr>
              <w:t>31 188</w:t>
            </w:r>
          </w:p>
        </w:tc>
        <w:tc>
          <w:tcPr>
            <w:tcW w:w="709" w:type="dxa"/>
            <w:tcBorders>
              <w:top w:val="nil"/>
              <w:left w:val="nil"/>
              <w:bottom w:val="nil"/>
              <w:right w:val="single" w:sz="4" w:space="0" w:color="auto"/>
            </w:tcBorders>
            <w:shd w:val="clear" w:color="auto" w:fill="auto"/>
            <w:vAlign w:val="center"/>
            <w:hideMark/>
          </w:tcPr>
          <w:p w:rsidR="00EC122C" w:rsidRPr="00EC122C" w:rsidRDefault="00EC122C" w:rsidP="00EC122C">
            <w:pPr>
              <w:spacing w:after="0" w:line="240" w:lineRule="auto"/>
              <w:jc w:val="right"/>
              <w:rPr>
                <w:rFonts w:cs="Arial"/>
                <w:color w:val="000000"/>
                <w:sz w:val="16"/>
                <w:szCs w:val="16"/>
              </w:rPr>
            </w:pPr>
            <w:r w:rsidRPr="00EC122C">
              <w:rPr>
                <w:rFonts w:cs="Arial"/>
                <w:color w:val="000000"/>
                <w:sz w:val="16"/>
                <w:szCs w:val="16"/>
              </w:rPr>
              <w:t>13 113</w:t>
            </w:r>
          </w:p>
        </w:tc>
        <w:tc>
          <w:tcPr>
            <w:tcW w:w="710" w:type="dxa"/>
            <w:tcBorders>
              <w:top w:val="nil"/>
              <w:left w:val="nil"/>
              <w:bottom w:val="nil"/>
              <w:right w:val="nil"/>
            </w:tcBorders>
            <w:shd w:val="clear" w:color="auto" w:fill="auto"/>
            <w:vAlign w:val="center"/>
            <w:hideMark/>
          </w:tcPr>
          <w:p w:rsidR="00EC122C" w:rsidRPr="00EC122C" w:rsidRDefault="00EC122C" w:rsidP="00EC122C">
            <w:pPr>
              <w:spacing w:after="0" w:line="240" w:lineRule="auto"/>
              <w:jc w:val="right"/>
              <w:rPr>
                <w:rFonts w:cs="Arial"/>
                <w:color w:val="000000"/>
                <w:sz w:val="16"/>
                <w:szCs w:val="16"/>
              </w:rPr>
            </w:pPr>
            <w:r w:rsidRPr="00EC122C">
              <w:rPr>
                <w:rFonts w:cs="Arial"/>
                <w:color w:val="000000"/>
                <w:sz w:val="16"/>
                <w:szCs w:val="16"/>
              </w:rPr>
              <w:t>1 394</w:t>
            </w:r>
          </w:p>
        </w:tc>
        <w:tc>
          <w:tcPr>
            <w:tcW w:w="709" w:type="dxa"/>
            <w:tcBorders>
              <w:top w:val="nil"/>
              <w:left w:val="nil"/>
              <w:bottom w:val="nil"/>
              <w:right w:val="nil"/>
            </w:tcBorders>
            <w:shd w:val="clear" w:color="auto" w:fill="auto"/>
            <w:vAlign w:val="center"/>
            <w:hideMark/>
          </w:tcPr>
          <w:p w:rsidR="00EC122C" w:rsidRPr="00EC122C" w:rsidRDefault="00EC122C" w:rsidP="00EC122C">
            <w:pPr>
              <w:spacing w:after="0" w:line="240" w:lineRule="auto"/>
              <w:jc w:val="right"/>
              <w:rPr>
                <w:rFonts w:cs="Arial"/>
                <w:color w:val="000000"/>
                <w:sz w:val="16"/>
                <w:szCs w:val="16"/>
              </w:rPr>
            </w:pPr>
            <w:r w:rsidRPr="00EC122C">
              <w:rPr>
                <w:rFonts w:cs="Arial"/>
                <w:color w:val="000000"/>
                <w:sz w:val="16"/>
                <w:szCs w:val="16"/>
              </w:rPr>
              <w:t>1 130</w:t>
            </w:r>
          </w:p>
        </w:tc>
        <w:tc>
          <w:tcPr>
            <w:tcW w:w="709" w:type="dxa"/>
            <w:tcBorders>
              <w:top w:val="nil"/>
              <w:left w:val="nil"/>
              <w:bottom w:val="nil"/>
              <w:right w:val="single" w:sz="4" w:space="0" w:color="auto"/>
            </w:tcBorders>
            <w:shd w:val="clear" w:color="auto" w:fill="auto"/>
            <w:vAlign w:val="center"/>
            <w:hideMark/>
          </w:tcPr>
          <w:p w:rsidR="00EC122C" w:rsidRPr="00EC122C" w:rsidRDefault="00EC122C" w:rsidP="00EC122C">
            <w:pPr>
              <w:spacing w:after="0" w:line="240" w:lineRule="auto"/>
              <w:jc w:val="right"/>
              <w:rPr>
                <w:rFonts w:cs="Arial"/>
                <w:color w:val="000000"/>
                <w:sz w:val="16"/>
                <w:szCs w:val="16"/>
              </w:rPr>
            </w:pPr>
            <w:r w:rsidRPr="00EC122C">
              <w:rPr>
                <w:rFonts w:cs="Arial"/>
                <w:color w:val="000000"/>
                <w:sz w:val="16"/>
                <w:szCs w:val="16"/>
              </w:rPr>
              <w:t>264</w:t>
            </w:r>
          </w:p>
        </w:tc>
        <w:tc>
          <w:tcPr>
            <w:tcW w:w="710" w:type="dxa"/>
            <w:tcBorders>
              <w:top w:val="nil"/>
              <w:left w:val="single" w:sz="4" w:space="0" w:color="auto"/>
              <w:bottom w:val="nil"/>
              <w:right w:val="nil"/>
            </w:tcBorders>
            <w:vAlign w:val="center"/>
          </w:tcPr>
          <w:p w:rsidR="00EC122C" w:rsidRPr="00EC122C" w:rsidRDefault="00EC122C" w:rsidP="00EC122C">
            <w:pPr>
              <w:spacing w:after="0" w:line="240" w:lineRule="auto"/>
              <w:jc w:val="right"/>
              <w:rPr>
                <w:rFonts w:cs="Arial"/>
                <w:sz w:val="16"/>
                <w:szCs w:val="16"/>
              </w:rPr>
            </w:pPr>
            <w:r w:rsidRPr="00EC122C">
              <w:rPr>
                <w:rFonts w:cs="Arial"/>
                <w:color w:val="000000"/>
                <w:sz w:val="16"/>
                <w:szCs w:val="16"/>
              </w:rPr>
              <w:t>117</w:t>
            </w:r>
          </w:p>
        </w:tc>
        <w:tc>
          <w:tcPr>
            <w:tcW w:w="709" w:type="dxa"/>
            <w:tcBorders>
              <w:top w:val="nil"/>
              <w:left w:val="nil"/>
              <w:bottom w:val="nil"/>
              <w:right w:val="nil"/>
            </w:tcBorders>
            <w:vAlign w:val="center"/>
          </w:tcPr>
          <w:p w:rsidR="00EC122C" w:rsidRPr="00EC122C" w:rsidRDefault="00EC122C" w:rsidP="00EC122C">
            <w:pPr>
              <w:spacing w:after="0" w:line="240" w:lineRule="auto"/>
              <w:jc w:val="right"/>
              <w:rPr>
                <w:rFonts w:cs="Arial"/>
                <w:sz w:val="16"/>
                <w:szCs w:val="16"/>
              </w:rPr>
            </w:pPr>
            <w:r w:rsidRPr="00EC122C">
              <w:rPr>
                <w:rFonts w:cs="Arial"/>
                <w:color w:val="000000"/>
                <w:sz w:val="16"/>
                <w:szCs w:val="16"/>
              </w:rPr>
              <w:t>115</w:t>
            </w:r>
          </w:p>
        </w:tc>
        <w:tc>
          <w:tcPr>
            <w:tcW w:w="709" w:type="dxa"/>
            <w:tcBorders>
              <w:top w:val="nil"/>
              <w:left w:val="nil"/>
              <w:bottom w:val="nil"/>
              <w:right w:val="nil"/>
            </w:tcBorders>
            <w:vAlign w:val="center"/>
          </w:tcPr>
          <w:p w:rsidR="00EC122C" w:rsidRPr="00EC122C" w:rsidRDefault="00EC122C" w:rsidP="00EC122C">
            <w:pPr>
              <w:spacing w:after="0" w:line="240" w:lineRule="auto"/>
              <w:jc w:val="right"/>
              <w:rPr>
                <w:rFonts w:cs="Arial"/>
                <w:sz w:val="16"/>
                <w:szCs w:val="16"/>
              </w:rPr>
            </w:pPr>
            <w:r w:rsidRPr="00EC122C">
              <w:rPr>
                <w:rFonts w:cs="Arial"/>
                <w:color w:val="000000"/>
                <w:sz w:val="16"/>
                <w:szCs w:val="16"/>
              </w:rPr>
              <w:t>2</w:t>
            </w:r>
          </w:p>
        </w:tc>
      </w:tr>
      <w:tr w:rsidR="00EC122C" w:rsidRPr="00EC122C" w:rsidTr="00EC122C">
        <w:trPr>
          <w:trHeight w:val="300"/>
        </w:trPr>
        <w:tc>
          <w:tcPr>
            <w:tcW w:w="1077" w:type="dxa"/>
            <w:tcBorders>
              <w:top w:val="nil"/>
              <w:left w:val="nil"/>
              <w:bottom w:val="nil"/>
              <w:right w:val="single" w:sz="4" w:space="0" w:color="auto"/>
            </w:tcBorders>
            <w:shd w:val="clear" w:color="auto" w:fill="auto"/>
            <w:vAlign w:val="center"/>
          </w:tcPr>
          <w:p w:rsidR="00EC122C" w:rsidRPr="00EC122C" w:rsidRDefault="00EC122C" w:rsidP="00EC122C">
            <w:pPr>
              <w:spacing w:after="0" w:line="240" w:lineRule="auto"/>
              <w:jc w:val="center"/>
              <w:rPr>
                <w:rFonts w:cs="Arial"/>
                <w:color w:val="000000"/>
                <w:sz w:val="16"/>
                <w:szCs w:val="16"/>
              </w:rPr>
            </w:pPr>
            <w:r w:rsidRPr="00EC122C">
              <w:rPr>
                <w:rFonts w:cs="Arial"/>
                <w:color w:val="000000"/>
                <w:sz w:val="16"/>
                <w:szCs w:val="16"/>
              </w:rPr>
              <w:t>2015</w:t>
            </w:r>
          </w:p>
        </w:tc>
        <w:tc>
          <w:tcPr>
            <w:tcW w:w="710" w:type="dxa"/>
            <w:tcBorders>
              <w:top w:val="nil"/>
              <w:left w:val="nil"/>
              <w:bottom w:val="nil"/>
              <w:right w:val="nil"/>
            </w:tcBorders>
            <w:shd w:val="clear" w:color="auto" w:fill="auto"/>
            <w:noWrap/>
            <w:vAlign w:val="center"/>
          </w:tcPr>
          <w:p w:rsidR="00EC122C" w:rsidRPr="00EC122C" w:rsidRDefault="00EC122C" w:rsidP="00EC122C">
            <w:pPr>
              <w:spacing w:after="0" w:line="240" w:lineRule="auto"/>
              <w:jc w:val="right"/>
              <w:rPr>
                <w:rFonts w:cs="Arial"/>
                <w:color w:val="000000"/>
                <w:sz w:val="16"/>
                <w:szCs w:val="16"/>
              </w:rPr>
            </w:pPr>
            <w:r w:rsidRPr="00EC122C">
              <w:rPr>
                <w:rFonts w:cs="Arial"/>
                <w:color w:val="000000"/>
                <w:sz w:val="16"/>
                <w:szCs w:val="16"/>
              </w:rPr>
              <w:t>46 331</w:t>
            </w:r>
          </w:p>
        </w:tc>
        <w:tc>
          <w:tcPr>
            <w:tcW w:w="709" w:type="dxa"/>
            <w:tcBorders>
              <w:top w:val="nil"/>
              <w:left w:val="nil"/>
              <w:bottom w:val="nil"/>
              <w:right w:val="nil"/>
            </w:tcBorders>
            <w:shd w:val="clear" w:color="auto" w:fill="auto"/>
            <w:noWrap/>
            <w:vAlign w:val="center"/>
          </w:tcPr>
          <w:p w:rsidR="00EC122C" w:rsidRPr="00EC122C" w:rsidRDefault="00EC122C" w:rsidP="00EC122C">
            <w:pPr>
              <w:spacing w:after="0" w:line="240" w:lineRule="auto"/>
              <w:jc w:val="right"/>
              <w:rPr>
                <w:rFonts w:cs="Arial"/>
                <w:color w:val="000000"/>
                <w:sz w:val="16"/>
                <w:szCs w:val="16"/>
              </w:rPr>
            </w:pPr>
            <w:r w:rsidRPr="00EC122C">
              <w:rPr>
                <w:rFonts w:cs="Arial"/>
                <w:color w:val="000000"/>
                <w:sz w:val="16"/>
                <w:szCs w:val="16"/>
              </w:rPr>
              <w:t>32 117</w:t>
            </w:r>
          </w:p>
        </w:tc>
        <w:tc>
          <w:tcPr>
            <w:tcW w:w="709" w:type="dxa"/>
            <w:tcBorders>
              <w:top w:val="nil"/>
              <w:left w:val="nil"/>
              <w:bottom w:val="nil"/>
              <w:right w:val="single" w:sz="4" w:space="0" w:color="auto"/>
            </w:tcBorders>
            <w:shd w:val="clear" w:color="auto" w:fill="auto"/>
            <w:noWrap/>
            <w:vAlign w:val="center"/>
          </w:tcPr>
          <w:p w:rsidR="00EC122C" w:rsidRPr="00EC122C" w:rsidRDefault="00EC122C" w:rsidP="00EC122C">
            <w:pPr>
              <w:spacing w:after="0" w:line="240" w:lineRule="auto"/>
              <w:jc w:val="right"/>
              <w:rPr>
                <w:rFonts w:cs="Arial"/>
                <w:color w:val="000000"/>
                <w:sz w:val="16"/>
                <w:szCs w:val="16"/>
              </w:rPr>
            </w:pPr>
            <w:r w:rsidRPr="00EC122C">
              <w:rPr>
                <w:rFonts w:cs="Arial"/>
                <w:color w:val="000000"/>
                <w:sz w:val="16"/>
                <w:szCs w:val="16"/>
              </w:rPr>
              <w:t>14 214</w:t>
            </w:r>
          </w:p>
        </w:tc>
        <w:tc>
          <w:tcPr>
            <w:tcW w:w="710" w:type="dxa"/>
            <w:tcBorders>
              <w:top w:val="nil"/>
              <w:left w:val="nil"/>
              <w:bottom w:val="nil"/>
              <w:right w:val="nil"/>
            </w:tcBorders>
            <w:shd w:val="clear" w:color="auto" w:fill="auto"/>
            <w:noWrap/>
            <w:vAlign w:val="center"/>
          </w:tcPr>
          <w:p w:rsidR="00EC122C" w:rsidRPr="00EC122C" w:rsidRDefault="00EC122C" w:rsidP="00EC122C">
            <w:pPr>
              <w:spacing w:after="0" w:line="240" w:lineRule="auto"/>
              <w:jc w:val="right"/>
              <w:rPr>
                <w:rFonts w:cs="Arial"/>
                <w:color w:val="000000"/>
                <w:sz w:val="16"/>
                <w:szCs w:val="16"/>
              </w:rPr>
            </w:pPr>
            <w:r w:rsidRPr="00EC122C">
              <w:rPr>
                <w:rFonts w:cs="Arial"/>
                <w:color w:val="000000"/>
                <w:sz w:val="16"/>
                <w:szCs w:val="16"/>
              </w:rPr>
              <w:t>45 621</w:t>
            </w:r>
          </w:p>
        </w:tc>
        <w:tc>
          <w:tcPr>
            <w:tcW w:w="709" w:type="dxa"/>
            <w:tcBorders>
              <w:top w:val="nil"/>
              <w:left w:val="nil"/>
              <w:bottom w:val="nil"/>
              <w:right w:val="nil"/>
            </w:tcBorders>
            <w:shd w:val="clear" w:color="auto" w:fill="auto"/>
            <w:vAlign w:val="center"/>
          </w:tcPr>
          <w:p w:rsidR="00EC122C" w:rsidRPr="00EC122C" w:rsidRDefault="00EC122C" w:rsidP="00EC122C">
            <w:pPr>
              <w:spacing w:after="0" w:line="240" w:lineRule="auto"/>
              <w:jc w:val="right"/>
              <w:rPr>
                <w:rFonts w:cs="Arial"/>
                <w:color w:val="000000"/>
                <w:sz w:val="16"/>
                <w:szCs w:val="16"/>
              </w:rPr>
            </w:pPr>
            <w:r w:rsidRPr="00EC122C">
              <w:rPr>
                <w:rFonts w:cs="Arial"/>
                <w:color w:val="000000"/>
                <w:sz w:val="16"/>
                <w:szCs w:val="16"/>
              </w:rPr>
              <w:t>31 605</w:t>
            </w:r>
          </w:p>
        </w:tc>
        <w:tc>
          <w:tcPr>
            <w:tcW w:w="709" w:type="dxa"/>
            <w:tcBorders>
              <w:top w:val="nil"/>
              <w:left w:val="nil"/>
              <w:bottom w:val="nil"/>
              <w:right w:val="single" w:sz="4" w:space="0" w:color="auto"/>
            </w:tcBorders>
            <w:shd w:val="clear" w:color="auto" w:fill="auto"/>
            <w:vAlign w:val="center"/>
          </w:tcPr>
          <w:p w:rsidR="00EC122C" w:rsidRPr="00EC122C" w:rsidRDefault="00EC122C" w:rsidP="00EC122C">
            <w:pPr>
              <w:spacing w:after="0" w:line="240" w:lineRule="auto"/>
              <w:jc w:val="right"/>
              <w:rPr>
                <w:rFonts w:cs="Arial"/>
                <w:color w:val="000000"/>
                <w:sz w:val="16"/>
                <w:szCs w:val="16"/>
              </w:rPr>
            </w:pPr>
            <w:r w:rsidRPr="00EC122C">
              <w:rPr>
                <w:rFonts w:cs="Arial"/>
                <w:color w:val="000000"/>
                <w:sz w:val="16"/>
                <w:szCs w:val="16"/>
              </w:rPr>
              <w:t>14 016</w:t>
            </w:r>
          </w:p>
        </w:tc>
        <w:tc>
          <w:tcPr>
            <w:tcW w:w="710" w:type="dxa"/>
            <w:tcBorders>
              <w:top w:val="nil"/>
              <w:left w:val="nil"/>
              <w:bottom w:val="nil"/>
              <w:right w:val="nil"/>
            </w:tcBorders>
            <w:shd w:val="clear" w:color="auto" w:fill="auto"/>
            <w:vAlign w:val="center"/>
          </w:tcPr>
          <w:p w:rsidR="00EC122C" w:rsidRPr="00EC122C" w:rsidRDefault="00EC122C" w:rsidP="00EC122C">
            <w:pPr>
              <w:spacing w:after="0" w:line="240" w:lineRule="auto"/>
              <w:jc w:val="right"/>
              <w:rPr>
                <w:rFonts w:cs="Arial"/>
                <w:color w:val="000000"/>
                <w:sz w:val="16"/>
                <w:szCs w:val="16"/>
              </w:rPr>
            </w:pPr>
            <w:r w:rsidRPr="00EC122C">
              <w:rPr>
                <w:rFonts w:cs="Arial"/>
                <w:color w:val="000000"/>
                <w:sz w:val="16"/>
                <w:szCs w:val="16"/>
              </w:rPr>
              <w:t>1 311</w:t>
            </w:r>
          </w:p>
        </w:tc>
        <w:tc>
          <w:tcPr>
            <w:tcW w:w="709" w:type="dxa"/>
            <w:tcBorders>
              <w:top w:val="nil"/>
              <w:left w:val="nil"/>
              <w:bottom w:val="nil"/>
              <w:right w:val="nil"/>
            </w:tcBorders>
            <w:shd w:val="clear" w:color="auto" w:fill="auto"/>
            <w:vAlign w:val="center"/>
          </w:tcPr>
          <w:p w:rsidR="00EC122C" w:rsidRPr="00EC122C" w:rsidRDefault="00EC122C" w:rsidP="00EC122C">
            <w:pPr>
              <w:spacing w:after="0" w:line="240" w:lineRule="auto"/>
              <w:jc w:val="right"/>
              <w:rPr>
                <w:rFonts w:cs="Arial"/>
                <w:color w:val="000000"/>
                <w:sz w:val="16"/>
                <w:szCs w:val="16"/>
              </w:rPr>
            </w:pPr>
            <w:r w:rsidRPr="00EC122C">
              <w:rPr>
                <w:rFonts w:cs="Arial"/>
                <w:color w:val="000000"/>
                <w:sz w:val="16"/>
                <w:szCs w:val="16"/>
              </w:rPr>
              <w:t>1 087</w:t>
            </w:r>
          </w:p>
        </w:tc>
        <w:tc>
          <w:tcPr>
            <w:tcW w:w="709" w:type="dxa"/>
            <w:tcBorders>
              <w:top w:val="nil"/>
              <w:left w:val="nil"/>
              <w:bottom w:val="nil"/>
              <w:right w:val="single" w:sz="4" w:space="0" w:color="auto"/>
            </w:tcBorders>
            <w:shd w:val="clear" w:color="auto" w:fill="auto"/>
            <w:vAlign w:val="center"/>
          </w:tcPr>
          <w:p w:rsidR="00EC122C" w:rsidRPr="00EC122C" w:rsidRDefault="00EC122C" w:rsidP="00EC122C">
            <w:pPr>
              <w:spacing w:after="0" w:line="240" w:lineRule="auto"/>
              <w:jc w:val="right"/>
              <w:rPr>
                <w:rFonts w:cs="Arial"/>
                <w:color w:val="000000"/>
                <w:sz w:val="16"/>
                <w:szCs w:val="16"/>
              </w:rPr>
            </w:pPr>
            <w:r w:rsidRPr="00EC122C">
              <w:rPr>
                <w:rFonts w:cs="Arial"/>
                <w:color w:val="000000"/>
                <w:sz w:val="16"/>
                <w:szCs w:val="16"/>
              </w:rPr>
              <w:t>224</w:t>
            </w:r>
          </w:p>
        </w:tc>
        <w:tc>
          <w:tcPr>
            <w:tcW w:w="710" w:type="dxa"/>
            <w:tcBorders>
              <w:top w:val="nil"/>
              <w:left w:val="single" w:sz="4" w:space="0" w:color="auto"/>
              <w:bottom w:val="nil"/>
              <w:right w:val="nil"/>
            </w:tcBorders>
            <w:vAlign w:val="center"/>
          </w:tcPr>
          <w:p w:rsidR="00EC122C" w:rsidRPr="00EC122C" w:rsidRDefault="00EC122C" w:rsidP="00EC122C">
            <w:pPr>
              <w:spacing w:after="0" w:line="240" w:lineRule="auto"/>
              <w:jc w:val="right"/>
              <w:rPr>
                <w:rFonts w:cs="Arial"/>
                <w:sz w:val="16"/>
                <w:szCs w:val="16"/>
              </w:rPr>
            </w:pPr>
            <w:r w:rsidRPr="00EC122C">
              <w:rPr>
                <w:rFonts w:cs="Arial"/>
                <w:color w:val="000000"/>
                <w:sz w:val="16"/>
                <w:szCs w:val="16"/>
              </w:rPr>
              <w:t>131</w:t>
            </w:r>
          </w:p>
        </w:tc>
        <w:tc>
          <w:tcPr>
            <w:tcW w:w="709" w:type="dxa"/>
            <w:tcBorders>
              <w:top w:val="nil"/>
              <w:left w:val="nil"/>
              <w:bottom w:val="nil"/>
              <w:right w:val="nil"/>
            </w:tcBorders>
            <w:vAlign w:val="center"/>
          </w:tcPr>
          <w:p w:rsidR="00EC122C" w:rsidRPr="00EC122C" w:rsidRDefault="00EC122C" w:rsidP="00EC122C">
            <w:pPr>
              <w:spacing w:after="0" w:line="240" w:lineRule="auto"/>
              <w:jc w:val="right"/>
              <w:rPr>
                <w:rFonts w:cs="Arial"/>
                <w:sz w:val="16"/>
                <w:szCs w:val="16"/>
              </w:rPr>
            </w:pPr>
            <w:r w:rsidRPr="00EC122C">
              <w:rPr>
                <w:rFonts w:cs="Arial"/>
                <w:color w:val="000000"/>
                <w:sz w:val="16"/>
                <w:szCs w:val="16"/>
              </w:rPr>
              <w:t>120</w:t>
            </w:r>
          </w:p>
        </w:tc>
        <w:tc>
          <w:tcPr>
            <w:tcW w:w="709" w:type="dxa"/>
            <w:tcBorders>
              <w:top w:val="nil"/>
              <w:left w:val="nil"/>
              <w:bottom w:val="nil"/>
              <w:right w:val="nil"/>
            </w:tcBorders>
            <w:vAlign w:val="center"/>
          </w:tcPr>
          <w:p w:rsidR="00EC122C" w:rsidRPr="00EC122C" w:rsidRDefault="00EC122C" w:rsidP="00EC122C">
            <w:pPr>
              <w:spacing w:after="0" w:line="240" w:lineRule="auto"/>
              <w:jc w:val="right"/>
              <w:rPr>
                <w:rFonts w:cs="Arial"/>
                <w:sz w:val="16"/>
                <w:szCs w:val="16"/>
              </w:rPr>
            </w:pPr>
            <w:r w:rsidRPr="00EC122C">
              <w:rPr>
                <w:rFonts w:cs="Arial"/>
                <w:color w:val="000000"/>
                <w:sz w:val="16"/>
                <w:szCs w:val="16"/>
              </w:rPr>
              <w:t>11</w:t>
            </w:r>
          </w:p>
        </w:tc>
      </w:tr>
      <w:tr w:rsidR="00EC122C" w:rsidRPr="00EC122C" w:rsidTr="00EC122C">
        <w:trPr>
          <w:trHeight w:val="300"/>
        </w:trPr>
        <w:tc>
          <w:tcPr>
            <w:tcW w:w="1077" w:type="dxa"/>
            <w:tcBorders>
              <w:top w:val="nil"/>
              <w:left w:val="nil"/>
              <w:bottom w:val="nil"/>
              <w:right w:val="single" w:sz="4" w:space="0" w:color="auto"/>
            </w:tcBorders>
            <w:shd w:val="clear" w:color="auto" w:fill="auto"/>
            <w:vAlign w:val="center"/>
          </w:tcPr>
          <w:p w:rsidR="00EC122C" w:rsidRPr="00EC122C" w:rsidRDefault="00EC122C" w:rsidP="00EC122C">
            <w:pPr>
              <w:spacing w:after="0" w:line="240" w:lineRule="auto"/>
              <w:jc w:val="center"/>
              <w:rPr>
                <w:rFonts w:cs="Arial"/>
                <w:color w:val="000000"/>
                <w:sz w:val="16"/>
                <w:szCs w:val="16"/>
              </w:rPr>
            </w:pPr>
            <w:r w:rsidRPr="00EC122C">
              <w:rPr>
                <w:rFonts w:cs="Arial"/>
                <w:color w:val="000000"/>
                <w:sz w:val="16"/>
                <w:szCs w:val="16"/>
              </w:rPr>
              <w:t>2016</w:t>
            </w:r>
          </w:p>
        </w:tc>
        <w:tc>
          <w:tcPr>
            <w:tcW w:w="710" w:type="dxa"/>
            <w:tcBorders>
              <w:top w:val="nil"/>
              <w:left w:val="nil"/>
              <w:bottom w:val="nil"/>
              <w:right w:val="nil"/>
            </w:tcBorders>
            <w:shd w:val="clear" w:color="auto" w:fill="auto"/>
            <w:noWrap/>
            <w:vAlign w:val="center"/>
          </w:tcPr>
          <w:p w:rsidR="00EC122C" w:rsidRPr="00EC122C" w:rsidRDefault="00EC122C" w:rsidP="00EC122C">
            <w:pPr>
              <w:spacing w:after="0" w:line="240" w:lineRule="auto"/>
              <w:jc w:val="right"/>
              <w:rPr>
                <w:rFonts w:cs="Arial"/>
                <w:color w:val="000000"/>
                <w:sz w:val="16"/>
                <w:szCs w:val="16"/>
              </w:rPr>
            </w:pPr>
            <w:r w:rsidRPr="00EC122C">
              <w:rPr>
                <w:rFonts w:cs="Arial"/>
                <w:color w:val="000000"/>
                <w:sz w:val="16"/>
                <w:szCs w:val="16"/>
              </w:rPr>
              <w:t>47 379</w:t>
            </w:r>
          </w:p>
        </w:tc>
        <w:tc>
          <w:tcPr>
            <w:tcW w:w="709" w:type="dxa"/>
            <w:tcBorders>
              <w:top w:val="nil"/>
              <w:left w:val="nil"/>
              <w:bottom w:val="nil"/>
              <w:right w:val="nil"/>
            </w:tcBorders>
            <w:shd w:val="clear" w:color="auto" w:fill="auto"/>
            <w:noWrap/>
            <w:vAlign w:val="center"/>
          </w:tcPr>
          <w:p w:rsidR="00EC122C" w:rsidRPr="00EC122C" w:rsidRDefault="00EC122C" w:rsidP="00EC122C">
            <w:pPr>
              <w:spacing w:after="0" w:line="240" w:lineRule="auto"/>
              <w:jc w:val="right"/>
              <w:rPr>
                <w:rFonts w:cs="Arial"/>
                <w:color w:val="000000"/>
                <w:sz w:val="16"/>
                <w:szCs w:val="16"/>
              </w:rPr>
            </w:pPr>
            <w:r w:rsidRPr="00EC122C">
              <w:rPr>
                <w:rFonts w:cs="Arial"/>
                <w:color w:val="000000"/>
                <w:sz w:val="16"/>
                <w:szCs w:val="16"/>
              </w:rPr>
              <w:t>32 592</w:t>
            </w:r>
          </w:p>
        </w:tc>
        <w:tc>
          <w:tcPr>
            <w:tcW w:w="709" w:type="dxa"/>
            <w:tcBorders>
              <w:top w:val="nil"/>
              <w:left w:val="nil"/>
              <w:bottom w:val="nil"/>
              <w:right w:val="single" w:sz="4" w:space="0" w:color="auto"/>
            </w:tcBorders>
            <w:shd w:val="clear" w:color="auto" w:fill="auto"/>
            <w:noWrap/>
            <w:vAlign w:val="center"/>
          </w:tcPr>
          <w:p w:rsidR="00EC122C" w:rsidRPr="00EC122C" w:rsidRDefault="00EC122C" w:rsidP="00EC122C">
            <w:pPr>
              <w:spacing w:after="0" w:line="240" w:lineRule="auto"/>
              <w:jc w:val="right"/>
              <w:rPr>
                <w:rFonts w:cs="Arial"/>
                <w:color w:val="000000"/>
                <w:sz w:val="16"/>
                <w:szCs w:val="16"/>
              </w:rPr>
            </w:pPr>
            <w:r w:rsidRPr="00EC122C">
              <w:rPr>
                <w:rFonts w:cs="Arial"/>
                <w:color w:val="000000"/>
                <w:sz w:val="16"/>
                <w:szCs w:val="16"/>
              </w:rPr>
              <w:t>14 787</w:t>
            </w:r>
          </w:p>
        </w:tc>
        <w:tc>
          <w:tcPr>
            <w:tcW w:w="710" w:type="dxa"/>
            <w:tcBorders>
              <w:top w:val="nil"/>
              <w:left w:val="nil"/>
              <w:bottom w:val="nil"/>
              <w:right w:val="nil"/>
            </w:tcBorders>
            <w:shd w:val="clear" w:color="auto" w:fill="auto"/>
            <w:noWrap/>
            <w:vAlign w:val="center"/>
          </w:tcPr>
          <w:p w:rsidR="00EC122C" w:rsidRPr="00EC122C" w:rsidRDefault="00EC122C" w:rsidP="00EC122C">
            <w:pPr>
              <w:spacing w:after="0" w:line="240" w:lineRule="auto"/>
              <w:jc w:val="right"/>
              <w:rPr>
                <w:rFonts w:cs="Arial"/>
                <w:color w:val="000000"/>
                <w:sz w:val="16"/>
                <w:szCs w:val="16"/>
              </w:rPr>
            </w:pPr>
            <w:r w:rsidRPr="00EC122C">
              <w:rPr>
                <w:rFonts w:cs="Arial"/>
                <w:color w:val="000000"/>
                <w:sz w:val="16"/>
                <w:szCs w:val="16"/>
              </w:rPr>
              <w:t>46 713</w:t>
            </w:r>
          </w:p>
        </w:tc>
        <w:tc>
          <w:tcPr>
            <w:tcW w:w="709" w:type="dxa"/>
            <w:tcBorders>
              <w:top w:val="nil"/>
              <w:left w:val="nil"/>
              <w:bottom w:val="nil"/>
              <w:right w:val="nil"/>
            </w:tcBorders>
            <w:shd w:val="clear" w:color="auto" w:fill="auto"/>
            <w:vAlign w:val="center"/>
          </w:tcPr>
          <w:p w:rsidR="00EC122C" w:rsidRPr="00EC122C" w:rsidRDefault="00EC122C" w:rsidP="00EC122C">
            <w:pPr>
              <w:spacing w:after="0" w:line="240" w:lineRule="auto"/>
              <w:jc w:val="right"/>
              <w:rPr>
                <w:rFonts w:cs="Arial"/>
                <w:color w:val="000000"/>
                <w:sz w:val="16"/>
                <w:szCs w:val="16"/>
              </w:rPr>
            </w:pPr>
            <w:r w:rsidRPr="00EC122C">
              <w:rPr>
                <w:rFonts w:cs="Arial"/>
                <w:color w:val="000000"/>
                <w:sz w:val="16"/>
                <w:szCs w:val="16"/>
              </w:rPr>
              <w:t>32 102</w:t>
            </w:r>
          </w:p>
        </w:tc>
        <w:tc>
          <w:tcPr>
            <w:tcW w:w="709" w:type="dxa"/>
            <w:tcBorders>
              <w:top w:val="nil"/>
              <w:left w:val="nil"/>
              <w:bottom w:val="nil"/>
              <w:right w:val="single" w:sz="4" w:space="0" w:color="auto"/>
            </w:tcBorders>
            <w:shd w:val="clear" w:color="auto" w:fill="auto"/>
            <w:vAlign w:val="center"/>
          </w:tcPr>
          <w:p w:rsidR="00EC122C" w:rsidRPr="00EC122C" w:rsidRDefault="00EC122C" w:rsidP="00EC122C">
            <w:pPr>
              <w:spacing w:after="0" w:line="240" w:lineRule="auto"/>
              <w:jc w:val="right"/>
              <w:rPr>
                <w:rFonts w:cs="Arial"/>
                <w:color w:val="000000"/>
                <w:sz w:val="16"/>
                <w:szCs w:val="16"/>
              </w:rPr>
            </w:pPr>
            <w:r w:rsidRPr="00EC122C">
              <w:rPr>
                <w:rFonts w:cs="Arial"/>
                <w:color w:val="000000"/>
                <w:sz w:val="16"/>
                <w:szCs w:val="16"/>
              </w:rPr>
              <w:t>14 611</w:t>
            </w:r>
          </w:p>
        </w:tc>
        <w:tc>
          <w:tcPr>
            <w:tcW w:w="710" w:type="dxa"/>
            <w:tcBorders>
              <w:top w:val="nil"/>
              <w:left w:val="nil"/>
              <w:bottom w:val="nil"/>
              <w:right w:val="nil"/>
            </w:tcBorders>
            <w:shd w:val="clear" w:color="auto" w:fill="auto"/>
            <w:vAlign w:val="center"/>
          </w:tcPr>
          <w:p w:rsidR="00EC122C" w:rsidRPr="00EC122C" w:rsidRDefault="00EC122C" w:rsidP="00EC122C">
            <w:pPr>
              <w:spacing w:after="0" w:line="240" w:lineRule="auto"/>
              <w:jc w:val="right"/>
              <w:rPr>
                <w:rFonts w:cs="Arial"/>
                <w:color w:val="000000"/>
                <w:sz w:val="16"/>
                <w:szCs w:val="16"/>
              </w:rPr>
            </w:pPr>
            <w:r w:rsidRPr="00EC122C">
              <w:rPr>
                <w:rFonts w:cs="Arial"/>
                <w:color w:val="000000"/>
                <w:sz w:val="16"/>
                <w:szCs w:val="16"/>
              </w:rPr>
              <w:t>1 315</w:t>
            </w:r>
          </w:p>
        </w:tc>
        <w:tc>
          <w:tcPr>
            <w:tcW w:w="709" w:type="dxa"/>
            <w:tcBorders>
              <w:top w:val="nil"/>
              <w:left w:val="nil"/>
              <w:bottom w:val="nil"/>
              <w:right w:val="nil"/>
            </w:tcBorders>
            <w:shd w:val="clear" w:color="auto" w:fill="auto"/>
            <w:vAlign w:val="center"/>
          </w:tcPr>
          <w:p w:rsidR="00EC122C" w:rsidRPr="00EC122C" w:rsidRDefault="00EC122C" w:rsidP="00EC122C">
            <w:pPr>
              <w:spacing w:after="0" w:line="240" w:lineRule="auto"/>
              <w:jc w:val="right"/>
              <w:rPr>
                <w:rFonts w:cs="Arial"/>
                <w:color w:val="000000"/>
                <w:sz w:val="16"/>
                <w:szCs w:val="16"/>
              </w:rPr>
            </w:pPr>
            <w:r w:rsidRPr="00EC122C">
              <w:rPr>
                <w:rFonts w:cs="Arial"/>
                <w:color w:val="000000"/>
                <w:sz w:val="16"/>
                <w:szCs w:val="16"/>
              </w:rPr>
              <w:t>1 088</w:t>
            </w:r>
          </w:p>
        </w:tc>
        <w:tc>
          <w:tcPr>
            <w:tcW w:w="709" w:type="dxa"/>
            <w:tcBorders>
              <w:top w:val="nil"/>
              <w:left w:val="nil"/>
              <w:bottom w:val="nil"/>
              <w:right w:val="single" w:sz="4" w:space="0" w:color="auto"/>
            </w:tcBorders>
            <w:shd w:val="clear" w:color="auto" w:fill="auto"/>
            <w:vAlign w:val="center"/>
          </w:tcPr>
          <w:p w:rsidR="00EC122C" w:rsidRPr="00EC122C" w:rsidRDefault="00EC122C" w:rsidP="00EC122C">
            <w:pPr>
              <w:spacing w:after="0" w:line="240" w:lineRule="auto"/>
              <w:jc w:val="right"/>
              <w:rPr>
                <w:rFonts w:cs="Arial"/>
                <w:color w:val="000000"/>
                <w:sz w:val="16"/>
                <w:szCs w:val="16"/>
              </w:rPr>
            </w:pPr>
            <w:r w:rsidRPr="00EC122C">
              <w:rPr>
                <w:rFonts w:cs="Arial"/>
                <w:color w:val="000000"/>
                <w:sz w:val="16"/>
                <w:szCs w:val="16"/>
              </w:rPr>
              <w:t>227</w:t>
            </w:r>
          </w:p>
        </w:tc>
        <w:tc>
          <w:tcPr>
            <w:tcW w:w="710" w:type="dxa"/>
            <w:tcBorders>
              <w:top w:val="nil"/>
              <w:left w:val="single" w:sz="4" w:space="0" w:color="auto"/>
              <w:bottom w:val="nil"/>
              <w:right w:val="nil"/>
            </w:tcBorders>
            <w:vAlign w:val="center"/>
          </w:tcPr>
          <w:p w:rsidR="00EC122C" w:rsidRPr="00EC122C" w:rsidRDefault="00EC122C" w:rsidP="00EC122C">
            <w:pPr>
              <w:spacing w:after="0" w:line="240" w:lineRule="auto"/>
              <w:jc w:val="right"/>
              <w:rPr>
                <w:rFonts w:cs="Arial"/>
                <w:sz w:val="16"/>
                <w:szCs w:val="16"/>
              </w:rPr>
            </w:pPr>
            <w:r w:rsidRPr="00EC122C">
              <w:rPr>
                <w:rFonts w:cs="Arial"/>
                <w:color w:val="000000"/>
                <w:sz w:val="16"/>
                <w:szCs w:val="16"/>
              </w:rPr>
              <w:t>104</w:t>
            </w:r>
          </w:p>
        </w:tc>
        <w:tc>
          <w:tcPr>
            <w:tcW w:w="709" w:type="dxa"/>
            <w:tcBorders>
              <w:top w:val="nil"/>
              <w:left w:val="nil"/>
              <w:bottom w:val="nil"/>
              <w:right w:val="nil"/>
            </w:tcBorders>
            <w:vAlign w:val="center"/>
          </w:tcPr>
          <w:p w:rsidR="00EC122C" w:rsidRPr="00EC122C" w:rsidRDefault="00EC122C" w:rsidP="00EC122C">
            <w:pPr>
              <w:spacing w:after="0" w:line="240" w:lineRule="auto"/>
              <w:jc w:val="right"/>
              <w:rPr>
                <w:rFonts w:cs="Arial"/>
                <w:sz w:val="16"/>
                <w:szCs w:val="16"/>
              </w:rPr>
            </w:pPr>
            <w:r w:rsidRPr="00EC122C">
              <w:rPr>
                <w:rFonts w:cs="Arial"/>
                <w:color w:val="000000"/>
                <w:sz w:val="16"/>
                <w:szCs w:val="16"/>
              </w:rPr>
              <w:t>101</w:t>
            </w:r>
          </w:p>
        </w:tc>
        <w:tc>
          <w:tcPr>
            <w:tcW w:w="709" w:type="dxa"/>
            <w:tcBorders>
              <w:top w:val="nil"/>
              <w:left w:val="nil"/>
              <w:bottom w:val="nil"/>
              <w:right w:val="nil"/>
            </w:tcBorders>
            <w:vAlign w:val="center"/>
          </w:tcPr>
          <w:p w:rsidR="00EC122C" w:rsidRPr="00EC122C" w:rsidRDefault="00EC122C" w:rsidP="00EC122C">
            <w:pPr>
              <w:spacing w:after="0" w:line="240" w:lineRule="auto"/>
              <w:jc w:val="right"/>
              <w:rPr>
                <w:rFonts w:cs="Arial"/>
                <w:sz w:val="16"/>
                <w:szCs w:val="16"/>
              </w:rPr>
            </w:pPr>
            <w:r w:rsidRPr="00EC122C">
              <w:rPr>
                <w:rFonts w:cs="Arial"/>
                <w:color w:val="000000"/>
                <w:sz w:val="16"/>
                <w:szCs w:val="16"/>
              </w:rPr>
              <w:t>3</w:t>
            </w:r>
          </w:p>
        </w:tc>
      </w:tr>
      <w:tr w:rsidR="00EC122C" w:rsidRPr="00EC122C" w:rsidTr="00EC122C">
        <w:trPr>
          <w:trHeight w:val="300"/>
        </w:trPr>
        <w:tc>
          <w:tcPr>
            <w:tcW w:w="1077" w:type="dxa"/>
            <w:tcBorders>
              <w:top w:val="nil"/>
              <w:left w:val="nil"/>
              <w:bottom w:val="nil"/>
              <w:right w:val="single" w:sz="4" w:space="0" w:color="auto"/>
            </w:tcBorders>
            <w:shd w:val="clear" w:color="auto" w:fill="auto"/>
            <w:vAlign w:val="center"/>
          </w:tcPr>
          <w:p w:rsidR="00EC122C" w:rsidRPr="00EC122C" w:rsidRDefault="00EC122C" w:rsidP="00EC122C">
            <w:pPr>
              <w:spacing w:after="0" w:line="240" w:lineRule="auto"/>
              <w:jc w:val="center"/>
              <w:rPr>
                <w:rFonts w:cs="Arial"/>
                <w:color w:val="000000"/>
                <w:sz w:val="16"/>
                <w:szCs w:val="16"/>
              </w:rPr>
            </w:pPr>
            <w:r w:rsidRPr="00EC122C">
              <w:rPr>
                <w:rFonts w:cs="Arial"/>
                <w:color w:val="000000"/>
                <w:sz w:val="16"/>
                <w:szCs w:val="16"/>
              </w:rPr>
              <w:t>2017</w:t>
            </w:r>
          </w:p>
        </w:tc>
        <w:tc>
          <w:tcPr>
            <w:tcW w:w="710" w:type="dxa"/>
            <w:tcBorders>
              <w:top w:val="nil"/>
              <w:left w:val="nil"/>
              <w:bottom w:val="nil"/>
              <w:right w:val="nil"/>
            </w:tcBorders>
            <w:shd w:val="clear" w:color="auto" w:fill="auto"/>
            <w:vAlign w:val="center"/>
          </w:tcPr>
          <w:p w:rsidR="00EC122C" w:rsidRPr="00EC122C" w:rsidRDefault="00EC122C" w:rsidP="00EC122C">
            <w:pPr>
              <w:spacing w:after="0" w:line="240" w:lineRule="auto"/>
              <w:jc w:val="right"/>
              <w:rPr>
                <w:rFonts w:cs="Arial"/>
                <w:color w:val="000000"/>
                <w:sz w:val="16"/>
                <w:szCs w:val="16"/>
              </w:rPr>
            </w:pPr>
            <w:r w:rsidRPr="00EC122C">
              <w:rPr>
                <w:rFonts w:cs="Arial"/>
                <w:color w:val="000000"/>
                <w:sz w:val="16"/>
                <w:szCs w:val="16"/>
              </w:rPr>
              <w:t>47 491</w:t>
            </w:r>
          </w:p>
        </w:tc>
        <w:tc>
          <w:tcPr>
            <w:tcW w:w="709" w:type="dxa"/>
            <w:tcBorders>
              <w:top w:val="nil"/>
              <w:left w:val="nil"/>
              <w:bottom w:val="nil"/>
              <w:right w:val="nil"/>
            </w:tcBorders>
            <w:shd w:val="clear" w:color="auto" w:fill="auto"/>
            <w:noWrap/>
            <w:vAlign w:val="center"/>
          </w:tcPr>
          <w:p w:rsidR="00EC122C" w:rsidRPr="00EC122C" w:rsidRDefault="00EC122C" w:rsidP="00EC122C">
            <w:pPr>
              <w:spacing w:after="0" w:line="240" w:lineRule="auto"/>
              <w:jc w:val="right"/>
              <w:rPr>
                <w:rFonts w:cs="Arial"/>
                <w:color w:val="000000"/>
                <w:sz w:val="16"/>
                <w:szCs w:val="16"/>
              </w:rPr>
            </w:pPr>
            <w:r w:rsidRPr="00EC122C">
              <w:rPr>
                <w:rFonts w:cs="Arial"/>
                <w:color w:val="000000"/>
                <w:sz w:val="16"/>
                <w:szCs w:val="16"/>
              </w:rPr>
              <w:t>32 575</w:t>
            </w:r>
          </w:p>
        </w:tc>
        <w:tc>
          <w:tcPr>
            <w:tcW w:w="709" w:type="dxa"/>
            <w:tcBorders>
              <w:top w:val="nil"/>
              <w:left w:val="nil"/>
              <w:bottom w:val="nil"/>
              <w:right w:val="single" w:sz="4" w:space="0" w:color="auto"/>
            </w:tcBorders>
            <w:shd w:val="clear" w:color="auto" w:fill="auto"/>
            <w:noWrap/>
            <w:vAlign w:val="center"/>
          </w:tcPr>
          <w:p w:rsidR="00EC122C" w:rsidRPr="00EC122C" w:rsidRDefault="00EC122C" w:rsidP="00EC122C">
            <w:pPr>
              <w:spacing w:after="0" w:line="240" w:lineRule="auto"/>
              <w:jc w:val="right"/>
              <w:rPr>
                <w:rFonts w:cs="Arial"/>
                <w:color w:val="000000"/>
                <w:sz w:val="16"/>
                <w:szCs w:val="16"/>
              </w:rPr>
            </w:pPr>
            <w:r w:rsidRPr="00EC122C">
              <w:rPr>
                <w:rFonts w:cs="Arial"/>
                <w:color w:val="000000"/>
                <w:sz w:val="16"/>
                <w:szCs w:val="16"/>
              </w:rPr>
              <w:t>14 916</w:t>
            </w:r>
          </w:p>
        </w:tc>
        <w:tc>
          <w:tcPr>
            <w:tcW w:w="710" w:type="dxa"/>
            <w:tcBorders>
              <w:top w:val="nil"/>
              <w:left w:val="nil"/>
              <w:bottom w:val="nil"/>
              <w:right w:val="nil"/>
            </w:tcBorders>
            <w:shd w:val="clear" w:color="auto" w:fill="auto"/>
            <w:noWrap/>
            <w:vAlign w:val="center"/>
          </w:tcPr>
          <w:p w:rsidR="00EC122C" w:rsidRPr="00EC122C" w:rsidRDefault="00EC122C" w:rsidP="00EC122C">
            <w:pPr>
              <w:spacing w:after="0" w:line="240" w:lineRule="auto"/>
              <w:jc w:val="right"/>
              <w:rPr>
                <w:rFonts w:cs="Arial"/>
                <w:color w:val="000000"/>
                <w:sz w:val="16"/>
                <w:szCs w:val="16"/>
              </w:rPr>
            </w:pPr>
            <w:r w:rsidRPr="00EC122C">
              <w:rPr>
                <w:rFonts w:cs="Arial"/>
                <w:color w:val="000000"/>
                <w:sz w:val="16"/>
                <w:szCs w:val="16"/>
              </w:rPr>
              <w:t>46 870</w:t>
            </w:r>
          </w:p>
        </w:tc>
        <w:tc>
          <w:tcPr>
            <w:tcW w:w="709" w:type="dxa"/>
            <w:tcBorders>
              <w:top w:val="nil"/>
              <w:left w:val="nil"/>
              <w:bottom w:val="nil"/>
              <w:right w:val="nil"/>
            </w:tcBorders>
            <w:shd w:val="clear" w:color="auto" w:fill="auto"/>
            <w:vAlign w:val="center"/>
          </w:tcPr>
          <w:p w:rsidR="00EC122C" w:rsidRPr="00EC122C" w:rsidRDefault="00EC122C" w:rsidP="00EC122C">
            <w:pPr>
              <w:spacing w:after="0" w:line="240" w:lineRule="auto"/>
              <w:jc w:val="right"/>
              <w:rPr>
                <w:rFonts w:cs="Arial"/>
                <w:color w:val="000000"/>
                <w:sz w:val="16"/>
                <w:szCs w:val="16"/>
              </w:rPr>
            </w:pPr>
            <w:r w:rsidRPr="00EC122C">
              <w:rPr>
                <w:rFonts w:cs="Arial"/>
                <w:color w:val="000000"/>
                <w:sz w:val="16"/>
                <w:szCs w:val="16"/>
              </w:rPr>
              <w:t>32 120</w:t>
            </w:r>
          </w:p>
        </w:tc>
        <w:tc>
          <w:tcPr>
            <w:tcW w:w="709" w:type="dxa"/>
            <w:tcBorders>
              <w:top w:val="nil"/>
              <w:left w:val="nil"/>
              <w:bottom w:val="nil"/>
              <w:right w:val="single" w:sz="4" w:space="0" w:color="auto"/>
            </w:tcBorders>
            <w:shd w:val="clear" w:color="auto" w:fill="auto"/>
            <w:vAlign w:val="center"/>
          </w:tcPr>
          <w:p w:rsidR="00EC122C" w:rsidRPr="00EC122C" w:rsidRDefault="00EC122C" w:rsidP="00EC122C">
            <w:pPr>
              <w:spacing w:after="0" w:line="240" w:lineRule="auto"/>
              <w:jc w:val="right"/>
              <w:rPr>
                <w:rFonts w:cs="Arial"/>
                <w:color w:val="000000"/>
                <w:sz w:val="16"/>
                <w:szCs w:val="16"/>
              </w:rPr>
            </w:pPr>
            <w:r w:rsidRPr="00EC122C">
              <w:rPr>
                <w:rFonts w:cs="Arial"/>
                <w:color w:val="000000"/>
                <w:sz w:val="16"/>
                <w:szCs w:val="16"/>
              </w:rPr>
              <w:t>14 750</w:t>
            </w:r>
          </w:p>
        </w:tc>
        <w:tc>
          <w:tcPr>
            <w:tcW w:w="710" w:type="dxa"/>
            <w:tcBorders>
              <w:top w:val="nil"/>
              <w:left w:val="nil"/>
              <w:bottom w:val="nil"/>
              <w:right w:val="nil"/>
            </w:tcBorders>
            <w:shd w:val="clear" w:color="auto" w:fill="auto"/>
            <w:vAlign w:val="center"/>
          </w:tcPr>
          <w:p w:rsidR="00EC122C" w:rsidRPr="00EC122C" w:rsidRDefault="00EC122C" w:rsidP="00EC122C">
            <w:pPr>
              <w:spacing w:after="0" w:line="240" w:lineRule="auto"/>
              <w:jc w:val="right"/>
              <w:rPr>
                <w:rFonts w:cs="Arial"/>
                <w:color w:val="000000"/>
                <w:sz w:val="16"/>
                <w:szCs w:val="16"/>
              </w:rPr>
            </w:pPr>
            <w:r w:rsidRPr="00EC122C">
              <w:rPr>
                <w:rFonts w:cs="Arial"/>
                <w:color w:val="000000"/>
                <w:sz w:val="16"/>
                <w:szCs w:val="16"/>
              </w:rPr>
              <w:t>1 146</w:t>
            </w:r>
          </w:p>
        </w:tc>
        <w:tc>
          <w:tcPr>
            <w:tcW w:w="709" w:type="dxa"/>
            <w:tcBorders>
              <w:top w:val="nil"/>
              <w:left w:val="nil"/>
              <w:bottom w:val="nil"/>
              <w:right w:val="nil"/>
            </w:tcBorders>
            <w:shd w:val="clear" w:color="auto" w:fill="auto"/>
            <w:vAlign w:val="center"/>
          </w:tcPr>
          <w:p w:rsidR="00EC122C" w:rsidRPr="00EC122C" w:rsidRDefault="00EC122C" w:rsidP="00EC122C">
            <w:pPr>
              <w:spacing w:after="0" w:line="240" w:lineRule="auto"/>
              <w:jc w:val="right"/>
              <w:rPr>
                <w:rFonts w:cs="Arial"/>
                <w:color w:val="000000"/>
                <w:sz w:val="16"/>
                <w:szCs w:val="16"/>
              </w:rPr>
            </w:pPr>
            <w:r w:rsidRPr="00EC122C">
              <w:rPr>
                <w:rFonts w:cs="Arial"/>
                <w:color w:val="000000"/>
                <w:sz w:val="16"/>
                <w:szCs w:val="16"/>
              </w:rPr>
              <w:t>964</w:t>
            </w:r>
          </w:p>
        </w:tc>
        <w:tc>
          <w:tcPr>
            <w:tcW w:w="709" w:type="dxa"/>
            <w:tcBorders>
              <w:top w:val="nil"/>
              <w:left w:val="nil"/>
              <w:bottom w:val="nil"/>
              <w:right w:val="single" w:sz="4" w:space="0" w:color="auto"/>
            </w:tcBorders>
            <w:shd w:val="clear" w:color="auto" w:fill="auto"/>
            <w:vAlign w:val="center"/>
          </w:tcPr>
          <w:p w:rsidR="00EC122C" w:rsidRPr="00EC122C" w:rsidRDefault="00EC122C" w:rsidP="00EC122C">
            <w:pPr>
              <w:spacing w:after="0" w:line="240" w:lineRule="auto"/>
              <w:jc w:val="right"/>
              <w:rPr>
                <w:rFonts w:cs="Arial"/>
                <w:color w:val="000000"/>
                <w:sz w:val="16"/>
                <w:szCs w:val="16"/>
              </w:rPr>
            </w:pPr>
            <w:r w:rsidRPr="00EC122C">
              <w:rPr>
                <w:rFonts w:cs="Arial"/>
                <w:color w:val="000000"/>
                <w:sz w:val="16"/>
                <w:szCs w:val="16"/>
              </w:rPr>
              <w:t>182</w:t>
            </w:r>
          </w:p>
        </w:tc>
        <w:tc>
          <w:tcPr>
            <w:tcW w:w="710" w:type="dxa"/>
            <w:tcBorders>
              <w:top w:val="nil"/>
              <w:left w:val="single" w:sz="4" w:space="0" w:color="auto"/>
              <w:bottom w:val="nil"/>
              <w:right w:val="nil"/>
            </w:tcBorders>
            <w:vAlign w:val="center"/>
          </w:tcPr>
          <w:p w:rsidR="00EC122C" w:rsidRPr="00EC122C" w:rsidRDefault="00EC122C" w:rsidP="00EC122C">
            <w:pPr>
              <w:spacing w:after="0" w:line="240" w:lineRule="auto"/>
              <w:jc w:val="right"/>
              <w:rPr>
                <w:rFonts w:cs="Arial"/>
                <w:sz w:val="16"/>
                <w:szCs w:val="16"/>
              </w:rPr>
            </w:pPr>
            <w:r w:rsidRPr="00EC122C">
              <w:rPr>
                <w:rFonts w:cs="Arial"/>
                <w:color w:val="000000"/>
                <w:sz w:val="16"/>
                <w:szCs w:val="16"/>
              </w:rPr>
              <w:t>95</w:t>
            </w:r>
          </w:p>
        </w:tc>
        <w:tc>
          <w:tcPr>
            <w:tcW w:w="709" w:type="dxa"/>
            <w:tcBorders>
              <w:top w:val="nil"/>
              <w:left w:val="nil"/>
              <w:bottom w:val="nil"/>
              <w:right w:val="nil"/>
            </w:tcBorders>
            <w:vAlign w:val="center"/>
          </w:tcPr>
          <w:p w:rsidR="00EC122C" w:rsidRPr="00EC122C" w:rsidRDefault="00EC122C" w:rsidP="00EC122C">
            <w:pPr>
              <w:spacing w:after="0" w:line="240" w:lineRule="auto"/>
              <w:jc w:val="right"/>
              <w:rPr>
                <w:rFonts w:cs="Arial"/>
                <w:sz w:val="16"/>
                <w:szCs w:val="16"/>
              </w:rPr>
            </w:pPr>
            <w:r w:rsidRPr="00EC122C">
              <w:rPr>
                <w:rFonts w:cs="Arial"/>
                <w:color w:val="000000"/>
                <w:sz w:val="16"/>
                <w:szCs w:val="16"/>
              </w:rPr>
              <w:t>91</w:t>
            </w:r>
          </w:p>
        </w:tc>
        <w:tc>
          <w:tcPr>
            <w:tcW w:w="709" w:type="dxa"/>
            <w:tcBorders>
              <w:top w:val="nil"/>
              <w:left w:val="nil"/>
              <w:bottom w:val="nil"/>
              <w:right w:val="nil"/>
            </w:tcBorders>
            <w:vAlign w:val="center"/>
          </w:tcPr>
          <w:p w:rsidR="00EC122C" w:rsidRPr="00EC122C" w:rsidRDefault="00EC122C" w:rsidP="00EC122C">
            <w:pPr>
              <w:spacing w:after="0" w:line="240" w:lineRule="auto"/>
              <w:jc w:val="right"/>
              <w:rPr>
                <w:rFonts w:cs="Arial"/>
                <w:sz w:val="16"/>
                <w:szCs w:val="16"/>
              </w:rPr>
            </w:pPr>
            <w:r w:rsidRPr="00EC122C">
              <w:rPr>
                <w:rFonts w:cs="Arial"/>
                <w:color w:val="000000"/>
                <w:sz w:val="16"/>
                <w:szCs w:val="16"/>
              </w:rPr>
              <w:t>4</w:t>
            </w:r>
          </w:p>
        </w:tc>
      </w:tr>
      <w:tr w:rsidR="00EC122C" w:rsidRPr="00EC122C" w:rsidTr="00EC122C">
        <w:trPr>
          <w:trHeight w:val="300"/>
        </w:trPr>
        <w:tc>
          <w:tcPr>
            <w:tcW w:w="1077" w:type="dxa"/>
            <w:tcBorders>
              <w:top w:val="nil"/>
              <w:left w:val="nil"/>
              <w:bottom w:val="nil"/>
              <w:right w:val="single" w:sz="4" w:space="0" w:color="auto"/>
            </w:tcBorders>
            <w:shd w:val="clear" w:color="auto" w:fill="auto"/>
            <w:vAlign w:val="center"/>
          </w:tcPr>
          <w:p w:rsidR="00EC122C" w:rsidRPr="00EC122C" w:rsidRDefault="00EC122C" w:rsidP="00EC122C">
            <w:pPr>
              <w:spacing w:after="0" w:line="240" w:lineRule="auto"/>
              <w:jc w:val="center"/>
              <w:rPr>
                <w:rFonts w:cs="Arial"/>
                <w:color w:val="000000"/>
                <w:sz w:val="16"/>
                <w:szCs w:val="16"/>
              </w:rPr>
            </w:pPr>
            <w:r w:rsidRPr="00EC122C">
              <w:rPr>
                <w:rFonts w:cs="Arial"/>
                <w:color w:val="000000"/>
                <w:sz w:val="16"/>
                <w:szCs w:val="16"/>
              </w:rPr>
              <w:t>2018</w:t>
            </w:r>
          </w:p>
        </w:tc>
        <w:tc>
          <w:tcPr>
            <w:tcW w:w="710" w:type="dxa"/>
            <w:tcBorders>
              <w:top w:val="nil"/>
              <w:left w:val="nil"/>
              <w:bottom w:val="nil"/>
              <w:right w:val="nil"/>
            </w:tcBorders>
            <w:shd w:val="clear" w:color="auto" w:fill="auto"/>
            <w:noWrap/>
            <w:vAlign w:val="center"/>
          </w:tcPr>
          <w:p w:rsidR="00EC122C" w:rsidRPr="00EC122C" w:rsidRDefault="00EC122C" w:rsidP="00EC122C">
            <w:pPr>
              <w:spacing w:after="0" w:line="240" w:lineRule="auto"/>
              <w:jc w:val="right"/>
              <w:rPr>
                <w:rFonts w:cs="Arial"/>
                <w:color w:val="000000"/>
                <w:sz w:val="16"/>
                <w:szCs w:val="16"/>
              </w:rPr>
            </w:pPr>
            <w:r w:rsidRPr="00EC122C">
              <w:rPr>
                <w:rFonts w:cs="Arial"/>
                <w:color w:val="000000"/>
                <w:sz w:val="16"/>
                <w:szCs w:val="16"/>
              </w:rPr>
              <w:t>46 223</w:t>
            </w:r>
          </w:p>
        </w:tc>
        <w:tc>
          <w:tcPr>
            <w:tcW w:w="709" w:type="dxa"/>
            <w:tcBorders>
              <w:top w:val="nil"/>
              <w:left w:val="nil"/>
              <w:bottom w:val="nil"/>
              <w:right w:val="nil"/>
            </w:tcBorders>
            <w:shd w:val="clear" w:color="auto" w:fill="auto"/>
            <w:noWrap/>
            <w:vAlign w:val="center"/>
          </w:tcPr>
          <w:p w:rsidR="00EC122C" w:rsidRPr="00EC122C" w:rsidRDefault="00EC122C" w:rsidP="00EC122C">
            <w:pPr>
              <w:spacing w:after="0" w:line="240" w:lineRule="auto"/>
              <w:jc w:val="right"/>
              <w:rPr>
                <w:rFonts w:cs="Arial"/>
                <w:color w:val="000000"/>
                <w:sz w:val="16"/>
                <w:szCs w:val="16"/>
              </w:rPr>
            </w:pPr>
            <w:r w:rsidRPr="00EC122C">
              <w:rPr>
                <w:rFonts w:cs="Arial"/>
                <w:color w:val="000000"/>
                <w:sz w:val="16"/>
                <w:szCs w:val="16"/>
              </w:rPr>
              <w:t>31 340</w:t>
            </w:r>
          </w:p>
        </w:tc>
        <w:tc>
          <w:tcPr>
            <w:tcW w:w="709" w:type="dxa"/>
            <w:tcBorders>
              <w:top w:val="nil"/>
              <w:left w:val="nil"/>
              <w:bottom w:val="nil"/>
              <w:right w:val="single" w:sz="4" w:space="0" w:color="auto"/>
            </w:tcBorders>
            <w:shd w:val="clear" w:color="auto" w:fill="auto"/>
            <w:noWrap/>
            <w:vAlign w:val="center"/>
          </w:tcPr>
          <w:p w:rsidR="00EC122C" w:rsidRPr="00EC122C" w:rsidRDefault="00EC122C" w:rsidP="00EC122C">
            <w:pPr>
              <w:spacing w:after="0" w:line="240" w:lineRule="auto"/>
              <w:jc w:val="right"/>
              <w:rPr>
                <w:rFonts w:cs="Arial"/>
                <w:color w:val="000000"/>
                <w:sz w:val="16"/>
                <w:szCs w:val="16"/>
              </w:rPr>
            </w:pPr>
            <w:r w:rsidRPr="00EC122C">
              <w:rPr>
                <w:rFonts w:cs="Arial"/>
                <w:color w:val="000000"/>
                <w:sz w:val="16"/>
                <w:szCs w:val="16"/>
              </w:rPr>
              <w:t>14 883</w:t>
            </w:r>
          </w:p>
        </w:tc>
        <w:tc>
          <w:tcPr>
            <w:tcW w:w="710" w:type="dxa"/>
            <w:tcBorders>
              <w:top w:val="nil"/>
              <w:left w:val="nil"/>
              <w:bottom w:val="nil"/>
              <w:right w:val="nil"/>
            </w:tcBorders>
            <w:shd w:val="clear" w:color="auto" w:fill="auto"/>
            <w:noWrap/>
            <w:vAlign w:val="center"/>
          </w:tcPr>
          <w:p w:rsidR="00EC122C" w:rsidRPr="00EC122C" w:rsidRDefault="00EC122C" w:rsidP="00EC122C">
            <w:pPr>
              <w:spacing w:after="0" w:line="240" w:lineRule="auto"/>
              <w:jc w:val="right"/>
              <w:rPr>
                <w:rFonts w:cs="Arial"/>
                <w:color w:val="000000"/>
                <w:sz w:val="16"/>
                <w:szCs w:val="16"/>
              </w:rPr>
            </w:pPr>
            <w:r w:rsidRPr="00EC122C">
              <w:rPr>
                <w:rFonts w:cs="Arial"/>
                <w:color w:val="000000"/>
                <w:sz w:val="16"/>
                <w:szCs w:val="16"/>
              </w:rPr>
              <w:t>45 666</w:t>
            </w:r>
          </w:p>
        </w:tc>
        <w:tc>
          <w:tcPr>
            <w:tcW w:w="709" w:type="dxa"/>
            <w:tcBorders>
              <w:top w:val="nil"/>
              <w:left w:val="nil"/>
              <w:bottom w:val="nil"/>
              <w:right w:val="nil"/>
            </w:tcBorders>
            <w:shd w:val="clear" w:color="auto" w:fill="auto"/>
            <w:vAlign w:val="center"/>
          </w:tcPr>
          <w:p w:rsidR="00EC122C" w:rsidRPr="00EC122C" w:rsidRDefault="00EC122C" w:rsidP="00EC122C">
            <w:pPr>
              <w:spacing w:after="0" w:line="240" w:lineRule="auto"/>
              <w:jc w:val="right"/>
              <w:rPr>
                <w:rFonts w:cs="Arial"/>
                <w:color w:val="000000"/>
                <w:sz w:val="16"/>
                <w:szCs w:val="16"/>
              </w:rPr>
            </w:pPr>
            <w:r w:rsidRPr="00EC122C">
              <w:rPr>
                <w:rFonts w:cs="Arial"/>
                <w:color w:val="000000"/>
                <w:sz w:val="16"/>
                <w:szCs w:val="16"/>
              </w:rPr>
              <w:t>30 947</w:t>
            </w:r>
          </w:p>
        </w:tc>
        <w:tc>
          <w:tcPr>
            <w:tcW w:w="709" w:type="dxa"/>
            <w:tcBorders>
              <w:top w:val="nil"/>
              <w:left w:val="nil"/>
              <w:bottom w:val="nil"/>
              <w:right w:val="single" w:sz="4" w:space="0" w:color="auto"/>
            </w:tcBorders>
            <w:shd w:val="clear" w:color="auto" w:fill="auto"/>
            <w:vAlign w:val="center"/>
          </w:tcPr>
          <w:p w:rsidR="00EC122C" w:rsidRPr="00EC122C" w:rsidRDefault="00EC122C" w:rsidP="00EC122C">
            <w:pPr>
              <w:spacing w:after="0" w:line="240" w:lineRule="auto"/>
              <w:jc w:val="right"/>
              <w:rPr>
                <w:rFonts w:cs="Arial"/>
                <w:color w:val="000000"/>
                <w:sz w:val="16"/>
                <w:szCs w:val="16"/>
              </w:rPr>
            </w:pPr>
            <w:r w:rsidRPr="00EC122C">
              <w:rPr>
                <w:rFonts w:cs="Arial"/>
                <w:color w:val="000000"/>
                <w:sz w:val="16"/>
                <w:szCs w:val="16"/>
              </w:rPr>
              <w:t>14 719</w:t>
            </w:r>
          </w:p>
        </w:tc>
        <w:tc>
          <w:tcPr>
            <w:tcW w:w="710" w:type="dxa"/>
            <w:tcBorders>
              <w:top w:val="nil"/>
              <w:left w:val="nil"/>
              <w:bottom w:val="nil"/>
              <w:right w:val="nil"/>
            </w:tcBorders>
            <w:shd w:val="clear" w:color="auto" w:fill="auto"/>
            <w:vAlign w:val="center"/>
          </w:tcPr>
          <w:p w:rsidR="00EC122C" w:rsidRPr="00EC122C" w:rsidRDefault="00EC122C" w:rsidP="00EC122C">
            <w:pPr>
              <w:spacing w:after="0" w:line="240" w:lineRule="auto"/>
              <w:jc w:val="right"/>
              <w:rPr>
                <w:rFonts w:cs="Arial"/>
                <w:color w:val="000000"/>
                <w:sz w:val="16"/>
                <w:szCs w:val="16"/>
              </w:rPr>
            </w:pPr>
            <w:r w:rsidRPr="00EC122C">
              <w:rPr>
                <w:rFonts w:cs="Arial"/>
                <w:color w:val="000000"/>
                <w:sz w:val="16"/>
                <w:szCs w:val="16"/>
              </w:rPr>
              <w:t>1 148</w:t>
            </w:r>
          </w:p>
        </w:tc>
        <w:tc>
          <w:tcPr>
            <w:tcW w:w="709" w:type="dxa"/>
            <w:tcBorders>
              <w:top w:val="nil"/>
              <w:left w:val="nil"/>
              <w:bottom w:val="nil"/>
              <w:right w:val="nil"/>
            </w:tcBorders>
            <w:shd w:val="clear" w:color="auto" w:fill="auto"/>
            <w:vAlign w:val="center"/>
          </w:tcPr>
          <w:p w:rsidR="00EC122C" w:rsidRPr="00EC122C" w:rsidRDefault="00EC122C" w:rsidP="00EC122C">
            <w:pPr>
              <w:spacing w:after="0" w:line="240" w:lineRule="auto"/>
              <w:jc w:val="right"/>
              <w:rPr>
                <w:rFonts w:cs="Arial"/>
                <w:color w:val="000000"/>
                <w:sz w:val="16"/>
                <w:szCs w:val="16"/>
              </w:rPr>
            </w:pPr>
            <w:r w:rsidRPr="00EC122C">
              <w:rPr>
                <w:rFonts w:cs="Arial"/>
                <w:color w:val="000000"/>
                <w:sz w:val="16"/>
                <w:szCs w:val="16"/>
              </w:rPr>
              <w:t>933</w:t>
            </w:r>
          </w:p>
        </w:tc>
        <w:tc>
          <w:tcPr>
            <w:tcW w:w="709" w:type="dxa"/>
            <w:tcBorders>
              <w:top w:val="nil"/>
              <w:left w:val="nil"/>
              <w:bottom w:val="nil"/>
              <w:right w:val="single" w:sz="4" w:space="0" w:color="auto"/>
            </w:tcBorders>
            <w:shd w:val="clear" w:color="auto" w:fill="auto"/>
            <w:vAlign w:val="center"/>
          </w:tcPr>
          <w:p w:rsidR="00EC122C" w:rsidRPr="00EC122C" w:rsidRDefault="00EC122C" w:rsidP="00EC122C">
            <w:pPr>
              <w:spacing w:after="0" w:line="240" w:lineRule="auto"/>
              <w:jc w:val="right"/>
              <w:rPr>
                <w:rFonts w:cs="Arial"/>
                <w:color w:val="000000"/>
                <w:sz w:val="16"/>
                <w:szCs w:val="16"/>
              </w:rPr>
            </w:pPr>
            <w:r w:rsidRPr="00EC122C">
              <w:rPr>
                <w:rFonts w:cs="Arial"/>
                <w:color w:val="000000"/>
                <w:sz w:val="16"/>
                <w:szCs w:val="16"/>
              </w:rPr>
              <w:t>215</w:t>
            </w:r>
          </w:p>
        </w:tc>
        <w:tc>
          <w:tcPr>
            <w:tcW w:w="710" w:type="dxa"/>
            <w:tcBorders>
              <w:top w:val="nil"/>
              <w:left w:val="single" w:sz="4" w:space="0" w:color="auto"/>
              <w:bottom w:val="nil"/>
              <w:right w:val="nil"/>
            </w:tcBorders>
            <w:vAlign w:val="center"/>
          </w:tcPr>
          <w:p w:rsidR="00EC122C" w:rsidRPr="00EC122C" w:rsidRDefault="00EC122C" w:rsidP="00EC122C">
            <w:pPr>
              <w:spacing w:after="0" w:line="240" w:lineRule="auto"/>
              <w:jc w:val="right"/>
              <w:rPr>
                <w:rFonts w:cs="Arial"/>
                <w:sz w:val="16"/>
                <w:szCs w:val="16"/>
              </w:rPr>
            </w:pPr>
            <w:r w:rsidRPr="00EC122C">
              <w:rPr>
                <w:rFonts w:cs="Arial"/>
                <w:color w:val="000000"/>
                <w:sz w:val="16"/>
                <w:szCs w:val="16"/>
              </w:rPr>
              <w:t>123</w:t>
            </w:r>
          </w:p>
        </w:tc>
        <w:tc>
          <w:tcPr>
            <w:tcW w:w="709" w:type="dxa"/>
            <w:tcBorders>
              <w:top w:val="nil"/>
              <w:left w:val="nil"/>
              <w:bottom w:val="nil"/>
              <w:right w:val="nil"/>
            </w:tcBorders>
            <w:vAlign w:val="center"/>
          </w:tcPr>
          <w:p w:rsidR="00EC122C" w:rsidRPr="00EC122C" w:rsidRDefault="00EC122C" w:rsidP="00EC122C">
            <w:pPr>
              <w:spacing w:after="0" w:line="240" w:lineRule="auto"/>
              <w:jc w:val="right"/>
              <w:rPr>
                <w:rFonts w:cs="Arial"/>
                <w:sz w:val="16"/>
                <w:szCs w:val="16"/>
              </w:rPr>
            </w:pPr>
            <w:r w:rsidRPr="00EC122C">
              <w:rPr>
                <w:rFonts w:cs="Arial"/>
                <w:color w:val="000000"/>
                <w:sz w:val="16"/>
                <w:szCs w:val="16"/>
              </w:rPr>
              <w:t>117</w:t>
            </w:r>
          </w:p>
        </w:tc>
        <w:tc>
          <w:tcPr>
            <w:tcW w:w="709" w:type="dxa"/>
            <w:tcBorders>
              <w:top w:val="nil"/>
              <w:left w:val="nil"/>
              <w:bottom w:val="nil"/>
              <w:right w:val="nil"/>
            </w:tcBorders>
            <w:vAlign w:val="center"/>
          </w:tcPr>
          <w:p w:rsidR="00EC122C" w:rsidRPr="00EC122C" w:rsidRDefault="00EC122C" w:rsidP="00EC122C">
            <w:pPr>
              <w:spacing w:after="0" w:line="240" w:lineRule="auto"/>
              <w:jc w:val="right"/>
              <w:rPr>
                <w:rFonts w:cs="Arial"/>
                <w:sz w:val="16"/>
                <w:szCs w:val="16"/>
              </w:rPr>
            </w:pPr>
            <w:r w:rsidRPr="00EC122C">
              <w:rPr>
                <w:rFonts w:cs="Arial"/>
                <w:color w:val="000000"/>
                <w:sz w:val="16"/>
                <w:szCs w:val="16"/>
              </w:rPr>
              <w:t>6</w:t>
            </w:r>
          </w:p>
        </w:tc>
      </w:tr>
      <w:tr w:rsidR="00EC122C" w:rsidRPr="00EC122C" w:rsidTr="00EC122C">
        <w:trPr>
          <w:trHeight w:val="300"/>
        </w:trPr>
        <w:tc>
          <w:tcPr>
            <w:tcW w:w="1077" w:type="dxa"/>
            <w:tcBorders>
              <w:top w:val="nil"/>
              <w:left w:val="nil"/>
              <w:bottom w:val="nil"/>
              <w:right w:val="single" w:sz="4" w:space="0" w:color="auto"/>
            </w:tcBorders>
            <w:shd w:val="clear" w:color="auto" w:fill="auto"/>
            <w:vAlign w:val="center"/>
          </w:tcPr>
          <w:p w:rsidR="00EC122C" w:rsidRPr="00EC122C" w:rsidRDefault="00EC122C" w:rsidP="00EC122C">
            <w:pPr>
              <w:spacing w:after="0" w:line="240" w:lineRule="auto"/>
              <w:jc w:val="center"/>
              <w:rPr>
                <w:rFonts w:cs="Arial"/>
                <w:color w:val="000000"/>
                <w:sz w:val="16"/>
                <w:szCs w:val="16"/>
              </w:rPr>
            </w:pPr>
            <w:r w:rsidRPr="00EC122C">
              <w:rPr>
                <w:rFonts w:cs="Arial"/>
                <w:color w:val="000000"/>
                <w:sz w:val="16"/>
                <w:szCs w:val="16"/>
              </w:rPr>
              <w:t>2019</w:t>
            </w:r>
          </w:p>
        </w:tc>
        <w:tc>
          <w:tcPr>
            <w:tcW w:w="710" w:type="dxa"/>
            <w:tcBorders>
              <w:top w:val="nil"/>
              <w:left w:val="nil"/>
              <w:bottom w:val="nil"/>
              <w:right w:val="nil"/>
            </w:tcBorders>
            <w:shd w:val="clear" w:color="auto" w:fill="auto"/>
            <w:noWrap/>
            <w:vAlign w:val="center"/>
          </w:tcPr>
          <w:p w:rsidR="00EC122C" w:rsidRPr="00EC122C" w:rsidRDefault="00EC122C" w:rsidP="00EC122C">
            <w:pPr>
              <w:spacing w:after="0" w:line="240" w:lineRule="auto"/>
              <w:jc w:val="right"/>
              <w:rPr>
                <w:rFonts w:cs="Arial"/>
                <w:color w:val="000000"/>
                <w:sz w:val="16"/>
                <w:szCs w:val="16"/>
              </w:rPr>
            </w:pPr>
            <w:r w:rsidRPr="00EC122C">
              <w:rPr>
                <w:rFonts w:cs="Arial"/>
                <w:color w:val="000000"/>
                <w:sz w:val="16"/>
                <w:szCs w:val="16"/>
              </w:rPr>
              <w:t>44 552</w:t>
            </w:r>
          </w:p>
        </w:tc>
        <w:tc>
          <w:tcPr>
            <w:tcW w:w="709" w:type="dxa"/>
            <w:tcBorders>
              <w:top w:val="nil"/>
              <w:left w:val="nil"/>
              <w:bottom w:val="nil"/>
              <w:right w:val="nil"/>
            </w:tcBorders>
            <w:shd w:val="clear" w:color="auto" w:fill="auto"/>
            <w:noWrap/>
            <w:vAlign w:val="center"/>
          </w:tcPr>
          <w:p w:rsidR="00EC122C" w:rsidRPr="00EC122C" w:rsidRDefault="00EC122C" w:rsidP="00EC122C">
            <w:pPr>
              <w:spacing w:after="0" w:line="240" w:lineRule="auto"/>
              <w:jc w:val="right"/>
              <w:rPr>
                <w:rFonts w:cs="Arial"/>
                <w:color w:val="000000"/>
                <w:sz w:val="16"/>
                <w:szCs w:val="16"/>
              </w:rPr>
            </w:pPr>
            <w:r w:rsidRPr="00EC122C">
              <w:rPr>
                <w:rFonts w:cs="Arial"/>
                <w:color w:val="000000"/>
                <w:sz w:val="16"/>
                <w:szCs w:val="16"/>
              </w:rPr>
              <w:t>30 068</w:t>
            </w:r>
          </w:p>
        </w:tc>
        <w:tc>
          <w:tcPr>
            <w:tcW w:w="709" w:type="dxa"/>
            <w:tcBorders>
              <w:top w:val="nil"/>
              <w:left w:val="nil"/>
              <w:bottom w:val="nil"/>
              <w:right w:val="single" w:sz="4" w:space="0" w:color="auto"/>
            </w:tcBorders>
            <w:shd w:val="clear" w:color="auto" w:fill="auto"/>
            <w:noWrap/>
            <w:vAlign w:val="center"/>
          </w:tcPr>
          <w:p w:rsidR="00EC122C" w:rsidRPr="00EC122C" w:rsidRDefault="00EC122C" w:rsidP="00EC122C">
            <w:pPr>
              <w:spacing w:after="0" w:line="240" w:lineRule="auto"/>
              <w:jc w:val="right"/>
              <w:rPr>
                <w:rFonts w:cs="Arial"/>
                <w:color w:val="000000"/>
                <w:sz w:val="16"/>
                <w:szCs w:val="16"/>
              </w:rPr>
            </w:pPr>
            <w:r w:rsidRPr="00EC122C">
              <w:rPr>
                <w:rFonts w:cs="Arial"/>
                <w:color w:val="000000"/>
                <w:sz w:val="16"/>
                <w:szCs w:val="16"/>
              </w:rPr>
              <w:t>14 484</w:t>
            </w:r>
          </w:p>
        </w:tc>
        <w:tc>
          <w:tcPr>
            <w:tcW w:w="710" w:type="dxa"/>
            <w:tcBorders>
              <w:top w:val="nil"/>
              <w:left w:val="nil"/>
              <w:bottom w:val="nil"/>
              <w:right w:val="nil"/>
            </w:tcBorders>
            <w:shd w:val="clear" w:color="auto" w:fill="auto"/>
            <w:noWrap/>
            <w:vAlign w:val="center"/>
          </w:tcPr>
          <w:p w:rsidR="00EC122C" w:rsidRPr="00EC122C" w:rsidRDefault="00EC122C" w:rsidP="00EC122C">
            <w:pPr>
              <w:spacing w:after="0" w:line="240" w:lineRule="auto"/>
              <w:jc w:val="right"/>
              <w:rPr>
                <w:rFonts w:cs="Arial"/>
                <w:color w:val="000000"/>
                <w:sz w:val="16"/>
                <w:szCs w:val="16"/>
              </w:rPr>
            </w:pPr>
            <w:r w:rsidRPr="00EC122C">
              <w:rPr>
                <w:rFonts w:cs="Arial"/>
                <w:color w:val="000000"/>
                <w:sz w:val="16"/>
                <w:szCs w:val="16"/>
              </w:rPr>
              <w:t>43 959</w:t>
            </w:r>
          </w:p>
        </w:tc>
        <w:tc>
          <w:tcPr>
            <w:tcW w:w="709" w:type="dxa"/>
            <w:tcBorders>
              <w:top w:val="nil"/>
              <w:left w:val="nil"/>
              <w:bottom w:val="nil"/>
              <w:right w:val="nil"/>
            </w:tcBorders>
            <w:shd w:val="clear" w:color="auto" w:fill="auto"/>
            <w:vAlign w:val="center"/>
          </w:tcPr>
          <w:p w:rsidR="00EC122C" w:rsidRPr="00EC122C" w:rsidRDefault="00EC122C" w:rsidP="00EC122C">
            <w:pPr>
              <w:spacing w:after="0" w:line="240" w:lineRule="auto"/>
              <w:jc w:val="right"/>
              <w:rPr>
                <w:rFonts w:cs="Arial"/>
                <w:color w:val="000000"/>
                <w:sz w:val="16"/>
                <w:szCs w:val="16"/>
              </w:rPr>
            </w:pPr>
            <w:r w:rsidRPr="00EC122C">
              <w:rPr>
                <w:rFonts w:cs="Arial"/>
                <w:color w:val="000000"/>
                <w:sz w:val="16"/>
                <w:szCs w:val="16"/>
              </w:rPr>
              <w:t>29 663</w:t>
            </w:r>
          </w:p>
        </w:tc>
        <w:tc>
          <w:tcPr>
            <w:tcW w:w="709" w:type="dxa"/>
            <w:tcBorders>
              <w:top w:val="nil"/>
              <w:left w:val="nil"/>
              <w:bottom w:val="nil"/>
              <w:right w:val="single" w:sz="4" w:space="0" w:color="auto"/>
            </w:tcBorders>
            <w:shd w:val="clear" w:color="auto" w:fill="auto"/>
            <w:vAlign w:val="center"/>
          </w:tcPr>
          <w:p w:rsidR="00EC122C" w:rsidRPr="00EC122C" w:rsidRDefault="00EC122C" w:rsidP="00EC122C">
            <w:pPr>
              <w:spacing w:after="0" w:line="240" w:lineRule="auto"/>
              <w:jc w:val="right"/>
              <w:rPr>
                <w:rFonts w:cs="Arial"/>
                <w:color w:val="000000"/>
                <w:sz w:val="16"/>
                <w:szCs w:val="16"/>
              </w:rPr>
            </w:pPr>
            <w:r w:rsidRPr="00EC122C">
              <w:rPr>
                <w:rFonts w:cs="Arial"/>
                <w:color w:val="000000"/>
                <w:sz w:val="16"/>
                <w:szCs w:val="16"/>
              </w:rPr>
              <w:t>14 296</w:t>
            </w:r>
          </w:p>
        </w:tc>
        <w:tc>
          <w:tcPr>
            <w:tcW w:w="710" w:type="dxa"/>
            <w:tcBorders>
              <w:top w:val="nil"/>
              <w:left w:val="nil"/>
              <w:bottom w:val="nil"/>
              <w:right w:val="nil"/>
            </w:tcBorders>
            <w:shd w:val="clear" w:color="auto" w:fill="auto"/>
            <w:vAlign w:val="center"/>
          </w:tcPr>
          <w:p w:rsidR="00EC122C" w:rsidRPr="00EC122C" w:rsidRDefault="00EC122C" w:rsidP="00EC122C">
            <w:pPr>
              <w:spacing w:after="0" w:line="240" w:lineRule="auto"/>
              <w:jc w:val="right"/>
              <w:rPr>
                <w:rFonts w:cs="Arial"/>
                <w:color w:val="000000"/>
                <w:sz w:val="16"/>
                <w:szCs w:val="16"/>
              </w:rPr>
            </w:pPr>
            <w:r w:rsidRPr="00EC122C">
              <w:rPr>
                <w:rFonts w:cs="Arial"/>
                <w:color w:val="000000"/>
                <w:sz w:val="16"/>
                <w:szCs w:val="16"/>
              </w:rPr>
              <w:t>1 007</w:t>
            </w:r>
          </w:p>
        </w:tc>
        <w:tc>
          <w:tcPr>
            <w:tcW w:w="709" w:type="dxa"/>
            <w:tcBorders>
              <w:top w:val="nil"/>
              <w:left w:val="nil"/>
              <w:bottom w:val="nil"/>
              <w:right w:val="nil"/>
            </w:tcBorders>
            <w:shd w:val="clear" w:color="auto" w:fill="auto"/>
            <w:vAlign w:val="center"/>
          </w:tcPr>
          <w:p w:rsidR="00EC122C" w:rsidRPr="00EC122C" w:rsidRDefault="00EC122C" w:rsidP="00EC122C">
            <w:pPr>
              <w:spacing w:after="0" w:line="240" w:lineRule="auto"/>
              <w:jc w:val="right"/>
              <w:rPr>
                <w:rFonts w:cs="Arial"/>
                <w:color w:val="000000"/>
                <w:sz w:val="16"/>
                <w:szCs w:val="16"/>
              </w:rPr>
            </w:pPr>
            <w:r w:rsidRPr="00EC122C">
              <w:rPr>
                <w:rFonts w:cs="Arial"/>
                <w:color w:val="000000"/>
                <w:sz w:val="16"/>
                <w:szCs w:val="16"/>
              </w:rPr>
              <w:t>820</w:t>
            </w:r>
          </w:p>
        </w:tc>
        <w:tc>
          <w:tcPr>
            <w:tcW w:w="709" w:type="dxa"/>
            <w:tcBorders>
              <w:top w:val="nil"/>
              <w:left w:val="nil"/>
              <w:bottom w:val="nil"/>
              <w:right w:val="single" w:sz="4" w:space="0" w:color="auto"/>
            </w:tcBorders>
            <w:shd w:val="clear" w:color="auto" w:fill="auto"/>
            <w:vAlign w:val="center"/>
          </w:tcPr>
          <w:p w:rsidR="00EC122C" w:rsidRPr="00EC122C" w:rsidRDefault="00EC122C" w:rsidP="00EC122C">
            <w:pPr>
              <w:spacing w:after="0" w:line="240" w:lineRule="auto"/>
              <w:jc w:val="right"/>
              <w:rPr>
                <w:rFonts w:cs="Arial"/>
                <w:color w:val="000000"/>
                <w:sz w:val="16"/>
                <w:szCs w:val="16"/>
              </w:rPr>
            </w:pPr>
            <w:r w:rsidRPr="00EC122C">
              <w:rPr>
                <w:rFonts w:cs="Arial"/>
                <w:color w:val="000000"/>
                <w:sz w:val="16"/>
                <w:szCs w:val="16"/>
              </w:rPr>
              <w:t>187</w:t>
            </w:r>
          </w:p>
        </w:tc>
        <w:tc>
          <w:tcPr>
            <w:tcW w:w="710" w:type="dxa"/>
            <w:tcBorders>
              <w:top w:val="nil"/>
              <w:left w:val="single" w:sz="4" w:space="0" w:color="auto"/>
              <w:bottom w:val="nil"/>
              <w:right w:val="nil"/>
            </w:tcBorders>
            <w:vAlign w:val="center"/>
          </w:tcPr>
          <w:p w:rsidR="00EC122C" w:rsidRPr="00EC122C" w:rsidRDefault="00EC122C" w:rsidP="00EC122C">
            <w:pPr>
              <w:spacing w:after="0" w:line="240" w:lineRule="auto"/>
              <w:jc w:val="right"/>
              <w:rPr>
                <w:rFonts w:cs="Arial"/>
                <w:sz w:val="16"/>
                <w:szCs w:val="16"/>
              </w:rPr>
            </w:pPr>
            <w:r w:rsidRPr="00EC122C">
              <w:rPr>
                <w:rFonts w:cs="Arial"/>
                <w:color w:val="000000"/>
                <w:sz w:val="16"/>
                <w:szCs w:val="16"/>
              </w:rPr>
              <w:t>92</w:t>
            </w:r>
          </w:p>
        </w:tc>
        <w:tc>
          <w:tcPr>
            <w:tcW w:w="709" w:type="dxa"/>
            <w:tcBorders>
              <w:top w:val="nil"/>
              <w:left w:val="nil"/>
              <w:bottom w:val="nil"/>
              <w:right w:val="nil"/>
            </w:tcBorders>
            <w:vAlign w:val="center"/>
          </w:tcPr>
          <w:p w:rsidR="00EC122C" w:rsidRPr="00EC122C" w:rsidRDefault="00EC122C" w:rsidP="00EC122C">
            <w:pPr>
              <w:spacing w:after="0" w:line="240" w:lineRule="auto"/>
              <w:jc w:val="right"/>
              <w:rPr>
                <w:rFonts w:cs="Arial"/>
                <w:sz w:val="16"/>
                <w:szCs w:val="16"/>
              </w:rPr>
            </w:pPr>
            <w:r w:rsidRPr="00EC122C">
              <w:rPr>
                <w:rFonts w:cs="Arial"/>
                <w:color w:val="000000"/>
                <w:sz w:val="16"/>
                <w:szCs w:val="16"/>
              </w:rPr>
              <w:t>87</w:t>
            </w:r>
          </w:p>
        </w:tc>
        <w:tc>
          <w:tcPr>
            <w:tcW w:w="709" w:type="dxa"/>
            <w:tcBorders>
              <w:top w:val="nil"/>
              <w:left w:val="nil"/>
              <w:bottom w:val="nil"/>
              <w:right w:val="nil"/>
            </w:tcBorders>
            <w:vAlign w:val="center"/>
          </w:tcPr>
          <w:p w:rsidR="00EC122C" w:rsidRPr="00EC122C" w:rsidRDefault="00EC122C" w:rsidP="00EC122C">
            <w:pPr>
              <w:spacing w:after="0" w:line="240" w:lineRule="auto"/>
              <w:jc w:val="right"/>
              <w:rPr>
                <w:rFonts w:cs="Arial"/>
                <w:sz w:val="16"/>
                <w:szCs w:val="16"/>
              </w:rPr>
            </w:pPr>
            <w:r w:rsidRPr="00EC122C">
              <w:rPr>
                <w:rFonts w:cs="Arial"/>
                <w:color w:val="000000"/>
                <w:sz w:val="16"/>
                <w:szCs w:val="16"/>
              </w:rPr>
              <w:t>5</w:t>
            </w:r>
          </w:p>
        </w:tc>
      </w:tr>
      <w:tr w:rsidR="00EC122C" w:rsidRPr="00EC122C" w:rsidTr="00EC122C">
        <w:trPr>
          <w:trHeight w:val="300"/>
        </w:trPr>
        <w:tc>
          <w:tcPr>
            <w:tcW w:w="1077" w:type="dxa"/>
            <w:tcBorders>
              <w:top w:val="nil"/>
              <w:left w:val="nil"/>
              <w:bottom w:val="nil"/>
              <w:right w:val="single" w:sz="4" w:space="0" w:color="auto"/>
            </w:tcBorders>
            <w:shd w:val="clear" w:color="auto" w:fill="auto"/>
            <w:vAlign w:val="center"/>
          </w:tcPr>
          <w:p w:rsidR="00EC122C" w:rsidRPr="00EC122C" w:rsidRDefault="00EC122C" w:rsidP="00EC122C">
            <w:pPr>
              <w:spacing w:after="0" w:line="240" w:lineRule="auto"/>
              <w:jc w:val="center"/>
              <w:rPr>
                <w:rFonts w:cs="Arial"/>
                <w:color w:val="000000"/>
                <w:sz w:val="16"/>
                <w:szCs w:val="16"/>
              </w:rPr>
            </w:pPr>
            <w:r w:rsidRPr="00EC122C">
              <w:rPr>
                <w:rFonts w:cs="Arial"/>
                <w:color w:val="000000"/>
                <w:sz w:val="16"/>
                <w:szCs w:val="16"/>
              </w:rPr>
              <w:t>2020</w:t>
            </w:r>
          </w:p>
        </w:tc>
        <w:tc>
          <w:tcPr>
            <w:tcW w:w="710" w:type="dxa"/>
            <w:tcBorders>
              <w:top w:val="nil"/>
              <w:left w:val="nil"/>
              <w:bottom w:val="nil"/>
              <w:right w:val="nil"/>
            </w:tcBorders>
            <w:shd w:val="clear" w:color="auto" w:fill="auto"/>
            <w:vAlign w:val="center"/>
          </w:tcPr>
          <w:p w:rsidR="00EC122C" w:rsidRPr="00EC122C" w:rsidRDefault="00EC122C" w:rsidP="00EC122C">
            <w:pPr>
              <w:spacing w:after="0" w:line="240" w:lineRule="auto"/>
              <w:jc w:val="right"/>
              <w:rPr>
                <w:rFonts w:cs="Arial"/>
                <w:color w:val="000000"/>
                <w:sz w:val="16"/>
                <w:szCs w:val="16"/>
              </w:rPr>
            </w:pPr>
            <w:r w:rsidRPr="00EC122C">
              <w:rPr>
                <w:rFonts w:cs="Arial"/>
                <w:color w:val="000000"/>
                <w:sz w:val="16"/>
                <w:szCs w:val="16"/>
              </w:rPr>
              <w:t>41 358</w:t>
            </w:r>
          </w:p>
        </w:tc>
        <w:tc>
          <w:tcPr>
            <w:tcW w:w="709" w:type="dxa"/>
            <w:tcBorders>
              <w:top w:val="nil"/>
              <w:left w:val="nil"/>
              <w:bottom w:val="nil"/>
              <w:right w:val="nil"/>
            </w:tcBorders>
            <w:shd w:val="clear" w:color="auto" w:fill="auto"/>
            <w:noWrap/>
            <w:vAlign w:val="center"/>
          </w:tcPr>
          <w:p w:rsidR="00EC122C" w:rsidRPr="00EC122C" w:rsidRDefault="00EC122C" w:rsidP="00EC122C">
            <w:pPr>
              <w:spacing w:after="0" w:line="240" w:lineRule="auto"/>
              <w:jc w:val="right"/>
              <w:rPr>
                <w:rFonts w:cs="Arial"/>
                <w:color w:val="000000"/>
                <w:sz w:val="16"/>
                <w:szCs w:val="16"/>
              </w:rPr>
            </w:pPr>
            <w:r w:rsidRPr="00EC122C">
              <w:rPr>
                <w:rFonts w:cs="Arial"/>
                <w:color w:val="000000"/>
                <w:sz w:val="16"/>
                <w:szCs w:val="16"/>
              </w:rPr>
              <w:t>28 681</w:t>
            </w:r>
          </w:p>
        </w:tc>
        <w:tc>
          <w:tcPr>
            <w:tcW w:w="709" w:type="dxa"/>
            <w:tcBorders>
              <w:top w:val="nil"/>
              <w:left w:val="nil"/>
              <w:bottom w:val="nil"/>
              <w:right w:val="single" w:sz="4" w:space="0" w:color="auto"/>
            </w:tcBorders>
            <w:shd w:val="clear" w:color="auto" w:fill="auto"/>
            <w:noWrap/>
            <w:vAlign w:val="center"/>
          </w:tcPr>
          <w:p w:rsidR="00EC122C" w:rsidRPr="00EC122C" w:rsidRDefault="00EC122C" w:rsidP="00EC122C">
            <w:pPr>
              <w:spacing w:after="0" w:line="240" w:lineRule="auto"/>
              <w:jc w:val="right"/>
              <w:rPr>
                <w:rFonts w:cs="Arial"/>
                <w:color w:val="000000"/>
                <w:sz w:val="16"/>
                <w:szCs w:val="16"/>
              </w:rPr>
            </w:pPr>
            <w:r w:rsidRPr="00EC122C">
              <w:rPr>
                <w:rFonts w:cs="Arial"/>
                <w:color w:val="000000"/>
                <w:sz w:val="16"/>
                <w:szCs w:val="16"/>
              </w:rPr>
              <w:t>12 677</w:t>
            </w:r>
          </w:p>
        </w:tc>
        <w:tc>
          <w:tcPr>
            <w:tcW w:w="710" w:type="dxa"/>
            <w:tcBorders>
              <w:top w:val="nil"/>
              <w:left w:val="nil"/>
              <w:bottom w:val="nil"/>
              <w:right w:val="nil"/>
            </w:tcBorders>
            <w:shd w:val="clear" w:color="auto" w:fill="auto"/>
            <w:noWrap/>
            <w:vAlign w:val="center"/>
          </w:tcPr>
          <w:p w:rsidR="00EC122C" w:rsidRPr="00EC122C" w:rsidRDefault="00EC122C" w:rsidP="00EC122C">
            <w:pPr>
              <w:spacing w:after="0" w:line="240" w:lineRule="auto"/>
              <w:jc w:val="right"/>
              <w:rPr>
                <w:rFonts w:cs="Arial"/>
                <w:color w:val="000000"/>
                <w:sz w:val="16"/>
                <w:szCs w:val="16"/>
              </w:rPr>
            </w:pPr>
            <w:r w:rsidRPr="00EC122C">
              <w:rPr>
                <w:rFonts w:cs="Arial"/>
                <w:color w:val="000000"/>
                <w:sz w:val="16"/>
                <w:szCs w:val="16"/>
              </w:rPr>
              <w:t>40 569</w:t>
            </w:r>
          </w:p>
        </w:tc>
        <w:tc>
          <w:tcPr>
            <w:tcW w:w="709" w:type="dxa"/>
            <w:tcBorders>
              <w:top w:val="nil"/>
              <w:left w:val="nil"/>
              <w:bottom w:val="nil"/>
              <w:right w:val="nil"/>
            </w:tcBorders>
            <w:shd w:val="clear" w:color="auto" w:fill="auto"/>
            <w:vAlign w:val="center"/>
          </w:tcPr>
          <w:p w:rsidR="00EC122C" w:rsidRPr="00EC122C" w:rsidRDefault="00EC122C" w:rsidP="00EC122C">
            <w:pPr>
              <w:spacing w:after="0" w:line="240" w:lineRule="auto"/>
              <w:jc w:val="right"/>
              <w:rPr>
                <w:rFonts w:cs="Arial"/>
                <w:color w:val="000000"/>
                <w:sz w:val="16"/>
                <w:szCs w:val="16"/>
              </w:rPr>
            </w:pPr>
            <w:r w:rsidRPr="00EC122C">
              <w:rPr>
                <w:rFonts w:cs="Arial"/>
                <w:color w:val="000000"/>
                <w:sz w:val="16"/>
                <w:szCs w:val="16"/>
              </w:rPr>
              <w:t>28 104</w:t>
            </w:r>
          </w:p>
        </w:tc>
        <w:tc>
          <w:tcPr>
            <w:tcW w:w="709" w:type="dxa"/>
            <w:tcBorders>
              <w:top w:val="nil"/>
              <w:left w:val="nil"/>
              <w:bottom w:val="nil"/>
              <w:right w:val="single" w:sz="4" w:space="0" w:color="auto"/>
            </w:tcBorders>
            <w:shd w:val="clear" w:color="auto" w:fill="auto"/>
            <w:vAlign w:val="center"/>
          </w:tcPr>
          <w:p w:rsidR="00EC122C" w:rsidRPr="00EC122C" w:rsidRDefault="00EC122C" w:rsidP="00EC122C">
            <w:pPr>
              <w:spacing w:after="0" w:line="240" w:lineRule="auto"/>
              <w:jc w:val="right"/>
              <w:rPr>
                <w:rFonts w:cs="Arial"/>
                <w:color w:val="000000"/>
                <w:sz w:val="16"/>
                <w:szCs w:val="16"/>
              </w:rPr>
            </w:pPr>
            <w:r w:rsidRPr="00EC122C">
              <w:rPr>
                <w:rFonts w:cs="Arial"/>
                <w:color w:val="000000"/>
                <w:sz w:val="16"/>
                <w:szCs w:val="16"/>
              </w:rPr>
              <w:t>12 465</w:t>
            </w:r>
          </w:p>
        </w:tc>
        <w:tc>
          <w:tcPr>
            <w:tcW w:w="710" w:type="dxa"/>
            <w:tcBorders>
              <w:top w:val="nil"/>
              <w:left w:val="nil"/>
              <w:bottom w:val="nil"/>
              <w:right w:val="nil"/>
            </w:tcBorders>
            <w:shd w:val="clear" w:color="auto" w:fill="auto"/>
            <w:vAlign w:val="center"/>
          </w:tcPr>
          <w:p w:rsidR="00EC122C" w:rsidRPr="00EC122C" w:rsidRDefault="00EC122C" w:rsidP="00EC122C">
            <w:pPr>
              <w:spacing w:after="0" w:line="240" w:lineRule="auto"/>
              <w:jc w:val="right"/>
              <w:rPr>
                <w:rFonts w:cs="Arial"/>
                <w:color w:val="000000"/>
                <w:sz w:val="16"/>
                <w:szCs w:val="16"/>
              </w:rPr>
            </w:pPr>
            <w:r w:rsidRPr="00EC122C">
              <w:rPr>
                <w:rFonts w:cs="Arial"/>
                <w:color w:val="000000"/>
                <w:sz w:val="16"/>
                <w:szCs w:val="16"/>
              </w:rPr>
              <w:t>830</w:t>
            </w:r>
          </w:p>
        </w:tc>
        <w:tc>
          <w:tcPr>
            <w:tcW w:w="709" w:type="dxa"/>
            <w:tcBorders>
              <w:top w:val="nil"/>
              <w:left w:val="nil"/>
              <w:bottom w:val="nil"/>
              <w:right w:val="nil"/>
            </w:tcBorders>
            <w:shd w:val="clear" w:color="auto" w:fill="auto"/>
            <w:vAlign w:val="center"/>
          </w:tcPr>
          <w:p w:rsidR="00EC122C" w:rsidRPr="00EC122C" w:rsidRDefault="00EC122C" w:rsidP="00EC122C">
            <w:pPr>
              <w:spacing w:after="0" w:line="240" w:lineRule="auto"/>
              <w:jc w:val="right"/>
              <w:rPr>
                <w:rFonts w:cs="Arial"/>
                <w:color w:val="000000"/>
                <w:sz w:val="16"/>
                <w:szCs w:val="16"/>
              </w:rPr>
            </w:pPr>
            <w:r w:rsidRPr="00EC122C">
              <w:rPr>
                <w:rFonts w:cs="Arial"/>
                <w:color w:val="000000"/>
                <w:sz w:val="16"/>
                <w:szCs w:val="16"/>
              </w:rPr>
              <w:t>693</w:t>
            </w:r>
          </w:p>
        </w:tc>
        <w:tc>
          <w:tcPr>
            <w:tcW w:w="709" w:type="dxa"/>
            <w:tcBorders>
              <w:top w:val="nil"/>
              <w:left w:val="nil"/>
              <w:bottom w:val="nil"/>
              <w:right w:val="single" w:sz="4" w:space="0" w:color="auto"/>
            </w:tcBorders>
            <w:shd w:val="clear" w:color="auto" w:fill="auto"/>
            <w:vAlign w:val="center"/>
          </w:tcPr>
          <w:p w:rsidR="00EC122C" w:rsidRPr="00EC122C" w:rsidRDefault="00EC122C" w:rsidP="00EC122C">
            <w:pPr>
              <w:spacing w:after="0" w:line="240" w:lineRule="auto"/>
              <w:jc w:val="right"/>
              <w:rPr>
                <w:rFonts w:cs="Arial"/>
                <w:color w:val="000000"/>
                <w:sz w:val="16"/>
                <w:szCs w:val="16"/>
              </w:rPr>
            </w:pPr>
            <w:r w:rsidRPr="00EC122C">
              <w:rPr>
                <w:rFonts w:cs="Arial"/>
                <w:color w:val="000000"/>
                <w:sz w:val="16"/>
                <w:szCs w:val="16"/>
              </w:rPr>
              <w:t>137</w:t>
            </w:r>
          </w:p>
        </w:tc>
        <w:tc>
          <w:tcPr>
            <w:tcW w:w="710" w:type="dxa"/>
            <w:tcBorders>
              <w:top w:val="nil"/>
              <w:left w:val="single" w:sz="4" w:space="0" w:color="auto"/>
              <w:bottom w:val="nil"/>
              <w:right w:val="nil"/>
            </w:tcBorders>
            <w:vAlign w:val="center"/>
          </w:tcPr>
          <w:p w:rsidR="00EC122C" w:rsidRPr="00EC122C" w:rsidRDefault="00EC122C" w:rsidP="00EC122C">
            <w:pPr>
              <w:spacing w:after="0" w:line="240" w:lineRule="auto"/>
              <w:jc w:val="right"/>
              <w:rPr>
                <w:rFonts w:cs="Arial"/>
                <w:sz w:val="16"/>
                <w:szCs w:val="16"/>
              </w:rPr>
            </w:pPr>
            <w:r w:rsidRPr="00EC122C">
              <w:rPr>
                <w:rFonts w:cs="Arial"/>
                <w:color w:val="000000"/>
                <w:sz w:val="16"/>
                <w:szCs w:val="16"/>
              </w:rPr>
              <w:t>108</w:t>
            </w:r>
          </w:p>
        </w:tc>
        <w:tc>
          <w:tcPr>
            <w:tcW w:w="709" w:type="dxa"/>
            <w:tcBorders>
              <w:top w:val="nil"/>
              <w:left w:val="nil"/>
              <w:bottom w:val="nil"/>
              <w:right w:val="nil"/>
            </w:tcBorders>
            <w:vAlign w:val="center"/>
          </w:tcPr>
          <w:p w:rsidR="00EC122C" w:rsidRPr="00EC122C" w:rsidRDefault="00EC122C" w:rsidP="00EC122C">
            <w:pPr>
              <w:spacing w:after="0" w:line="240" w:lineRule="auto"/>
              <w:jc w:val="right"/>
              <w:rPr>
                <w:rFonts w:cs="Arial"/>
                <w:sz w:val="16"/>
                <w:szCs w:val="16"/>
              </w:rPr>
            </w:pPr>
            <w:r w:rsidRPr="00EC122C">
              <w:rPr>
                <w:rFonts w:cs="Arial"/>
                <w:color w:val="000000"/>
                <w:sz w:val="16"/>
                <w:szCs w:val="16"/>
              </w:rPr>
              <w:t>105</w:t>
            </w:r>
          </w:p>
        </w:tc>
        <w:tc>
          <w:tcPr>
            <w:tcW w:w="709" w:type="dxa"/>
            <w:tcBorders>
              <w:top w:val="nil"/>
              <w:left w:val="nil"/>
              <w:bottom w:val="nil"/>
              <w:right w:val="nil"/>
            </w:tcBorders>
            <w:vAlign w:val="center"/>
          </w:tcPr>
          <w:p w:rsidR="00EC122C" w:rsidRPr="00EC122C" w:rsidRDefault="00EC122C" w:rsidP="00EC122C">
            <w:pPr>
              <w:spacing w:after="0" w:line="240" w:lineRule="auto"/>
              <w:jc w:val="right"/>
              <w:rPr>
                <w:rFonts w:cs="Arial"/>
                <w:sz w:val="16"/>
                <w:szCs w:val="16"/>
              </w:rPr>
            </w:pPr>
            <w:r w:rsidRPr="00EC122C">
              <w:rPr>
                <w:rFonts w:cs="Arial"/>
                <w:color w:val="000000"/>
                <w:sz w:val="16"/>
                <w:szCs w:val="16"/>
              </w:rPr>
              <w:t>3</w:t>
            </w:r>
          </w:p>
        </w:tc>
      </w:tr>
      <w:tr w:rsidR="00EC122C" w:rsidRPr="00EC122C" w:rsidTr="00EC122C">
        <w:trPr>
          <w:trHeight w:val="300"/>
        </w:trPr>
        <w:tc>
          <w:tcPr>
            <w:tcW w:w="1077" w:type="dxa"/>
            <w:tcBorders>
              <w:top w:val="nil"/>
              <w:left w:val="nil"/>
              <w:bottom w:val="nil"/>
              <w:right w:val="single" w:sz="4" w:space="0" w:color="auto"/>
            </w:tcBorders>
            <w:shd w:val="clear" w:color="auto" w:fill="auto"/>
            <w:vAlign w:val="center"/>
          </w:tcPr>
          <w:p w:rsidR="00EC122C" w:rsidRPr="00EC122C" w:rsidRDefault="00EC122C" w:rsidP="00EC122C">
            <w:pPr>
              <w:spacing w:after="0" w:line="240" w:lineRule="auto"/>
              <w:jc w:val="center"/>
              <w:rPr>
                <w:rFonts w:cs="Arial"/>
                <w:color w:val="000000"/>
                <w:sz w:val="16"/>
                <w:szCs w:val="16"/>
              </w:rPr>
            </w:pPr>
            <w:r w:rsidRPr="00EC122C">
              <w:rPr>
                <w:rFonts w:cs="Arial"/>
                <w:color w:val="000000"/>
                <w:sz w:val="16"/>
                <w:szCs w:val="16"/>
              </w:rPr>
              <w:t>2021</w:t>
            </w:r>
          </w:p>
        </w:tc>
        <w:tc>
          <w:tcPr>
            <w:tcW w:w="710" w:type="dxa"/>
            <w:tcBorders>
              <w:top w:val="nil"/>
              <w:left w:val="nil"/>
              <w:bottom w:val="nil"/>
              <w:right w:val="nil"/>
            </w:tcBorders>
            <w:shd w:val="clear" w:color="auto" w:fill="auto"/>
            <w:noWrap/>
            <w:vAlign w:val="center"/>
          </w:tcPr>
          <w:p w:rsidR="00EC122C" w:rsidRPr="00EC122C" w:rsidRDefault="00EC122C" w:rsidP="00EC122C">
            <w:pPr>
              <w:spacing w:after="0" w:line="240" w:lineRule="auto"/>
              <w:jc w:val="right"/>
              <w:rPr>
                <w:rFonts w:cs="Arial"/>
                <w:color w:val="000000"/>
                <w:sz w:val="16"/>
                <w:szCs w:val="16"/>
              </w:rPr>
            </w:pPr>
            <w:r w:rsidRPr="00EC122C">
              <w:rPr>
                <w:rFonts w:cs="Arial"/>
                <w:color w:val="000000"/>
                <w:sz w:val="16"/>
                <w:szCs w:val="16"/>
              </w:rPr>
              <w:t>44 933</w:t>
            </w:r>
          </w:p>
        </w:tc>
        <w:tc>
          <w:tcPr>
            <w:tcW w:w="709" w:type="dxa"/>
            <w:tcBorders>
              <w:top w:val="nil"/>
              <w:left w:val="nil"/>
              <w:bottom w:val="nil"/>
              <w:right w:val="nil"/>
            </w:tcBorders>
            <w:shd w:val="clear" w:color="auto" w:fill="auto"/>
            <w:vAlign w:val="center"/>
          </w:tcPr>
          <w:p w:rsidR="00EC122C" w:rsidRPr="00EC122C" w:rsidRDefault="00EC122C" w:rsidP="00EC122C">
            <w:pPr>
              <w:spacing w:after="0" w:line="240" w:lineRule="auto"/>
              <w:jc w:val="right"/>
              <w:rPr>
                <w:rFonts w:cs="Arial"/>
                <w:color w:val="000000"/>
                <w:sz w:val="16"/>
                <w:szCs w:val="16"/>
              </w:rPr>
            </w:pPr>
            <w:r w:rsidRPr="00EC122C">
              <w:rPr>
                <w:rFonts w:cs="Arial"/>
                <w:color w:val="000000"/>
                <w:sz w:val="16"/>
                <w:szCs w:val="16"/>
              </w:rPr>
              <w:t>31 115</w:t>
            </w:r>
          </w:p>
        </w:tc>
        <w:tc>
          <w:tcPr>
            <w:tcW w:w="709" w:type="dxa"/>
            <w:tcBorders>
              <w:top w:val="nil"/>
              <w:left w:val="nil"/>
              <w:bottom w:val="nil"/>
              <w:right w:val="single" w:sz="4" w:space="0" w:color="auto"/>
            </w:tcBorders>
            <w:shd w:val="clear" w:color="auto" w:fill="auto"/>
            <w:vAlign w:val="center"/>
          </w:tcPr>
          <w:p w:rsidR="00EC122C" w:rsidRPr="00EC122C" w:rsidRDefault="00EC122C" w:rsidP="00EC122C">
            <w:pPr>
              <w:spacing w:after="0" w:line="240" w:lineRule="auto"/>
              <w:jc w:val="right"/>
              <w:rPr>
                <w:rFonts w:cs="Arial"/>
                <w:color w:val="000000"/>
                <w:sz w:val="16"/>
                <w:szCs w:val="16"/>
              </w:rPr>
            </w:pPr>
            <w:r w:rsidRPr="00EC122C">
              <w:rPr>
                <w:rFonts w:cs="Arial"/>
                <w:color w:val="000000"/>
                <w:sz w:val="16"/>
                <w:szCs w:val="16"/>
              </w:rPr>
              <w:t>13 818</w:t>
            </w:r>
          </w:p>
        </w:tc>
        <w:tc>
          <w:tcPr>
            <w:tcW w:w="710" w:type="dxa"/>
            <w:tcBorders>
              <w:top w:val="nil"/>
              <w:left w:val="nil"/>
              <w:bottom w:val="nil"/>
              <w:right w:val="nil"/>
            </w:tcBorders>
            <w:shd w:val="clear" w:color="auto" w:fill="auto"/>
            <w:noWrap/>
            <w:vAlign w:val="center"/>
          </w:tcPr>
          <w:p w:rsidR="00EC122C" w:rsidRPr="00EC122C" w:rsidRDefault="00EC122C" w:rsidP="00EC122C">
            <w:pPr>
              <w:spacing w:after="0" w:line="240" w:lineRule="auto"/>
              <w:jc w:val="right"/>
              <w:rPr>
                <w:rFonts w:cs="Arial"/>
                <w:color w:val="000000"/>
                <w:sz w:val="16"/>
                <w:szCs w:val="16"/>
              </w:rPr>
            </w:pPr>
            <w:r w:rsidRPr="00EC122C">
              <w:rPr>
                <w:rFonts w:cs="Arial"/>
                <w:color w:val="000000"/>
                <w:sz w:val="16"/>
                <w:szCs w:val="16"/>
              </w:rPr>
              <w:t>43 980</w:t>
            </w:r>
          </w:p>
        </w:tc>
        <w:tc>
          <w:tcPr>
            <w:tcW w:w="709" w:type="dxa"/>
            <w:tcBorders>
              <w:top w:val="nil"/>
              <w:left w:val="nil"/>
              <w:bottom w:val="nil"/>
              <w:right w:val="nil"/>
            </w:tcBorders>
            <w:shd w:val="clear" w:color="auto" w:fill="auto"/>
            <w:vAlign w:val="center"/>
          </w:tcPr>
          <w:p w:rsidR="00EC122C" w:rsidRPr="00EC122C" w:rsidRDefault="00EC122C" w:rsidP="00EC122C">
            <w:pPr>
              <w:spacing w:after="0" w:line="240" w:lineRule="auto"/>
              <w:jc w:val="right"/>
              <w:rPr>
                <w:rFonts w:cs="Arial"/>
                <w:color w:val="000000"/>
                <w:sz w:val="16"/>
                <w:szCs w:val="16"/>
              </w:rPr>
            </w:pPr>
            <w:r w:rsidRPr="00EC122C">
              <w:rPr>
                <w:rFonts w:cs="Arial"/>
                <w:color w:val="000000"/>
                <w:sz w:val="16"/>
                <w:szCs w:val="16"/>
              </w:rPr>
              <w:t>30 411</w:t>
            </w:r>
          </w:p>
        </w:tc>
        <w:tc>
          <w:tcPr>
            <w:tcW w:w="709" w:type="dxa"/>
            <w:tcBorders>
              <w:top w:val="nil"/>
              <w:left w:val="nil"/>
              <w:bottom w:val="nil"/>
              <w:right w:val="single" w:sz="4" w:space="0" w:color="auto"/>
            </w:tcBorders>
            <w:shd w:val="clear" w:color="auto" w:fill="auto"/>
            <w:vAlign w:val="center"/>
          </w:tcPr>
          <w:p w:rsidR="00EC122C" w:rsidRPr="00EC122C" w:rsidRDefault="00EC122C" w:rsidP="00EC122C">
            <w:pPr>
              <w:spacing w:after="0" w:line="240" w:lineRule="auto"/>
              <w:jc w:val="right"/>
              <w:rPr>
                <w:rFonts w:cs="Arial"/>
                <w:color w:val="000000"/>
                <w:sz w:val="16"/>
                <w:szCs w:val="16"/>
              </w:rPr>
            </w:pPr>
            <w:r w:rsidRPr="00EC122C">
              <w:rPr>
                <w:rFonts w:cs="Arial"/>
                <w:color w:val="000000"/>
                <w:sz w:val="16"/>
                <w:szCs w:val="16"/>
              </w:rPr>
              <w:t>13 569</w:t>
            </w:r>
          </w:p>
        </w:tc>
        <w:tc>
          <w:tcPr>
            <w:tcW w:w="710" w:type="dxa"/>
            <w:tcBorders>
              <w:top w:val="nil"/>
              <w:left w:val="nil"/>
              <w:bottom w:val="nil"/>
              <w:right w:val="nil"/>
            </w:tcBorders>
            <w:shd w:val="clear" w:color="auto" w:fill="auto"/>
            <w:vAlign w:val="center"/>
          </w:tcPr>
          <w:p w:rsidR="00EC122C" w:rsidRPr="00EC122C" w:rsidRDefault="00EC122C" w:rsidP="00EC122C">
            <w:pPr>
              <w:spacing w:after="0" w:line="240" w:lineRule="auto"/>
              <w:jc w:val="right"/>
              <w:rPr>
                <w:rFonts w:cs="Arial"/>
                <w:color w:val="000000"/>
                <w:sz w:val="16"/>
                <w:szCs w:val="16"/>
              </w:rPr>
            </w:pPr>
            <w:r w:rsidRPr="00EC122C">
              <w:rPr>
                <w:rFonts w:cs="Arial"/>
                <w:color w:val="000000"/>
                <w:sz w:val="16"/>
                <w:szCs w:val="16"/>
              </w:rPr>
              <w:t>788</w:t>
            </w:r>
          </w:p>
        </w:tc>
        <w:tc>
          <w:tcPr>
            <w:tcW w:w="709" w:type="dxa"/>
            <w:tcBorders>
              <w:top w:val="nil"/>
              <w:left w:val="nil"/>
              <w:bottom w:val="nil"/>
              <w:right w:val="nil"/>
            </w:tcBorders>
            <w:shd w:val="clear" w:color="auto" w:fill="auto"/>
            <w:vAlign w:val="center"/>
          </w:tcPr>
          <w:p w:rsidR="00EC122C" w:rsidRPr="00EC122C" w:rsidRDefault="00EC122C" w:rsidP="00EC122C">
            <w:pPr>
              <w:spacing w:after="0" w:line="240" w:lineRule="auto"/>
              <w:jc w:val="right"/>
              <w:rPr>
                <w:rFonts w:cs="Arial"/>
                <w:color w:val="000000"/>
                <w:sz w:val="16"/>
                <w:szCs w:val="16"/>
              </w:rPr>
            </w:pPr>
            <w:r w:rsidRPr="00EC122C">
              <w:rPr>
                <w:rFonts w:cs="Arial"/>
                <w:color w:val="000000"/>
                <w:sz w:val="16"/>
                <w:szCs w:val="16"/>
              </w:rPr>
              <w:t>652</w:t>
            </w:r>
          </w:p>
        </w:tc>
        <w:tc>
          <w:tcPr>
            <w:tcW w:w="709" w:type="dxa"/>
            <w:tcBorders>
              <w:top w:val="nil"/>
              <w:left w:val="nil"/>
              <w:bottom w:val="nil"/>
              <w:right w:val="single" w:sz="4" w:space="0" w:color="auto"/>
            </w:tcBorders>
            <w:shd w:val="clear" w:color="auto" w:fill="auto"/>
            <w:vAlign w:val="center"/>
          </w:tcPr>
          <w:p w:rsidR="00EC122C" w:rsidRPr="00EC122C" w:rsidRDefault="00EC122C" w:rsidP="00EC122C">
            <w:pPr>
              <w:spacing w:after="0" w:line="240" w:lineRule="auto"/>
              <w:jc w:val="right"/>
              <w:rPr>
                <w:rFonts w:cs="Arial"/>
                <w:color w:val="000000"/>
                <w:sz w:val="16"/>
                <w:szCs w:val="16"/>
              </w:rPr>
            </w:pPr>
            <w:r w:rsidRPr="00EC122C">
              <w:rPr>
                <w:rFonts w:cs="Arial"/>
                <w:color w:val="000000"/>
                <w:sz w:val="16"/>
                <w:szCs w:val="16"/>
              </w:rPr>
              <w:t>136</w:t>
            </w:r>
          </w:p>
        </w:tc>
        <w:tc>
          <w:tcPr>
            <w:tcW w:w="710" w:type="dxa"/>
            <w:tcBorders>
              <w:top w:val="nil"/>
              <w:left w:val="single" w:sz="4" w:space="0" w:color="auto"/>
              <w:bottom w:val="nil"/>
              <w:right w:val="nil"/>
            </w:tcBorders>
            <w:vAlign w:val="center"/>
          </w:tcPr>
          <w:p w:rsidR="00EC122C" w:rsidRPr="00EC122C" w:rsidRDefault="00EC122C" w:rsidP="00EC122C">
            <w:pPr>
              <w:spacing w:after="0" w:line="240" w:lineRule="auto"/>
              <w:jc w:val="right"/>
              <w:rPr>
                <w:rFonts w:cs="Arial"/>
                <w:color w:val="000000"/>
                <w:sz w:val="16"/>
                <w:szCs w:val="16"/>
              </w:rPr>
            </w:pPr>
            <w:r w:rsidRPr="00EC122C">
              <w:rPr>
                <w:rFonts w:cs="Arial"/>
                <w:color w:val="000000"/>
                <w:sz w:val="16"/>
                <w:szCs w:val="16"/>
              </w:rPr>
              <w:t>88</w:t>
            </w:r>
          </w:p>
        </w:tc>
        <w:tc>
          <w:tcPr>
            <w:tcW w:w="709" w:type="dxa"/>
            <w:tcBorders>
              <w:top w:val="nil"/>
              <w:left w:val="nil"/>
              <w:bottom w:val="nil"/>
              <w:right w:val="nil"/>
            </w:tcBorders>
            <w:vAlign w:val="center"/>
          </w:tcPr>
          <w:p w:rsidR="00EC122C" w:rsidRPr="00EC122C" w:rsidRDefault="00EC122C" w:rsidP="00EC122C">
            <w:pPr>
              <w:spacing w:after="0" w:line="240" w:lineRule="auto"/>
              <w:jc w:val="right"/>
              <w:rPr>
                <w:rFonts w:cs="Arial"/>
                <w:color w:val="000000"/>
                <w:sz w:val="16"/>
                <w:szCs w:val="16"/>
              </w:rPr>
            </w:pPr>
            <w:r w:rsidRPr="00EC122C">
              <w:rPr>
                <w:rFonts w:cs="Arial"/>
                <w:color w:val="000000"/>
                <w:sz w:val="16"/>
                <w:szCs w:val="16"/>
              </w:rPr>
              <w:t>82</w:t>
            </w:r>
          </w:p>
        </w:tc>
        <w:tc>
          <w:tcPr>
            <w:tcW w:w="709" w:type="dxa"/>
            <w:tcBorders>
              <w:top w:val="nil"/>
              <w:left w:val="nil"/>
              <w:bottom w:val="nil"/>
              <w:right w:val="nil"/>
            </w:tcBorders>
            <w:vAlign w:val="center"/>
          </w:tcPr>
          <w:p w:rsidR="00EC122C" w:rsidRPr="00EC122C" w:rsidRDefault="00EC122C" w:rsidP="00EC122C">
            <w:pPr>
              <w:spacing w:after="0" w:line="240" w:lineRule="auto"/>
              <w:jc w:val="right"/>
              <w:rPr>
                <w:rFonts w:cs="Arial"/>
                <w:color w:val="000000"/>
                <w:sz w:val="16"/>
                <w:szCs w:val="16"/>
              </w:rPr>
            </w:pPr>
            <w:r w:rsidRPr="00EC122C">
              <w:rPr>
                <w:rFonts w:cs="Arial"/>
                <w:color w:val="000000"/>
                <w:sz w:val="16"/>
                <w:szCs w:val="16"/>
              </w:rPr>
              <w:t>6</w:t>
            </w:r>
          </w:p>
        </w:tc>
      </w:tr>
      <w:tr w:rsidR="00EC122C" w:rsidRPr="00EC122C" w:rsidTr="00EC122C">
        <w:trPr>
          <w:trHeight w:val="300"/>
        </w:trPr>
        <w:tc>
          <w:tcPr>
            <w:tcW w:w="1077" w:type="dxa"/>
            <w:tcBorders>
              <w:top w:val="nil"/>
              <w:left w:val="nil"/>
              <w:bottom w:val="nil"/>
              <w:right w:val="single" w:sz="4" w:space="0" w:color="auto"/>
            </w:tcBorders>
            <w:shd w:val="clear" w:color="auto" w:fill="auto"/>
            <w:vAlign w:val="center"/>
          </w:tcPr>
          <w:p w:rsidR="00EC122C" w:rsidRPr="00EC122C" w:rsidRDefault="00EC122C" w:rsidP="00EC122C">
            <w:pPr>
              <w:spacing w:after="0" w:line="240" w:lineRule="auto"/>
              <w:jc w:val="center"/>
              <w:rPr>
                <w:rFonts w:cs="Arial"/>
                <w:color w:val="000000"/>
                <w:sz w:val="16"/>
                <w:szCs w:val="16"/>
              </w:rPr>
            </w:pPr>
            <w:r w:rsidRPr="00EC122C">
              <w:rPr>
                <w:rFonts w:cs="Arial"/>
                <w:color w:val="000000"/>
                <w:sz w:val="16"/>
                <w:szCs w:val="16"/>
              </w:rPr>
              <w:t>2022</w:t>
            </w:r>
          </w:p>
        </w:tc>
        <w:tc>
          <w:tcPr>
            <w:tcW w:w="710" w:type="dxa"/>
            <w:tcBorders>
              <w:top w:val="nil"/>
              <w:left w:val="nil"/>
              <w:bottom w:val="nil"/>
              <w:right w:val="nil"/>
            </w:tcBorders>
            <w:shd w:val="clear" w:color="auto" w:fill="auto"/>
            <w:noWrap/>
            <w:vAlign w:val="center"/>
          </w:tcPr>
          <w:p w:rsidR="00EC122C" w:rsidRPr="00EC122C" w:rsidRDefault="00EC122C" w:rsidP="00EC122C">
            <w:pPr>
              <w:spacing w:after="0" w:line="240" w:lineRule="auto"/>
              <w:jc w:val="right"/>
              <w:rPr>
                <w:rFonts w:cs="Arial"/>
                <w:color w:val="000000"/>
                <w:sz w:val="16"/>
                <w:szCs w:val="16"/>
              </w:rPr>
            </w:pPr>
            <w:r w:rsidRPr="00EC122C">
              <w:rPr>
                <w:rFonts w:cs="Arial"/>
                <w:color w:val="000000"/>
                <w:sz w:val="16"/>
                <w:szCs w:val="16"/>
              </w:rPr>
              <w:t>44 608</w:t>
            </w:r>
          </w:p>
        </w:tc>
        <w:tc>
          <w:tcPr>
            <w:tcW w:w="709" w:type="dxa"/>
            <w:tcBorders>
              <w:top w:val="nil"/>
              <w:left w:val="nil"/>
              <w:bottom w:val="nil"/>
              <w:right w:val="nil"/>
            </w:tcBorders>
            <w:shd w:val="clear" w:color="auto" w:fill="auto"/>
            <w:vAlign w:val="center"/>
          </w:tcPr>
          <w:p w:rsidR="00EC122C" w:rsidRPr="00EC122C" w:rsidRDefault="00EC122C" w:rsidP="00EC122C">
            <w:pPr>
              <w:spacing w:after="0" w:line="240" w:lineRule="auto"/>
              <w:jc w:val="right"/>
              <w:rPr>
                <w:rFonts w:cs="Arial"/>
                <w:color w:val="000000"/>
                <w:sz w:val="16"/>
                <w:szCs w:val="16"/>
              </w:rPr>
            </w:pPr>
            <w:r w:rsidRPr="00EC122C">
              <w:rPr>
                <w:rFonts w:cs="Arial"/>
                <w:color w:val="000000"/>
                <w:sz w:val="16"/>
                <w:szCs w:val="16"/>
              </w:rPr>
              <w:t>29 904</w:t>
            </w:r>
          </w:p>
        </w:tc>
        <w:tc>
          <w:tcPr>
            <w:tcW w:w="709" w:type="dxa"/>
            <w:tcBorders>
              <w:top w:val="nil"/>
              <w:left w:val="nil"/>
              <w:bottom w:val="nil"/>
              <w:right w:val="single" w:sz="4" w:space="0" w:color="auto"/>
            </w:tcBorders>
            <w:shd w:val="clear" w:color="auto" w:fill="auto"/>
            <w:vAlign w:val="center"/>
          </w:tcPr>
          <w:p w:rsidR="00EC122C" w:rsidRPr="00EC122C" w:rsidRDefault="00EC122C" w:rsidP="00EC122C">
            <w:pPr>
              <w:spacing w:after="0" w:line="240" w:lineRule="auto"/>
              <w:jc w:val="right"/>
              <w:rPr>
                <w:rFonts w:cs="Arial"/>
                <w:color w:val="000000"/>
                <w:sz w:val="16"/>
                <w:szCs w:val="16"/>
              </w:rPr>
            </w:pPr>
            <w:r w:rsidRPr="00EC122C">
              <w:rPr>
                <w:rFonts w:cs="Arial"/>
                <w:color w:val="000000"/>
                <w:sz w:val="16"/>
                <w:szCs w:val="16"/>
              </w:rPr>
              <w:t>14 704</w:t>
            </w:r>
          </w:p>
        </w:tc>
        <w:tc>
          <w:tcPr>
            <w:tcW w:w="710" w:type="dxa"/>
            <w:tcBorders>
              <w:top w:val="nil"/>
              <w:left w:val="nil"/>
              <w:bottom w:val="nil"/>
              <w:right w:val="nil"/>
            </w:tcBorders>
            <w:shd w:val="clear" w:color="auto" w:fill="auto"/>
            <w:noWrap/>
            <w:vAlign w:val="center"/>
          </w:tcPr>
          <w:p w:rsidR="00EC122C" w:rsidRPr="00EC122C" w:rsidRDefault="00EC122C" w:rsidP="00EC122C">
            <w:pPr>
              <w:spacing w:after="0" w:line="240" w:lineRule="auto"/>
              <w:jc w:val="right"/>
              <w:rPr>
                <w:rFonts w:cs="Arial"/>
                <w:color w:val="000000"/>
                <w:sz w:val="16"/>
                <w:szCs w:val="16"/>
              </w:rPr>
            </w:pPr>
            <w:r w:rsidRPr="00EC122C">
              <w:rPr>
                <w:rFonts w:cs="Arial"/>
                <w:color w:val="000000"/>
                <w:sz w:val="16"/>
                <w:szCs w:val="16"/>
              </w:rPr>
              <w:t>43 561</w:t>
            </w:r>
          </w:p>
        </w:tc>
        <w:tc>
          <w:tcPr>
            <w:tcW w:w="709" w:type="dxa"/>
            <w:tcBorders>
              <w:top w:val="nil"/>
              <w:left w:val="nil"/>
              <w:bottom w:val="nil"/>
              <w:right w:val="nil"/>
            </w:tcBorders>
            <w:shd w:val="clear" w:color="auto" w:fill="auto"/>
            <w:vAlign w:val="center"/>
          </w:tcPr>
          <w:p w:rsidR="00EC122C" w:rsidRPr="00EC122C" w:rsidRDefault="00EC122C" w:rsidP="00EC122C">
            <w:pPr>
              <w:spacing w:after="0" w:line="240" w:lineRule="auto"/>
              <w:jc w:val="right"/>
              <w:rPr>
                <w:rFonts w:cs="Arial"/>
                <w:color w:val="000000"/>
                <w:sz w:val="16"/>
                <w:szCs w:val="16"/>
              </w:rPr>
            </w:pPr>
            <w:r w:rsidRPr="00EC122C">
              <w:rPr>
                <w:rFonts w:cs="Arial"/>
                <w:color w:val="000000"/>
                <w:sz w:val="16"/>
                <w:szCs w:val="16"/>
              </w:rPr>
              <w:t>29 140</w:t>
            </w:r>
          </w:p>
        </w:tc>
        <w:tc>
          <w:tcPr>
            <w:tcW w:w="709" w:type="dxa"/>
            <w:tcBorders>
              <w:top w:val="nil"/>
              <w:left w:val="nil"/>
              <w:bottom w:val="nil"/>
              <w:right w:val="single" w:sz="4" w:space="0" w:color="auto"/>
            </w:tcBorders>
            <w:shd w:val="clear" w:color="auto" w:fill="auto"/>
            <w:vAlign w:val="center"/>
          </w:tcPr>
          <w:p w:rsidR="00EC122C" w:rsidRPr="00EC122C" w:rsidRDefault="00EC122C" w:rsidP="00EC122C">
            <w:pPr>
              <w:spacing w:after="0" w:line="240" w:lineRule="auto"/>
              <w:jc w:val="right"/>
              <w:rPr>
                <w:rFonts w:cs="Arial"/>
                <w:color w:val="000000"/>
                <w:sz w:val="16"/>
                <w:szCs w:val="16"/>
              </w:rPr>
            </w:pPr>
            <w:r w:rsidRPr="00EC122C">
              <w:rPr>
                <w:rFonts w:cs="Arial"/>
                <w:color w:val="000000"/>
                <w:sz w:val="16"/>
                <w:szCs w:val="16"/>
              </w:rPr>
              <w:t>14 421</w:t>
            </w:r>
          </w:p>
        </w:tc>
        <w:tc>
          <w:tcPr>
            <w:tcW w:w="710" w:type="dxa"/>
            <w:tcBorders>
              <w:top w:val="nil"/>
              <w:left w:val="nil"/>
              <w:bottom w:val="nil"/>
              <w:right w:val="nil"/>
            </w:tcBorders>
            <w:shd w:val="clear" w:color="auto" w:fill="auto"/>
            <w:vAlign w:val="center"/>
          </w:tcPr>
          <w:p w:rsidR="00EC122C" w:rsidRPr="00EC122C" w:rsidRDefault="00EC122C" w:rsidP="00EC122C">
            <w:pPr>
              <w:spacing w:after="0" w:line="240" w:lineRule="auto"/>
              <w:jc w:val="right"/>
              <w:rPr>
                <w:rFonts w:cs="Arial"/>
                <w:color w:val="000000"/>
                <w:sz w:val="16"/>
                <w:szCs w:val="16"/>
              </w:rPr>
            </w:pPr>
            <w:r w:rsidRPr="00EC122C">
              <w:rPr>
                <w:rFonts w:cs="Arial"/>
                <w:color w:val="000000"/>
                <w:sz w:val="16"/>
                <w:szCs w:val="16"/>
              </w:rPr>
              <w:t>797</w:t>
            </w:r>
          </w:p>
        </w:tc>
        <w:tc>
          <w:tcPr>
            <w:tcW w:w="709" w:type="dxa"/>
            <w:tcBorders>
              <w:top w:val="nil"/>
              <w:left w:val="nil"/>
              <w:bottom w:val="nil"/>
              <w:right w:val="nil"/>
            </w:tcBorders>
            <w:shd w:val="clear" w:color="auto" w:fill="auto"/>
            <w:vAlign w:val="center"/>
          </w:tcPr>
          <w:p w:rsidR="00EC122C" w:rsidRPr="00EC122C" w:rsidRDefault="00EC122C" w:rsidP="00EC122C">
            <w:pPr>
              <w:spacing w:after="0" w:line="240" w:lineRule="auto"/>
              <w:jc w:val="right"/>
              <w:rPr>
                <w:rFonts w:cs="Arial"/>
                <w:color w:val="000000"/>
                <w:sz w:val="16"/>
                <w:szCs w:val="16"/>
              </w:rPr>
            </w:pPr>
            <w:r w:rsidRPr="00EC122C">
              <w:rPr>
                <w:rFonts w:cs="Arial"/>
                <w:color w:val="000000"/>
                <w:sz w:val="16"/>
                <w:szCs w:val="22"/>
              </w:rPr>
              <w:t>640</w:t>
            </w:r>
          </w:p>
        </w:tc>
        <w:tc>
          <w:tcPr>
            <w:tcW w:w="709" w:type="dxa"/>
            <w:tcBorders>
              <w:top w:val="nil"/>
              <w:left w:val="nil"/>
              <w:bottom w:val="nil"/>
              <w:right w:val="single" w:sz="4" w:space="0" w:color="auto"/>
            </w:tcBorders>
            <w:shd w:val="clear" w:color="auto" w:fill="auto"/>
            <w:vAlign w:val="center"/>
          </w:tcPr>
          <w:p w:rsidR="00EC122C" w:rsidRPr="00EC122C" w:rsidRDefault="00EC122C" w:rsidP="00EC122C">
            <w:pPr>
              <w:spacing w:after="0" w:line="240" w:lineRule="auto"/>
              <w:jc w:val="right"/>
              <w:rPr>
                <w:rFonts w:cs="Arial"/>
                <w:color w:val="000000"/>
                <w:sz w:val="16"/>
                <w:szCs w:val="16"/>
              </w:rPr>
            </w:pPr>
            <w:r w:rsidRPr="00EC122C">
              <w:rPr>
                <w:rFonts w:cs="Arial"/>
                <w:color w:val="000000"/>
                <w:sz w:val="16"/>
                <w:szCs w:val="16"/>
              </w:rPr>
              <w:t>157</w:t>
            </w:r>
          </w:p>
        </w:tc>
        <w:tc>
          <w:tcPr>
            <w:tcW w:w="710" w:type="dxa"/>
            <w:tcBorders>
              <w:top w:val="nil"/>
              <w:left w:val="single" w:sz="4" w:space="0" w:color="auto"/>
              <w:bottom w:val="nil"/>
              <w:right w:val="nil"/>
            </w:tcBorders>
            <w:vAlign w:val="center"/>
          </w:tcPr>
          <w:p w:rsidR="00EC122C" w:rsidRPr="00EC122C" w:rsidRDefault="00EC122C" w:rsidP="00EC122C">
            <w:pPr>
              <w:spacing w:after="0" w:line="240" w:lineRule="auto"/>
              <w:jc w:val="right"/>
              <w:rPr>
                <w:rFonts w:cs="Arial"/>
                <w:color w:val="000000"/>
                <w:sz w:val="16"/>
                <w:szCs w:val="16"/>
              </w:rPr>
            </w:pPr>
            <w:r w:rsidRPr="00EC122C">
              <w:rPr>
                <w:rFonts w:cs="Arial"/>
                <w:color w:val="000000"/>
                <w:sz w:val="16"/>
                <w:szCs w:val="16"/>
              </w:rPr>
              <w:t>88</w:t>
            </w:r>
          </w:p>
        </w:tc>
        <w:tc>
          <w:tcPr>
            <w:tcW w:w="709" w:type="dxa"/>
            <w:tcBorders>
              <w:top w:val="nil"/>
              <w:left w:val="nil"/>
              <w:bottom w:val="nil"/>
              <w:right w:val="nil"/>
            </w:tcBorders>
            <w:vAlign w:val="center"/>
          </w:tcPr>
          <w:p w:rsidR="00EC122C" w:rsidRPr="00EC122C" w:rsidRDefault="00EC122C" w:rsidP="00EC122C">
            <w:pPr>
              <w:spacing w:after="0" w:line="240" w:lineRule="auto"/>
              <w:jc w:val="right"/>
              <w:rPr>
                <w:rFonts w:cs="Arial"/>
                <w:color w:val="000000"/>
                <w:sz w:val="16"/>
                <w:szCs w:val="16"/>
              </w:rPr>
            </w:pPr>
            <w:r w:rsidRPr="00EC122C">
              <w:rPr>
                <w:rFonts w:cs="Arial"/>
                <w:color w:val="000000"/>
                <w:sz w:val="16"/>
                <w:szCs w:val="16"/>
              </w:rPr>
              <w:t>83</w:t>
            </w:r>
          </w:p>
        </w:tc>
        <w:tc>
          <w:tcPr>
            <w:tcW w:w="709" w:type="dxa"/>
            <w:tcBorders>
              <w:top w:val="nil"/>
              <w:left w:val="nil"/>
              <w:bottom w:val="nil"/>
              <w:right w:val="nil"/>
            </w:tcBorders>
            <w:vAlign w:val="center"/>
          </w:tcPr>
          <w:p w:rsidR="00EC122C" w:rsidRPr="00EC122C" w:rsidRDefault="00EC122C" w:rsidP="00EC122C">
            <w:pPr>
              <w:spacing w:after="0" w:line="240" w:lineRule="auto"/>
              <w:jc w:val="right"/>
              <w:rPr>
                <w:rFonts w:cs="Arial"/>
                <w:color w:val="000000"/>
                <w:sz w:val="16"/>
                <w:szCs w:val="16"/>
              </w:rPr>
            </w:pPr>
            <w:r w:rsidRPr="00EC122C">
              <w:rPr>
                <w:rFonts w:cs="Arial"/>
                <w:color w:val="000000"/>
                <w:sz w:val="16"/>
                <w:szCs w:val="16"/>
              </w:rPr>
              <w:t>5</w:t>
            </w:r>
          </w:p>
        </w:tc>
      </w:tr>
      <w:tr w:rsidR="00EC122C" w:rsidRPr="00EC122C" w:rsidTr="00EC122C">
        <w:trPr>
          <w:trHeight w:val="300"/>
        </w:trPr>
        <w:tc>
          <w:tcPr>
            <w:tcW w:w="1077" w:type="dxa"/>
            <w:tcBorders>
              <w:top w:val="nil"/>
              <w:left w:val="nil"/>
              <w:bottom w:val="nil"/>
              <w:right w:val="single" w:sz="4" w:space="0" w:color="auto"/>
            </w:tcBorders>
            <w:shd w:val="clear" w:color="auto" w:fill="auto"/>
            <w:vAlign w:val="center"/>
          </w:tcPr>
          <w:p w:rsidR="00EC122C" w:rsidRPr="00EC122C" w:rsidRDefault="00EC122C" w:rsidP="00EC122C">
            <w:pPr>
              <w:spacing w:after="0" w:line="240" w:lineRule="auto"/>
              <w:jc w:val="center"/>
              <w:rPr>
                <w:rFonts w:cs="Arial"/>
                <w:sz w:val="16"/>
                <w:szCs w:val="16"/>
              </w:rPr>
            </w:pPr>
            <w:r w:rsidRPr="00EC122C">
              <w:rPr>
                <w:rFonts w:cs="Arial"/>
                <w:color w:val="000000"/>
                <w:sz w:val="16"/>
                <w:szCs w:val="16"/>
              </w:rPr>
              <w:t>2023</w:t>
            </w:r>
          </w:p>
        </w:tc>
        <w:tc>
          <w:tcPr>
            <w:tcW w:w="710" w:type="dxa"/>
            <w:tcBorders>
              <w:top w:val="nil"/>
              <w:left w:val="nil"/>
              <w:bottom w:val="nil"/>
              <w:right w:val="nil"/>
            </w:tcBorders>
            <w:shd w:val="clear" w:color="auto" w:fill="auto"/>
            <w:noWrap/>
            <w:vAlign w:val="center"/>
          </w:tcPr>
          <w:p w:rsidR="00EC122C" w:rsidRPr="00EC122C" w:rsidRDefault="00EC122C" w:rsidP="00EC122C">
            <w:pPr>
              <w:spacing w:after="0" w:line="240" w:lineRule="auto"/>
              <w:jc w:val="right"/>
              <w:rPr>
                <w:rFonts w:cs="Arial"/>
                <w:sz w:val="16"/>
                <w:szCs w:val="16"/>
              </w:rPr>
            </w:pPr>
            <w:r w:rsidRPr="00EC122C">
              <w:rPr>
                <w:rFonts w:cs="Arial"/>
                <w:color w:val="000000"/>
                <w:sz w:val="16"/>
                <w:szCs w:val="16"/>
              </w:rPr>
              <w:t>43 476</w:t>
            </w:r>
          </w:p>
        </w:tc>
        <w:tc>
          <w:tcPr>
            <w:tcW w:w="709" w:type="dxa"/>
            <w:tcBorders>
              <w:top w:val="nil"/>
              <w:left w:val="nil"/>
              <w:bottom w:val="nil"/>
              <w:right w:val="nil"/>
            </w:tcBorders>
            <w:shd w:val="clear" w:color="auto" w:fill="auto"/>
            <w:vAlign w:val="center"/>
          </w:tcPr>
          <w:p w:rsidR="00EC122C" w:rsidRPr="00EC122C" w:rsidRDefault="00EC122C" w:rsidP="00EC122C">
            <w:pPr>
              <w:spacing w:after="0" w:line="240" w:lineRule="auto"/>
              <w:jc w:val="right"/>
              <w:rPr>
                <w:rFonts w:cs="Arial"/>
                <w:sz w:val="16"/>
                <w:szCs w:val="16"/>
              </w:rPr>
            </w:pPr>
            <w:r w:rsidRPr="00EC122C">
              <w:rPr>
                <w:rFonts w:cs="Arial"/>
                <w:color w:val="000000"/>
                <w:sz w:val="16"/>
                <w:szCs w:val="16"/>
              </w:rPr>
              <w:t>28 549</w:t>
            </w:r>
          </w:p>
        </w:tc>
        <w:tc>
          <w:tcPr>
            <w:tcW w:w="709" w:type="dxa"/>
            <w:tcBorders>
              <w:top w:val="nil"/>
              <w:left w:val="nil"/>
              <w:bottom w:val="nil"/>
              <w:right w:val="single" w:sz="4" w:space="0" w:color="auto"/>
            </w:tcBorders>
            <w:shd w:val="clear" w:color="auto" w:fill="auto"/>
            <w:vAlign w:val="center"/>
          </w:tcPr>
          <w:p w:rsidR="00EC122C" w:rsidRPr="00EC122C" w:rsidRDefault="00EC122C" w:rsidP="00EC122C">
            <w:pPr>
              <w:spacing w:after="0" w:line="240" w:lineRule="auto"/>
              <w:jc w:val="right"/>
              <w:rPr>
                <w:rFonts w:cs="Arial"/>
                <w:sz w:val="16"/>
                <w:szCs w:val="16"/>
              </w:rPr>
            </w:pPr>
            <w:r w:rsidRPr="00EC122C">
              <w:rPr>
                <w:rFonts w:cs="Arial"/>
                <w:color w:val="000000"/>
                <w:sz w:val="16"/>
                <w:szCs w:val="16"/>
              </w:rPr>
              <w:t>14 927</w:t>
            </w:r>
          </w:p>
        </w:tc>
        <w:tc>
          <w:tcPr>
            <w:tcW w:w="710" w:type="dxa"/>
            <w:tcBorders>
              <w:top w:val="nil"/>
              <w:left w:val="nil"/>
              <w:bottom w:val="nil"/>
              <w:right w:val="nil"/>
            </w:tcBorders>
            <w:shd w:val="clear" w:color="auto" w:fill="auto"/>
            <w:noWrap/>
            <w:vAlign w:val="center"/>
          </w:tcPr>
          <w:p w:rsidR="00EC122C" w:rsidRPr="00EC122C" w:rsidRDefault="00EC122C" w:rsidP="00EC122C">
            <w:pPr>
              <w:spacing w:after="0" w:line="240" w:lineRule="auto"/>
              <w:jc w:val="right"/>
              <w:rPr>
                <w:rFonts w:cs="Arial"/>
                <w:sz w:val="16"/>
                <w:szCs w:val="16"/>
              </w:rPr>
            </w:pPr>
            <w:r w:rsidRPr="00EC122C">
              <w:rPr>
                <w:rFonts w:cs="Arial"/>
                <w:color w:val="000000"/>
                <w:sz w:val="16"/>
                <w:szCs w:val="16"/>
              </w:rPr>
              <w:t>42 500</w:t>
            </w:r>
          </w:p>
        </w:tc>
        <w:tc>
          <w:tcPr>
            <w:tcW w:w="709" w:type="dxa"/>
            <w:tcBorders>
              <w:top w:val="nil"/>
              <w:left w:val="nil"/>
              <w:bottom w:val="nil"/>
              <w:right w:val="nil"/>
            </w:tcBorders>
            <w:shd w:val="clear" w:color="auto" w:fill="auto"/>
            <w:vAlign w:val="center"/>
          </w:tcPr>
          <w:p w:rsidR="00EC122C" w:rsidRPr="00EC122C" w:rsidRDefault="00EC122C" w:rsidP="00EC122C">
            <w:pPr>
              <w:spacing w:after="0" w:line="240" w:lineRule="auto"/>
              <w:jc w:val="right"/>
              <w:rPr>
                <w:rFonts w:cs="Arial"/>
                <w:sz w:val="16"/>
                <w:szCs w:val="16"/>
              </w:rPr>
            </w:pPr>
            <w:r w:rsidRPr="00EC122C">
              <w:rPr>
                <w:rFonts w:cs="Arial"/>
                <w:color w:val="000000"/>
                <w:sz w:val="16"/>
                <w:szCs w:val="16"/>
              </w:rPr>
              <w:t>27 873</w:t>
            </w:r>
          </w:p>
        </w:tc>
        <w:tc>
          <w:tcPr>
            <w:tcW w:w="709" w:type="dxa"/>
            <w:tcBorders>
              <w:top w:val="nil"/>
              <w:left w:val="nil"/>
              <w:bottom w:val="nil"/>
              <w:right w:val="single" w:sz="4" w:space="0" w:color="auto"/>
            </w:tcBorders>
            <w:shd w:val="clear" w:color="auto" w:fill="auto"/>
            <w:vAlign w:val="center"/>
          </w:tcPr>
          <w:p w:rsidR="00EC122C" w:rsidRPr="00EC122C" w:rsidRDefault="00EC122C" w:rsidP="00EC122C">
            <w:pPr>
              <w:spacing w:after="0" w:line="240" w:lineRule="auto"/>
              <w:jc w:val="right"/>
              <w:rPr>
                <w:rFonts w:cs="Arial"/>
                <w:sz w:val="16"/>
                <w:szCs w:val="16"/>
              </w:rPr>
            </w:pPr>
            <w:r w:rsidRPr="00EC122C">
              <w:rPr>
                <w:rFonts w:cs="Arial"/>
                <w:color w:val="000000"/>
                <w:sz w:val="16"/>
                <w:szCs w:val="16"/>
              </w:rPr>
              <w:t>14 627</w:t>
            </w:r>
          </w:p>
        </w:tc>
        <w:tc>
          <w:tcPr>
            <w:tcW w:w="710" w:type="dxa"/>
            <w:tcBorders>
              <w:top w:val="nil"/>
              <w:left w:val="nil"/>
              <w:bottom w:val="nil"/>
              <w:right w:val="nil"/>
            </w:tcBorders>
            <w:shd w:val="clear" w:color="auto" w:fill="auto"/>
            <w:vAlign w:val="center"/>
          </w:tcPr>
          <w:p w:rsidR="00EC122C" w:rsidRPr="00EC122C" w:rsidRDefault="00EC122C" w:rsidP="00EC122C">
            <w:pPr>
              <w:spacing w:after="0" w:line="240" w:lineRule="auto"/>
              <w:jc w:val="right"/>
              <w:rPr>
                <w:rFonts w:cs="Arial"/>
                <w:color w:val="000000"/>
                <w:sz w:val="16"/>
                <w:szCs w:val="16"/>
              </w:rPr>
            </w:pPr>
            <w:r w:rsidRPr="00EC122C">
              <w:rPr>
                <w:rFonts w:cs="Arial"/>
                <w:color w:val="000000"/>
                <w:sz w:val="16"/>
                <w:szCs w:val="16"/>
              </w:rPr>
              <w:t>732</w:t>
            </w:r>
          </w:p>
        </w:tc>
        <w:tc>
          <w:tcPr>
            <w:tcW w:w="709" w:type="dxa"/>
            <w:tcBorders>
              <w:top w:val="nil"/>
              <w:left w:val="nil"/>
              <w:bottom w:val="nil"/>
              <w:right w:val="nil"/>
            </w:tcBorders>
            <w:shd w:val="clear" w:color="auto" w:fill="auto"/>
            <w:vAlign w:val="center"/>
          </w:tcPr>
          <w:p w:rsidR="00EC122C" w:rsidRPr="00EC122C" w:rsidRDefault="00EC122C" w:rsidP="00EC122C">
            <w:pPr>
              <w:spacing w:after="0" w:line="240" w:lineRule="auto"/>
              <w:jc w:val="right"/>
              <w:rPr>
                <w:rFonts w:cs="Arial"/>
                <w:color w:val="000000"/>
                <w:sz w:val="16"/>
                <w:szCs w:val="16"/>
              </w:rPr>
            </w:pPr>
            <w:r w:rsidRPr="00EC122C">
              <w:rPr>
                <w:rFonts w:cs="Arial"/>
                <w:color w:val="000000"/>
                <w:sz w:val="16"/>
                <w:szCs w:val="16"/>
              </w:rPr>
              <w:t>585</w:t>
            </w:r>
          </w:p>
        </w:tc>
        <w:tc>
          <w:tcPr>
            <w:tcW w:w="709" w:type="dxa"/>
            <w:tcBorders>
              <w:top w:val="nil"/>
              <w:left w:val="nil"/>
              <w:bottom w:val="nil"/>
              <w:right w:val="single" w:sz="4" w:space="0" w:color="auto"/>
            </w:tcBorders>
            <w:shd w:val="clear" w:color="auto" w:fill="auto"/>
            <w:vAlign w:val="center"/>
          </w:tcPr>
          <w:p w:rsidR="00EC122C" w:rsidRPr="00EC122C" w:rsidRDefault="00EC122C" w:rsidP="00EC122C">
            <w:pPr>
              <w:spacing w:after="0" w:line="240" w:lineRule="auto"/>
              <w:jc w:val="right"/>
              <w:rPr>
                <w:rFonts w:cs="Arial"/>
                <w:color w:val="000000"/>
                <w:sz w:val="16"/>
                <w:szCs w:val="16"/>
              </w:rPr>
            </w:pPr>
            <w:r w:rsidRPr="00EC122C">
              <w:rPr>
                <w:rFonts w:cs="Arial"/>
                <w:color w:val="000000"/>
                <w:sz w:val="16"/>
                <w:szCs w:val="16"/>
              </w:rPr>
              <w:t>147</w:t>
            </w:r>
          </w:p>
        </w:tc>
        <w:tc>
          <w:tcPr>
            <w:tcW w:w="710" w:type="dxa"/>
            <w:tcBorders>
              <w:top w:val="nil"/>
              <w:left w:val="single" w:sz="4" w:space="0" w:color="auto"/>
              <w:bottom w:val="nil"/>
              <w:right w:val="nil"/>
            </w:tcBorders>
            <w:vAlign w:val="center"/>
          </w:tcPr>
          <w:p w:rsidR="00EC122C" w:rsidRPr="00EC122C" w:rsidRDefault="00AB4884" w:rsidP="00EC122C">
            <w:pPr>
              <w:spacing w:after="0" w:line="240" w:lineRule="auto"/>
              <w:jc w:val="right"/>
              <w:rPr>
                <w:rFonts w:cs="Arial"/>
                <w:color w:val="000000"/>
                <w:sz w:val="16"/>
                <w:szCs w:val="16"/>
              </w:rPr>
            </w:pPr>
            <w:r>
              <w:rPr>
                <w:rFonts w:cs="Arial"/>
                <w:color w:val="000000"/>
                <w:sz w:val="16"/>
                <w:szCs w:val="16"/>
              </w:rPr>
              <w:t>78</w:t>
            </w:r>
          </w:p>
        </w:tc>
        <w:tc>
          <w:tcPr>
            <w:tcW w:w="709" w:type="dxa"/>
            <w:tcBorders>
              <w:top w:val="nil"/>
              <w:left w:val="nil"/>
              <w:bottom w:val="nil"/>
              <w:right w:val="nil"/>
            </w:tcBorders>
            <w:vAlign w:val="center"/>
          </w:tcPr>
          <w:p w:rsidR="00EC122C" w:rsidRPr="00EC122C" w:rsidRDefault="00AB4884" w:rsidP="00EC122C">
            <w:pPr>
              <w:spacing w:after="0" w:line="240" w:lineRule="auto"/>
              <w:jc w:val="right"/>
              <w:rPr>
                <w:rFonts w:cs="Arial"/>
                <w:color w:val="000000"/>
                <w:sz w:val="16"/>
                <w:szCs w:val="16"/>
              </w:rPr>
            </w:pPr>
            <w:r>
              <w:rPr>
                <w:rFonts w:cs="Arial"/>
                <w:color w:val="000000"/>
                <w:sz w:val="16"/>
                <w:szCs w:val="16"/>
              </w:rPr>
              <w:t>74</w:t>
            </w:r>
          </w:p>
        </w:tc>
        <w:tc>
          <w:tcPr>
            <w:tcW w:w="709" w:type="dxa"/>
            <w:tcBorders>
              <w:top w:val="nil"/>
              <w:left w:val="nil"/>
              <w:bottom w:val="nil"/>
              <w:right w:val="nil"/>
            </w:tcBorders>
            <w:vAlign w:val="center"/>
          </w:tcPr>
          <w:p w:rsidR="00EC122C" w:rsidRPr="00EC122C" w:rsidRDefault="00EC122C" w:rsidP="00EC122C">
            <w:pPr>
              <w:spacing w:after="0" w:line="240" w:lineRule="auto"/>
              <w:jc w:val="right"/>
              <w:rPr>
                <w:rFonts w:cs="Arial"/>
                <w:color w:val="000000"/>
                <w:sz w:val="16"/>
                <w:szCs w:val="16"/>
              </w:rPr>
            </w:pPr>
            <w:r w:rsidRPr="00EC122C">
              <w:rPr>
                <w:rFonts w:cs="Arial"/>
                <w:color w:val="000000"/>
                <w:sz w:val="16"/>
                <w:szCs w:val="16"/>
              </w:rPr>
              <w:t>4</w:t>
            </w:r>
          </w:p>
        </w:tc>
      </w:tr>
      <w:tr w:rsidR="00EC122C" w:rsidRPr="00EC122C" w:rsidTr="00687F03">
        <w:trPr>
          <w:trHeight w:val="300"/>
        </w:trPr>
        <w:tc>
          <w:tcPr>
            <w:tcW w:w="1077" w:type="dxa"/>
            <w:tcBorders>
              <w:top w:val="nil"/>
              <w:left w:val="nil"/>
              <w:bottom w:val="nil"/>
              <w:right w:val="single" w:sz="4" w:space="0" w:color="auto"/>
            </w:tcBorders>
            <w:shd w:val="clear" w:color="auto" w:fill="auto"/>
            <w:vAlign w:val="center"/>
          </w:tcPr>
          <w:p w:rsidR="00EC122C" w:rsidRPr="00015E70" w:rsidRDefault="00EC122C" w:rsidP="00EC122C">
            <w:pPr>
              <w:spacing w:after="0" w:line="240" w:lineRule="auto"/>
              <w:jc w:val="center"/>
              <w:rPr>
                <w:rFonts w:cs="Arial"/>
                <w:sz w:val="16"/>
                <w:szCs w:val="16"/>
              </w:rPr>
            </w:pPr>
            <w:r w:rsidRPr="00015E70">
              <w:rPr>
                <w:rFonts w:cs="Arial"/>
                <w:sz w:val="16"/>
                <w:szCs w:val="16"/>
              </w:rPr>
              <w:t>2024</w:t>
            </w:r>
          </w:p>
        </w:tc>
        <w:tc>
          <w:tcPr>
            <w:tcW w:w="710" w:type="dxa"/>
            <w:tcBorders>
              <w:top w:val="nil"/>
              <w:left w:val="nil"/>
              <w:bottom w:val="nil"/>
              <w:right w:val="nil"/>
            </w:tcBorders>
            <w:shd w:val="clear" w:color="auto" w:fill="auto"/>
            <w:noWrap/>
            <w:vAlign w:val="center"/>
          </w:tcPr>
          <w:p w:rsidR="00EC122C" w:rsidRPr="00015E70" w:rsidRDefault="00015E70" w:rsidP="00EC122C">
            <w:pPr>
              <w:spacing w:after="0" w:line="240" w:lineRule="auto"/>
              <w:jc w:val="right"/>
              <w:rPr>
                <w:rFonts w:cs="Arial"/>
                <w:sz w:val="16"/>
                <w:szCs w:val="16"/>
              </w:rPr>
            </w:pPr>
            <w:r w:rsidRPr="00015E70">
              <w:rPr>
                <w:rFonts w:cs="Arial"/>
                <w:sz w:val="16"/>
                <w:szCs w:val="16"/>
              </w:rPr>
              <w:t>43 815</w:t>
            </w:r>
          </w:p>
        </w:tc>
        <w:tc>
          <w:tcPr>
            <w:tcW w:w="709" w:type="dxa"/>
            <w:tcBorders>
              <w:top w:val="nil"/>
              <w:left w:val="nil"/>
              <w:bottom w:val="nil"/>
              <w:right w:val="nil"/>
            </w:tcBorders>
            <w:shd w:val="clear" w:color="auto" w:fill="auto"/>
            <w:vAlign w:val="center"/>
          </w:tcPr>
          <w:p w:rsidR="00EC122C" w:rsidRPr="00015E70" w:rsidRDefault="00015E70" w:rsidP="00EC122C">
            <w:pPr>
              <w:spacing w:after="0" w:line="240" w:lineRule="auto"/>
              <w:jc w:val="right"/>
              <w:rPr>
                <w:rFonts w:cs="Arial"/>
                <w:sz w:val="16"/>
                <w:szCs w:val="16"/>
              </w:rPr>
            </w:pPr>
            <w:r w:rsidRPr="00015E70">
              <w:rPr>
                <w:rFonts w:cs="Arial"/>
                <w:sz w:val="16"/>
                <w:szCs w:val="16"/>
              </w:rPr>
              <w:t>28 697</w:t>
            </w:r>
          </w:p>
        </w:tc>
        <w:tc>
          <w:tcPr>
            <w:tcW w:w="709" w:type="dxa"/>
            <w:tcBorders>
              <w:top w:val="nil"/>
              <w:left w:val="nil"/>
              <w:bottom w:val="nil"/>
              <w:right w:val="single" w:sz="4" w:space="0" w:color="auto"/>
            </w:tcBorders>
            <w:shd w:val="clear" w:color="auto" w:fill="auto"/>
            <w:vAlign w:val="center"/>
          </w:tcPr>
          <w:p w:rsidR="00EC122C" w:rsidRPr="00015E70" w:rsidRDefault="00015E70" w:rsidP="00EC122C">
            <w:pPr>
              <w:spacing w:after="0" w:line="240" w:lineRule="auto"/>
              <w:jc w:val="right"/>
              <w:rPr>
                <w:rFonts w:cs="Arial"/>
                <w:sz w:val="16"/>
                <w:szCs w:val="16"/>
              </w:rPr>
            </w:pPr>
            <w:r w:rsidRPr="00015E70">
              <w:rPr>
                <w:rFonts w:cs="Arial"/>
                <w:sz w:val="16"/>
                <w:szCs w:val="16"/>
              </w:rPr>
              <w:t>15 118</w:t>
            </w:r>
          </w:p>
        </w:tc>
        <w:tc>
          <w:tcPr>
            <w:tcW w:w="710" w:type="dxa"/>
            <w:tcBorders>
              <w:top w:val="nil"/>
              <w:left w:val="nil"/>
              <w:bottom w:val="nil"/>
              <w:right w:val="nil"/>
            </w:tcBorders>
            <w:shd w:val="clear" w:color="auto" w:fill="auto"/>
            <w:noWrap/>
            <w:vAlign w:val="center"/>
          </w:tcPr>
          <w:p w:rsidR="00EC122C" w:rsidRPr="00015E70" w:rsidRDefault="00015E70" w:rsidP="00EC122C">
            <w:pPr>
              <w:spacing w:after="0" w:line="240" w:lineRule="auto"/>
              <w:jc w:val="right"/>
              <w:rPr>
                <w:rFonts w:cs="Arial"/>
                <w:sz w:val="16"/>
                <w:szCs w:val="16"/>
              </w:rPr>
            </w:pPr>
            <w:r w:rsidRPr="00015E70">
              <w:rPr>
                <w:rFonts w:cs="Arial"/>
                <w:sz w:val="16"/>
                <w:szCs w:val="16"/>
              </w:rPr>
              <w:t>42 756</w:t>
            </w:r>
          </w:p>
        </w:tc>
        <w:tc>
          <w:tcPr>
            <w:tcW w:w="709" w:type="dxa"/>
            <w:tcBorders>
              <w:top w:val="nil"/>
              <w:left w:val="nil"/>
              <w:bottom w:val="nil"/>
              <w:right w:val="nil"/>
            </w:tcBorders>
            <w:shd w:val="clear" w:color="auto" w:fill="auto"/>
            <w:vAlign w:val="center"/>
          </w:tcPr>
          <w:p w:rsidR="00EC122C" w:rsidRPr="00015E70" w:rsidRDefault="00015E70" w:rsidP="00EC122C">
            <w:pPr>
              <w:spacing w:after="0" w:line="240" w:lineRule="auto"/>
              <w:jc w:val="right"/>
              <w:rPr>
                <w:rFonts w:cs="Arial"/>
                <w:sz w:val="16"/>
                <w:szCs w:val="16"/>
              </w:rPr>
            </w:pPr>
            <w:r w:rsidRPr="00015E70">
              <w:rPr>
                <w:rFonts w:cs="Arial"/>
                <w:sz w:val="16"/>
                <w:szCs w:val="16"/>
              </w:rPr>
              <w:t>27 964</w:t>
            </w:r>
          </w:p>
        </w:tc>
        <w:tc>
          <w:tcPr>
            <w:tcW w:w="709" w:type="dxa"/>
            <w:tcBorders>
              <w:top w:val="nil"/>
              <w:left w:val="nil"/>
              <w:bottom w:val="nil"/>
              <w:right w:val="single" w:sz="4" w:space="0" w:color="auto"/>
            </w:tcBorders>
            <w:shd w:val="clear" w:color="auto" w:fill="auto"/>
            <w:vAlign w:val="center"/>
          </w:tcPr>
          <w:p w:rsidR="00EC122C" w:rsidRPr="00015E70" w:rsidRDefault="00015E70" w:rsidP="00EC122C">
            <w:pPr>
              <w:spacing w:after="0" w:line="240" w:lineRule="auto"/>
              <w:jc w:val="right"/>
              <w:rPr>
                <w:rFonts w:cs="Arial"/>
                <w:sz w:val="16"/>
                <w:szCs w:val="16"/>
              </w:rPr>
            </w:pPr>
            <w:r w:rsidRPr="00015E70">
              <w:rPr>
                <w:rFonts w:cs="Arial"/>
                <w:sz w:val="16"/>
                <w:szCs w:val="16"/>
              </w:rPr>
              <w:t>14 792</w:t>
            </w:r>
          </w:p>
        </w:tc>
        <w:tc>
          <w:tcPr>
            <w:tcW w:w="710" w:type="dxa"/>
            <w:tcBorders>
              <w:top w:val="nil"/>
              <w:left w:val="nil"/>
              <w:bottom w:val="nil"/>
              <w:right w:val="nil"/>
            </w:tcBorders>
            <w:shd w:val="clear" w:color="auto" w:fill="auto"/>
            <w:vAlign w:val="center"/>
          </w:tcPr>
          <w:p w:rsidR="00EC122C" w:rsidRPr="00015E70" w:rsidRDefault="00E4324B" w:rsidP="00EC122C">
            <w:pPr>
              <w:spacing w:after="0" w:line="240" w:lineRule="auto"/>
              <w:jc w:val="right"/>
              <w:rPr>
                <w:rFonts w:cs="Arial"/>
                <w:color w:val="000000"/>
                <w:sz w:val="16"/>
                <w:szCs w:val="16"/>
              </w:rPr>
            </w:pPr>
            <w:r w:rsidRPr="00015E70">
              <w:rPr>
                <w:rFonts w:cs="Arial"/>
                <w:color w:val="000000"/>
                <w:sz w:val="16"/>
                <w:szCs w:val="16"/>
              </w:rPr>
              <w:t>746</w:t>
            </w:r>
          </w:p>
        </w:tc>
        <w:tc>
          <w:tcPr>
            <w:tcW w:w="709" w:type="dxa"/>
            <w:tcBorders>
              <w:top w:val="nil"/>
              <w:left w:val="nil"/>
              <w:bottom w:val="nil"/>
              <w:right w:val="nil"/>
            </w:tcBorders>
            <w:shd w:val="clear" w:color="auto" w:fill="auto"/>
            <w:vAlign w:val="center"/>
          </w:tcPr>
          <w:p w:rsidR="00EC122C" w:rsidRPr="00EC122C" w:rsidRDefault="00E4324B" w:rsidP="00EC122C">
            <w:pPr>
              <w:spacing w:after="0" w:line="240" w:lineRule="auto"/>
              <w:jc w:val="right"/>
              <w:rPr>
                <w:rFonts w:cs="Arial"/>
                <w:color w:val="000000"/>
                <w:sz w:val="16"/>
                <w:szCs w:val="16"/>
              </w:rPr>
            </w:pPr>
            <w:r>
              <w:rPr>
                <w:rFonts w:cs="Arial"/>
                <w:color w:val="000000"/>
                <w:sz w:val="16"/>
                <w:szCs w:val="16"/>
              </w:rPr>
              <w:t>595</w:t>
            </w:r>
          </w:p>
        </w:tc>
        <w:tc>
          <w:tcPr>
            <w:tcW w:w="709" w:type="dxa"/>
            <w:tcBorders>
              <w:top w:val="nil"/>
              <w:left w:val="nil"/>
              <w:bottom w:val="nil"/>
              <w:right w:val="single" w:sz="4" w:space="0" w:color="auto"/>
            </w:tcBorders>
            <w:shd w:val="clear" w:color="auto" w:fill="auto"/>
            <w:vAlign w:val="center"/>
          </w:tcPr>
          <w:p w:rsidR="00EC122C" w:rsidRPr="00EC122C" w:rsidRDefault="00E4324B" w:rsidP="00EC122C">
            <w:pPr>
              <w:spacing w:after="0" w:line="240" w:lineRule="auto"/>
              <w:jc w:val="right"/>
              <w:rPr>
                <w:rFonts w:cs="Arial"/>
                <w:color w:val="000000"/>
                <w:sz w:val="16"/>
                <w:szCs w:val="16"/>
              </w:rPr>
            </w:pPr>
            <w:r>
              <w:rPr>
                <w:rFonts w:cs="Arial"/>
                <w:color w:val="000000"/>
                <w:sz w:val="16"/>
                <w:szCs w:val="16"/>
              </w:rPr>
              <w:t>151</w:t>
            </w:r>
          </w:p>
        </w:tc>
        <w:tc>
          <w:tcPr>
            <w:tcW w:w="710" w:type="dxa"/>
            <w:tcBorders>
              <w:top w:val="nil"/>
              <w:left w:val="single" w:sz="4" w:space="0" w:color="auto"/>
              <w:bottom w:val="nil"/>
              <w:right w:val="nil"/>
            </w:tcBorders>
            <w:shd w:val="clear" w:color="auto" w:fill="auto"/>
            <w:vAlign w:val="center"/>
          </w:tcPr>
          <w:p w:rsidR="00EC122C" w:rsidRPr="00EC122C" w:rsidRDefault="00E4324B" w:rsidP="00EC122C">
            <w:pPr>
              <w:spacing w:after="0" w:line="240" w:lineRule="auto"/>
              <w:jc w:val="right"/>
              <w:rPr>
                <w:rFonts w:cs="Arial"/>
                <w:color w:val="000000"/>
                <w:sz w:val="16"/>
                <w:szCs w:val="16"/>
              </w:rPr>
            </w:pPr>
            <w:r>
              <w:rPr>
                <w:rFonts w:cs="Arial"/>
                <w:color w:val="000000"/>
                <w:sz w:val="16"/>
                <w:szCs w:val="16"/>
              </w:rPr>
              <w:t>70</w:t>
            </w:r>
          </w:p>
        </w:tc>
        <w:tc>
          <w:tcPr>
            <w:tcW w:w="709" w:type="dxa"/>
            <w:tcBorders>
              <w:top w:val="nil"/>
              <w:left w:val="nil"/>
              <w:bottom w:val="nil"/>
              <w:right w:val="nil"/>
            </w:tcBorders>
            <w:shd w:val="clear" w:color="auto" w:fill="auto"/>
            <w:vAlign w:val="center"/>
          </w:tcPr>
          <w:p w:rsidR="00EC122C" w:rsidRPr="00EC122C" w:rsidRDefault="00E4324B" w:rsidP="00EC122C">
            <w:pPr>
              <w:spacing w:after="0" w:line="240" w:lineRule="auto"/>
              <w:jc w:val="right"/>
              <w:rPr>
                <w:rFonts w:cs="Arial"/>
                <w:color w:val="000000"/>
                <w:sz w:val="16"/>
                <w:szCs w:val="16"/>
              </w:rPr>
            </w:pPr>
            <w:r>
              <w:rPr>
                <w:rFonts w:cs="Arial"/>
                <w:color w:val="000000"/>
                <w:sz w:val="16"/>
                <w:szCs w:val="16"/>
              </w:rPr>
              <w:t>65</w:t>
            </w:r>
          </w:p>
        </w:tc>
        <w:tc>
          <w:tcPr>
            <w:tcW w:w="709" w:type="dxa"/>
            <w:tcBorders>
              <w:top w:val="nil"/>
              <w:left w:val="nil"/>
              <w:bottom w:val="nil"/>
              <w:right w:val="nil"/>
            </w:tcBorders>
            <w:shd w:val="clear" w:color="auto" w:fill="auto"/>
            <w:vAlign w:val="center"/>
          </w:tcPr>
          <w:p w:rsidR="00EC122C" w:rsidRPr="00EC122C" w:rsidRDefault="00E4324B" w:rsidP="00EC122C">
            <w:pPr>
              <w:spacing w:after="0" w:line="240" w:lineRule="auto"/>
              <w:jc w:val="right"/>
              <w:rPr>
                <w:rFonts w:cs="Arial"/>
                <w:color w:val="000000"/>
                <w:sz w:val="16"/>
                <w:szCs w:val="16"/>
              </w:rPr>
            </w:pPr>
            <w:r>
              <w:rPr>
                <w:rFonts w:cs="Arial"/>
                <w:color w:val="000000"/>
                <w:sz w:val="16"/>
                <w:szCs w:val="16"/>
              </w:rPr>
              <w:t>5</w:t>
            </w:r>
          </w:p>
        </w:tc>
      </w:tr>
    </w:tbl>
    <w:p w:rsidR="007551ED" w:rsidRPr="00D575E3" w:rsidRDefault="00D575E3" w:rsidP="00A24BBA">
      <w:pPr>
        <w:spacing w:before="120"/>
        <w:rPr>
          <w:sz w:val="16"/>
          <w:szCs w:val="16"/>
        </w:rPr>
      </w:pPr>
      <w:r w:rsidRPr="00D575E3">
        <w:rPr>
          <w:sz w:val="16"/>
          <w:szCs w:val="16"/>
        </w:rPr>
        <w:t>Zdroj: ČSÚ</w:t>
      </w:r>
      <w:r w:rsidR="00EC122C">
        <w:rPr>
          <w:sz w:val="16"/>
          <w:szCs w:val="16"/>
        </w:rPr>
        <w:t>, SÚIP</w:t>
      </w:r>
    </w:p>
    <w:p w:rsidR="005F5347" w:rsidRDefault="005F5347" w:rsidP="007551ED">
      <w:pPr>
        <w:rPr>
          <w:rFonts w:cs="Arial"/>
          <w:bCs/>
          <w:color w:val="000000"/>
          <w:szCs w:val="20"/>
        </w:rPr>
      </w:pPr>
      <w:r>
        <w:rPr>
          <w:rFonts w:cs="Arial"/>
          <w:b/>
          <w:bCs/>
          <w:color w:val="000000"/>
          <w:szCs w:val="20"/>
        </w:rPr>
        <w:t>N</w:t>
      </w:r>
      <w:r w:rsidRPr="005F5347">
        <w:rPr>
          <w:rFonts w:cs="Arial"/>
          <w:b/>
          <w:bCs/>
          <w:color w:val="000000"/>
          <w:szCs w:val="20"/>
        </w:rPr>
        <w:t xml:space="preserve">ejvíce pracovních </w:t>
      </w:r>
      <w:r w:rsidRPr="00015E70">
        <w:rPr>
          <w:rFonts w:cs="Arial"/>
          <w:b/>
          <w:bCs/>
          <w:color w:val="000000"/>
          <w:szCs w:val="20"/>
        </w:rPr>
        <w:t>úrazů</w:t>
      </w:r>
      <w:r w:rsidRPr="00015E70">
        <w:rPr>
          <w:rFonts w:cs="Arial"/>
          <w:bCs/>
          <w:color w:val="000000"/>
          <w:szCs w:val="20"/>
        </w:rPr>
        <w:t xml:space="preserve"> s dočasnou </w:t>
      </w:r>
      <w:r w:rsidRPr="00015E70">
        <w:rPr>
          <w:rFonts w:cs="Arial"/>
          <w:b/>
          <w:bCs/>
          <w:color w:val="000000"/>
          <w:szCs w:val="20"/>
        </w:rPr>
        <w:t>pracovní neschopností delší než 3 dny</w:t>
      </w:r>
      <w:r w:rsidRPr="00015E70">
        <w:rPr>
          <w:rFonts w:cs="Arial"/>
          <w:bCs/>
          <w:color w:val="000000"/>
          <w:szCs w:val="20"/>
        </w:rPr>
        <w:t xml:space="preserve"> v roce 2024 zaznamenal </w:t>
      </w:r>
      <w:r w:rsidR="00F72B23" w:rsidRPr="00015E70">
        <w:rPr>
          <w:rFonts w:cs="Arial"/>
          <w:b/>
          <w:bCs/>
          <w:color w:val="000000"/>
          <w:szCs w:val="20"/>
        </w:rPr>
        <w:t>Zpracovatelský průmysl</w:t>
      </w:r>
      <w:r w:rsidR="00F72B23" w:rsidRPr="00015E70">
        <w:rPr>
          <w:rFonts w:cs="Arial"/>
          <w:bCs/>
          <w:color w:val="000000"/>
          <w:szCs w:val="20"/>
        </w:rPr>
        <w:t xml:space="preserve"> </w:t>
      </w:r>
      <w:r w:rsidR="00015E70" w:rsidRPr="00015E70">
        <w:rPr>
          <w:rFonts w:cs="Arial"/>
          <w:bCs/>
          <w:color w:val="000000"/>
          <w:szCs w:val="20"/>
        </w:rPr>
        <w:t>(14 990</w:t>
      </w:r>
      <w:r w:rsidR="00F72B23" w:rsidRPr="00015E70">
        <w:rPr>
          <w:rFonts w:cs="Arial"/>
          <w:bCs/>
          <w:color w:val="000000"/>
          <w:szCs w:val="20"/>
        </w:rPr>
        <w:t xml:space="preserve"> případů), následovaný</w:t>
      </w:r>
      <w:r w:rsidRPr="00015E70">
        <w:rPr>
          <w:rFonts w:cs="Arial"/>
          <w:bCs/>
          <w:color w:val="000000"/>
          <w:szCs w:val="20"/>
        </w:rPr>
        <w:t xml:space="preserve"> odvětví</w:t>
      </w:r>
      <w:r w:rsidR="00F72B23" w:rsidRPr="00015E70">
        <w:rPr>
          <w:rFonts w:cs="Arial"/>
          <w:bCs/>
          <w:color w:val="000000"/>
          <w:szCs w:val="20"/>
        </w:rPr>
        <w:t>mi</w:t>
      </w:r>
      <w:r w:rsidRPr="00015E70">
        <w:rPr>
          <w:rFonts w:cs="Arial"/>
          <w:bCs/>
          <w:color w:val="000000"/>
          <w:szCs w:val="20"/>
        </w:rPr>
        <w:t xml:space="preserve"> Velkoobchod a maloobchod, opravy </w:t>
      </w:r>
      <w:r w:rsidR="00F72B23" w:rsidRPr="00015E70">
        <w:rPr>
          <w:rFonts w:cs="Arial"/>
          <w:bCs/>
          <w:color w:val="000000"/>
          <w:szCs w:val="20"/>
        </w:rPr>
        <w:t>a údržba motorových vozidel (</w:t>
      </w:r>
      <w:r w:rsidR="00015E70" w:rsidRPr="00015E70">
        <w:rPr>
          <w:rFonts w:cs="Arial"/>
          <w:bCs/>
          <w:color w:val="000000"/>
          <w:szCs w:val="20"/>
        </w:rPr>
        <w:t>5 031</w:t>
      </w:r>
      <w:r w:rsidRPr="00015E70">
        <w:rPr>
          <w:rFonts w:cs="Arial"/>
          <w:bCs/>
          <w:color w:val="000000"/>
          <w:szCs w:val="20"/>
        </w:rPr>
        <w:t>) a Doprava a skladování (4 1</w:t>
      </w:r>
      <w:r w:rsidR="00015E70" w:rsidRPr="00015E70">
        <w:rPr>
          <w:rFonts w:cs="Arial"/>
          <w:bCs/>
          <w:color w:val="000000"/>
          <w:szCs w:val="20"/>
        </w:rPr>
        <w:t>27</w:t>
      </w:r>
      <w:r w:rsidRPr="00015E70">
        <w:rPr>
          <w:rFonts w:cs="Arial"/>
          <w:bCs/>
          <w:color w:val="000000"/>
          <w:szCs w:val="20"/>
        </w:rPr>
        <w:t>).</w:t>
      </w:r>
      <w:r w:rsidRPr="005F5347">
        <w:rPr>
          <w:rFonts w:cs="Arial"/>
          <w:bCs/>
          <w:color w:val="000000"/>
          <w:szCs w:val="20"/>
        </w:rPr>
        <w:t xml:space="preserve"> Pokud však zohledníme zaměstnanost v jednotlivých odvětvích a míru zastoupení jednotlivých sekcí, je vhodné použít </w:t>
      </w:r>
      <w:r w:rsidRPr="005F5347">
        <w:rPr>
          <w:rFonts w:cs="Arial"/>
          <w:b/>
          <w:bCs/>
          <w:color w:val="000000"/>
          <w:szCs w:val="20"/>
        </w:rPr>
        <w:t>relativní ukazatel</w:t>
      </w:r>
      <w:r w:rsidRPr="005F5347">
        <w:rPr>
          <w:rFonts w:cs="Arial"/>
          <w:bCs/>
          <w:color w:val="000000"/>
          <w:szCs w:val="20"/>
        </w:rPr>
        <w:t xml:space="preserve"> vztažený na 100 tis</w:t>
      </w:r>
      <w:r w:rsidR="00F72B23">
        <w:rPr>
          <w:rFonts w:cs="Arial"/>
          <w:bCs/>
          <w:color w:val="000000"/>
          <w:szCs w:val="20"/>
        </w:rPr>
        <w:t>íc</w:t>
      </w:r>
      <w:r w:rsidRPr="005F5347">
        <w:rPr>
          <w:rFonts w:cs="Arial"/>
          <w:bCs/>
          <w:color w:val="000000"/>
          <w:szCs w:val="20"/>
        </w:rPr>
        <w:t xml:space="preserve"> pojištěnců</w:t>
      </w:r>
      <w:r w:rsidR="00F72B23">
        <w:rPr>
          <w:rFonts w:cs="Arial"/>
          <w:bCs/>
          <w:color w:val="000000"/>
          <w:szCs w:val="20"/>
        </w:rPr>
        <w:t xml:space="preserve">. Po této úpravě se následně </w:t>
      </w:r>
      <w:r w:rsidR="00F72B23">
        <w:rPr>
          <w:rFonts w:cs="Arial"/>
          <w:b/>
          <w:bCs/>
          <w:color w:val="000000"/>
          <w:szCs w:val="20"/>
        </w:rPr>
        <w:t>n</w:t>
      </w:r>
      <w:r w:rsidRPr="005F5347">
        <w:rPr>
          <w:rFonts w:cs="Arial"/>
          <w:b/>
          <w:bCs/>
          <w:color w:val="000000"/>
          <w:szCs w:val="20"/>
        </w:rPr>
        <w:t>ejrizikovějším</w:t>
      </w:r>
      <w:r w:rsidR="00F72B23">
        <w:rPr>
          <w:rFonts w:cs="Arial"/>
          <w:b/>
          <w:bCs/>
          <w:color w:val="000000"/>
          <w:szCs w:val="20"/>
        </w:rPr>
        <w:t>i</w:t>
      </w:r>
      <w:r w:rsidRPr="005F5347">
        <w:rPr>
          <w:rFonts w:cs="Arial"/>
          <w:bCs/>
          <w:color w:val="000000"/>
          <w:szCs w:val="20"/>
        </w:rPr>
        <w:t xml:space="preserve"> odvětvím</w:t>
      </w:r>
      <w:r w:rsidR="00F72B23">
        <w:rPr>
          <w:rFonts w:cs="Arial"/>
          <w:bCs/>
          <w:color w:val="000000"/>
          <w:szCs w:val="20"/>
        </w:rPr>
        <w:t>i stávají</w:t>
      </w:r>
      <w:r w:rsidRPr="005F5347">
        <w:rPr>
          <w:rFonts w:cs="Arial"/>
          <w:bCs/>
          <w:color w:val="000000"/>
          <w:szCs w:val="20"/>
        </w:rPr>
        <w:t xml:space="preserve"> </w:t>
      </w:r>
      <w:r w:rsidRPr="005F5347">
        <w:rPr>
          <w:rFonts w:cs="Arial"/>
          <w:b/>
          <w:bCs/>
          <w:color w:val="000000"/>
          <w:szCs w:val="20"/>
        </w:rPr>
        <w:t xml:space="preserve">Zemědělství, lesnictví, </w:t>
      </w:r>
      <w:r w:rsidRPr="00015E70">
        <w:rPr>
          <w:rFonts w:cs="Arial"/>
          <w:b/>
          <w:bCs/>
          <w:color w:val="000000"/>
          <w:szCs w:val="20"/>
        </w:rPr>
        <w:t>rybářství</w:t>
      </w:r>
      <w:r w:rsidRPr="00015E70">
        <w:rPr>
          <w:rFonts w:cs="Arial"/>
          <w:bCs/>
          <w:color w:val="000000"/>
          <w:szCs w:val="20"/>
        </w:rPr>
        <w:t xml:space="preserve"> (2 </w:t>
      </w:r>
      <w:r w:rsidR="00015E70" w:rsidRPr="00015E70">
        <w:rPr>
          <w:rFonts w:cs="Arial"/>
          <w:bCs/>
          <w:color w:val="000000"/>
          <w:szCs w:val="20"/>
        </w:rPr>
        <w:t>372</w:t>
      </w:r>
      <w:r w:rsidRPr="00015E70">
        <w:rPr>
          <w:rFonts w:cs="Arial"/>
          <w:bCs/>
          <w:color w:val="000000"/>
          <w:szCs w:val="20"/>
        </w:rPr>
        <w:t> pracovních úrazů</w:t>
      </w:r>
      <w:r w:rsidR="00F72B23" w:rsidRPr="00015E70">
        <w:rPr>
          <w:rFonts w:cs="Arial"/>
          <w:bCs/>
          <w:color w:val="000000"/>
          <w:szCs w:val="20"/>
        </w:rPr>
        <w:t xml:space="preserve"> na 100 tisíc pojištěnců), </w:t>
      </w:r>
      <w:r w:rsidRPr="00015E70">
        <w:rPr>
          <w:rFonts w:cs="Arial"/>
          <w:bCs/>
          <w:color w:val="000000"/>
          <w:szCs w:val="20"/>
        </w:rPr>
        <w:t>Zásobování vodou, činnosti související s odpady a sanacemi (</w:t>
      </w:r>
      <w:r w:rsidR="00015E70" w:rsidRPr="00015E70">
        <w:rPr>
          <w:rFonts w:cs="Arial"/>
          <w:bCs/>
          <w:color w:val="000000"/>
          <w:szCs w:val="20"/>
        </w:rPr>
        <w:t>2 143</w:t>
      </w:r>
      <w:r w:rsidR="00F72B23" w:rsidRPr="00015E70">
        <w:rPr>
          <w:rFonts w:cs="Arial"/>
          <w:bCs/>
          <w:color w:val="000000"/>
          <w:szCs w:val="20"/>
        </w:rPr>
        <w:t xml:space="preserve">) a </w:t>
      </w:r>
      <w:r w:rsidRPr="00015E70">
        <w:rPr>
          <w:rFonts w:cs="Arial"/>
          <w:bCs/>
          <w:color w:val="000000"/>
          <w:szCs w:val="20"/>
        </w:rPr>
        <w:t>Těžba a dobývání (1 </w:t>
      </w:r>
      <w:r w:rsidR="00015E70" w:rsidRPr="00015E70">
        <w:rPr>
          <w:rFonts w:cs="Arial"/>
          <w:bCs/>
          <w:color w:val="000000"/>
          <w:szCs w:val="20"/>
        </w:rPr>
        <w:t>884</w:t>
      </w:r>
      <w:r w:rsidRPr="005F5347">
        <w:rPr>
          <w:rFonts w:cs="Arial"/>
          <w:bCs/>
          <w:color w:val="000000"/>
          <w:szCs w:val="20"/>
        </w:rPr>
        <w:t>)</w:t>
      </w:r>
      <w:r w:rsidR="00F72B23">
        <w:rPr>
          <w:rFonts w:cs="Arial"/>
          <w:bCs/>
          <w:color w:val="000000"/>
          <w:szCs w:val="20"/>
        </w:rPr>
        <w:t>.</w:t>
      </w:r>
      <w:r w:rsidRPr="005F5347">
        <w:rPr>
          <w:rFonts w:cs="Arial"/>
          <w:bCs/>
          <w:color w:val="000000"/>
          <w:szCs w:val="20"/>
        </w:rPr>
        <w:t xml:space="preserve"> Průměrně na 100 tis</w:t>
      </w:r>
      <w:r w:rsidR="00F72B23">
        <w:rPr>
          <w:rFonts w:cs="Arial"/>
          <w:bCs/>
          <w:color w:val="000000"/>
          <w:szCs w:val="20"/>
        </w:rPr>
        <w:t>íc</w:t>
      </w:r>
      <w:r w:rsidRPr="005F5347">
        <w:rPr>
          <w:rFonts w:cs="Arial"/>
          <w:bCs/>
          <w:color w:val="000000"/>
          <w:szCs w:val="20"/>
        </w:rPr>
        <w:t xml:space="preserve"> nemocensky pojištěných připadalo</w:t>
      </w:r>
      <w:r w:rsidR="00F72B23">
        <w:rPr>
          <w:rFonts w:cs="Arial"/>
          <w:bCs/>
          <w:color w:val="000000"/>
          <w:szCs w:val="20"/>
        </w:rPr>
        <w:t xml:space="preserve"> </w:t>
      </w:r>
      <w:r w:rsidR="00015E70" w:rsidRPr="00015E70">
        <w:rPr>
          <w:rFonts w:cs="Arial"/>
          <w:bCs/>
          <w:color w:val="000000"/>
          <w:spacing w:val="-2"/>
          <w:szCs w:val="20"/>
        </w:rPr>
        <w:t>897</w:t>
      </w:r>
      <w:r w:rsidRPr="00A24BBA">
        <w:rPr>
          <w:rFonts w:cs="Arial"/>
          <w:bCs/>
          <w:color w:val="000000"/>
          <w:spacing w:val="-2"/>
          <w:szCs w:val="20"/>
        </w:rPr>
        <w:t xml:space="preserve"> pracovních úrazů s pracovní neschopností delší než 3</w:t>
      </w:r>
      <w:r w:rsidR="00F72B23" w:rsidRPr="00A24BBA">
        <w:rPr>
          <w:rFonts w:cs="Arial"/>
          <w:bCs/>
          <w:color w:val="000000"/>
          <w:spacing w:val="-2"/>
          <w:szCs w:val="20"/>
        </w:rPr>
        <w:t xml:space="preserve"> dny. Mezi nejméně riziková odvětví se řadilo</w:t>
      </w:r>
      <w:r w:rsidRPr="00A24BBA">
        <w:rPr>
          <w:rFonts w:cs="Arial"/>
          <w:bCs/>
          <w:color w:val="000000"/>
          <w:spacing w:val="-2"/>
          <w:szCs w:val="20"/>
        </w:rPr>
        <w:t xml:space="preserve"> Peněžnictví a </w:t>
      </w:r>
      <w:r w:rsidRPr="00015E70">
        <w:rPr>
          <w:rFonts w:cs="Arial"/>
          <w:bCs/>
          <w:color w:val="000000"/>
          <w:spacing w:val="-2"/>
          <w:szCs w:val="20"/>
        </w:rPr>
        <w:t>pojišťovnictví s</w:t>
      </w:r>
      <w:r w:rsidR="00F72B23" w:rsidRPr="00015E70">
        <w:rPr>
          <w:rFonts w:cs="Arial"/>
          <w:bCs/>
          <w:color w:val="000000"/>
          <w:spacing w:val="-2"/>
          <w:szCs w:val="20"/>
        </w:rPr>
        <w:t> </w:t>
      </w:r>
      <w:r w:rsidR="00015E70" w:rsidRPr="00015E70">
        <w:rPr>
          <w:rFonts w:cs="Arial"/>
          <w:bCs/>
          <w:color w:val="000000"/>
          <w:spacing w:val="-2"/>
          <w:szCs w:val="20"/>
        </w:rPr>
        <w:t>83</w:t>
      </w:r>
      <w:r w:rsidRPr="00015E70">
        <w:rPr>
          <w:rFonts w:cs="Arial"/>
          <w:bCs/>
          <w:color w:val="000000"/>
          <w:spacing w:val="-2"/>
          <w:szCs w:val="20"/>
        </w:rPr>
        <w:t> a Inform</w:t>
      </w:r>
      <w:r w:rsidR="00A24BBA" w:rsidRPr="00015E70">
        <w:rPr>
          <w:rFonts w:cs="Arial"/>
          <w:bCs/>
          <w:color w:val="000000"/>
          <w:spacing w:val="-2"/>
          <w:szCs w:val="20"/>
        </w:rPr>
        <w:t>ační a komunikační činnosti s </w:t>
      </w:r>
      <w:r w:rsidR="00015E70" w:rsidRPr="00015E70">
        <w:rPr>
          <w:rFonts w:cs="Arial"/>
          <w:bCs/>
          <w:color w:val="000000"/>
          <w:spacing w:val="-2"/>
          <w:szCs w:val="20"/>
        </w:rPr>
        <w:t>88</w:t>
      </w:r>
      <w:r w:rsidRPr="00A24BBA">
        <w:rPr>
          <w:rFonts w:cs="Arial"/>
          <w:bCs/>
          <w:color w:val="000000"/>
          <w:spacing w:val="-2"/>
          <w:szCs w:val="20"/>
        </w:rPr>
        <w:t> pracovními úrazy,</w:t>
      </w:r>
      <w:r w:rsidRPr="005F5347">
        <w:rPr>
          <w:rFonts w:cs="Arial"/>
          <w:bCs/>
          <w:color w:val="000000"/>
          <w:szCs w:val="20"/>
        </w:rPr>
        <w:t xml:space="preserve"> které si vyžádaly </w:t>
      </w:r>
      <w:r w:rsidR="00A24BBA">
        <w:rPr>
          <w:rFonts w:cs="Arial"/>
          <w:bCs/>
          <w:color w:val="000000"/>
          <w:szCs w:val="20"/>
        </w:rPr>
        <w:t xml:space="preserve">minimálně 3denní </w:t>
      </w:r>
      <w:r w:rsidRPr="005F5347">
        <w:rPr>
          <w:rFonts w:cs="Arial"/>
          <w:bCs/>
          <w:color w:val="000000"/>
          <w:szCs w:val="20"/>
        </w:rPr>
        <w:t>pracovní nes</w:t>
      </w:r>
      <w:r w:rsidR="00AE49D8">
        <w:rPr>
          <w:rFonts w:cs="Arial"/>
          <w:bCs/>
          <w:color w:val="000000"/>
          <w:szCs w:val="20"/>
        </w:rPr>
        <w:t>chopnost, v přepočtu na 100 tisíc</w:t>
      </w:r>
      <w:r w:rsidRPr="005F5347">
        <w:rPr>
          <w:rFonts w:cs="Arial"/>
          <w:bCs/>
          <w:color w:val="000000"/>
          <w:szCs w:val="20"/>
        </w:rPr>
        <w:t xml:space="preserve"> pojištěnců.</w:t>
      </w:r>
      <w:r w:rsidR="00FC39C6">
        <w:rPr>
          <w:rFonts w:cs="Arial"/>
          <w:bCs/>
          <w:color w:val="000000"/>
          <w:szCs w:val="20"/>
        </w:rPr>
        <w:t xml:space="preserve"> Podrobněji viz graf 5.1.</w:t>
      </w:r>
    </w:p>
    <w:p w:rsidR="00FC39C6" w:rsidRDefault="00A24BBA" w:rsidP="00A24BBA">
      <w:r w:rsidRPr="00A24BBA">
        <w:lastRenderedPageBreak/>
        <w:t xml:space="preserve">Z pohledu </w:t>
      </w:r>
      <w:r w:rsidRPr="00A24BBA">
        <w:rPr>
          <w:b/>
        </w:rPr>
        <w:t>velikosti podniku</w:t>
      </w:r>
      <w:r w:rsidRPr="00A24BBA">
        <w:t xml:space="preserve"> se v roce</w:t>
      </w:r>
      <w:r>
        <w:t xml:space="preserve"> 2024</w:t>
      </w:r>
      <w:r w:rsidRPr="00A24BBA">
        <w:t xml:space="preserve"> nejvíce pracovních úrazů s pracovní neschopností </w:t>
      </w:r>
      <w:r>
        <w:t xml:space="preserve">přesahující </w:t>
      </w:r>
      <w:r w:rsidRPr="00A24BBA">
        <w:t>3 dny u</w:t>
      </w:r>
      <w:r>
        <w:t xml:space="preserve">skutečnilo </w:t>
      </w:r>
      <w:r w:rsidRPr="00A24BBA">
        <w:t xml:space="preserve">v podnicích </w:t>
      </w:r>
      <w:r>
        <w:t xml:space="preserve">se 100–249 </w:t>
      </w:r>
      <w:r w:rsidRPr="00683A67">
        <w:t>zaměstnanci (</w:t>
      </w:r>
      <w:r w:rsidR="00683A67" w:rsidRPr="00683A67">
        <w:t>1 154</w:t>
      </w:r>
      <w:r w:rsidRPr="00683A67">
        <w:t xml:space="preserve"> případů neschopnosti</w:t>
      </w:r>
      <w:r w:rsidRPr="00A24BBA">
        <w:t xml:space="preserve"> v přepočtu na 100 tis</w:t>
      </w:r>
      <w:r>
        <w:t>íc</w:t>
      </w:r>
      <w:r w:rsidRPr="00A24BBA">
        <w:t xml:space="preserve"> pojištěnců). </w:t>
      </w:r>
      <w:r>
        <w:t xml:space="preserve">Na </w:t>
      </w:r>
      <w:r w:rsidR="00683A67">
        <w:t>druhém místě se s mírným odstupem</w:t>
      </w:r>
      <w:r>
        <w:t xml:space="preserve"> </w:t>
      </w:r>
      <w:r w:rsidR="00683A67">
        <w:t xml:space="preserve">umístily </w:t>
      </w:r>
      <w:r w:rsidR="00456EBD">
        <w:t xml:space="preserve">s hodnotou 1 114 pracovních úrazů </w:t>
      </w:r>
      <w:r w:rsidR="00683A67">
        <w:t>podniky</w:t>
      </w:r>
      <w:r w:rsidR="00683A67" w:rsidRPr="00A24BBA">
        <w:t xml:space="preserve"> </w:t>
      </w:r>
      <w:r w:rsidR="00683A67">
        <w:t>o</w:t>
      </w:r>
      <w:r w:rsidR="00456EBD">
        <w:t> </w:t>
      </w:r>
      <w:r w:rsidR="00683A67">
        <w:t>velikosti</w:t>
      </w:r>
      <w:r w:rsidR="00683A67" w:rsidRPr="00A24BBA">
        <w:t xml:space="preserve"> 50–99 </w:t>
      </w:r>
      <w:r w:rsidR="00683A67" w:rsidRPr="00683A67">
        <w:t>zaměstnanc</w:t>
      </w:r>
      <w:r w:rsidR="00683A67">
        <w:t>ů</w:t>
      </w:r>
      <w:r w:rsidR="00456EBD">
        <w:t xml:space="preserve">. </w:t>
      </w:r>
      <w:r w:rsidR="00AC6CB7">
        <w:t>Naproti tomu u</w:t>
      </w:r>
      <w:r w:rsidR="009C3F72">
        <w:t xml:space="preserve"> </w:t>
      </w:r>
      <w:r w:rsidRPr="00A24BBA">
        <w:t xml:space="preserve">OSVČ </w:t>
      </w:r>
      <w:r w:rsidR="009C3F72" w:rsidRPr="00683A67">
        <w:t>bylo evidováno pouze</w:t>
      </w:r>
      <w:r w:rsidRPr="00683A67">
        <w:t> </w:t>
      </w:r>
      <w:r w:rsidR="00683A67" w:rsidRPr="00683A67">
        <w:t>289</w:t>
      </w:r>
      <w:r w:rsidRPr="00683A67">
        <w:t xml:space="preserve"> případů</w:t>
      </w:r>
      <w:r w:rsidRPr="00A24BBA">
        <w:t xml:space="preserve"> </w:t>
      </w:r>
      <w:r w:rsidR="009C3F72">
        <w:t xml:space="preserve">pracovních úrazů v přepočtu </w:t>
      </w:r>
      <w:r w:rsidRPr="00A24BBA">
        <w:t>na 100</w:t>
      </w:r>
      <w:r w:rsidR="009C3F72">
        <w:t> </w:t>
      </w:r>
      <w:r w:rsidRPr="00A24BBA">
        <w:t>tis</w:t>
      </w:r>
      <w:r w:rsidR="009C3F72">
        <w:t>íc</w:t>
      </w:r>
      <w:r w:rsidRPr="00A24BBA">
        <w:t xml:space="preserve"> pojištěnců.</w:t>
      </w:r>
    </w:p>
    <w:p w:rsidR="00A24BBA" w:rsidRDefault="00FC39C6" w:rsidP="00FC39C6">
      <w:pPr>
        <w:spacing w:after="0"/>
        <w:rPr>
          <w:b/>
        </w:rPr>
      </w:pPr>
      <w:r w:rsidRPr="00FC39C6">
        <w:rPr>
          <w:b/>
        </w:rPr>
        <w:t>Graf 5.1: Pracovní úrazy s pracovní neschopností delší než 3 dny v přepočtu na 100 tisíc pojištěnců pod</w:t>
      </w:r>
      <w:r>
        <w:rPr>
          <w:b/>
        </w:rPr>
        <w:t>le odvětví (sekce CZ-NACE), 2024</w:t>
      </w:r>
    </w:p>
    <w:p w:rsidR="00FC39C6" w:rsidRDefault="00015E70" w:rsidP="00015E70">
      <w:pPr>
        <w:rPr>
          <w:sz w:val="16"/>
          <w:szCs w:val="16"/>
        </w:rPr>
      </w:pPr>
      <w:r>
        <w:rPr>
          <w:noProof/>
        </w:rPr>
        <w:drawing>
          <wp:inline distT="0" distB="0" distL="0" distR="0" wp14:anchorId="0B125623" wp14:editId="45999D2C">
            <wp:extent cx="6120000" cy="5040000"/>
            <wp:effectExtent l="0" t="0" r="0" b="8255"/>
            <wp:docPr id="21" name="Graf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r w:rsidR="00FC39C6" w:rsidRPr="00FC39C6">
        <w:rPr>
          <w:sz w:val="16"/>
          <w:szCs w:val="16"/>
        </w:rPr>
        <w:t>Zdroj: ČSÚ</w:t>
      </w:r>
    </w:p>
    <w:p w:rsidR="00FC39C6" w:rsidRDefault="00FC39C6" w:rsidP="00FC39C6">
      <w:pPr>
        <w:pStyle w:val="Nadpis3"/>
      </w:pPr>
      <w:bookmarkStart w:id="10" w:name="_Toc198986222"/>
      <w:r>
        <w:t>4.6 Evropská statistika pracovních úrazů (ESAW)</w:t>
      </w:r>
      <w:bookmarkEnd w:id="10"/>
    </w:p>
    <w:p w:rsidR="00FC39C6" w:rsidRPr="00FC39C6" w:rsidRDefault="00FC39C6" w:rsidP="003A3175">
      <w:r w:rsidRPr="00FC39C6">
        <w:rPr>
          <w:rFonts w:cs="Arial"/>
          <w:szCs w:val="20"/>
        </w:rPr>
        <w:t xml:space="preserve">Evropská statistika pracovních úrazů – systém </w:t>
      </w:r>
      <w:r w:rsidRPr="00FC39C6">
        <w:rPr>
          <w:rFonts w:cs="Arial"/>
          <w:b/>
          <w:szCs w:val="20"/>
        </w:rPr>
        <w:t>ESAW</w:t>
      </w:r>
      <w:r w:rsidRPr="00FC39C6">
        <w:rPr>
          <w:rFonts w:cs="Arial"/>
          <w:szCs w:val="20"/>
        </w:rPr>
        <w:t xml:space="preserve"> (</w:t>
      </w:r>
      <w:proofErr w:type="spellStart"/>
      <w:r w:rsidRPr="00FC39C6">
        <w:rPr>
          <w:rFonts w:cs="Arial"/>
          <w:szCs w:val="20"/>
        </w:rPr>
        <w:t>European</w:t>
      </w:r>
      <w:proofErr w:type="spellEnd"/>
      <w:r w:rsidRPr="00FC39C6">
        <w:rPr>
          <w:rFonts w:cs="Arial"/>
          <w:szCs w:val="20"/>
        </w:rPr>
        <w:t xml:space="preserve"> </w:t>
      </w:r>
      <w:proofErr w:type="spellStart"/>
      <w:r w:rsidRPr="00FC39C6">
        <w:rPr>
          <w:rFonts w:cs="Arial"/>
          <w:szCs w:val="20"/>
        </w:rPr>
        <w:t>Statistics</w:t>
      </w:r>
      <w:proofErr w:type="spellEnd"/>
      <w:r w:rsidRPr="00FC39C6">
        <w:rPr>
          <w:rFonts w:cs="Arial"/>
          <w:szCs w:val="20"/>
        </w:rPr>
        <w:t xml:space="preserve"> on </w:t>
      </w:r>
      <w:proofErr w:type="spellStart"/>
      <w:r w:rsidRPr="00FC39C6">
        <w:rPr>
          <w:rFonts w:cs="Arial"/>
          <w:szCs w:val="20"/>
        </w:rPr>
        <w:t>Accidents</w:t>
      </w:r>
      <w:proofErr w:type="spellEnd"/>
      <w:r w:rsidRPr="00FC39C6">
        <w:rPr>
          <w:rFonts w:cs="Arial"/>
          <w:szCs w:val="20"/>
        </w:rPr>
        <w:t xml:space="preserve"> </w:t>
      </w:r>
      <w:proofErr w:type="spellStart"/>
      <w:r w:rsidRPr="00FC39C6">
        <w:rPr>
          <w:rFonts w:cs="Arial"/>
          <w:szCs w:val="20"/>
        </w:rPr>
        <w:t>at</w:t>
      </w:r>
      <w:proofErr w:type="spellEnd"/>
      <w:r w:rsidRPr="00FC39C6">
        <w:rPr>
          <w:rFonts w:cs="Arial"/>
          <w:szCs w:val="20"/>
        </w:rPr>
        <w:t xml:space="preserve"> </w:t>
      </w:r>
      <w:proofErr w:type="spellStart"/>
      <w:r w:rsidRPr="00FC39C6">
        <w:rPr>
          <w:rFonts w:cs="Arial"/>
          <w:szCs w:val="20"/>
        </w:rPr>
        <w:t>Work</w:t>
      </w:r>
      <w:proofErr w:type="spellEnd"/>
      <w:r w:rsidRPr="00FC39C6">
        <w:rPr>
          <w:rFonts w:cs="Arial"/>
          <w:szCs w:val="20"/>
        </w:rPr>
        <w:t>) – umožňuje sledovat pracovní úrazovost na základě jedn</w:t>
      </w:r>
      <w:r w:rsidR="003A3175">
        <w:rPr>
          <w:rFonts w:cs="Arial"/>
          <w:szCs w:val="20"/>
        </w:rPr>
        <w:t xml:space="preserve">otné metodiky připravené </w:t>
      </w:r>
      <w:proofErr w:type="spellStart"/>
      <w:r w:rsidRPr="00FC39C6">
        <w:rPr>
          <w:rFonts w:cs="Arial"/>
          <w:szCs w:val="20"/>
        </w:rPr>
        <w:t>Eurostat</w:t>
      </w:r>
      <w:r w:rsidR="003A3175">
        <w:rPr>
          <w:rFonts w:cs="Arial"/>
          <w:szCs w:val="20"/>
        </w:rPr>
        <w:t>em</w:t>
      </w:r>
      <w:proofErr w:type="spellEnd"/>
      <w:r w:rsidRPr="00FC39C6">
        <w:rPr>
          <w:rFonts w:cs="Arial"/>
          <w:szCs w:val="20"/>
        </w:rPr>
        <w:t xml:space="preserve">. Hlavním cílem je </w:t>
      </w:r>
      <w:r w:rsidRPr="00FC39C6">
        <w:rPr>
          <w:rFonts w:cs="Arial"/>
          <w:b/>
          <w:szCs w:val="20"/>
        </w:rPr>
        <w:t>snížit</w:t>
      </w:r>
      <w:r w:rsidRPr="00FC39C6">
        <w:rPr>
          <w:rFonts w:cs="Arial"/>
          <w:szCs w:val="20"/>
        </w:rPr>
        <w:t xml:space="preserve"> jak </w:t>
      </w:r>
      <w:r w:rsidRPr="00FC39C6">
        <w:rPr>
          <w:rFonts w:cs="Arial"/>
          <w:b/>
          <w:szCs w:val="20"/>
        </w:rPr>
        <w:t>výskyt pracovních úrazů</w:t>
      </w:r>
      <w:r w:rsidRPr="00FC39C6">
        <w:rPr>
          <w:rFonts w:cs="Arial"/>
          <w:szCs w:val="20"/>
        </w:rPr>
        <w:t>, tak dopady s nimi spojené (sociální problémy, ekonomické ztráty). Projekt ESAW na evropské úrovni svými výsledky významnou měrou přispívá k hlavnímu cí</w:t>
      </w:r>
      <w:r w:rsidR="003A3175">
        <w:rPr>
          <w:rFonts w:cs="Arial"/>
          <w:szCs w:val="20"/>
        </w:rPr>
        <w:t>li statistiky pracovních úrazů,</w:t>
      </w:r>
      <w:r w:rsidR="003A3175">
        <w:rPr>
          <w:rFonts w:cs="Arial"/>
          <w:szCs w:val="20"/>
        </w:rPr>
        <w:br/>
      </w:r>
      <w:r w:rsidRPr="00FC39C6">
        <w:rPr>
          <w:rFonts w:cs="Arial"/>
          <w:szCs w:val="20"/>
        </w:rPr>
        <w:t xml:space="preserve">tj. </w:t>
      </w:r>
      <w:r w:rsidR="003A3175">
        <w:rPr>
          <w:rFonts w:cs="Arial"/>
          <w:szCs w:val="20"/>
        </w:rPr>
        <w:t xml:space="preserve">k </w:t>
      </w:r>
      <w:r w:rsidRPr="00FC39C6">
        <w:rPr>
          <w:rFonts w:cs="Arial"/>
          <w:b/>
          <w:szCs w:val="20"/>
        </w:rPr>
        <w:t>vytvoření</w:t>
      </w:r>
      <w:r w:rsidRPr="00FC39C6">
        <w:rPr>
          <w:rFonts w:cs="Arial"/>
          <w:szCs w:val="20"/>
        </w:rPr>
        <w:t xml:space="preserve"> dostatečného </w:t>
      </w:r>
      <w:r w:rsidRPr="00FC39C6">
        <w:rPr>
          <w:rFonts w:cs="Arial"/>
          <w:b/>
          <w:szCs w:val="20"/>
        </w:rPr>
        <w:t>objemu údajů</w:t>
      </w:r>
      <w:r w:rsidRPr="00FC39C6">
        <w:rPr>
          <w:rFonts w:cs="Arial"/>
          <w:szCs w:val="20"/>
        </w:rPr>
        <w:t xml:space="preserve"> o pracovní úrazovosti, na jejichž základě je zvyšována bezpečnost a ochrana zdraví při práci prostředn</w:t>
      </w:r>
      <w:r w:rsidR="003A3175">
        <w:rPr>
          <w:rFonts w:cs="Arial"/>
          <w:szCs w:val="20"/>
        </w:rPr>
        <w:t xml:space="preserve">ictvím účinných opatření, </w:t>
      </w:r>
      <w:r w:rsidRPr="00FC39C6">
        <w:rPr>
          <w:rFonts w:cs="Arial"/>
          <w:szCs w:val="20"/>
        </w:rPr>
        <w:t>umožňují</w:t>
      </w:r>
      <w:r w:rsidR="003A3175">
        <w:rPr>
          <w:rFonts w:cs="Arial"/>
          <w:szCs w:val="20"/>
        </w:rPr>
        <w:t>cích</w:t>
      </w:r>
      <w:r w:rsidRPr="00FC39C6">
        <w:rPr>
          <w:rFonts w:cs="Arial"/>
          <w:szCs w:val="20"/>
        </w:rPr>
        <w:t xml:space="preserve"> aktivním způsobem předcházet pracovním úrazům, a tak snižovat jejich počet</w:t>
      </w:r>
      <w:r w:rsidRPr="00FC39C6">
        <w:t>.</w:t>
      </w:r>
    </w:p>
    <w:p w:rsidR="00FC39C6" w:rsidRPr="00FC39C6" w:rsidRDefault="00FC39C6" w:rsidP="003A3175">
      <w:pPr>
        <w:rPr>
          <w:rFonts w:cs="Arial"/>
          <w:szCs w:val="20"/>
        </w:rPr>
      </w:pPr>
      <w:r w:rsidRPr="00FC39C6">
        <w:rPr>
          <w:rFonts w:cs="Arial"/>
          <w:szCs w:val="20"/>
        </w:rPr>
        <w:t xml:space="preserve">Rámcová směrnice 89/391/EHS týkající se opatření pro zlepšení bezpečnosti a ochrany zdraví zaměstnanců při práci zavedla povinnost pro zaměstnavatele vést seznam pracovních úrazů, které měly za následek pracovní neschopnost delší než 3 pracovní dny, a vypracovávat v souladu s vnitrostátními právními předpisy nebo zvyklostmi zprávy o pracovních úrazech, které utrpěli jeho zaměstnanci. Na tomto základě byl v roce 1990 zahájen projekt evropské statistiky pracovních úrazů s cílem harmonizovat údaje o všech pracovních </w:t>
      </w:r>
      <w:r w:rsidRPr="00FC39C6">
        <w:rPr>
          <w:rFonts w:cs="Arial"/>
          <w:szCs w:val="20"/>
        </w:rPr>
        <w:lastRenderedPageBreak/>
        <w:t xml:space="preserve">úrazech, které měly za následek delší než třídenní pracovní neschopnost. Nařízení Evropského parlamentu </w:t>
      </w:r>
      <w:r w:rsidRPr="00FC39C6">
        <w:rPr>
          <w:rFonts w:cs="Arial"/>
          <w:spacing w:val="2"/>
          <w:szCs w:val="20"/>
        </w:rPr>
        <w:t>a Rady (ES) č. 1338/2008 ze dne 16. prosince 2008 o statistice Společenství v oblasti veřejného zdraví a bezpečnosti a ochrany zdraví při</w:t>
      </w:r>
      <w:r w:rsidR="003A3175">
        <w:rPr>
          <w:rFonts w:cs="Arial"/>
          <w:szCs w:val="20"/>
        </w:rPr>
        <w:t xml:space="preserve"> práci stanovuje</w:t>
      </w:r>
      <w:r w:rsidRPr="00FC39C6">
        <w:rPr>
          <w:rFonts w:cs="Arial"/>
          <w:szCs w:val="20"/>
        </w:rPr>
        <w:t xml:space="preserve"> povinnost poskytovat statistiky pracovních úrazů Komisi (</w:t>
      </w:r>
      <w:proofErr w:type="spellStart"/>
      <w:r w:rsidRPr="00FC39C6">
        <w:rPr>
          <w:rFonts w:cs="Arial"/>
          <w:szCs w:val="20"/>
        </w:rPr>
        <w:t>Eurostatu</w:t>
      </w:r>
      <w:proofErr w:type="spellEnd"/>
      <w:r w:rsidRPr="00FC39C6">
        <w:rPr>
          <w:rFonts w:cs="Arial"/>
          <w:szCs w:val="20"/>
        </w:rPr>
        <w:t xml:space="preserve">). </w:t>
      </w:r>
    </w:p>
    <w:p w:rsidR="00FC39C6" w:rsidRPr="00FC39C6" w:rsidRDefault="00FC39C6" w:rsidP="003A3175">
      <w:pPr>
        <w:rPr>
          <w:rFonts w:cs="Arial"/>
          <w:szCs w:val="20"/>
        </w:rPr>
      </w:pPr>
      <w:r w:rsidRPr="00FC39C6">
        <w:rPr>
          <w:rFonts w:cs="Arial"/>
          <w:szCs w:val="20"/>
        </w:rPr>
        <w:t xml:space="preserve">V České republice byl rozhodnutím Ministerstva práce a sociálních věcí zpracováním Zprávy o pracovní úrazovosti v České republice a správou databáze statistických údajů o pracovních úrazech ve formátu ESAW k zaslání do </w:t>
      </w:r>
      <w:proofErr w:type="spellStart"/>
      <w:r w:rsidRPr="00FC39C6">
        <w:rPr>
          <w:rFonts w:cs="Arial"/>
          <w:szCs w:val="20"/>
        </w:rPr>
        <w:t>Eurostatu</w:t>
      </w:r>
      <w:proofErr w:type="spellEnd"/>
      <w:r w:rsidRPr="00FC39C6">
        <w:rPr>
          <w:rFonts w:cs="Arial"/>
          <w:szCs w:val="20"/>
        </w:rPr>
        <w:t xml:space="preserve"> pověřen </w:t>
      </w:r>
      <w:r w:rsidRPr="00FC39C6">
        <w:rPr>
          <w:rFonts w:cs="Arial"/>
          <w:b/>
          <w:szCs w:val="20"/>
        </w:rPr>
        <w:t>Státní úřad inspekce práce</w:t>
      </w:r>
      <w:r w:rsidRPr="00FC39C6">
        <w:rPr>
          <w:rFonts w:cs="Arial"/>
          <w:szCs w:val="20"/>
        </w:rPr>
        <w:t>. Státní úřad inspekce práce (SÚIP) v této oblasti úzce spolupracuje s Českým báňským úřadem (ČBÚ) a ČSÚ.</w:t>
      </w:r>
    </w:p>
    <w:p w:rsidR="00FC39C6" w:rsidRPr="00FC39C6" w:rsidRDefault="00FC39C6" w:rsidP="003A3175">
      <w:pPr>
        <w:rPr>
          <w:rFonts w:cs="Arial"/>
          <w:spacing w:val="-2"/>
          <w:szCs w:val="20"/>
        </w:rPr>
      </w:pPr>
      <w:r w:rsidRPr="00FC39C6">
        <w:rPr>
          <w:rFonts w:cs="Arial"/>
          <w:b/>
          <w:spacing w:val="-2"/>
          <w:szCs w:val="20"/>
        </w:rPr>
        <w:t>Statistiky</w:t>
      </w:r>
      <w:r w:rsidRPr="00FC39C6">
        <w:rPr>
          <w:rFonts w:cs="Arial"/>
          <w:spacing w:val="-2"/>
          <w:szCs w:val="20"/>
        </w:rPr>
        <w:t xml:space="preserve"> se </w:t>
      </w:r>
      <w:proofErr w:type="spellStart"/>
      <w:r w:rsidRPr="00FC39C6">
        <w:rPr>
          <w:rFonts w:cs="Arial"/>
          <w:spacing w:val="-2"/>
          <w:szCs w:val="20"/>
        </w:rPr>
        <w:t>Eurostatu</w:t>
      </w:r>
      <w:proofErr w:type="spellEnd"/>
      <w:r w:rsidRPr="00FC39C6">
        <w:rPr>
          <w:rFonts w:cs="Arial"/>
          <w:spacing w:val="-2"/>
          <w:szCs w:val="20"/>
        </w:rPr>
        <w:t xml:space="preserve"> poskytují </w:t>
      </w:r>
      <w:r w:rsidRPr="00FC39C6">
        <w:rPr>
          <w:rFonts w:cs="Arial"/>
          <w:b/>
          <w:spacing w:val="-2"/>
          <w:szCs w:val="20"/>
        </w:rPr>
        <w:t>každoročně</w:t>
      </w:r>
      <w:r w:rsidRPr="00FC39C6">
        <w:rPr>
          <w:rFonts w:cs="Arial"/>
          <w:spacing w:val="-2"/>
          <w:szCs w:val="20"/>
        </w:rPr>
        <w:t xml:space="preserve"> a předkládají se nejpozději 18 měsíců po skončení referenčního roku. </w:t>
      </w:r>
      <w:proofErr w:type="spellStart"/>
      <w:r w:rsidRPr="00FC39C6">
        <w:rPr>
          <w:rFonts w:cs="Arial"/>
          <w:spacing w:val="-2"/>
          <w:szCs w:val="20"/>
        </w:rPr>
        <w:t>Eurostat</w:t>
      </w:r>
      <w:proofErr w:type="spellEnd"/>
      <w:r w:rsidRPr="00FC39C6">
        <w:rPr>
          <w:rFonts w:cs="Arial"/>
          <w:spacing w:val="-2"/>
          <w:szCs w:val="20"/>
        </w:rPr>
        <w:t xml:space="preserve"> zveřejňuje na svých </w:t>
      </w:r>
      <w:r w:rsidR="003A3175" w:rsidRPr="003A3175">
        <w:rPr>
          <w:rFonts w:cs="Arial"/>
          <w:spacing w:val="-2"/>
          <w:szCs w:val="20"/>
        </w:rPr>
        <w:t xml:space="preserve">webových </w:t>
      </w:r>
      <w:r w:rsidRPr="00FC39C6">
        <w:rPr>
          <w:rFonts w:cs="Arial"/>
          <w:spacing w:val="-2"/>
          <w:szCs w:val="20"/>
        </w:rPr>
        <w:t>stránkách výsledky zpracování dat za členské země EU, a to podle závažnosti pracovního úrazu, samostatně za smrtelné pracovní úrazy a za ostatní pracovní úrazy, které mají za následek pracovní neschopnost delší než 3 dny. K dispozici jsou dva základní ukazatele</w:t>
      </w:r>
      <w:r w:rsidR="003A3175" w:rsidRPr="003A3175">
        <w:rPr>
          <w:rFonts w:cs="Arial"/>
          <w:spacing w:val="-2"/>
          <w:szCs w:val="20"/>
        </w:rPr>
        <w:t xml:space="preserve">, jmenovitě </w:t>
      </w:r>
      <w:r w:rsidRPr="00FC39C6">
        <w:rPr>
          <w:rFonts w:cs="Arial"/>
          <w:spacing w:val="-2"/>
          <w:szCs w:val="20"/>
        </w:rPr>
        <w:t xml:space="preserve">absolutní ukazatel počtu pracovních úrazů a relativní ukazatel </w:t>
      </w:r>
      <w:r w:rsidR="003A3175" w:rsidRPr="003A3175">
        <w:rPr>
          <w:rFonts w:cs="Arial"/>
          <w:spacing w:val="-2"/>
          <w:szCs w:val="20"/>
        </w:rPr>
        <w:t>ve formě standardizované míry</w:t>
      </w:r>
      <w:r w:rsidRPr="00FC39C6">
        <w:rPr>
          <w:rFonts w:cs="Arial"/>
          <w:spacing w:val="-2"/>
          <w:szCs w:val="20"/>
        </w:rPr>
        <w:t xml:space="preserve"> výskytu. Data jsou tříděna podle pohlaví, věku, zaměstnání pojištěnce, ekonomické činnosti zaměstnavatele a dalších kritérií</w:t>
      </w:r>
      <w:r w:rsidR="003A3175">
        <w:rPr>
          <w:rStyle w:val="Znakapoznpodarou"/>
          <w:rFonts w:cs="Arial"/>
          <w:spacing w:val="-2"/>
          <w:szCs w:val="20"/>
        </w:rPr>
        <w:footnoteReference w:id="5"/>
      </w:r>
      <w:r w:rsidRPr="00FC39C6">
        <w:rPr>
          <w:rFonts w:cs="Arial"/>
          <w:spacing w:val="-2"/>
          <w:szCs w:val="20"/>
        </w:rPr>
        <w:t>.</w:t>
      </w:r>
    </w:p>
    <w:p w:rsidR="00FC39C6" w:rsidRPr="00FC39C6" w:rsidRDefault="00FC39C6" w:rsidP="00FC39C6">
      <w:r w:rsidRPr="00FC39C6">
        <w:t xml:space="preserve">Pro mezinárodní srovnání za členské státy EU byl v této publikaci použit relativní ukazatel – </w:t>
      </w:r>
      <w:r w:rsidRPr="00FC39C6">
        <w:rPr>
          <w:b/>
        </w:rPr>
        <w:t>standardizovaná míra výskytu pracovních úrazů</w:t>
      </w:r>
      <w:r w:rsidRPr="00FC39C6">
        <w:t xml:space="preserve"> na 100 tis</w:t>
      </w:r>
      <w:r w:rsidR="00A1138C">
        <w:t>íc</w:t>
      </w:r>
      <w:r w:rsidRPr="00FC39C6">
        <w:t xml:space="preserve"> zaměstnaných osob, který je pro srovnání zemí různé velikosti vhodnějším ukazatelem než absolutní počet pracovních úrazů. Navíc ošetřuje problém rozdílné odvětvové struktury v jednotlivých zemích. Pro zachycení vývoje míry úrazovosti v členských </w:t>
      </w:r>
      <w:r w:rsidR="00A1138C">
        <w:t>státech</w:t>
      </w:r>
      <w:r w:rsidRPr="00FC39C6">
        <w:t xml:space="preserve"> EU byly využity údaje za roky </w:t>
      </w:r>
      <w:r w:rsidR="009530E7" w:rsidRPr="009530E7">
        <w:t>2012–2022</w:t>
      </w:r>
      <w:r w:rsidRPr="00FC39C6">
        <w:t>.</w:t>
      </w:r>
    </w:p>
    <w:p w:rsidR="00FC39C6" w:rsidRPr="00FC39C6" w:rsidRDefault="00FC39C6" w:rsidP="00FC39C6">
      <w:r w:rsidRPr="00FC39C6">
        <w:t xml:space="preserve">Je však nutné upozornit na skutečnost, že vnitrostátní legislativa nebo zvyklosti v oblasti pracovní úrazovosti </w:t>
      </w:r>
      <w:r w:rsidRPr="00FC39C6">
        <w:rPr>
          <w:spacing w:val="-2"/>
        </w:rPr>
        <w:t xml:space="preserve">se mohou v jednotlivých zemích poměrně značně lišit, a tak i data předávaná do </w:t>
      </w:r>
      <w:proofErr w:type="spellStart"/>
      <w:r w:rsidRPr="00FC39C6">
        <w:rPr>
          <w:spacing w:val="-2"/>
        </w:rPr>
        <w:t>Eurostatu</w:t>
      </w:r>
      <w:proofErr w:type="spellEnd"/>
      <w:r w:rsidRPr="00FC39C6">
        <w:rPr>
          <w:spacing w:val="-2"/>
        </w:rPr>
        <w:t>, přes veškerou snahu statistiků o harmonizaci a standardizaci, nemusí být zcela srovnatelná</w:t>
      </w:r>
      <w:r w:rsidRPr="00FC39C6">
        <w:t>.</w:t>
      </w:r>
    </w:p>
    <w:p w:rsidR="00FC39C6" w:rsidRPr="00A1138C" w:rsidRDefault="00FC39C6" w:rsidP="000B71E9">
      <w:pPr>
        <w:pStyle w:val="Box1"/>
        <w:spacing w:before="0" w:after="100"/>
        <w:ind w:left="0"/>
        <w:contextualSpacing w:val="0"/>
        <w:jc w:val="both"/>
        <w:rPr>
          <w:i/>
        </w:rPr>
      </w:pPr>
      <w:r w:rsidRPr="00A1138C">
        <w:rPr>
          <w:b/>
          <w:i/>
        </w:rPr>
        <w:t xml:space="preserve">Míra výskytu (četnost) </w:t>
      </w:r>
      <w:r w:rsidRPr="00A1138C">
        <w:rPr>
          <w:i/>
        </w:rPr>
        <w:t>– ukazatel vyjadřuje počet pracovních úrazů na 100 </w:t>
      </w:r>
      <w:r w:rsidR="00A1138C">
        <w:rPr>
          <w:i/>
        </w:rPr>
        <w:t>tisíc</w:t>
      </w:r>
      <w:r w:rsidRPr="00A1138C">
        <w:rPr>
          <w:i/>
        </w:rPr>
        <w:t xml:space="preserve"> zaměstnaných osob. Samostatné míry výskytu se počítají u smrtelných pracovních úrazů a pracovních úrazů, které mají za následek pracovní neschopnost delší než 3 dny. </w:t>
      </w:r>
    </w:p>
    <w:p w:rsidR="00FC39C6" w:rsidRPr="00A1138C" w:rsidRDefault="00FC39C6" w:rsidP="000B71E9">
      <w:pPr>
        <w:pStyle w:val="Box1"/>
        <w:spacing w:before="0" w:after="0"/>
        <w:ind w:left="0"/>
        <w:contextualSpacing w:val="0"/>
        <w:jc w:val="both"/>
        <w:rPr>
          <w:i/>
          <w:u w:val="single"/>
        </w:rPr>
      </w:pPr>
      <w:r w:rsidRPr="00A1138C">
        <w:rPr>
          <w:i/>
          <w:u w:val="single"/>
        </w:rPr>
        <w:t>Způsob výpočtu:</w:t>
      </w:r>
    </w:p>
    <w:p w:rsidR="00FC39C6" w:rsidRPr="00A1138C" w:rsidRDefault="00FC39C6" w:rsidP="00A1138C">
      <w:pPr>
        <w:pStyle w:val="Box1"/>
        <w:spacing w:before="0" w:after="120"/>
        <w:ind w:left="0"/>
        <w:contextualSpacing w:val="0"/>
        <w:jc w:val="both"/>
        <w:rPr>
          <w:i/>
        </w:rPr>
      </w:pPr>
      <w:r w:rsidRPr="00A1138C">
        <w:rPr>
          <w:i/>
        </w:rPr>
        <w:t>Míra výskytu = počet úrazů (smrtelných nebo ostatních) / počet zaměstnaných osob ve sledované populaci x 100 000.</w:t>
      </w:r>
    </w:p>
    <w:p w:rsidR="00FC39C6" w:rsidRPr="00A1138C" w:rsidRDefault="00FC39C6" w:rsidP="000B71E9">
      <w:pPr>
        <w:pStyle w:val="Box1"/>
        <w:spacing w:before="0" w:after="100"/>
        <w:ind w:left="0"/>
        <w:contextualSpacing w:val="0"/>
        <w:jc w:val="both"/>
        <w:rPr>
          <w:i/>
        </w:rPr>
      </w:pPr>
      <w:r w:rsidRPr="00A1138C">
        <w:rPr>
          <w:b/>
          <w:i/>
        </w:rPr>
        <w:t>Standardizovaná míra výskytu</w:t>
      </w:r>
      <w:r w:rsidRPr="00A1138C">
        <w:rPr>
          <w:i/>
        </w:rPr>
        <w:t xml:space="preserve"> – standardizovaný p</w:t>
      </w:r>
      <w:r w:rsidR="00A1138C">
        <w:rPr>
          <w:i/>
        </w:rPr>
        <w:t>očet pracovních úrazů na 100 tisíc</w:t>
      </w:r>
      <w:r w:rsidRPr="00A1138C">
        <w:rPr>
          <w:i/>
        </w:rPr>
        <w:t> zaměstnaných osob</w:t>
      </w:r>
      <w:r w:rsidR="00A1138C">
        <w:rPr>
          <w:i/>
        </w:rPr>
        <w:t xml:space="preserve">. </w:t>
      </w:r>
      <w:r w:rsidR="00A1138C" w:rsidRPr="00A1138C">
        <w:rPr>
          <w:i/>
          <w:spacing w:val="-2"/>
        </w:rPr>
        <w:t>Standardizace spočívá</w:t>
      </w:r>
      <w:r w:rsidRPr="00A1138C">
        <w:rPr>
          <w:i/>
          <w:spacing w:val="-2"/>
        </w:rPr>
        <w:t xml:space="preserve"> v použití stejné (standardizované) váhy v každém odvětví v každé zemi, jako je celková v rámci EU („standardizovaná“ míra úrazovosti). Použití standardizovaného ukazatele řeší problém častějšího výskytu pracovních úrazů</w:t>
      </w:r>
      <w:r w:rsidRPr="00A1138C">
        <w:rPr>
          <w:i/>
        </w:rPr>
        <w:t xml:space="preserve"> v některých zaměstnáních v závislosti na vyšším podílu vysoce rizikových odvětví v průmyslové struktuře země. Standardizovaná míra </w:t>
      </w:r>
      <w:r w:rsidR="001716C8">
        <w:rPr>
          <w:i/>
        </w:rPr>
        <w:t xml:space="preserve">výskytu </w:t>
      </w:r>
      <w:r w:rsidRPr="00A1138C">
        <w:rPr>
          <w:i/>
        </w:rPr>
        <w:t xml:space="preserve">pokrývá </w:t>
      </w:r>
      <w:proofErr w:type="gramStart"/>
      <w:r w:rsidRPr="00A1138C">
        <w:rPr>
          <w:i/>
        </w:rPr>
        <w:t>sekce</w:t>
      </w:r>
      <w:r w:rsidR="00424812">
        <w:rPr>
          <w:i/>
        </w:rPr>
        <w:t xml:space="preserve"> </w:t>
      </w:r>
      <w:r w:rsidR="00424812" w:rsidRPr="001716C8">
        <w:rPr>
          <w:i/>
        </w:rPr>
        <w:t xml:space="preserve">A </w:t>
      </w:r>
      <w:proofErr w:type="spellStart"/>
      <w:r w:rsidR="00424812" w:rsidRPr="001716C8">
        <w:rPr>
          <w:i/>
        </w:rPr>
        <w:t>a</w:t>
      </w:r>
      <w:proofErr w:type="spellEnd"/>
      <w:r w:rsidR="00424812" w:rsidRPr="001716C8">
        <w:rPr>
          <w:i/>
        </w:rPr>
        <w:t xml:space="preserve"> C–N k</w:t>
      </w:r>
      <w:r w:rsidRPr="001716C8">
        <w:rPr>
          <w:i/>
        </w:rPr>
        <w:t>lasifikace</w:t>
      </w:r>
      <w:proofErr w:type="gramEnd"/>
      <w:r w:rsidRPr="001716C8">
        <w:rPr>
          <w:i/>
        </w:rPr>
        <w:t xml:space="preserve"> NACE</w:t>
      </w:r>
      <w:r w:rsidR="001716C8" w:rsidRPr="001716C8">
        <w:rPr>
          <w:i/>
        </w:rPr>
        <w:t xml:space="preserve">, sekce B a O–U nejsou </w:t>
      </w:r>
      <w:r w:rsidR="000B71E9">
        <w:rPr>
          <w:i/>
        </w:rPr>
        <w:t xml:space="preserve">do statistiky </w:t>
      </w:r>
      <w:r w:rsidR="001716C8" w:rsidRPr="001716C8">
        <w:rPr>
          <w:i/>
        </w:rPr>
        <w:t>zahrnuty</w:t>
      </w:r>
      <w:r w:rsidRPr="001716C8">
        <w:rPr>
          <w:i/>
        </w:rPr>
        <w:t>.</w:t>
      </w:r>
    </w:p>
    <w:p w:rsidR="00A1138C" w:rsidRPr="00A1138C" w:rsidRDefault="00037372" w:rsidP="00A1138C">
      <w:r>
        <w:t>V případě</w:t>
      </w:r>
      <w:r w:rsidR="00A1138C" w:rsidRPr="00A1138C">
        <w:t xml:space="preserve"> standardizované míry </w:t>
      </w:r>
      <w:r w:rsidRPr="00A1138C">
        <w:rPr>
          <w:b/>
        </w:rPr>
        <w:t>pracovní neschopnost delší než 3 dny</w:t>
      </w:r>
      <w:r w:rsidRPr="00A1138C">
        <w:t xml:space="preserve"> </w:t>
      </w:r>
      <w:r>
        <w:t>se Česko s počtem 763</w:t>
      </w:r>
      <w:r w:rsidR="00A1138C" w:rsidRPr="00A1138C">
        <w:t xml:space="preserve"> pracovních úrazů na 100 tis</w:t>
      </w:r>
      <w:r>
        <w:t>íc zaměstnaných osob v roce 2022 řadilo</w:t>
      </w:r>
      <w:r w:rsidR="00A1138C" w:rsidRPr="00A1138C">
        <w:t xml:space="preserve"> na </w:t>
      </w:r>
      <w:r>
        <w:rPr>
          <w:b/>
        </w:rPr>
        <w:t>15</w:t>
      </w:r>
      <w:r w:rsidR="00A1138C" w:rsidRPr="00A1138C">
        <w:rPr>
          <w:b/>
        </w:rPr>
        <w:t xml:space="preserve">. místo </w:t>
      </w:r>
      <w:r w:rsidR="00A1138C" w:rsidRPr="00A1138C">
        <w:t xml:space="preserve">v rámci </w:t>
      </w:r>
      <w:r w:rsidR="00A1138C" w:rsidRPr="00A1138C">
        <w:rPr>
          <w:b/>
        </w:rPr>
        <w:t>EU27</w:t>
      </w:r>
      <w:r w:rsidRPr="00037372">
        <w:t>, o jedno místo výše než v </w:t>
      </w:r>
      <w:r w:rsidRPr="00D57DD6">
        <w:rPr>
          <w:spacing w:val="-2"/>
        </w:rPr>
        <w:t>předcházejících dvou letech</w:t>
      </w:r>
      <w:r w:rsidR="00A1138C" w:rsidRPr="00D57DD6">
        <w:rPr>
          <w:spacing w:val="-2"/>
        </w:rPr>
        <w:t xml:space="preserve">. </w:t>
      </w:r>
      <w:r w:rsidR="00D57DD6" w:rsidRPr="00D57DD6">
        <w:rPr>
          <w:spacing w:val="-2"/>
        </w:rPr>
        <w:t>Na prvních místech žebříčku zemí se dlouhodobě umísťuje Portugalsko, Francie a  Španělsko</w:t>
      </w:r>
      <w:r w:rsidR="00A1138C" w:rsidRPr="00D57DD6">
        <w:rPr>
          <w:spacing w:val="-2"/>
        </w:rPr>
        <w:t xml:space="preserve"> (v průběhu let v různém pořadí). V roce 202</w:t>
      </w:r>
      <w:r w:rsidR="00D57DD6" w:rsidRPr="00D57DD6">
        <w:rPr>
          <w:spacing w:val="-2"/>
        </w:rPr>
        <w:t>2</w:t>
      </w:r>
      <w:r w:rsidR="00A1138C" w:rsidRPr="00D57DD6">
        <w:rPr>
          <w:spacing w:val="-2"/>
        </w:rPr>
        <w:t xml:space="preserve"> </w:t>
      </w:r>
      <w:r w:rsidR="00D57DD6" w:rsidRPr="00D57DD6">
        <w:rPr>
          <w:spacing w:val="-2"/>
        </w:rPr>
        <w:t>přesahovala v těchto zemích standardizovaná míra pracovní neschopnost delší než 3 dny hodnotu 2 700 pracovních úrazů</w:t>
      </w:r>
      <w:r w:rsidR="00A1138C" w:rsidRPr="00D57DD6">
        <w:rPr>
          <w:spacing w:val="-2"/>
        </w:rPr>
        <w:t xml:space="preserve"> na 100 tis</w:t>
      </w:r>
      <w:r w:rsidR="00D57DD6" w:rsidRPr="00D57DD6">
        <w:rPr>
          <w:spacing w:val="-2"/>
        </w:rPr>
        <w:t>íc</w:t>
      </w:r>
      <w:r w:rsidR="00A1138C" w:rsidRPr="00D57DD6">
        <w:rPr>
          <w:spacing w:val="-2"/>
        </w:rPr>
        <w:t> z</w:t>
      </w:r>
      <w:r w:rsidR="00D57DD6" w:rsidRPr="00D57DD6">
        <w:rPr>
          <w:spacing w:val="-2"/>
        </w:rPr>
        <w:t>aměstnaných osob, přičemž jen v</w:t>
      </w:r>
      <w:r w:rsidR="00A1138C" w:rsidRPr="00D57DD6">
        <w:rPr>
          <w:spacing w:val="-2"/>
        </w:rPr>
        <w:t xml:space="preserve"> </w:t>
      </w:r>
      <w:r w:rsidR="00D57DD6" w:rsidRPr="00D57DD6">
        <w:rPr>
          <w:spacing w:val="-2"/>
        </w:rPr>
        <w:t>Portugalsku</w:t>
      </w:r>
      <w:r w:rsidR="00A1138C" w:rsidRPr="00D57DD6">
        <w:rPr>
          <w:spacing w:val="-2"/>
        </w:rPr>
        <w:t xml:space="preserve"> to bylo 3 </w:t>
      </w:r>
      <w:r w:rsidR="00D57DD6" w:rsidRPr="00D57DD6">
        <w:rPr>
          <w:spacing w:val="-2"/>
        </w:rPr>
        <w:t>160</w:t>
      </w:r>
      <w:r w:rsidR="00A1138C" w:rsidRPr="00D57DD6">
        <w:rPr>
          <w:spacing w:val="-2"/>
        </w:rPr>
        <w:t xml:space="preserve"> úrazů. S odstupem</w:t>
      </w:r>
      <w:r w:rsidR="00A1138C" w:rsidRPr="00A1138C">
        <w:t xml:space="preserve"> následovalo </w:t>
      </w:r>
      <w:r w:rsidR="00D57DD6">
        <w:t>Německo (1748), Dánsko a Lucembursko (obě 1740). Průměr za státy EU27 činil 1 551</w:t>
      </w:r>
      <w:r w:rsidR="00A1138C" w:rsidRPr="00A1138C">
        <w:t xml:space="preserve"> pracovních úrazů s minimálně 3denní pracovní neschopností na 100</w:t>
      </w:r>
      <w:r w:rsidR="00D57DD6">
        <w:t> </w:t>
      </w:r>
      <w:r w:rsidR="00A1138C" w:rsidRPr="00A1138C">
        <w:t>tis</w:t>
      </w:r>
      <w:r w:rsidR="00D57DD6">
        <w:t>íc</w:t>
      </w:r>
      <w:r w:rsidR="00A1138C" w:rsidRPr="00A1138C">
        <w:t xml:space="preserve"> zaměstnaných osob. Nejnižší míra pr</w:t>
      </w:r>
      <w:r w:rsidR="00D57DD6">
        <w:t>acovní úrazovosti (pod hranicí 3</w:t>
      </w:r>
      <w:r w:rsidR="00A1138C" w:rsidRPr="00A1138C">
        <w:t>00 pr</w:t>
      </w:r>
      <w:r w:rsidR="00D57DD6">
        <w:t>acovních úrazů) byla v roce 2022</w:t>
      </w:r>
      <w:r w:rsidR="00A1138C" w:rsidRPr="00A1138C">
        <w:t xml:space="preserve"> vykázána v</w:t>
      </w:r>
      <w:r w:rsidR="00D57DD6">
        <w:t> </w:t>
      </w:r>
      <w:r w:rsidR="00D57DD6" w:rsidRPr="00A1138C">
        <w:t>Lotyšsku</w:t>
      </w:r>
      <w:r w:rsidR="00D57DD6">
        <w:t xml:space="preserve">, </w:t>
      </w:r>
      <w:r w:rsidR="00D57DD6" w:rsidRPr="00A1138C">
        <w:t>Řecku</w:t>
      </w:r>
      <w:r w:rsidR="00D57DD6">
        <w:t xml:space="preserve">, </w:t>
      </w:r>
      <w:r w:rsidR="00D57DD6" w:rsidRPr="00A1138C">
        <w:t xml:space="preserve">Bulharsku </w:t>
      </w:r>
      <w:r w:rsidR="00D57DD6">
        <w:t xml:space="preserve">a </w:t>
      </w:r>
      <w:r w:rsidR="00A1138C" w:rsidRPr="00A1138C">
        <w:t xml:space="preserve">Rumunsku. </w:t>
      </w:r>
      <w:r w:rsidR="00D57DD6">
        <w:t xml:space="preserve">Rumunsko </w:t>
      </w:r>
      <w:r w:rsidR="00532D91">
        <w:t>na</w:t>
      </w:r>
      <w:r w:rsidR="00A1138C" w:rsidRPr="00A1138C">
        <w:t xml:space="preserve"> 100 000 zaměstnaných </w:t>
      </w:r>
      <w:r w:rsidR="00532D91">
        <w:t xml:space="preserve">ohlásilo </w:t>
      </w:r>
      <w:r w:rsidR="00A1138C" w:rsidRPr="00A1138C">
        <w:t>pouze</w:t>
      </w:r>
      <w:r w:rsidR="00532D91">
        <w:t xml:space="preserve"> 58</w:t>
      </w:r>
      <w:r w:rsidR="00A1138C" w:rsidRPr="00A1138C">
        <w:t xml:space="preserve"> pracovních úrazů s pracovní neschopností</w:t>
      </w:r>
      <w:r w:rsidR="00532D91">
        <w:t xml:space="preserve"> delší než 3 dny</w:t>
      </w:r>
      <w:r w:rsidR="00A1138C" w:rsidRPr="00A1138C">
        <w:t xml:space="preserve">. </w:t>
      </w:r>
      <w:r w:rsidR="00532D91">
        <w:t>Více viz graf 6.1.</w:t>
      </w:r>
    </w:p>
    <w:p w:rsidR="00A1138C" w:rsidRPr="00A1138C" w:rsidRDefault="00A1138C" w:rsidP="00A1138C">
      <w:r w:rsidRPr="00A1138C">
        <w:lastRenderedPageBreak/>
        <w:t xml:space="preserve">Podle informací </w:t>
      </w:r>
      <w:proofErr w:type="spellStart"/>
      <w:r w:rsidRPr="00A1138C">
        <w:t>Eurostatu</w:t>
      </w:r>
      <w:proofErr w:type="spellEnd"/>
      <w:r w:rsidRPr="00A1138C">
        <w:t xml:space="preserve"> je v zemích s nejvyšší mírou výskytu pracovní</w:t>
      </w:r>
      <w:r w:rsidR="00532D91">
        <w:t>ch úrazů (Francie, Portugalsko,</w:t>
      </w:r>
      <w:r w:rsidRPr="00A1138C">
        <w:t xml:space="preserve"> Španělsko) zaveden systém hlášení úrazů na základě pojištění. Osoba postižená úrazem obdrží při nahlášení úrazu významnou peněžní kompenzaci od pojišťovny. V zemích východní Evropy pracovní úrazovost nejčastěji spadá do systému sociálního zabezpečení. Z těchto zemí jedině Slovinsko a Estonsko vykázalo více než </w:t>
      </w:r>
      <w:r w:rsidR="00532D91">
        <w:t>999</w:t>
      </w:r>
      <w:r w:rsidRPr="00A1138C">
        <w:t xml:space="preserve"> pracovních úrazů s pracovní neschopností delší než 3 dny na 100 000 zaměstnaných osob. Dlouhodobě nejnižší míra v Rumunsku a Bulharsku, navíc s velkým odstupem za ostatními státy, patrně do značné míry odráží vysoký podíl nenahlášených pracovních úrazů.</w:t>
      </w:r>
    </w:p>
    <w:p w:rsidR="00FC39C6" w:rsidRDefault="00532D91" w:rsidP="00532D91">
      <w:r>
        <w:t>Data za rok 2022 zastupují třetí</w:t>
      </w:r>
      <w:r w:rsidR="00A1138C" w:rsidRPr="00A1138C">
        <w:t xml:space="preserve"> ročník dat ze statistiky ESAW mapující období poznamenané pandemií </w:t>
      </w:r>
      <w:r>
        <w:t>COVIDu</w:t>
      </w:r>
      <w:r w:rsidR="00A1138C" w:rsidRPr="00A1138C">
        <w:t>-19. V</w:t>
      </w:r>
      <w:r>
        <w:t>e srovnání s rokem 2020 došlo v</w:t>
      </w:r>
      <w:r w:rsidR="00A1138C" w:rsidRPr="00A1138C">
        <w:t xml:space="preserve"> </w:t>
      </w:r>
      <w:r>
        <w:t>řadě</w:t>
      </w:r>
      <w:r w:rsidR="00A1138C" w:rsidRPr="00A1138C">
        <w:t xml:space="preserve"> států k nárůstu standardizované míry výskytu pracovních úrazů na 100 tis</w:t>
      </w:r>
      <w:r>
        <w:t>íc</w:t>
      </w:r>
      <w:r w:rsidR="00A1138C" w:rsidRPr="00A1138C">
        <w:t xml:space="preserve"> zaměstnaných. Nejvíce </w:t>
      </w:r>
      <w:r>
        <w:t>v Portugalsku (+347), Španělsku (+</w:t>
      </w:r>
      <w:r w:rsidR="000B71E9">
        <w:t>323), Itálii (+244) či Irsku (+218)</w:t>
      </w:r>
      <w:r w:rsidR="00A1138C" w:rsidRPr="00A1138C">
        <w:t xml:space="preserve">. </w:t>
      </w:r>
      <w:r w:rsidR="000B71E9">
        <w:t>Naopak k nevýraznějšímu poklesu</w:t>
      </w:r>
      <w:r w:rsidR="00A1138C" w:rsidRPr="00A1138C">
        <w:t xml:space="preserve"> </w:t>
      </w:r>
      <w:r w:rsidR="000B71E9">
        <w:t>míry</w:t>
      </w:r>
      <w:r w:rsidR="000B71E9" w:rsidRPr="00A1138C">
        <w:t xml:space="preserve"> výskytu pracovních úrazů</w:t>
      </w:r>
      <w:r w:rsidR="000B71E9">
        <w:t xml:space="preserve"> došlo v Dánsku (-162) a Finsku (-100).</w:t>
      </w:r>
      <w:r w:rsidR="00A1138C" w:rsidRPr="00A1138C">
        <w:t xml:space="preserve"> Je</w:t>
      </w:r>
      <w:r w:rsidR="000B71E9">
        <w:t xml:space="preserve"> </w:t>
      </w:r>
      <w:r w:rsidR="00A1138C" w:rsidRPr="00A1138C">
        <w:t xml:space="preserve">však potřeba dodat, že míra rozšíření nemoci </w:t>
      </w:r>
      <w:r w:rsidR="000B71E9">
        <w:t>COVID</w:t>
      </w:r>
      <w:r w:rsidR="00A1138C" w:rsidRPr="00A1138C">
        <w:t>-19 a s ní související opatření, která měla dopad i na pracovní úrazovost, se lišila napříč zeměmi.</w:t>
      </w:r>
      <w:r w:rsidR="00CE48AF">
        <w:t xml:space="preserve"> Podrobněji viz tabulka 6.1.</w:t>
      </w:r>
    </w:p>
    <w:p w:rsidR="00037372" w:rsidRPr="00037372" w:rsidRDefault="00037372" w:rsidP="00037372">
      <w:pPr>
        <w:spacing w:after="0"/>
        <w:rPr>
          <w:b/>
          <w:spacing w:val="-2"/>
        </w:rPr>
      </w:pPr>
      <w:r>
        <w:rPr>
          <w:noProof/>
        </w:rPr>
        <w:drawing>
          <wp:anchor distT="0" distB="0" distL="114300" distR="114300" simplePos="0" relativeHeight="251679232" behindDoc="1" locked="0" layoutInCell="1" allowOverlap="1">
            <wp:simplePos x="0" y="0"/>
            <wp:positionH relativeFrom="column">
              <wp:posOffset>-635</wp:posOffset>
            </wp:positionH>
            <wp:positionV relativeFrom="paragraph">
              <wp:posOffset>352425</wp:posOffset>
            </wp:positionV>
            <wp:extent cx="6119495" cy="5040000"/>
            <wp:effectExtent l="0" t="0" r="0" b="8255"/>
            <wp:wrapTight wrapText="bothSides">
              <wp:wrapPolygon edited="0">
                <wp:start x="0" y="0"/>
                <wp:lineTo x="0" y="21554"/>
                <wp:lineTo x="21517" y="21554"/>
                <wp:lineTo x="21517" y="0"/>
                <wp:lineTo x="0" y="0"/>
              </wp:wrapPolygon>
            </wp:wrapTight>
            <wp:docPr id="37" name="Graf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14:sizeRelV relativeFrom="margin">
              <wp14:pctHeight>0</wp14:pctHeight>
            </wp14:sizeRelV>
          </wp:anchor>
        </w:drawing>
      </w:r>
      <w:r w:rsidRPr="00037372">
        <w:rPr>
          <w:b/>
          <w:spacing w:val="-2"/>
        </w:rPr>
        <w:t>Graf 6.1: Pracovní úrazy s pracovní neschopností delší než 3 pracovní dny v zemích EU (standardizovaná míra výskytu na 100 tis</w:t>
      </w:r>
      <w:r w:rsidR="008F46F2">
        <w:rPr>
          <w:b/>
          <w:spacing w:val="-2"/>
        </w:rPr>
        <w:t>íc</w:t>
      </w:r>
      <w:r w:rsidRPr="00037372">
        <w:rPr>
          <w:b/>
          <w:spacing w:val="-2"/>
        </w:rPr>
        <w:t xml:space="preserve"> zaměstnaných osob), 2022</w:t>
      </w:r>
    </w:p>
    <w:p w:rsidR="00037372" w:rsidRPr="00037372" w:rsidRDefault="00037372" w:rsidP="00037372">
      <w:pPr>
        <w:rPr>
          <w:spacing w:val="-2"/>
          <w:sz w:val="16"/>
          <w:szCs w:val="20"/>
        </w:rPr>
      </w:pPr>
      <w:r w:rsidRPr="00037372">
        <w:rPr>
          <w:spacing w:val="-2"/>
          <w:sz w:val="16"/>
          <w:szCs w:val="20"/>
        </w:rPr>
        <w:t xml:space="preserve">Zdroj: </w:t>
      </w:r>
      <w:proofErr w:type="spellStart"/>
      <w:r w:rsidRPr="00037372">
        <w:rPr>
          <w:spacing w:val="-2"/>
          <w:sz w:val="16"/>
          <w:szCs w:val="20"/>
        </w:rPr>
        <w:t>Eurostat</w:t>
      </w:r>
      <w:proofErr w:type="spellEnd"/>
      <w:r w:rsidRPr="00037372">
        <w:rPr>
          <w:spacing w:val="-2"/>
          <w:sz w:val="16"/>
          <w:szCs w:val="20"/>
        </w:rPr>
        <w:t xml:space="preserve"> (ESAW)</w:t>
      </w:r>
    </w:p>
    <w:p w:rsidR="009F6005" w:rsidRDefault="009F6005">
      <w:pPr>
        <w:spacing w:after="0" w:line="240" w:lineRule="auto"/>
        <w:jc w:val="left"/>
        <w:rPr>
          <w:b/>
          <w:spacing w:val="-2"/>
          <w:szCs w:val="20"/>
        </w:rPr>
      </w:pPr>
      <w:r>
        <w:rPr>
          <w:b/>
          <w:spacing w:val="-2"/>
          <w:szCs w:val="20"/>
        </w:rPr>
        <w:br w:type="page"/>
      </w:r>
    </w:p>
    <w:p w:rsidR="007B30D0" w:rsidRDefault="007B30D0" w:rsidP="007B30D0">
      <w:pPr>
        <w:spacing w:after="0"/>
        <w:rPr>
          <w:b/>
          <w:spacing w:val="-2"/>
          <w:szCs w:val="20"/>
        </w:rPr>
      </w:pPr>
      <w:r w:rsidRPr="007B30D0">
        <w:rPr>
          <w:b/>
          <w:spacing w:val="-2"/>
          <w:szCs w:val="20"/>
        </w:rPr>
        <w:lastRenderedPageBreak/>
        <w:t>Tab. 6.1: Pracovní úrazy s pracovní neschopností delší než 3 pracovní dny v zemích EU (standardizovaná míra výskytu na 100 tisíc zaměstnaných osob), 2012–2022</w:t>
      </w:r>
    </w:p>
    <w:tbl>
      <w:tblPr>
        <w:tblW w:w="5000" w:type="pct"/>
        <w:tblCellMar>
          <w:left w:w="70" w:type="dxa"/>
          <w:right w:w="70" w:type="dxa"/>
        </w:tblCellMar>
        <w:tblLook w:val="04A0" w:firstRow="1" w:lastRow="0" w:firstColumn="1" w:lastColumn="0" w:noHBand="0" w:noVBand="1"/>
      </w:tblPr>
      <w:tblGrid>
        <w:gridCol w:w="1368"/>
        <w:gridCol w:w="751"/>
        <w:gridCol w:w="751"/>
        <w:gridCol w:w="752"/>
        <w:gridCol w:w="752"/>
        <w:gridCol w:w="752"/>
        <w:gridCol w:w="752"/>
        <w:gridCol w:w="752"/>
        <w:gridCol w:w="752"/>
        <w:gridCol w:w="752"/>
        <w:gridCol w:w="752"/>
        <w:gridCol w:w="752"/>
      </w:tblGrid>
      <w:tr w:rsidR="007B30D0" w:rsidRPr="007B30D0" w:rsidTr="00037372">
        <w:trPr>
          <w:trHeight w:val="300"/>
        </w:trPr>
        <w:tc>
          <w:tcPr>
            <w:tcW w:w="710" w:type="pct"/>
            <w:tcBorders>
              <w:top w:val="single" w:sz="4" w:space="0" w:color="000000"/>
              <w:left w:val="nil"/>
              <w:bottom w:val="single" w:sz="4" w:space="0" w:color="auto"/>
              <w:right w:val="nil"/>
            </w:tcBorders>
            <w:shd w:val="clear" w:color="auto" w:fill="E6C483"/>
            <w:noWrap/>
            <w:vAlign w:val="center"/>
            <w:hideMark/>
          </w:tcPr>
          <w:p w:rsidR="007B30D0" w:rsidRPr="007B30D0" w:rsidRDefault="007B30D0" w:rsidP="007B30D0">
            <w:pPr>
              <w:spacing w:after="0" w:line="240" w:lineRule="auto"/>
              <w:jc w:val="center"/>
              <w:rPr>
                <w:rFonts w:cs="Arial"/>
                <w:sz w:val="16"/>
                <w:szCs w:val="16"/>
              </w:rPr>
            </w:pPr>
            <w:r w:rsidRPr="007B30D0">
              <w:rPr>
                <w:rFonts w:cs="Arial"/>
                <w:sz w:val="16"/>
                <w:szCs w:val="16"/>
              </w:rPr>
              <w:t>Členské státy EU</w:t>
            </w:r>
          </w:p>
        </w:tc>
        <w:tc>
          <w:tcPr>
            <w:tcW w:w="390" w:type="pct"/>
            <w:tcBorders>
              <w:top w:val="single" w:sz="4" w:space="0" w:color="000000"/>
              <w:left w:val="single" w:sz="4" w:space="0" w:color="000000"/>
              <w:bottom w:val="single" w:sz="4" w:space="0" w:color="auto"/>
              <w:right w:val="single" w:sz="4" w:space="0" w:color="000000"/>
            </w:tcBorders>
            <w:shd w:val="clear" w:color="auto" w:fill="E6C483"/>
            <w:noWrap/>
            <w:vAlign w:val="center"/>
            <w:hideMark/>
          </w:tcPr>
          <w:p w:rsidR="007B30D0" w:rsidRPr="007B30D0" w:rsidRDefault="007B30D0" w:rsidP="007B30D0">
            <w:pPr>
              <w:spacing w:after="0" w:line="240" w:lineRule="auto"/>
              <w:jc w:val="center"/>
              <w:rPr>
                <w:rFonts w:cs="Arial"/>
                <w:sz w:val="16"/>
                <w:szCs w:val="16"/>
              </w:rPr>
            </w:pPr>
            <w:r w:rsidRPr="007B30D0">
              <w:rPr>
                <w:rFonts w:cs="Arial"/>
                <w:sz w:val="16"/>
                <w:szCs w:val="16"/>
              </w:rPr>
              <w:t>2012</w:t>
            </w:r>
          </w:p>
        </w:tc>
        <w:tc>
          <w:tcPr>
            <w:tcW w:w="390" w:type="pct"/>
            <w:tcBorders>
              <w:top w:val="single" w:sz="4" w:space="0" w:color="000000"/>
              <w:left w:val="nil"/>
              <w:bottom w:val="single" w:sz="4" w:space="0" w:color="auto"/>
              <w:right w:val="single" w:sz="4" w:space="0" w:color="000000"/>
            </w:tcBorders>
            <w:shd w:val="clear" w:color="auto" w:fill="E6C483"/>
            <w:noWrap/>
            <w:vAlign w:val="center"/>
            <w:hideMark/>
          </w:tcPr>
          <w:p w:rsidR="007B30D0" w:rsidRPr="007B30D0" w:rsidRDefault="007B30D0" w:rsidP="007B30D0">
            <w:pPr>
              <w:spacing w:after="0" w:line="240" w:lineRule="auto"/>
              <w:jc w:val="center"/>
              <w:rPr>
                <w:rFonts w:cs="Arial"/>
                <w:sz w:val="16"/>
                <w:szCs w:val="16"/>
              </w:rPr>
            </w:pPr>
            <w:r w:rsidRPr="007B30D0">
              <w:rPr>
                <w:rFonts w:cs="Arial"/>
                <w:sz w:val="16"/>
                <w:szCs w:val="16"/>
              </w:rPr>
              <w:t>2013</w:t>
            </w:r>
          </w:p>
        </w:tc>
        <w:tc>
          <w:tcPr>
            <w:tcW w:w="390" w:type="pct"/>
            <w:tcBorders>
              <w:top w:val="single" w:sz="4" w:space="0" w:color="000000"/>
              <w:left w:val="nil"/>
              <w:bottom w:val="single" w:sz="4" w:space="0" w:color="auto"/>
              <w:right w:val="single" w:sz="4" w:space="0" w:color="000000"/>
            </w:tcBorders>
            <w:shd w:val="clear" w:color="auto" w:fill="E6C483"/>
            <w:noWrap/>
            <w:vAlign w:val="center"/>
            <w:hideMark/>
          </w:tcPr>
          <w:p w:rsidR="007B30D0" w:rsidRPr="007B30D0" w:rsidRDefault="007B30D0" w:rsidP="007B30D0">
            <w:pPr>
              <w:spacing w:after="0" w:line="240" w:lineRule="auto"/>
              <w:jc w:val="center"/>
              <w:rPr>
                <w:rFonts w:cs="Arial"/>
                <w:sz w:val="16"/>
                <w:szCs w:val="16"/>
              </w:rPr>
            </w:pPr>
            <w:r w:rsidRPr="007B30D0">
              <w:rPr>
                <w:rFonts w:cs="Arial"/>
                <w:sz w:val="16"/>
                <w:szCs w:val="16"/>
              </w:rPr>
              <w:t>2014</w:t>
            </w:r>
          </w:p>
        </w:tc>
        <w:tc>
          <w:tcPr>
            <w:tcW w:w="390" w:type="pct"/>
            <w:tcBorders>
              <w:top w:val="single" w:sz="4" w:space="0" w:color="000000"/>
              <w:left w:val="nil"/>
              <w:bottom w:val="single" w:sz="4" w:space="0" w:color="auto"/>
              <w:right w:val="single" w:sz="4" w:space="0" w:color="000000"/>
            </w:tcBorders>
            <w:shd w:val="clear" w:color="auto" w:fill="E6C483"/>
            <w:noWrap/>
            <w:vAlign w:val="center"/>
            <w:hideMark/>
          </w:tcPr>
          <w:p w:rsidR="007B30D0" w:rsidRPr="007B30D0" w:rsidRDefault="007B30D0" w:rsidP="007B30D0">
            <w:pPr>
              <w:spacing w:after="0" w:line="240" w:lineRule="auto"/>
              <w:jc w:val="center"/>
              <w:rPr>
                <w:rFonts w:cs="Arial"/>
                <w:sz w:val="16"/>
                <w:szCs w:val="16"/>
              </w:rPr>
            </w:pPr>
            <w:r w:rsidRPr="007B30D0">
              <w:rPr>
                <w:rFonts w:cs="Arial"/>
                <w:sz w:val="16"/>
                <w:szCs w:val="16"/>
              </w:rPr>
              <w:t>2015</w:t>
            </w:r>
          </w:p>
        </w:tc>
        <w:tc>
          <w:tcPr>
            <w:tcW w:w="390" w:type="pct"/>
            <w:tcBorders>
              <w:top w:val="single" w:sz="4" w:space="0" w:color="000000"/>
              <w:left w:val="nil"/>
              <w:bottom w:val="single" w:sz="4" w:space="0" w:color="auto"/>
              <w:right w:val="single" w:sz="4" w:space="0" w:color="000000"/>
            </w:tcBorders>
            <w:shd w:val="clear" w:color="auto" w:fill="E6C483"/>
            <w:noWrap/>
            <w:vAlign w:val="center"/>
            <w:hideMark/>
          </w:tcPr>
          <w:p w:rsidR="007B30D0" w:rsidRPr="007B30D0" w:rsidRDefault="007B30D0" w:rsidP="007B30D0">
            <w:pPr>
              <w:spacing w:after="0" w:line="240" w:lineRule="auto"/>
              <w:jc w:val="center"/>
              <w:rPr>
                <w:rFonts w:cs="Arial"/>
                <w:sz w:val="16"/>
                <w:szCs w:val="16"/>
              </w:rPr>
            </w:pPr>
            <w:r w:rsidRPr="007B30D0">
              <w:rPr>
                <w:rFonts w:cs="Arial"/>
                <w:sz w:val="16"/>
                <w:szCs w:val="16"/>
              </w:rPr>
              <w:t>2016</w:t>
            </w:r>
          </w:p>
        </w:tc>
        <w:tc>
          <w:tcPr>
            <w:tcW w:w="390" w:type="pct"/>
            <w:tcBorders>
              <w:top w:val="single" w:sz="4" w:space="0" w:color="000000"/>
              <w:left w:val="nil"/>
              <w:bottom w:val="single" w:sz="4" w:space="0" w:color="auto"/>
              <w:right w:val="single" w:sz="4" w:space="0" w:color="000000"/>
            </w:tcBorders>
            <w:shd w:val="clear" w:color="auto" w:fill="E6C483"/>
            <w:noWrap/>
            <w:vAlign w:val="center"/>
            <w:hideMark/>
          </w:tcPr>
          <w:p w:rsidR="007B30D0" w:rsidRPr="007B30D0" w:rsidRDefault="007B30D0" w:rsidP="007B30D0">
            <w:pPr>
              <w:spacing w:after="0" w:line="240" w:lineRule="auto"/>
              <w:jc w:val="center"/>
              <w:rPr>
                <w:rFonts w:cs="Arial"/>
                <w:sz w:val="16"/>
                <w:szCs w:val="16"/>
              </w:rPr>
            </w:pPr>
            <w:r w:rsidRPr="007B30D0">
              <w:rPr>
                <w:rFonts w:cs="Arial"/>
                <w:sz w:val="16"/>
                <w:szCs w:val="16"/>
              </w:rPr>
              <w:t>2017</w:t>
            </w:r>
          </w:p>
        </w:tc>
        <w:tc>
          <w:tcPr>
            <w:tcW w:w="390" w:type="pct"/>
            <w:tcBorders>
              <w:top w:val="single" w:sz="4" w:space="0" w:color="000000"/>
              <w:left w:val="nil"/>
              <w:bottom w:val="single" w:sz="4" w:space="0" w:color="auto"/>
              <w:right w:val="single" w:sz="4" w:space="0" w:color="000000"/>
            </w:tcBorders>
            <w:shd w:val="clear" w:color="auto" w:fill="E6C483"/>
            <w:noWrap/>
            <w:vAlign w:val="center"/>
            <w:hideMark/>
          </w:tcPr>
          <w:p w:rsidR="007B30D0" w:rsidRPr="007B30D0" w:rsidRDefault="007B30D0" w:rsidP="007B30D0">
            <w:pPr>
              <w:spacing w:after="0" w:line="240" w:lineRule="auto"/>
              <w:jc w:val="center"/>
              <w:rPr>
                <w:rFonts w:cs="Arial"/>
                <w:sz w:val="16"/>
                <w:szCs w:val="16"/>
              </w:rPr>
            </w:pPr>
            <w:r w:rsidRPr="007B30D0">
              <w:rPr>
                <w:rFonts w:cs="Arial"/>
                <w:sz w:val="16"/>
                <w:szCs w:val="16"/>
              </w:rPr>
              <w:t>2018</w:t>
            </w:r>
          </w:p>
        </w:tc>
        <w:tc>
          <w:tcPr>
            <w:tcW w:w="390" w:type="pct"/>
            <w:tcBorders>
              <w:top w:val="single" w:sz="4" w:space="0" w:color="000000"/>
              <w:left w:val="nil"/>
              <w:bottom w:val="single" w:sz="4" w:space="0" w:color="auto"/>
              <w:right w:val="single" w:sz="4" w:space="0" w:color="000000"/>
            </w:tcBorders>
            <w:shd w:val="clear" w:color="auto" w:fill="E6C483"/>
            <w:noWrap/>
            <w:vAlign w:val="center"/>
            <w:hideMark/>
          </w:tcPr>
          <w:p w:rsidR="007B30D0" w:rsidRPr="007B30D0" w:rsidRDefault="007B30D0" w:rsidP="007B30D0">
            <w:pPr>
              <w:spacing w:after="0" w:line="240" w:lineRule="auto"/>
              <w:jc w:val="center"/>
              <w:rPr>
                <w:rFonts w:cs="Arial"/>
                <w:sz w:val="16"/>
                <w:szCs w:val="16"/>
              </w:rPr>
            </w:pPr>
            <w:r w:rsidRPr="007B30D0">
              <w:rPr>
                <w:rFonts w:cs="Arial"/>
                <w:sz w:val="16"/>
                <w:szCs w:val="16"/>
              </w:rPr>
              <w:t>2019</w:t>
            </w:r>
          </w:p>
        </w:tc>
        <w:tc>
          <w:tcPr>
            <w:tcW w:w="390" w:type="pct"/>
            <w:tcBorders>
              <w:top w:val="single" w:sz="4" w:space="0" w:color="000000"/>
              <w:left w:val="nil"/>
              <w:bottom w:val="single" w:sz="4" w:space="0" w:color="auto"/>
              <w:right w:val="nil"/>
            </w:tcBorders>
            <w:shd w:val="clear" w:color="auto" w:fill="E6C483"/>
            <w:noWrap/>
            <w:vAlign w:val="center"/>
            <w:hideMark/>
          </w:tcPr>
          <w:p w:rsidR="007B30D0" w:rsidRPr="007B30D0" w:rsidRDefault="007B30D0" w:rsidP="007B30D0">
            <w:pPr>
              <w:spacing w:after="0" w:line="240" w:lineRule="auto"/>
              <w:jc w:val="center"/>
              <w:rPr>
                <w:rFonts w:cs="Arial"/>
                <w:sz w:val="16"/>
                <w:szCs w:val="16"/>
              </w:rPr>
            </w:pPr>
            <w:r w:rsidRPr="007B30D0">
              <w:rPr>
                <w:rFonts w:cs="Arial"/>
                <w:sz w:val="16"/>
                <w:szCs w:val="16"/>
              </w:rPr>
              <w:t>2020</w:t>
            </w:r>
          </w:p>
        </w:tc>
        <w:tc>
          <w:tcPr>
            <w:tcW w:w="390" w:type="pct"/>
            <w:tcBorders>
              <w:top w:val="single" w:sz="4" w:space="0" w:color="000000"/>
              <w:left w:val="single" w:sz="4" w:space="0" w:color="000000"/>
              <w:bottom w:val="single" w:sz="4" w:space="0" w:color="auto"/>
              <w:right w:val="nil"/>
            </w:tcBorders>
            <w:shd w:val="clear" w:color="auto" w:fill="E6C483"/>
            <w:noWrap/>
            <w:vAlign w:val="center"/>
            <w:hideMark/>
          </w:tcPr>
          <w:p w:rsidR="007B30D0" w:rsidRPr="007B30D0" w:rsidRDefault="007B30D0" w:rsidP="007B30D0">
            <w:pPr>
              <w:spacing w:after="0" w:line="240" w:lineRule="auto"/>
              <w:jc w:val="center"/>
              <w:rPr>
                <w:rFonts w:cs="Arial"/>
                <w:sz w:val="16"/>
                <w:szCs w:val="16"/>
              </w:rPr>
            </w:pPr>
            <w:r w:rsidRPr="007B30D0">
              <w:rPr>
                <w:rFonts w:cs="Arial"/>
                <w:sz w:val="16"/>
                <w:szCs w:val="16"/>
              </w:rPr>
              <w:t>2021</w:t>
            </w:r>
          </w:p>
        </w:tc>
        <w:tc>
          <w:tcPr>
            <w:tcW w:w="390" w:type="pct"/>
            <w:tcBorders>
              <w:top w:val="single" w:sz="4" w:space="0" w:color="000000"/>
              <w:left w:val="single" w:sz="4" w:space="0" w:color="000000"/>
              <w:bottom w:val="single" w:sz="4" w:space="0" w:color="auto"/>
              <w:right w:val="nil"/>
            </w:tcBorders>
            <w:shd w:val="clear" w:color="auto" w:fill="E6C483"/>
            <w:noWrap/>
            <w:vAlign w:val="center"/>
            <w:hideMark/>
          </w:tcPr>
          <w:p w:rsidR="007B30D0" w:rsidRPr="007B30D0" w:rsidRDefault="007B30D0" w:rsidP="007B30D0">
            <w:pPr>
              <w:spacing w:after="0" w:line="240" w:lineRule="auto"/>
              <w:jc w:val="center"/>
              <w:rPr>
                <w:rFonts w:cs="Arial"/>
                <w:sz w:val="16"/>
                <w:szCs w:val="16"/>
              </w:rPr>
            </w:pPr>
            <w:r w:rsidRPr="007B30D0">
              <w:rPr>
                <w:rFonts w:cs="Arial"/>
                <w:sz w:val="16"/>
                <w:szCs w:val="16"/>
              </w:rPr>
              <w:t>2022</w:t>
            </w:r>
          </w:p>
        </w:tc>
      </w:tr>
      <w:tr w:rsidR="007B30D0" w:rsidRPr="007B30D0" w:rsidTr="00037372">
        <w:trPr>
          <w:trHeight w:val="283"/>
        </w:trPr>
        <w:tc>
          <w:tcPr>
            <w:tcW w:w="710" w:type="pct"/>
            <w:tcBorders>
              <w:top w:val="single" w:sz="4" w:space="0" w:color="auto"/>
              <w:left w:val="nil"/>
              <w:bottom w:val="nil"/>
              <w:right w:val="single" w:sz="4" w:space="0" w:color="auto"/>
            </w:tcBorders>
            <w:shd w:val="clear" w:color="auto" w:fill="auto"/>
            <w:noWrap/>
            <w:vAlign w:val="bottom"/>
            <w:hideMark/>
          </w:tcPr>
          <w:p w:rsidR="007B30D0" w:rsidRPr="007B30D0" w:rsidRDefault="007B30D0" w:rsidP="007B30D0">
            <w:pPr>
              <w:spacing w:after="0" w:line="240" w:lineRule="auto"/>
              <w:jc w:val="left"/>
              <w:rPr>
                <w:rFonts w:cs="Arial"/>
                <w:b/>
                <w:bCs/>
                <w:sz w:val="16"/>
                <w:szCs w:val="16"/>
              </w:rPr>
            </w:pPr>
            <w:r w:rsidRPr="007B30D0">
              <w:rPr>
                <w:rFonts w:cs="Arial"/>
                <w:b/>
                <w:bCs/>
                <w:sz w:val="16"/>
                <w:szCs w:val="16"/>
              </w:rPr>
              <w:t>EU27</w:t>
            </w:r>
          </w:p>
        </w:tc>
        <w:tc>
          <w:tcPr>
            <w:tcW w:w="390" w:type="pct"/>
            <w:tcBorders>
              <w:top w:val="single" w:sz="4" w:space="0" w:color="auto"/>
              <w:left w:val="single" w:sz="4" w:space="0" w:color="auto"/>
              <w:bottom w:val="nil"/>
            </w:tcBorders>
            <w:shd w:val="clear" w:color="auto" w:fill="auto"/>
            <w:noWrap/>
            <w:vAlign w:val="bottom"/>
            <w:hideMark/>
          </w:tcPr>
          <w:p w:rsidR="007B30D0" w:rsidRPr="007B30D0" w:rsidRDefault="007B30D0" w:rsidP="007B30D0">
            <w:pPr>
              <w:spacing w:after="0" w:line="240" w:lineRule="auto"/>
              <w:jc w:val="right"/>
              <w:rPr>
                <w:rFonts w:cs="Arial"/>
                <w:b/>
                <w:bCs/>
                <w:sz w:val="16"/>
                <w:szCs w:val="16"/>
              </w:rPr>
            </w:pPr>
            <w:r w:rsidRPr="007B30D0">
              <w:rPr>
                <w:rFonts w:cs="Arial"/>
                <w:b/>
                <w:bCs/>
                <w:sz w:val="16"/>
                <w:szCs w:val="16"/>
              </w:rPr>
              <w:t>1 862,4</w:t>
            </w:r>
          </w:p>
        </w:tc>
        <w:tc>
          <w:tcPr>
            <w:tcW w:w="390" w:type="pct"/>
            <w:tcBorders>
              <w:top w:val="single" w:sz="4" w:space="0" w:color="auto"/>
              <w:bottom w:val="nil"/>
            </w:tcBorders>
            <w:shd w:val="clear" w:color="auto" w:fill="auto"/>
            <w:noWrap/>
            <w:vAlign w:val="bottom"/>
            <w:hideMark/>
          </w:tcPr>
          <w:p w:rsidR="007B30D0" w:rsidRPr="007B30D0" w:rsidRDefault="007B30D0" w:rsidP="007B30D0">
            <w:pPr>
              <w:spacing w:after="0" w:line="240" w:lineRule="auto"/>
              <w:jc w:val="right"/>
              <w:rPr>
                <w:rFonts w:cs="Arial"/>
                <w:b/>
                <w:bCs/>
                <w:sz w:val="16"/>
                <w:szCs w:val="16"/>
              </w:rPr>
            </w:pPr>
            <w:r w:rsidRPr="007B30D0">
              <w:rPr>
                <w:rFonts w:cs="Arial"/>
                <w:b/>
                <w:bCs/>
                <w:sz w:val="16"/>
                <w:szCs w:val="16"/>
              </w:rPr>
              <w:t>1 815,8</w:t>
            </w:r>
          </w:p>
        </w:tc>
        <w:tc>
          <w:tcPr>
            <w:tcW w:w="390" w:type="pct"/>
            <w:tcBorders>
              <w:top w:val="single" w:sz="4" w:space="0" w:color="auto"/>
              <w:bottom w:val="nil"/>
            </w:tcBorders>
            <w:shd w:val="clear" w:color="auto" w:fill="auto"/>
            <w:noWrap/>
            <w:vAlign w:val="bottom"/>
            <w:hideMark/>
          </w:tcPr>
          <w:p w:rsidR="007B30D0" w:rsidRPr="007B30D0" w:rsidRDefault="007B30D0" w:rsidP="007B30D0">
            <w:pPr>
              <w:spacing w:after="0" w:line="240" w:lineRule="auto"/>
              <w:jc w:val="right"/>
              <w:rPr>
                <w:rFonts w:cs="Arial"/>
                <w:b/>
                <w:bCs/>
                <w:sz w:val="16"/>
                <w:szCs w:val="16"/>
              </w:rPr>
            </w:pPr>
            <w:r w:rsidRPr="007B30D0">
              <w:rPr>
                <w:rFonts w:cs="Arial"/>
                <w:b/>
                <w:bCs/>
                <w:sz w:val="16"/>
                <w:szCs w:val="16"/>
              </w:rPr>
              <w:t>1 768,5</w:t>
            </w:r>
          </w:p>
        </w:tc>
        <w:tc>
          <w:tcPr>
            <w:tcW w:w="390" w:type="pct"/>
            <w:tcBorders>
              <w:top w:val="single" w:sz="4" w:space="0" w:color="auto"/>
              <w:bottom w:val="nil"/>
            </w:tcBorders>
            <w:shd w:val="clear" w:color="auto" w:fill="auto"/>
            <w:noWrap/>
            <w:vAlign w:val="bottom"/>
            <w:hideMark/>
          </w:tcPr>
          <w:p w:rsidR="007B30D0" w:rsidRPr="007B30D0" w:rsidRDefault="007B30D0" w:rsidP="007B30D0">
            <w:pPr>
              <w:spacing w:after="0" w:line="240" w:lineRule="auto"/>
              <w:jc w:val="right"/>
              <w:rPr>
                <w:rFonts w:cs="Arial"/>
                <w:b/>
                <w:bCs/>
                <w:sz w:val="16"/>
                <w:szCs w:val="16"/>
              </w:rPr>
            </w:pPr>
            <w:r w:rsidRPr="007B30D0">
              <w:rPr>
                <w:rFonts w:cs="Arial"/>
                <w:b/>
                <w:bCs/>
                <w:sz w:val="16"/>
                <w:szCs w:val="16"/>
              </w:rPr>
              <w:t>1 821,2</w:t>
            </w:r>
          </w:p>
        </w:tc>
        <w:tc>
          <w:tcPr>
            <w:tcW w:w="390" w:type="pct"/>
            <w:tcBorders>
              <w:top w:val="single" w:sz="4" w:space="0" w:color="auto"/>
              <w:bottom w:val="nil"/>
            </w:tcBorders>
            <w:shd w:val="clear" w:color="auto" w:fill="auto"/>
            <w:noWrap/>
            <w:vAlign w:val="bottom"/>
            <w:hideMark/>
          </w:tcPr>
          <w:p w:rsidR="007B30D0" w:rsidRPr="007B30D0" w:rsidRDefault="007B30D0" w:rsidP="007B30D0">
            <w:pPr>
              <w:spacing w:after="0" w:line="240" w:lineRule="auto"/>
              <w:jc w:val="right"/>
              <w:rPr>
                <w:rFonts w:cs="Arial"/>
                <w:b/>
                <w:bCs/>
                <w:sz w:val="16"/>
                <w:szCs w:val="16"/>
              </w:rPr>
            </w:pPr>
            <w:r w:rsidRPr="007B30D0">
              <w:rPr>
                <w:rFonts w:cs="Arial"/>
                <w:b/>
                <w:bCs/>
                <w:sz w:val="16"/>
                <w:szCs w:val="16"/>
              </w:rPr>
              <w:t>1 821,4</w:t>
            </w:r>
          </w:p>
        </w:tc>
        <w:tc>
          <w:tcPr>
            <w:tcW w:w="390" w:type="pct"/>
            <w:tcBorders>
              <w:top w:val="single" w:sz="4" w:space="0" w:color="auto"/>
              <w:bottom w:val="nil"/>
            </w:tcBorders>
            <w:shd w:val="clear" w:color="auto" w:fill="auto"/>
            <w:noWrap/>
            <w:vAlign w:val="bottom"/>
            <w:hideMark/>
          </w:tcPr>
          <w:p w:rsidR="007B30D0" w:rsidRPr="007B30D0" w:rsidRDefault="007B30D0" w:rsidP="007B30D0">
            <w:pPr>
              <w:spacing w:after="0" w:line="240" w:lineRule="auto"/>
              <w:jc w:val="right"/>
              <w:rPr>
                <w:rFonts w:cs="Arial"/>
                <w:b/>
                <w:bCs/>
                <w:sz w:val="16"/>
                <w:szCs w:val="16"/>
              </w:rPr>
            </w:pPr>
            <w:r w:rsidRPr="007B30D0">
              <w:rPr>
                <w:rFonts w:cs="Arial"/>
                <w:b/>
                <w:bCs/>
                <w:sz w:val="16"/>
                <w:szCs w:val="16"/>
              </w:rPr>
              <w:t>1 737,5</w:t>
            </w:r>
          </w:p>
        </w:tc>
        <w:tc>
          <w:tcPr>
            <w:tcW w:w="390" w:type="pct"/>
            <w:tcBorders>
              <w:top w:val="single" w:sz="4" w:space="0" w:color="auto"/>
              <w:bottom w:val="nil"/>
            </w:tcBorders>
            <w:shd w:val="clear" w:color="auto" w:fill="auto"/>
            <w:noWrap/>
            <w:vAlign w:val="bottom"/>
            <w:hideMark/>
          </w:tcPr>
          <w:p w:rsidR="007B30D0" w:rsidRPr="007B30D0" w:rsidRDefault="007B30D0" w:rsidP="007B30D0">
            <w:pPr>
              <w:spacing w:after="0" w:line="240" w:lineRule="auto"/>
              <w:jc w:val="right"/>
              <w:rPr>
                <w:rFonts w:cs="Arial"/>
                <w:b/>
                <w:bCs/>
                <w:sz w:val="16"/>
                <w:szCs w:val="16"/>
              </w:rPr>
            </w:pPr>
            <w:r w:rsidRPr="007B30D0">
              <w:rPr>
                <w:rFonts w:cs="Arial"/>
                <w:b/>
                <w:bCs/>
                <w:sz w:val="16"/>
                <w:szCs w:val="16"/>
              </w:rPr>
              <w:t>1 791,5</w:t>
            </w:r>
          </w:p>
        </w:tc>
        <w:tc>
          <w:tcPr>
            <w:tcW w:w="390" w:type="pct"/>
            <w:tcBorders>
              <w:top w:val="single" w:sz="4" w:space="0" w:color="auto"/>
              <w:bottom w:val="nil"/>
            </w:tcBorders>
            <w:shd w:val="clear" w:color="auto" w:fill="auto"/>
            <w:noWrap/>
            <w:vAlign w:val="bottom"/>
            <w:hideMark/>
          </w:tcPr>
          <w:p w:rsidR="007B30D0" w:rsidRPr="007B30D0" w:rsidRDefault="007B30D0" w:rsidP="007B30D0">
            <w:pPr>
              <w:spacing w:after="0" w:line="240" w:lineRule="auto"/>
              <w:jc w:val="right"/>
              <w:rPr>
                <w:rFonts w:cs="Arial"/>
                <w:b/>
                <w:bCs/>
                <w:sz w:val="16"/>
                <w:szCs w:val="16"/>
              </w:rPr>
            </w:pPr>
            <w:r w:rsidRPr="007B30D0">
              <w:rPr>
                <w:rFonts w:cs="Arial"/>
                <w:b/>
                <w:bCs/>
                <w:sz w:val="16"/>
                <w:szCs w:val="16"/>
              </w:rPr>
              <w:t>1 743,0</w:t>
            </w:r>
          </w:p>
        </w:tc>
        <w:tc>
          <w:tcPr>
            <w:tcW w:w="390" w:type="pct"/>
            <w:tcBorders>
              <w:top w:val="single" w:sz="4" w:space="0" w:color="auto"/>
              <w:bottom w:val="nil"/>
            </w:tcBorders>
            <w:shd w:val="clear" w:color="auto" w:fill="D9D9D9"/>
            <w:noWrap/>
            <w:vAlign w:val="bottom"/>
            <w:hideMark/>
          </w:tcPr>
          <w:p w:rsidR="007B30D0" w:rsidRPr="007B30D0" w:rsidRDefault="007B30D0" w:rsidP="007B30D0">
            <w:pPr>
              <w:spacing w:after="0" w:line="240" w:lineRule="auto"/>
              <w:jc w:val="right"/>
              <w:rPr>
                <w:rFonts w:cs="Arial"/>
                <w:b/>
                <w:bCs/>
                <w:sz w:val="16"/>
                <w:szCs w:val="16"/>
              </w:rPr>
            </w:pPr>
            <w:r w:rsidRPr="007B30D0">
              <w:rPr>
                <w:rFonts w:cs="Arial"/>
                <w:b/>
                <w:bCs/>
                <w:sz w:val="16"/>
                <w:szCs w:val="16"/>
              </w:rPr>
              <w:t>1 470,3</w:t>
            </w:r>
          </w:p>
        </w:tc>
        <w:tc>
          <w:tcPr>
            <w:tcW w:w="390" w:type="pct"/>
            <w:tcBorders>
              <w:top w:val="single" w:sz="4" w:space="0" w:color="auto"/>
              <w:bottom w:val="nil"/>
            </w:tcBorders>
            <w:shd w:val="clear" w:color="auto" w:fill="auto"/>
            <w:noWrap/>
            <w:vAlign w:val="bottom"/>
            <w:hideMark/>
          </w:tcPr>
          <w:p w:rsidR="007B30D0" w:rsidRPr="007B30D0" w:rsidRDefault="007B30D0" w:rsidP="007B30D0">
            <w:pPr>
              <w:spacing w:after="0" w:line="240" w:lineRule="auto"/>
              <w:jc w:val="right"/>
              <w:rPr>
                <w:rFonts w:cs="Arial"/>
                <w:b/>
                <w:bCs/>
                <w:sz w:val="16"/>
                <w:szCs w:val="16"/>
              </w:rPr>
            </w:pPr>
            <w:r w:rsidRPr="007B30D0">
              <w:rPr>
                <w:rFonts w:cs="Arial"/>
                <w:b/>
                <w:bCs/>
                <w:sz w:val="16"/>
                <w:szCs w:val="16"/>
              </w:rPr>
              <w:t>1 627,2</w:t>
            </w:r>
          </w:p>
        </w:tc>
        <w:tc>
          <w:tcPr>
            <w:tcW w:w="390" w:type="pct"/>
            <w:tcBorders>
              <w:top w:val="single" w:sz="4" w:space="0" w:color="auto"/>
              <w:bottom w:val="nil"/>
              <w:right w:val="nil"/>
            </w:tcBorders>
            <w:shd w:val="clear" w:color="auto" w:fill="auto"/>
            <w:noWrap/>
            <w:vAlign w:val="bottom"/>
            <w:hideMark/>
          </w:tcPr>
          <w:p w:rsidR="007B30D0" w:rsidRPr="007B30D0" w:rsidRDefault="007B30D0" w:rsidP="007B30D0">
            <w:pPr>
              <w:spacing w:after="0" w:line="240" w:lineRule="auto"/>
              <w:jc w:val="right"/>
              <w:rPr>
                <w:rFonts w:cs="Arial"/>
                <w:b/>
                <w:bCs/>
                <w:sz w:val="16"/>
                <w:szCs w:val="16"/>
              </w:rPr>
            </w:pPr>
            <w:r w:rsidRPr="007B30D0">
              <w:rPr>
                <w:rFonts w:cs="Arial"/>
                <w:b/>
                <w:bCs/>
                <w:sz w:val="16"/>
                <w:szCs w:val="16"/>
              </w:rPr>
              <w:t>1 550,7</w:t>
            </w:r>
          </w:p>
        </w:tc>
      </w:tr>
      <w:tr w:rsidR="007B30D0" w:rsidRPr="007B30D0" w:rsidTr="00037372">
        <w:trPr>
          <w:trHeight w:val="283"/>
        </w:trPr>
        <w:tc>
          <w:tcPr>
            <w:tcW w:w="710" w:type="pct"/>
            <w:tcBorders>
              <w:top w:val="nil"/>
              <w:left w:val="nil"/>
              <w:bottom w:val="nil"/>
              <w:right w:val="single" w:sz="4" w:space="0" w:color="auto"/>
            </w:tcBorders>
            <w:shd w:val="clear" w:color="auto" w:fill="auto"/>
            <w:noWrap/>
            <w:vAlign w:val="bottom"/>
            <w:hideMark/>
          </w:tcPr>
          <w:p w:rsidR="007B30D0" w:rsidRPr="007B30D0" w:rsidRDefault="007B30D0" w:rsidP="007B30D0">
            <w:pPr>
              <w:spacing w:after="0" w:line="240" w:lineRule="auto"/>
              <w:ind w:firstLineChars="100" w:firstLine="160"/>
              <w:jc w:val="left"/>
              <w:rPr>
                <w:rFonts w:cs="Arial"/>
                <w:sz w:val="16"/>
                <w:szCs w:val="16"/>
              </w:rPr>
            </w:pPr>
            <w:r w:rsidRPr="007B30D0">
              <w:rPr>
                <w:rFonts w:cs="Arial"/>
                <w:sz w:val="16"/>
                <w:szCs w:val="16"/>
              </w:rPr>
              <w:t>Belgie</w:t>
            </w:r>
          </w:p>
        </w:tc>
        <w:tc>
          <w:tcPr>
            <w:tcW w:w="390" w:type="pct"/>
            <w:tcBorders>
              <w:top w:val="nil"/>
              <w:left w:val="single" w:sz="4" w:space="0" w:color="auto"/>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2 197,3</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2 147,3</w:t>
            </w:r>
          </w:p>
        </w:tc>
        <w:tc>
          <w:tcPr>
            <w:tcW w:w="390" w:type="pct"/>
            <w:tcBorders>
              <w:top w:val="nil"/>
              <w:bottom w:val="nil"/>
            </w:tcBorders>
            <w:shd w:val="clear" w:color="000000" w:fill="D9D9D9"/>
            <w:noWrap/>
            <w:vAlign w:val="bottom"/>
            <w:hideMark/>
          </w:tcPr>
          <w:p w:rsidR="007B30D0" w:rsidRPr="007B30D0" w:rsidRDefault="007B30D0" w:rsidP="007B30D0">
            <w:pPr>
              <w:spacing w:after="0" w:line="240" w:lineRule="auto"/>
              <w:jc w:val="right"/>
              <w:rPr>
                <w:rFonts w:cs="Arial"/>
                <w:color w:val="000000" w:themeColor="text1"/>
                <w:sz w:val="16"/>
                <w:szCs w:val="16"/>
              </w:rPr>
            </w:pPr>
            <w:r w:rsidRPr="007B30D0">
              <w:rPr>
                <w:rFonts w:cs="Arial"/>
                <w:color w:val="000000" w:themeColor="text1"/>
                <w:sz w:val="16"/>
                <w:szCs w:val="16"/>
              </w:rPr>
              <w:t>1 724,4</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1 940,0</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1 978,5</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2 012,2</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1 876,8</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1 770,7</w:t>
            </w:r>
          </w:p>
        </w:tc>
        <w:tc>
          <w:tcPr>
            <w:tcW w:w="390" w:type="pct"/>
            <w:tcBorders>
              <w:top w:val="nil"/>
              <w:bottom w:val="nil"/>
            </w:tcBorders>
            <w:shd w:val="clear" w:color="auto" w:fill="D9D9D9"/>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1 503,3</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1 580,7</w:t>
            </w:r>
          </w:p>
        </w:tc>
        <w:tc>
          <w:tcPr>
            <w:tcW w:w="390" w:type="pct"/>
            <w:tcBorders>
              <w:top w:val="nil"/>
              <w:bottom w:val="nil"/>
              <w:right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1 545,5</w:t>
            </w:r>
          </w:p>
        </w:tc>
      </w:tr>
      <w:tr w:rsidR="007B30D0" w:rsidRPr="007B30D0" w:rsidTr="00037372">
        <w:trPr>
          <w:trHeight w:val="283"/>
        </w:trPr>
        <w:tc>
          <w:tcPr>
            <w:tcW w:w="710" w:type="pct"/>
            <w:tcBorders>
              <w:top w:val="nil"/>
              <w:left w:val="nil"/>
              <w:bottom w:val="nil"/>
              <w:right w:val="single" w:sz="4" w:space="0" w:color="auto"/>
            </w:tcBorders>
            <w:shd w:val="clear" w:color="auto" w:fill="auto"/>
            <w:noWrap/>
            <w:vAlign w:val="bottom"/>
            <w:hideMark/>
          </w:tcPr>
          <w:p w:rsidR="007B30D0" w:rsidRPr="007B30D0" w:rsidRDefault="007B30D0" w:rsidP="007B30D0">
            <w:pPr>
              <w:spacing w:after="0" w:line="240" w:lineRule="auto"/>
              <w:ind w:firstLineChars="100" w:firstLine="160"/>
              <w:jc w:val="left"/>
              <w:rPr>
                <w:rFonts w:cs="Arial"/>
                <w:sz w:val="16"/>
                <w:szCs w:val="16"/>
              </w:rPr>
            </w:pPr>
            <w:r w:rsidRPr="007B30D0">
              <w:rPr>
                <w:rFonts w:cs="Arial"/>
                <w:sz w:val="16"/>
                <w:szCs w:val="16"/>
              </w:rPr>
              <w:t>Bulharsko</w:t>
            </w:r>
          </w:p>
        </w:tc>
        <w:tc>
          <w:tcPr>
            <w:tcW w:w="390" w:type="pct"/>
            <w:tcBorders>
              <w:top w:val="nil"/>
              <w:left w:val="single" w:sz="4" w:space="0" w:color="auto"/>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84,9</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79,7</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82,5</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83,2</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76,3</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82,5</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78,3</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82,5</w:t>
            </w:r>
          </w:p>
        </w:tc>
        <w:tc>
          <w:tcPr>
            <w:tcW w:w="390" w:type="pct"/>
            <w:tcBorders>
              <w:top w:val="nil"/>
              <w:bottom w:val="nil"/>
            </w:tcBorders>
            <w:shd w:val="clear" w:color="auto" w:fill="D9D9D9"/>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76,8</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80,5</w:t>
            </w:r>
          </w:p>
        </w:tc>
        <w:tc>
          <w:tcPr>
            <w:tcW w:w="390" w:type="pct"/>
            <w:tcBorders>
              <w:top w:val="nil"/>
              <w:bottom w:val="nil"/>
              <w:right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81,5</w:t>
            </w:r>
          </w:p>
        </w:tc>
      </w:tr>
      <w:tr w:rsidR="007B30D0" w:rsidRPr="007B30D0" w:rsidTr="00037372">
        <w:trPr>
          <w:trHeight w:val="283"/>
        </w:trPr>
        <w:tc>
          <w:tcPr>
            <w:tcW w:w="710" w:type="pct"/>
            <w:tcBorders>
              <w:top w:val="nil"/>
              <w:left w:val="nil"/>
              <w:bottom w:val="nil"/>
              <w:right w:val="single" w:sz="4" w:space="0" w:color="auto"/>
            </w:tcBorders>
            <w:shd w:val="clear" w:color="auto" w:fill="auto"/>
            <w:noWrap/>
            <w:vAlign w:val="bottom"/>
            <w:hideMark/>
          </w:tcPr>
          <w:p w:rsidR="007B30D0" w:rsidRPr="007B30D0" w:rsidRDefault="007B30D0" w:rsidP="007B30D0">
            <w:pPr>
              <w:spacing w:after="0" w:line="240" w:lineRule="auto"/>
              <w:ind w:firstLineChars="100" w:firstLine="160"/>
              <w:jc w:val="left"/>
              <w:rPr>
                <w:rFonts w:cs="Arial"/>
                <w:b/>
                <w:bCs/>
                <w:sz w:val="16"/>
                <w:szCs w:val="16"/>
              </w:rPr>
            </w:pPr>
            <w:r w:rsidRPr="007B30D0">
              <w:rPr>
                <w:rFonts w:cs="Arial"/>
                <w:b/>
                <w:bCs/>
                <w:sz w:val="16"/>
                <w:szCs w:val="16"/>
              </w:rPr>
              <w:t>Česko</w:t>
            </w:r>
          </w:p>
        </w:tc>
        <w:tc>
          <w:tcPr>
            <w:tcW w:w="390" w:type="pct"/>
            <w:tcBorders>
              <w:top w:val="nil"/>
              <w:left w:val="single" w:sz="4" w:space="0" w:color="auto"/>
              <w:bottom w:val="nil"/>
            </w:tcBorders>
            <w:shd w:val="clear" w:color="auto" w:fill="auto"/>
            <w:noWrap/>
            <w:vAlign w:val="bottom"/>
            <w:hideMark/>
          </w:tcPr>
          <w:p w:rsidR="007B30D0" w:rsidRPr="007B30D0" w:rsidRDefault="007B30D0" w:rsidP="007B30D0">
            <w:pPr>
              <w:spacing w:after="0" w:line="240" w:lineRule="auto"/>
              <w:jc w:val="right"/>
              <w:rPr>
                <w:rFonts w:cs="Arial"/>
                <w:b/>
                <w:bCs/>
                <w:sz w:val="16"/>
                <w:szCs w:val="16"/>
              </w:rPr>
            </w:pPr>
            <w:r w:rsidRPr="007B30D0">
              <w:rPr>
                <w:rFonts w:cs="Arial"/>
                <w:b/>
                <w:bCs/>
                <w:sz w:val="16"/>
                <w:szCs w:val="16"/>
              </w:rPr>
              <w:t>941,4</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b/>
                <w:bCs/>
                <w:sz w:val="16"/>
                <w:szCs w:val="16"/>
              </w:rPr>
            </w:pPr>
            <w:r w:rsidRPr="007B30D0">
              <w:rPr>
                <w:rFonts w:cs="Arial"/>
                <w:b/>
                <w:bCs/>
                <w:sz w:val="16"/>
                <w:szCs w:val="16"/>
              </w:rPr>
              <w:t>896,1</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b/>
                <w:bCs/>
                <w:sz w:val="16"/>
                <w:szCs w:val="16"/>
              </w:rPr>
            </w:pPr>
            <w:r w:rsidRPr="007B30D0">
              <w:rPr>
                <w:rFonts w:cs="Arial"/>
                <w:b/>
                <w:bCs/>
                <w:sz w:val="16"/>
                <w:szCs w:val="16"/>
              </w:rPr>
              <w:t>907,0</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b/>
                <w:bCs/>
                <w:sz w:val="16"/>
                <w:szCs w:val="16"/>
              </w:rPr>
            </w:pPr>
            <w:r w:rsidRPr="007B30D0">
              <w:rPr>
                <w:rFonts w:cs="Arial"/>
                <w:b/>
                <w:bCs/>
                <w:sz w:val="16"/>
                <w:szCs w:val="16"/>
              </w:rPr>
              <w:t>968,0</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b/>
                <w:bCs/>
                <w:sz w:val="16"/>
                <w:szCs w:val="16"/>
              </w:rPr>
            </w:pPr>
            <w:r w:rsidRPr="007B30D0">
              <w:rPr>
                <w:rFonts w:cs="Arial"/>
                <w:b/>
                <w:bCs/>
                <w:sz w:val="16"/>
                <w:szCs w:val="16"/>
              </w:rPr>
              <w:t>934,6</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b/>
                <w:bCs/>
                <w:sz w:val="16"/>
                <w:szCs w:val="16"/>
              </w:rPr>
            </w:pPr>
            <w:r w:rsidRPr="007B30D0">
              <w:rPr>
                <w:rFonts w:cs="Arial"/>
                <w:b/>
                <w:bCs/>
                <w:sz w:val="16"/>
                <w:szCs w:val="16"/>
              </w:rPr>
              <w:t>929,9</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b/>
                <w:bCs/>
                <w:sz w:val="16"/>
                <w:szCs w:val="16"/>
              </w:rPr>
            </w:pPr>
            <w:r w:rsidRPr="007B30D0">
              <w:rPr>
                <w:rFonts w:cs="Arial"/>
                <w:b/>
                <w:bCs/>
                <w:sz w:val="16"/>
                <w:szCs w:val="16"/>
              </w:rPr>
              <w:t>961,7</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b/>
                <w:bCs/>
                <w:sz w:val="16"/>
                <w:szCs w:val="16"/>
              </w:rPr>
            </w:pPr>
            <w:r w:rsidRPr="007B30D0">
              <w:rPr>
                <w:rFonts w:cs="Arial"/>
                <w:b/>
                <w:bCs/>
                <w:sz w:val="16"/>
                <w:szCs w:val="16"/>
              </w:rPr>
              <w:t>875,0</w:t>
            </w:r>
          </w:p>
        </w:tc>
        <w:tc>
          <w:tcPr>
            <w:tcW w:w="390" w:type="pct"/>
            <w:tcBorders>
              <w:top w:val="nil"/>
              <w:bottom w:val="nil"/>
            </w:tcBorders>
            <w:shd w:val="clear" w:color="auto" w:fill="D9D9D9"/>
            <w:noWrap/>
            <w:vAlign w:val="bottom"/>
            <w:hideMark/>
          </w:tcPr>
          <w:p w:rsidR="007B30D0" w:rsidRPr="007B30D0" w:rsidRDefault="007B30D0" w:rsidP="007B30D0">
            <w:pPr>
              <w:spacing w:after="0" w:line="240" w:lineRule="auto"/>
              <w:jc w:val="right"/>
              <w:rPr>
                <w:rFonts w:cs="Arial"/>
                <w:b/>
                <w:bCs/>
                <w:sz w:val="16"/>
                <w:szCs w:val="16"/>
              </w:rPr>
            </w:pPr>
            <w:r w:rsidRPr="007B30D0">
              <w:rPr>
                <w:rFonts w:cs="Arial"/>
                <w:b/>
                <w:bCs/>
                <w:sz w:val="16"/>
                <w:szCs w:val="16"/>
              </w:rPr>
              <w:t>719,8</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b/>
                <w:bCs/>
                <w:sz w:val="16"/>
                <w:szCs w:val="16"/>
              </w:rPr>
            </w:pPr>
            <w:r w:rsidRPr="007B30D0">
              <w:rPr>
                <w:rFonts w:cs="Arial"/>
                <w:b/>
                <w:bCs/>
                <w:sz w:val="16"/>
                <w:szCs w:val="16"/>
              </w:rPr>
              <w:t>807,6</w:t>
            </w:r>
          </w:p>
        </w:tc>
        <w:tc>
          <w:tcPr>
            <w:tcW w:w="390" w:type="pct"/>
            <w:tcBorders>
              <w:top w:val="nil"/>
              <w:bottom w:val="nil"/>
              <w:right w:val="nil"/>
            </w:tcBorders>
            <w:shd w:val="clear" w:color="auto" w:fill="auto"/>
            <w:noWrap/>
            <w:vAlign w:val="bottom"/>
            <w:hideMark/>
          </w:tcPr>
          <w:p w:rsidR="007B30D0" w:rsidRPr="007B30D0" w:rsidRDefault="007B30D0" w:rsidP="007B30D0">
            <w:pPr>
              <w:spacing w:after="0" w:line="240" w:lineRule="auto"/>
              <w:jc w:val="right"/>
              <w:rPr>
                <w:rFonts w:cs="Arial"/>
                <w:b/>
                <w:bCs/>
                <w:sz w:val="16"/>
                <w:szCs w:val="16"/>
              </w:rPr>
            </w:pPr>
            <w:r w:rsidRPr="007B30D0">
              <w:rPr>
                <w:rFonts w:cs="Arial"/>
                <w:b/>
                <w:bCs/>
                <w:sz w:val="16"/>
                <w:szCs w:val="16"/>
              </w:rPr>
              <w:t>762,9</w:t>
            </w:r>
          </w:p>
        </w:tc>
      </w:tr>
      <w:tr w:rsidR="007B30D0" w:rsidRPr="007B30D0" w:rsidTr="00037372">
        <w:trPr>
          <w:trHeight w:val="283"/>
        </w:trPr>
        <w:tc>
          <w:tcPr>
            <w:tcW w:w="710" w:type="pct"/>
            <w:tcBorders>
              <w:top w:val="nil"/>
              <w:left w:val="nil"/>
              <w:bottom w:val="nil"/>
              <w:right w:val="single" w:sz="4" w:space="0" w:color="auto"/>
            </w:tcBorders>
            <w:shd w:val="clear" w:color="auto" w:fill="auto"/>
            <w:noWrap/>
            <w:vAlign w:val="bottom"/>
            <w:hideMark/>
          </w:tcPr>
          <w:p w:rsidR="007B30D0" w:rsidRPr="007B30D0" w:rsidRDefault="007B30D0" w:rsidP="007B30D0">
            <w:pPr>
              <w:spacing w:after="0" w:line="240" w:lineRule="auto"/>
              <w:ind w:firstLineChars="100" w:firstLine="160"/>
              <w:jc w:val="left"/>
              <w:rPr>
                <w:rFonts w:cs="Arial"/>
                <w:sz w:val="16"/>
                <w:szCs w:val="16"/>
              </w:rPr>
            </w:pPr>
            <w:r w:rsidRPr="007B30D0">
              <w:rPr>
                <w:rFonts w:cs="Arial"/>
                <w:sz w:val="16"/>
                <w:szCs w:val="16"/>
              </w:rPr>
              <w:t>Dánsko</w:t>
            </w:r>
          </w:p>
        </w:tc>
        <w:tc>
          <w:tcPr>
            <w:tcW w:w="390" w:type="pct"/>
            <w:tcBorders>
              <w:top w:val="nil"/>
              <w:left w:val="single" w:sz="4" w:space="0" w:color="auto"/>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2 177,9</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2 094,2</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1 983,1</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1 793,7</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1 820,0</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1 689,8</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1 777,7</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1 719,4</w:t>
            </w:r>
          </w:p>
        </w:tc>
        <w:tc>
          <w:tcPr>
            <w:tcW w:w="390" w:type="pct"/>
            <w:tcBorders>
              <w:top w:val="nil"/>
              <w:bottom w:val="nil"/>
            </w:tcBorders>
            <w:shd w:val="clear" w:color="auto" w:fill="D9D9D9"/>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1 902,2</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2 070,1</w:t>
            </w:r>
          </w:p>
        </w:tc>
        <w:tc>
          <w:tcPr>
            <w:tcW w:w="390" w:type="pct"/>
            <w:tcBorders>
              <w:top w:val="nil"/>
              <w:bottom w:val="nil"/>
              <w:right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1 740,2</w:t>
            </w:r>
          </w:p>
        </w:tc>
      </w:tr>
      <w:tr w:rsidR="007B30D0" w:rsidRPr="007B30D0" w:rsidTr="00037372">
        <w:trPr>
          <w:trHeight w:val="283"/>
        </w:trPr>
        <w:tc>
          <w:tcPr>
            <w:tcW w:w="710" w:type="pct"/>
            <w:tcBorders>
              <w:top w:val="nil"/>
              <w:left w:val="nil"/>
              <w:bottom w:val="nil"/>
              <w:right w:val="single" w:sz="4" w:space="0" w:color="auto"/>
            </w:tcBorders>
            <w:shd w:val="clear" w:color="auto" w:fill="auto"/>
            <w:noWrap/>
            <w:vAlign w:val="bottom"/>
            <w:hideMark/>
          </w:tcPr>
          <w:p w:rsidR="007B30D0" w:rsidRPr="007B30D0" w:rsidRDefault="007B30D0" w:rsidP="007B30D0">
            <w:pPr>
              <w:spacing w:after="0" w:line="240" w:lineRule="auto"/>
              <w:ind w:firstLineChars="100" w:firstLine="160"/>
              <w:jc w:val="left"/>
              <w:rPr>
                <w:rFonts w:cs="Arial"/>
                <w:sz w:val="16"/>
                <w:szCs w:val="16"/>
              </w:rPr>
            </w:pPr>
            <w:r w:rsidRPr="007B30D0">
              <w:rPr>
                <w:rFonts w:cs="Arial"/>
                <w:sz w:val="16"/>
                <w:szCs w:val="16"/>
              </w:rPr>
              <w:t>Estonsko</w:t>
            </w:r>
          </w:p>
        </w:tc>
        <w:tc>
          <w:tcPr>
            <w:tcW w:w="390" w:type="pct"/>
            <w:tcBorders>
              <w:top w:val="nil"/>
              <w:left w:val="single" w:sz="4" w:space="0" w:color="auto"/>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1 005,5</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1 095,4</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1 137,9</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1 226,4</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1 225,7</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1 136,8</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1 053,5</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1 186,9</w:t>
            </w:r>
          </w:p>
        </w:tc>
        <w:tc>
          <w:tcPr>
            <w:tcW w:w="390" w:type="pct"/>
            <w:tcBorders>
              <w:top w:val="nil"/>
              <w:bottom w:val="nil"/>
            </w:tcBorders>
            <w:shd w:val="clear" w:color="auto" w:fill="D9D9D9"/>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1 032,2</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1 085,4</w:t>
            </w:r>
          </w:p>
        </w:tc>
        <w:tc>
          <w:tcPr>
            <w:tcW w:w="390" w:type="pct"/>
            <w:tcBorders>
              <w:top w:val="nil"/>
              <w:bottom w:val="nil"/>
              <w:right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999,0</w:t>
            </w:r>
          </w:p>
        </w:tc>
      </w:tr>
      <w:tr w:rsidR="007B30D0" w:rsidRPr="007B30D0" w:rsidTr="00037372">
        <w:trPr>
          <w:trHeight w:val="283"/>
        </w:trPr>
        <w:tc>
          <w:tcPr>
            <w:tcW w:w="710" w:type="pct"/>
            <w:tcBorders>
              <w:top w:val="nil"/>
              <w:left w:val="nil"/>
              <w:bottom w:val="nil"/>
              <w:right w:val="single" w:sz="4" w:space="0" w:color="auto"/>
            </w:tcBorders>
            <w:shd w:val="clear" w:color="auto" w:fill="auto"/>
            <w:noWrap/>
            <w:vAlign w:val="bottom"/>
            <w:hideMark/>
          </w:tcPr>
          <w:p w:rsidR="007B30D0" w:rsidRPr="007B30D0" w:rsidRDefault="007B30D0" w:rsidP="007B30D0">
            <w:pPr>
              <w:spacing w:after="0" w:line="240" w:lineRule="auto"/>
              <w:ind w:firstLineChars="100" w:firstLine="160"/>
              <w:jc w:val="left"/>
              <w:rPr>
                <w:rFonts w:cs="Arial"/>
                <w:sz w:val="16"/>
                <w:szCs w:val="16"/>
              </w:rPr>
            </w:pPr>
            <w:r w:rsidRPr="007B30D0">
              <w:rPr>
                <w:rFonts w:cs="Arial"/>
                <w:sz w:val="16"/>
                <w:szCs w:val="16"/>
              </w:rPr>
              <w:t>Finsko</w:t>
            </w:r>
          </w:p>
        </w:tc>
        <w:tc>
          <w:tcPr>
            <w:tcW w:w="390" w:type="pct"/>
            <w:tcBorders>
              <w:top w:val="nil"/>
              <w:left w:val="single" w:sz="4" w:space="0" w:color="auto"/>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2 166,1</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2 229,8</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2 083,2</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1 967,1</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1 887,2</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1 967,7</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1 903,1</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1 812,4</w:t>
            </w:r>
          </w:p>
        </w:tc>
        <w:tc>
          <w:tcPr>
            <w:tcW w:w="390" w:type="pct"/>
            <w:tcBorders>
              <w:top w:val="nil"/>
              <w:bottom w:val="nil"/>
            </w:tcBorders>
            <w:shd w:val="clear" w:color="auto" w:fill="D9D9D9"/>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1 663,4</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1 653,7</w:t>
            </w:r>
          </w:p>
        </w:tc>
        <w:tc>
          <w:tcPr>
            <w:tcW w:w="390" w:type="pct"/>
            <w:tcBorders>
              <w:top w:val="nil"/>
              <w:bottom w:val="nil"/>
              <w:right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1 563,3</w:t>
            </w:r>
          </w:p>
        </w:tc>
      </w:tr>
      <w:tr w:rsidR="007B30D0" w:rsidRPr="007B30D0" w:rsidTr="00037372">
        <w:trPr>
          <w:trHeight w:val="283"/>
        </w:trPr>
        <w:tc>
          <w:tcPr>
            <w:tcW w:w="710" w:type="pct"/>
            <w:tcBorders>
              <w:top w:val="nil"/>
              <w:left w:val="nil"/>
              <w:bottom w:val="nil"/>
              <w:right w:val="single" w:sz="4" w:space="0" w:color="auto"/>
            </w:tcBorders>
            <w:shd w:val="clear" w:color="auto" w:fill="auto"/>
            <w:noWrap/>
            <w:vAlign w:val="bottom"/>
            <w:hideMark/>
          </w:tcPr>
          <w:p w:rsidR="007B30D0" w:rsidRPr="007B30D0" w:rsidRDefault="007B30D0" w:rsidP="007B30D0">
            <w:pPr>
              <w:spacing w:after="0" w:line="240" w:lineRule="auto"/>
              <w:ind w:firstLineChars="100" w:firstLine="160"/>
              <w:jc w:val="left"/>
              <w:rPr>
                <w:rFonts w:cs="Arial"/>
                <w:sz w:val="16"/>
                <w:szCs w:val="16"/>
              </w:rPr>
            </w:pPr>
            <w:r w:rsidRPr="007B30D0">
              <w:rPr>
                <w:rFonts w:cs="Arial"/>
                <w:sz w:val="16"/>
                <w:szCs w:val="16"/>
              </w:rPr>
              <w:t>Francie</w:t>
            </w:r>
          </w:p>
        </w:tc>
        <w:tc>
          <w:tcPr>
            <w:tcW w:w="390" w:type="pct"/>
            <w:tcBorders>
              <w:top w:val="nil"/>
              <w:left w:val="single" w:sz="4" w:space="0" w:color="auto"/>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3 047,9</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3 163,5</w:t>
            </w:r>
          </w:p>
        </w:tc>
        <w:tc>
          <w:tcPr>
            <w:tcW w:w="390" w:type="pct"/>
            <w:tcBorders>
              <w:top w:val="nil"/>
              <w:bottom w:val="nil"/>
            </w:tcBorders>
            <w:shd w:val="clear" w:color="000000" w:fill="D9D9D9"/>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3 385,7</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3 498,0</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3 415,4</w:t>
            </w:r>
          </w:p>
        </w:tc>
        <w:tc>
          <w:tcPr>
            <w:tcW w:w="390" w:type="pct"/>
            <w:tcBorders>
              <w:top w:val="nil"/>
              <w:bottom w:val="nil"/>
            </w:tcBorders>
            <w:shd w:val="clear" w:color="000000" w:fill="D9D9D9"/>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3 374,8</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3 436,8</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3 332,5</w:t>
            </w:r>
          </w:p>
        </w:tc>
        <w:tc>
          <w:tcPr>
            <w:tcW w:w="390" w:type="pct"/>
            <w:tcBorders>
              <w:top w:val="nil"/>
              <w:bottom w:val="nil"/>
            </w:tcBorders>
            <w:shd w:val="clear" w:color="auto" w:fill="D9D9D9"/>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2 607,4</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3 364,3</w:t>
            </w:r>
          </w:p>
        </w:tc>
        <w:tc>
          <w:tcPr>
            <w:tcW w:w="390" w:type="pct"/>
            <w:tcBorders>
              <w:top w:val="nil"/>
              <w:bottom w:val="nil"/>
            </w:tcBorders>
            <w:shd w:val="clear" w:color="auto" w:fill="D9D9D9"/>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2 732,8</w:t>
            </w:r>
          </w:p>
        </w:tc>
      </w:tr>
      <w:tr w:rsidR="007B30D0" w:rsidRPr="007B30D0" w:rsidTr="00037372">
        <w:trPr>
          <w:trHeight w:val="283"/>
        </w:trPr>
        <w:tc>
          <w:tcPr>
            <w:tcW w:w="710" w:type="pct"/>
            <w:tcBorders>
              <w:top w:val="nil"/>
              <w:left w:val="nil"/>
              <w:bottom w:val="nil"/>
              <w:right w:val="single" w:sz="4" w:space="0" w:color="auto"/>
            </w:tcBorders>
            <w:shd w:val="clear" w:color="auto" w:fill="auto"/>
            <w:noWrap/>
            <w:vAlign w:val="bottom"/>
            <w:hideMark/>
          </w:tcPr>
          <w:p w:rsidR="007B30D0" w:rsidRPr="007B30D0" w:rsidRDefault="007B30D0" w:rsidP="007B30D0">
            <w:pPr>
              <w:spacing w:after="0" w:line="240" w:lineRule="auto"/>
              <w:ind w:firstLineChars="100" w:firstLine="160"/>
              <w:jc w:val="left"/>
              <w:rPr>
                <w:rFonts w:cs="Arial"/>
                <w:sz w:val="16"/>
                <w:szCs w:val="16"/>
              </w:rPr>
            </w:pPr>
            <w:r w:rsidRPr="007B30D0">
              <w:rPr>
                <w:rFonts w:cs="Arial"/>
                <w:sz w:val="16"/>
                <w:szCs w:val="16"/>
              </w:rPr>
              <w:t>Chorvatsko</w:t>
            </w:r>
          </w:p>
        </w:tc>
        <w:tc>
          <w:tcPr>
            <w:tcW w:w="390" w:type="pct"/>
            <w:tcBorders>
              <w:top w:val="nil"/>
              <w:left w:val="single" w:sz="4" w:space="0" w:color="auto"/>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835,9</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867,9</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906,5</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997,7</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969,9</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1 049,0</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876,7</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679,0</w:t>
            </w:r>
          </w:p>
        </w:tc>
        <w:tc>
          <w:tcPr>
            <w:tcW w:w="390" w:type="pct"/>
            <w:tcBorders>
              <w:top w:val="nil"/>
              <w:bottom w:val="nil"/>
            </w:tcBorders>
            <w:shd w:val="clear" w:color="auto" w:fill="D9D9D9"/>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564,3</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635,6</w:t>
            </w:r>
          </w:p>
        </w:tc>
        <w:tc>
          <w:tcPr>
            <w:tcW w:w="390" w:type="pct"/>
            <w:tcBorders>
              <w:top w:val="nil"/>
              <w:bottom w:val="nil"/>
              <w:right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616,4</w:t>
            </w:r>
          </w:p>
        </w:tc>
      </w:tr>
      <w:tr w:rsidR="007B30D0" w:rsidRPr="007B30D0" w:rsidTr="00037372">
        <w:trPr>
          <w:trHeight w:val="283"/>
        </w:trPr>
        <w:tc>
          <w:tcPr>
            <w:tcW w:w="710" w:type="pct"/>
            <w:tcBorders>
              <w:top w:val="nil"/>
              <w:left w:val="nil"/>
              <w:bottom w:val="nil"/>
              <w:right w:val="single" w:sz="4" w:space="0" w:color="auto"/>
            </w:tcBorders>
            <w:shd w:val="clear" w:color="auto" w:fill="auto"/>
            <w:noWrap/>
            <w:vAlign w:val="bottom"/>
            <w:hideMark/>
          </w:tcPr>
          <w:p w:rsidR="007B30D0" w:rsidRPr="007B30D0" w:rsidRDefault="007B30D0" w:rsidP="007B30D0">
            <w:pPr>
              <w:spacing w:after="0" w:line="240" w:lineRule="auto"/>
              <w:ind w:firstLineChars="100" w:firstLine="160"/>
              <w:jc w:val="left"/>
              <w:rPr>
                <w:rFonts w:cs="Arial"/>
                <w:sz w:val="16"/>
                <w:szCs w:val="16"/>
              </w:rPr>
            </w:pPr>
            <w:r w:rsidRPr="007B30D0">
              <w:rPr>
                <w:rFonts w:cs="Arial"/>
                <w:sz w:val="16"/>
                <w:szCs w:val="16"/>
              </w:rPr>
              <w:t>Irsko</w:t>
            </w:r>
          </w:p>
        </w:tc>
        <w:tc>
          <w:tcPr>
            <w:tcW w:w="390" w:type="pct"/>
            <w:tcBorders>
              <w:top w:val="nil"/>
              <w:left w:val="single" w:sz="4" w:space="0" w:color="auto"/>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809,6</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1 036,1</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1 072,0</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920,4</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767,0</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1 166,8</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789,7</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530,8</w:t>
            </w:r>
          </w:p>
        </w:tc>
        <w:tc>
          <w:tcPr>
            <w:tcW w:w="390" w:type="pct"/>
            <w:tcBorders>
              <w:top w:val="nil"/>
              <w:bottom w:val="nil"/>
            </w:tcBorders>
            <w:shd w:val="clear" w:color="auto" w:fill="D9D9D9"/>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534,2</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667,7</w:t>
            </w:r>
          </w:p>
        </w:tc>
        <w:tc>
          <w:tcPr>
            <w:tcW w:w="390" w:type="pct"/>
            <w:tcBorders>
              <w:top w:val="nil"/>
              <w:bottom w:val="nil"/>
              <w:right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752,1</w:t>
            </w:r>
          </w:p>
        </w:tc>
      </w:tr>
      <w:tr w:rsidR="007B30D0" w:rsidRPr="007B30D0" w:rsidTr="00037372">
        <w:trPr>
          <w:trHeight w:val="283"/>
        </w:trPr>
        <w:tc>
          <w:tcPr>
            <w:tcW w:w="710" w:type="pct"/>
            <w:tcBorders>
              <w:top w:val="nil"/>
              <w:left w:val="nil"/>
              <w:bottom w:val="nil"/>
              <w:right w:val="single" w:sz="4" w:space="0" w:color="auto"/>
            </w:tcBorders>
            <w:shd w:val="clear" w:color="auto" w:fill="auto"/>
            <w:noWrap/>
            <w:vAlign w:val="bottom"/>
            <w:hideMark/>
          </w:tcPr>
          <w:p w:rsidR="007B30D0" w:rsidRPr="007B30D0" w:rsidRDefault="007B30D0" w:rsidP="007B30D0">
            <w:pPr>
              <w:spacing w:after="0" w:line="240" w:lineRule="auto"/>
              <w:ind w:firstLineChars="100" w:firstLine="160"/>
              <w:jc w:val="left"/>
              <w:rPr>
                <w:rFonts w:cs="Arial"/>
                <w:sz w:val="16"/>
                <w:szCs w:val="16"/>
              </w:rPr>
            </w:pPr>
            <w:r w:rsidRPr="007B30D0">
              <w:rPr>
                <w:rFonts w:cs="Arial"/>
                <w:sz w:val="16"/>
                <w:szCs w:val="16"/>
              </w:rPr>
              <w:t>Itálie</w:t>
            </w:r>
          </w:p>
        </w:tc>
        <w:tc>
          <w:tcPr>
            <w:tcW w:w="390" w:type="pct"/>
            <w:tcBorders>
              <w:top w:val="nil"/>
              <w:left w:val="single" w:sz="4" w:space="0" w:color="auto"/>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1 682,6</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1 711,8</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1 619,2</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1 520,3</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1 487,4</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1 536,4</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1 392,1</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1 239,8</w:t>
            </w:r>
          </w:p>
        </w:tc>
        <w:tc>
          <w:tcPr>
            <w:tcW w:w="390" w:type="pct"/>
            <w:tcBorders>
              <w:top w:val="nil"/>
              <w:bottom w:val="nil"/>
            </w:tcBorders>
            <w:shd w:val="clear" w:color="auto" w:fill="D9D9D9"/>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1 036,5</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1 244,6</w:t>
            </w:r>
          </w:p>
        </w:tc>
        <w:tc>
          <w:tcPr>
            <w:tcW w:w="390" w:type="pct"/>
            <w:tcBorders>
              <w:top w:val="nil"/>
              <w:bottom w:val="nil"/>
              <w:right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1 280,4</w:t>
            </w:r>
          </w:p>
        </w:tc>
      </w:tr>
      <w:tr w:rsidR="007B30D0" w:rsidRPr="007B30D0" w:rsidTr="00037372">
        <w:trPr>
          <w:trHeight w:val="283"/>
        </w:trPr>
        <w:tc>
          <w:tcPr>
            <w:tcW w:w="710" w:type="pct"/>
            <w:tcBorders>
              <w:top w:val="nil"/>
              <w:left w:val="nil"/>
              <w:bottom w:val="nil"/>
              <w:right w:val="single" w:sz="4" w:space="0" w:color="auto"/>
            </w:tcBorders>
            <w:shd w:val="clear" w:color="auto" w:fill="auto"/>
            <w:noWrap/>
            <w:vAlign w:val="bottom"/>
            <w:hideMark/>
          </w:tcPr>
          <w:p w:rsidR="007B30D0" w:rsidRPr="007B30D0" w:rsidRDefault="007B30D0" w:rsidP="007B30D0">
            <w:pPr>
              <w:spacing w:after="0" w:line="240" w:lineRule="auto"/>
              <w:ind w:firstLineChars="100" w:firstLine="160"/>
              <w:jc w:val="left"/>
              <w:rPr>
                <w:rFonts w:cs="Arial"/>
                <w:sz w:val="16"/>
                <w:szCs w:val="16"/>
              </w:rPr>
            </w:pPr>
            <w:r w:rsidRPr="007B30D0">
              <w:rPr>
                <w:rFonts w:cs="Arial"/>
                <w:sz w:val="16"/>
                <w:szCs w:val="16"/>
              </w:rPr>
              <w:t>Kypr</w:t>
            </w:r>
          </w:p>
        </w:tc>
        <w:tc>
          <w:tcPr>
            <w:tcW w:w="390" w:type="pct"/>
            <w:tcBorders>
              <w:top w:val="nil"/>
              <w:left w:val="single" w:sz="4" w:space="0" w:color="auto"/>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754,8</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571,5</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870,7</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705,4</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822,4</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851,7</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882,3</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841,4</w:t>
            </w:r>
          </w:p>
        </w:tc>
        <w:tc>
          <w:tcPr>
            <w:tcW w:w="390" w:type="pct"/>
            <w:tcBorders>
              <w:top w:val="nil"/>
              <w:bottom w:val="nil"/>
            </w:tcBorders>
            <w:shd w:val="clear" w:color="auto" w:fill="D9D9D9"/>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576,3</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529,8</w:t>
            </w:r>
          </w:p>
        </w:tc>
        <w:tc>
          <w:tcPr>
            <w:tcW w:w="390" w:type="pct"/>
            <w:tcBorders>
              <w:top w:val="nil"/>
              <w:bottom w:val="nil"/>
              <w:right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481,9</w:t>
            </w:r>
          </w:p>
        </w:tc>
      </w:tr>
      <w:tr w:rsidR="007B30D0" w:rsidRPr="007B30D0" w:rsidTr="00037372">
        <w:trPr>
          <w:trHeight w:val="283"/>
        </w:trPr>
        <w:tc>
          <w:tcPr>
            <w:tcW w:w="710" w:type="pct"/>
            <w:tcBorders>
              <w:top w:val="nil"/>
              <w:left w:val="nil"/>
              <w:bottom w:val="nil"/>
              <w:right w:val="single" w:sz="4" w:space="0" w:color="auto"/>
            </w:tcBorders>
            <w:shd w:val="clear" w:color="auto" w:fill="auto"/>
            <w:noWrap/>
            <w:vAlign w:val="bottom"/>
            <w:hideMark/>
          </w:tcPr>
          <w:p w:rsidR="007B30D0" w:rsidRPr="007B30D0" w:rsidRDefault="007B30D0" w:rsidP="007B30D0">
            <w:pPr>
              <w:spacing w:after="0" w:line="240" w:lineRule="auto"/>
              <w:ind w:firstLineChars="100" w:firstLine="160"/>
              <w:jc w:val="left"/>
              <w:rPr>
                <w:rFonts w:cs="Arial"/>
                <w:sz w:val="16"/>
                <w:szCs w:val="16"/>
              </w:rPr>
            </w:pPr>
            <w:r w:rsidRPr="007B30D0">
              <w:rPr>
                <w:rFonts w:cs="Arial"/>
                <w:sz w:val="16"/>
                <w:szCs w:val="16"/>
              </w:rPr>
              <w:t>Litva</w:t>
            </w:r>
          </w:p>
        </w:tc>
        <w:tc>
          <w:tcPr>
            <w:tcW w:w="390" w:type="pct"/>
            <w:tcBorders>
              <w:top w:val="nil"/>
              <w:left w:val="single" w:sz="4" w:space="0" w:color="auto"/>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280,2</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259,7</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296,7</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317,7</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336,8</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380,2</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359,4</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453,2</w:t>
            </w:r>
          </w:p>
        </w:tc>
        <w:tc>
          <w:tcPr>
            <w:tcW w:w="390" w:type="pct"/>
            <w:tcBorders>
              <w:top w:val="nil"/>
              <w:bottom w:val="nil"/>
            </w:tcBorders>
            <w:shd w:val="clear" w:color="auto" w:fill="D9D9D9"/>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369,0</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407,6</w:t>
            </w:r>
          </w:p>
        </w:tc>
        <w:tc>
          <w:tcPr>
            <w:tcW w:w="390" w:type="pct"/>
            <w:tcBorders>
              <w:top w:val="nil"/>
              <w:bottom w:val="nil"/>
              <w:right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406,1</w:t>
            </w:r>
          </w:p>
        </w:tc>
      </w:tr>
      <w:tr w:rsidR="007B30D0" w:rsidRPr="007B30D0" w:rsidTr="00037372">
        <w:trPr>
          <w:trHeight w:val="283"/>
        </w:trPr>
        <w:tc>
          <w:tcPr>
            <w:tcW w:w="710" w:type="pct"/>
            <w:tcBorders>
              <w:top w:val="nil"/>
              <w:left w:val="nil"/>
              <w:bottom w:val="nil"/>
              <w:right w:val="single" w:sz="4" w:space="0" w:color="auto"/>
            </w:tcBorders>
            <w:shd w:val="clear" w:color="auto" w:fill="auto"/>
            <w:noWrap/>
            <w:vAlign w:val="bottom"/>
            <w:hideMark/>
          </w:tcPr>
          <w:p w:rsidR="007B30D0" w:rsidRPr="007B30D0" w:rsidRDefault="007B30D0" w:rsidP="007B30D0">
            <w:pPr>
              <w:spacing w:after="0" w:line="240" w:lineRule="auto"/>
              <w:ind w:firstLineChars="100" w:firstLine="160"/>
              <w:jc w:val="left"/>
              <w:rPr>
                <w:rFonts w:cs="Arial"/>
                <w:sz w:val="16"/>
                <w:szCs w:val="16"/>
              </w:rPr>
            </w:pPr>
            <w:r w:rsidRPr="007B30D0">
              <w:rPr>
                <w:rFonts w:cs="Arial"/>
                <w:sz w:val="16"/>
                <w:szCs w:val="16"/>
              </w:rPr>
              <w:t>Lotyšsko</w:t>
            </w:r>
          </w:p>
        </w:tc>
        <w:tc>
          <w:tcPr>
            <w:tcW w:w="390" w:type="pct"/>
            <w:tcBorders>
              <w:top w:val="nil"/>
              <w:left w:val="single" w:sz="4" w:space="0" w:color="auto"/>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194,5</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224,5</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222,8</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252,8</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240,1</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251,9</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285,7</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299,4</w:t>
            </w:r>
          </w:p>
        </w:tc>
        <w:tc>
          <w:tcPr>
            <w:tcW w:w="390" w:type="pct"/>
            <w:tcBorders>
              <w:top w:val="nil"/>
              <w:bottom w:val="nil"/>
            </w:tcBorders>
            <w:shd w:val="clear" w:color="auto" w:fill="D9D9D9"/>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284,9</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317,4</w:t>
            </w:r>
          </w:p>
        </w:tc>
        <w:tc>
          <w:tcPr>
            <w:tcW w:w="390" w:type="pct"/>
            <w:tcBorders>
              <w:top w:val="nil"/>
              <w:bottom w:val="nil"/>
              <w:right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291,0</w:t>
            </w:r>
          </w:p>
        </w:tc>
      </w:tr>
      <w:tr w:rsidR="007B30D0" w:rsidRPr="007B30D0" w:rsidTr="00037372">
        <w:trPr>
          <w:trHeight w:val="283"/>
        </w:trPr>
        <w:tc>
          <w:tcPr>
            <w:tcW w:w="710" w:type="pct"/>
            <w:tcBorders>
              <w:top w:val="nil"/>
              <w:left w:val="nil"/>
              <w:bottom w:val="nil"/>
              <w:right w:val="single" w:sz="4" w:space="0" w:color="auto"/>
            </w:tcBorders>
            <w:shd w:val="clear" w:color="auto" w:fill="auto"/>
            <w:noWrap/>
            <w:vAlign w:val="bottom"/>
            <w:hideMark/>
          </w:tcPr>
          <w:p w:rsidR="007B30D0" w:rsidRPr="007B30D0" w:rsidRDefault="007B30D0" w:rsidP="007B30D0">
            <w:pPr>
              <w:spacing w:after="0" w:line="240" w:lineRule="auto"/>
              <w:ind w:firstLineChars="100" w:firstLine="160"/>
              <w:jc w:val="left"/>
              <w:rPr>
                <w:rFonts w:cs="Arial"/>
                <w:sz w:val="16"/>
                <w:szCs w:val="16"/>
              </w:rPr>
            </w:pPr>
            <w:r w:rsidRPr="007B30D0">
              <w:rPr>
                <w:rFonts w:cs="Arial"/>
                <w:sz w:val="16"/>
                <w:szCs w:val="16"/>
              </w:rPr>
              <w:t>Lucembursko</w:t>
            </w:r>
          </w:p>
        </w:tc>
        <w:tc>
          <w:tcPr>
            <w:tcW w:w="390" w:type="pct"/>
            <w:tcBorders>
              <w:top w:val="nil"/>
              <w:left w:val="single" w:sz="4" w:space="0" w:color="auto"/>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2 324,1</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2 465,9</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2 286,8</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2 256,7</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2 447,6</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2 172,0</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2 290,1</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2 214,8</w:t>
            </w:r>
          </w:p>
        </w:tc>
        <w:tc>
          <w:tcPr>
            <w:tcW w:w="390" w:type="pct"/>
            <w:tcBorders>
              <w:top w:val="nil"/>
              <w:bottom w:val="nil"/>
            </w:tcBorders>
            <w:shd w:val="clear" w:color="auto" w:fill="D9D9D9"/>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1 747,8</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1 902,0</w:t>
            </w:r>
          </w:p>
        </w:tc>
        <w:tc>
          <w:tcPr>
            <w:tcW w:w="390" w:type="pct"/>
            <w:tcBorders>
              <w:top w:val="nil"/>
              <w:bottom w:val="nil"/>
              <w:right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1 739,8</w:t>
            </w:r>
          </w:p>
        </w:tc>
      </w:tr>
      <w:tr w:rsidR="007B30D0" w:rsidRPr="007B30D0" w:rsidTr="00037372">
        <w:trPr>
          <w:trHeight w:val="283"/>
        </w:trPr>
        <w:tc>
          <w:tcPr>
            <w:tcW w:w="710" w:type="pct"/>
            <w:tcBorders>
              <w:top w:val="nil"/>
              <w:left w:val="nil"/>
              <w:bottom w:val="nil"/>
              <w:right w:val="single" w:sz="4" w:space="0" w:color="auto"/>
            </w:tcBorders>
            <w:shd w:val="clear" w:color="auto" w:fill="auto"/>
            <w:noWrap/>
            <w:vAlign w:val="bottom"/>
            <w:hideMark/>
          </w:tcPr>
          <w:p w:rsidR="007B30D0" w:rsidRPr="007B30D0" w:rsidRDefault="007B30D0" w:rsidP="007B30D0">
            <w:pPr>
              <w:spacing w:after="0" w:line="240" w:lineRule="auto"/>
              <w:ind w:firstLineChars="100" w:firstLine="160"/>
              <w:jc w:val="left"/>
              <w:rPr>
                <w:rFonts w:cs="Arial"/>
                <w:sz w:val="16"/>
                <w:szCs w:val="16"/>
              </w:rPr>
            </w:pPr>
            <w:r w:rsidRPr="007B30D0">
              <w:rPr>
                <w:rFonts w:cs="Arial"/>
                <w:sz w:val="16"/>
                <w:szCs w:val="16"/>
              </w:rPr>
              <w:t>Maďarsko</w:t>
            </w:r>
          </w:p>
        </w:tc>
        <w:tc>
          <w:tcPr>
            <w:tcW w:w="390" w:type="pct"/>
            <w:tcBorders>
              <w:top w:val="nil"/>
              <w:left w:val="single" w:sz="4" w:space="0" w:color="auto"/>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534,4</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487,2</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549,0</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578,1</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727,8</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669,1</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605,0</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619,8</w:t>
            </w:r>
          </w:p>
        </w:tc>
        <w:tc>
          <w:tcPr>
            <w:tcW w:w="390" w:type="pct"/>
            <w:tcBorders>
              <w:top w:val="nil"/>
              <w:bottom w:val="nil"/>
            </w:tcBorders>
            <w:shd w:val="clear" w:color="auto" w:fill="D9D9D9"/>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639,0</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607,0</w:t>
            </w:r>
          </w:p>
        </w:tc>
        <w:tc>
          <w:tcPr>
            <w:tcW w:w="390" w:type="pct"/>
            <w:tcBorders>
              <w:top w:val="nil"/>
              <w:bottom w:val="nil"/>
              <w:right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644,9</w:t>
            </w:r>
          </w:p>
        </w:tc>
      </w:tr>
      <w:tr w:rsidR="007B30D0" w:rsidRPr="007B30D0" w:rsidTr="00037372">
        <w:trPr>
          <w:trHeight w:val="283"/>
        </w:trPr>
        <w:tc>
          <w:tcPr>
            <w:tcW w:w="710" w:type="pct"/>
            <w:tcBorders>
              <w:top w:val="nil"/>
              <w:left w:val="nil"/>
              <w:bottom w:val="nil"/>
              <w:right w:val="single" w:sz="4" w:space="0" w:color="auto"/>
            </w:tcBorders>
            <w:shd w:val="clear" w:color="auto" w:fill="auto"/>
            <w:noWrap/>
            <w:vAlign w:val="bottom"/>
            <w:hideMark/>
          </w:tcPr>
          <w:p w:rsidR="007B30D0" w:rsidRPr="007B30D0" w:rsidRDefault="007B30D0" w:rsidP="007B30D0">
            <w:pPr>
              <w:spacing w:after="0" w:line="240" w:lineRule="auto"/>
              <w:ind w:firstLineChars="100" w:firstLine="160"/>
              <w:jc w:val="left"/>
              <w:rPr>
                <w:rFonts w:cs="Arial"/>
                <w:sz w:val="16"/>
                <w:szCs w:val="16"/>
              </w:rPr>
            </w:pPr>
            <w:r w:rsidRPr="007B30D0">
              <w:rPr>
                <w:rFonts w:cs="Arial"/>
                <w:sz w:val="16"/>
                <w:szCs w:val="16"/>
              </w:rPr>
              <w:t>Malta</w:t>
            </w:r>
          </w:p>
        </w:tc>
        <w:tc>
          <w:tcPr>
            <w:tcW w:w="390" w:type="pct"/>
            <w:tcBorders>
              <w:top w:val="nil"/>
              <w:left w:val="single" w:sz="4" w:space="0" w:color="auto"/>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2 008,7</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1 888,1</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1 863,7</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1 681,7</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1 504,5</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1 098,4</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1 212,6</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1 171,3</w:t>
            </w:r>
          </w:p>
        </w:tc>
        <w:tc>
          <w:tcPr>
            <w:tcW w:w="390" w:type="pct"/>
            <w:tcBorders>
              <w:top w:val="nil"/>
              <w:bottom w:val="nil"/>
            </w:tcBorders>
            <w:shd w:val="clear" w:color="auto" w:fill="D9D9D9"/>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829,3</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824,9</w:t>
            </w:r>
          </w:p>
        </w:tc>
        <w:tc>
          <w:tcPr>
            <w:tcW w:w="390" w:type="pct"/>
            <w:tcBorders>
              <w:top w:val="nil"/>
              <w:bottom w:val="nil"/>
              <w:right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759,0</w:t>
            </w:r>
          </w:p>
        </w:tc>
      </w:tr>
      <w:tr w:rsidR="007B30D0" w:rsidRPr="007B30D0" w:rsidTr="00037372">
        <w:trPr>
          <w:trHeight w:val="283"/>
        </w:trPr>
        <w:tc>
          <w:tcPr>
            <w:tcW w:w="710" w:type="pct"/>
            <w:tcBorders>
              <w:top w:val="nil"/>
              <w:left w:val="nil"/>
              <w:bottom w:val="nil"/>
              <w:right w:val="single" w:sz="4" w:space="0" w:color="auto"/>
            </w:tcBorders>
            <w:shd w:val="clear" w:color="auto" w:fill="auto"/>
            <w:noWrap/>
            <w:vAlign w:val="bottom"/>
            <w:hideMark/>
          </w:tcPr>
          <w:p w:rsidR="007B30D0" w:rsidRPr="007B30D0" w:rsidRDefault="007B30D0" w:rsidP="007B30D0">
            <w:pPr>
              <w:spacing w:after="0" w:line="240" w:lineRule="auto"/>
              <w:ind w:firstLineChars="100" w:firstLine="160"/>
              <w:jc w:val="left"/>
              <w:rPr>
                <w:rFonts w:cs="Arial"/>
                <w:sz w:val="16"/>
                <w:szCs w:val="16"/>
              </w:rPr>
            </w:pPr>
            <w:r w:rsidRPr="007B30D0">
              <w:rPr>
                <w:rFonts w:cs="Arial"/>
                <w:sz w:val="16"/>
                <w:szCs w:val="16"/>
              </w:rPr>
              <w:t>Německo</w:t>
            </w:r>
          </w:p>
        </w:tc>
        <w:tc>
          <w:tcPr>
            <w:tcW w:w="390" w:type="pct"/>
            <w:tcBorders>
              <w:top w:val="nil"/>
              <w:left w:val="single" w:sz="4" w:space="0" w:color="auto"/>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2 202,5</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2 178,4</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2 124,2</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2 100,7</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2 092,9</w:t>
            </w:r>
          </w:p>
        </w:tc>
        <w:tc>
          <w:tcPr>
            <w:tcW w:w="390" w:type="pct"/>
            <w:tcBorders>
              <w:top w:val="nil"/>
              <w:bottom w:val="nil"/>
            </w:tcBorders>
            <w:shd w:val="clear" w:color="000000" w:fill="D9D9D9"/>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2 088,7</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1 992,2</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1 950,5</w:t>
            </w:r>
          </w:p>
        </w:tc>
        <w:tc>
          <w:tcPr>
            <w:tcW w:w="390" w:type="pct"/>
            <w:tcBorders>
              <w:top w:val="nil"/>
              <w:bottom w:val="nil"/>
            </w:tcBorders>
            <w:shd w:val="clear" w:color="auto" w:fill="D9D9D9"/>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1 782,2</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1 858,9</w:t>
            </w:r>
          </w:p>
        </w:tc>
        <w:tc>
          <w:tcPr>
            <w:tcW w:w="390" w:type="pct"/>
            <w:tcBorders>
              <w:top w:val="nil"/>
              <w:bottom w:val="nil"/>
              <w:right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1 747,8</w:t>
            </w:r>
          </w:p>
        </w:tc>
      </w:tr>
      <w:tr w:rsidR="007B30D0" w:rsidRPr="007B30D0" w:rsidTr="00037372">
        <w:trPr>
          <w:trHeight w:val="283"/>
        </w:trPr>
        <w:tc>
          <w:tcPr>
            <w:tcW w:w="710" w:type="pct"/>
            <w:tcBorders>
              <w:top w:val="nil"/>
              <w:left w:val="nil"/>
              <w:bottom w:val="nil"/>
              <w:right w:val="single" w:sz="4" w:space="0" w:color="auto"/>
            </w:tcBorders>
            <w:shd w:val="clear" w:color="auto" w:fill="auto"/>
            <w:noWrap/>
            <w:vAlign w:val="bottom"/>
            <w:hideMark/>
          </w:tcPr>
          <w:p w:rsidR="007B30D0" w:rsidRPr="007B30D0" w:rsidRDefault="007B30D0" w:rsidP="007B30D0">
            <w:pPr>
              <w:spacing w:after="0" w:line="240" w:lineRule="auto"/>
              <w:ind w:firstLineChars="100" w:firstLine="160"/>
              <w:jc w:val="left"/>
              <w:rPr>
                <w:rFonts w:cs="Arial"/>
                <w:sz w:val="16"/>
                <w:szCs w:val="16"/>
              </w:rPr>
            </w:pPr>
            <w:r w:rsidRPr="007B30D0">
              <w:rPr>
                <w:rFonts w:cs="Arial"/>
                <w:sz w:val="16"/>
                <w:szCs w:val="16"/>
              </w:rPr>
              <w:t>Nizozemsko</w:t>
            </w:r>
          </w:p>
        </w:tc>
        <w:tc>
          <w:tcPr>
            <w:tcW w:w="390" w:type="pct"/>
            <w:tcBorders>
              <w:top w:val="nil"/>
              <w:left w:val="single" w:sz="4" w:space="0" w:color="auto"/>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2 663,4</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2 278,2</w:t>
            </w:r>
          </w:p>
        </w:tc>
        <w:tc>
          <w:tcPr>
            <w:tcW w:w="390" w:type="pct"/>
            <w:tcBorders>
              <w:top w:val="nil"/>
              <w:bottom w:val="nil"/>
            </w:tcBorders>
            <w:shd w:val="clear" w:color="000000" w:fill="D9D9D9"/>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1 393,6</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1 251,7</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1 318,7</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1 506,1</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1 440,9</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1 338,3</w:t>
            </w:r>
          </w:p>
        </w:tc>
        <w:tc>
          <w:tcPr>
            <w:tcW w:w="390" w:type="pct"/>
            <w:tcBorders>
              <w:top w:val="nil"/>
              <w:bottom w:val="nil"/>
            </w:tcBorders>
            <w:shd w:val="clear" w:color="auto" w:fill="D9D9D9"/>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1 139,6</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1 164,9</w:t>
            </w:r>
          </w:p>
        </w:tc>
        <w:tc>
          <w:tcPr>
            <w:tcW w:w="390" w:type="pct"/>
            <w:tcBorders>
              <w:top w:val="nil"/>
              <w:bottom w:val="nil"/>
              <w:right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1 208,7</w:t>
            </w:r>
          </w:p>
        </w:tc>
      </w:tr>
      <w:tr w:rsidR="007B30D0" w:rsidRPr="007B30D0" w:rsidTr="00037372">
        <w:trPr>
          <w:trHeight w:val="283"/>
        </w:trPr>
        <w:tc>
          <w:tcPr>
            <w:tcW w:w="710" w:type="pct"/>
            <w:tcBorders>
              <w:top w:val="nil"/>
              <w:left w:val="nil"/>
              <w:bottom w:val="nil"/>
              <w:right w:val="single" w:sz="4" w:space="0" w:color="auto"/>
            </w:tcBorders>
            <w:shd w:val="clear" w:color="auto" w:fill="auto"/>
            <w:noWrap/>
            <w:vAlign w:val="bottom"/>
            <w:hideMark/>
          </w:tcPr>
          <w:p w:rsidR="007B30D0" w:rsidRPr="007B30D0" w:rsidRDefault="007B30D0" w:rsidP="007B30D0">
            <w:pPr>
              <w:spacing w:after="0" w:line="240" w:lineRule="auto"/>
              <w:ind w:firstLineChars="100" w:firstLine="160"/>
              <w:jc w:val="left"/>
              <w:rPr>
                <w:rFonts w:cs="Arial"/>
                <w:sz w:val="16"/>
                <w:szCs w:val="16"/>
              </w:rPr>
            </w:pPr>
            <w:r w:rsidRPr="007B30D0">
              <w:rPr>
                <w:rFonts w:cs="Arial"/>
                <w:sz w:val="16"/>
                <w:szCs w:val="16"/>
              </w:rPr>
              <w:t>Polsko</w:t>
            </w:r>
          </w:p>
        </w:tc>
        <w:tc>
          <w:tcPr>
            <w:tcW w:w="390" w:type="pct"/>
            <w:tcBorders>
              <w:top w:val="nil"/>
              <w:left w:val="single" w:sz="4" w:space="0" w:color="auto"/>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607,2</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540,8</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525,2</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638,3</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628,1</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698,9</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558,2</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583,4</w:t>
            </w:r>
          </w:p>
        </w:tc>
        <w:tc>
          <w:tcPr>
            <w:tcW w:w="390" w:type="pct"/>
            <w:tcBorders>
              <w:top w:val="nil"/>
              <w:bottom w:val="nil"/>
            </w:tcBorders>
            <w:shd w:val="clear" w:color="auto" w:fill="D9D9D9"/>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424,1</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464,4</w:t>
            </w:r>
          </w:p>
        </w:tc>
        <w:tc>
          <w:tcPr>
            <w:tcW w:w="390" w:type="pct"/>
            <w:tcBorders>
              <w:top w:val="nil"/>
              <w:bottom w:val="nil"/>
              <w:right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446,7</w:t>
            </w:r>
          </w:p>
        </w:tc>
      </w:tr>
      <w:tr w:rsidR="007B30D0" w:rsidRPr="007B30D0" w:rsidTr="00037372">
        <w:trPr>
          <w:trHeight w:val="283"/>
        </w:trPr>
        <w:tc>
          <w:tcPr>
            <w:tcW w:w="710" w:type="pct"/>
            <w:tcBorders>
              <w:top w:val="nil"/>
              <w:left w:val="nil"/>
              <w:bottom w:val="nil"/>
              <w:right w:val="single" w:sz="4" w:space="0" w:color="auto"/>
            </w:tcBorders>
            <w:shd w:val="clear" w:color="auto" w:fill="auto"/>
            <w:noWrap/>
            <w:vAlign w:val="bottom"/>
            <w:hideMark/>
          </w:tcPr>
          <w:p w:rsidR="007B30D0" w:rsidRPr="007B30D0" w:rsidRDefault="007B30D0" w:rsidP="007B30D0">
            <w:pPr>
              <w:spacing w:after="0" w:line="240" w:lineRule="auto"/>
              <w:ind w:firstLineChars="100" w:firstLine="160"/>
              <w:jc w:val="left"/>
              <w:rPr>
                <w:rFonts w:cs="Arial"/>
                <w:sz w:val="16"/>
                <w:szCs w:val="16"/>
              </w:rPr>
            </w:pPr>
            <w:r w:rsidRPr="007B30D0">
              <w:rPr>
                <w:rFonts w:cs="Arial"/>
                <w:sz w:val="16"/>
                <w:szCs w:val="16"/>
              </w:rPr>
              <w:t>Portugalsko</w:t>
            </w:r>
          </w:p>
        </w:tc>
        <w:tc>
          <w:tcPr>
            <w:tcW w:w="390" w:type="pct"/>
            <w:tcBorders>
              <w:top w:val="nil"/>
              <w:left w:val="single" w:sz="4" w:space="0" w:color="auto"/>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3 563,5</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3 618,8</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3 582,2</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3 700,5</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3 615,4</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3 614,7</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3 375,5</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3 512,1</w:t>
            </w:r>
          </w:p>
        </w:tc>
        <w:tc>
          <w:tcPr>
            <w:tcW w:w="390" w:type="pct"/>
            <w:tcBorders>
              <w:top w:val="nil"/>
              <w:bottom w:val="nil"/>
            </w:tcBorders>
            <w:shd w:val="clear" w:color="auto" w:fill="D9D9D9"/>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2 813,8</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3 207,7</w:t>
            </w:r>
          </w:p>
        </w:tc>
        <w:tc>
          <w:tcPr>
            <w:tcW w:w="390" w:type="pct"/>
            <w:tcBorders>
              <w:top w:val="nil"/>
              <w:bottom w:val="nil"/>
              <w:right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3 160,3</w:t>
            </w:r>
          </w:p>
        </w:tc>
      </w:tr>
      <w:tr w:rsidR="007B30D0" w:rsidRPr="007B30D0" w:rsidTr="00037372">
        <w:trPr>
          <w:trHeight w:val="283"/>
        </w:trPr>
        <w:tc>
          <w:tcPr>
            <w:tcW w:w="710" w:type="pct"/>
            <w:tcBorders>
              <w:top w:val="nil"/>
              <w:left w:val="nil"/>
              <w:bottom w:val="nil"/>
              <w:right w:val="single" w:sz="4" w:space="0" w:color="auto"/>
            </w:tcBorders>
            <w:shd w:val="clear" w:color="auto" w:fill="auto"/>
            <w:noWrap/>
            <w:vAlign w:val="bottom"/>
            <w:hideMark/>
          </w:tcPr>
          <w:p w:rsidR="007B30D0" w:rsidRPr="007B30D0" w:rsidRDefault="007B30D0" w:rsidP="007B30D0">
            <w:pPr>
              <w:spacing w:after="0" w:line="240" w:lineRule="auto"/>
              <w:ind w:firstLineChars="100" w:firstLine="160"/>
              <w:jc w:val="left"/>
              <w:rPr>
                <w:rFonts w:cs="Arial"/>
                <w:sz w:val="16"/>
                <w:szCs w:val="16"/>
              </w:rPr>
            </w:pPr>
            <w:r w:rsidRPr="007B30D0">
              <w:rPr>
                <w:rFonts w:cs="Arial"/>
                <w:sz w:val="16"/>
                <w:szCs w:val="16"/>
              </w:rPr>
              <w:t>Rakousko</w:t>
            </w:r>
          </w:p>
        </w:tc>
        <w:tc>
          <w:tcPr>
            <w:tcW w:w="390" w:type="pct"/>
            <w:tcBorders>
              <w:top w:val="nil"/>
              <w:left w:val="single" w:sz="4" w:space="0" w:color="auto"/>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1 902,5</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1 840,2</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1 806,0</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1 761,9</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1 810,4</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1 859,1</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1 874,2</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1 697,4</w:t>
            </w:r>
          </w:p>
        </w:tc>
        <w:tc>
          <w:tcPr>
            <w:tcW w:w="390" w:type="pct"/>
            <w:tcBorders>
              <w:top w:val="nil"/>
              <w:bottom w:val="nil"/>
            </w:tcBorders>
            <w:shd w:val="clear" w:color="auto" w:fill="D9D9D9"/>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1 531,5</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1 628,7</w:t>
            </w:r>
          </w:p>
        </w:tc>
        <w:tc>
          <w:tcPr>
            <w:tcW w:w="390" w:type="pct"/>
            <w:tcBorders>
              <w:top w:val="nil"/>
              <w:bottom w:val="nil"/>
              <w:right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1 527,4</w:t>
            </w:r>
          </w:p>
        </w:tc>
      </w:tr>
      <w:tr w:rsidR="007B30D0" w:rsidRPr="007B30D0" w:rsidTr="00037372">
        <w:trPr>
          <w:trHeight w:val="283"/>
        </w:trPr>
        <w:tc>
          <w:tcPr>
            <w:tcW w:w="710" w:type="pct"/>
            <w:tcBorders>
              <w:top w:val="nil"/>
              <w:left w:val="nil"/>
              <w:bottom w:val="nil"/>
              <w:right w:val="single" w:sz="4" w:space="0" w:color="auto"/>
            </w:tcBorders>
            <w:shd w:val="clear" w:color="auto" w:fill="auto"/>
            <w:noWrap/>
            <w:vAlign w:val="bottom"/>
            <w:hideMark/>
          </w:tcPr>
          <w:p w:rsidR="007B30D0" w:rsidRPr="007B30D0" w:rsidRDefault="007B30D0" w:rsidP="007B30D0">
            <w:pPr>
              <w:spacing w:after="0" w:line="240" w:lineRule="auto"/>
              <w:ind w:firstLineChars="100" w:firstLine="160"/>
              <w:jc w:val="left"/>
              <w:rPr>
                <w:rFonts w:cs="Arial"/>
                <w:sz w:val="16"/>
                <w:szCs w:val="16"/>
              </w:rPr>
            </w:pPr>
            <w:r w:rsidRPr="007B30D0">
              <w:rPr>
                <w:rFonts w:cs="Arial"/>
                <w:sz w:val="16"/>
                <w:szCs w:val="16"/>
              </w:rPr>
              <w:t>Rumunsko</w:t>
            </w:r>
          </w:p>
        </w:tc>
        <w:tc>
          <w:tcPr>
            <w:tcW w:w="390" w:type="pct"/>
            <w:tcBorders>
              <w:top w:val="nil"/>
              <w:left w:val="single" w:sz="4" w:space="0" w:color="auto"/>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72,5</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76,7</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74,8</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86,2</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87,9</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94,5</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93,2</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91,3</w:t>
            </w:r>
          </w:p>
        </w:tc>
        <w:tc>
          <w:tcPr>
            <w:tcW w:w="390" w:type="pct"/>
            <w:tcBorders>
              <w:top w:val="nil"/>
              <w:bottom w:val="nil"/>
            </w:tcBorders>
            <w:shd w:val="clear" w:color="auto" w:fill="D9D9D9"/>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80,6</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51,8</w:t>
            </w:r>
          </w:p>
        </w:tc>
        <w:tc>
          <w:tcPr>
            <w:tcW w:w="390" w:type="pct"/>
            <w:tcBorders>
              <w:top w:val="nil"/>
              <w:bottom w:val="nil"/>
              <w:right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57,6</w:t>
            </w:r>
          </w:p>
        </w:tc>
      </w:tr>
      <w:tr w:rsidR="007B30D0" w:rsidRPr="007B30D0" w:rsidTr="00037372">
        <w:trPr>
          <w:trHeight w:val="283"/>
        </w:trPr>
        <w:tc>
          <w:tcPr>
            <w:tcW w:w="710" w:type="pct"/>
            <w:tcBorders>
              <w:top w:val="nil"/>
              <w:left w:val="nil"/>
              <w:bottom w:val="nil"/>
              <w:right w:val="single" w:sz="4" w:space="0" w:color="auto"/>
            </w:tcBorders>
            <w:shd w:val="clear" w:color="auto" w:fill="auto"/>
            <w:noWrap/>
            <w:vAlign w:val="bottom"/>
            <w:hideMark/>
          </w:tcPr>
          <w:p w:rsidR="007B30D0" w:rsidRPr="007B30D0" w:rsidRDefault="007B30D0" w:rsidP="007B30D0">
            <w:pPr>
              <w:spacing w:after="0" w:line="240" w:lineRule="auto"/>
              <w:ind w:firstLineChars="100" w:firstLine="160"/>
              <w:jc w:val="left"/>
              <w:rPr>
                <w:rFonts w:cs="Arial"/>
                <w:sz w:val="16"/>
                <w:szCs w:val="16"/>
              </w:rPr>
            </w:pPr>
            <w:r w:rsidRPr="007B30D0">
              <w:rPr>
                <w:rFonts w:cs="Arial"/>
                <w:sz w:val="16"/>
                <w:szCs w:val="16"/>
              </w:rPr>
              <w:t>Řecko</w:t>
            </w:r>
          </w:p>
        </w:tc>
        <w:tc>
          <w:tcPr>
            <w:tcW w:w="390" w:type="pct"/>
            <w:tcBorders>
              <w:top w:val="nil"/>
              <w:left w:val="single" w:sz="4" w:space="0" w:color="auto"/>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459,5</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447,0</w:t>
            </w:r>
          </w:p>
        </w:tc>
        <w:tc>
          <w:tcPr>
            <w:tcW w:w="390" w:type="pct"/>
            <w:tcBorders>
              <w:top w:val="nil"/>
              <w:bottom w:val="nil"/>
            </w:tcBorders>
            <w:shd w:val="clear" w:color="000000" w:fill="D9D9D9"/>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152,1</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242,6</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245,9</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263,4</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261,0</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205,9</w:t>
            </w:r>
          </w:p>
        </w:tc>
        <w:tc>
          <w:tcPr>
            <w:tcW w:w="390" w:type="pct"/>
            <w:tcBorders>
              <w:top w:val="nil"/>
              <w:bottom w:val="nil"/>
            </w:tcBorders>
            <w:shd w:val="clear" w:color="auto" w:fill="D9D9D9"/>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157,0</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174,3</w:t>
            </w:r>
          </w:p>
        </w:tc>
        <w:tc>
          <w:tcPr>
            <w:tcW w:w="390" w:type="pct"/>
            <w:tcBorders>
              <w:top w:val="nil"/>
              <w:bottom w:val="nil"/>
              <w:right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177,6</w:t>
            </w:r>
          </w:p>
        </w:tc>
      </w:tr>
      <w:tr w:rsidR="007B30D0" w:rsidRPr="007B30D0" w:rsidTr="00037372">
        <w:trPr>
          <w:trHeight w:val="283"/>
        </w:trPr>
        <w:tc>
          <w:tcPr>
            <w:tcW w:w="710" w:type="pct"/>
            <w:tcBorders>
              <w:top w:val="nil"/>
              <w:left w:val="nil"/>
              <w:bottom w:val="nil"/>
              <w:right w:val="single" w:sz="4" w:space="0" w:color="auto"/>
            </w:tcBorders>
            <w:shd w:val="clear" w:color="auto" w:fill="auto"/>
            <w:noWrap/>
            <w:vAlign w:val="bottom"/>
            <w:hideMark/>
          </w:tcPr>
          <w:p w:rsidR="007B30D0" w:rsidRPr="007B30D0" w:rsidRDefault="007B30D0" w:rsidP="007B30D0">
            <w:pPr>
              <w:spacing w:after="0" w:line="240" w:lineRule="auto"/>
              <w:ind w:firstLineChars="100" w:firstLine="160"/>
              <w:jc w:val="left"/>
              <w:rPr>
                <w:rFonts w:cs="Arial"/>
                <w:sz w:val="16"/>
                <w:szCs w:val="16"/>
              </w:rPr>
            </w:pPr>
            <w:r w:rsidRPr="007B30D0">
              <w:rPr>
                <w:rFonts w:cs="Arial"/>
                <w:sz w:val="16"/>
                <w:szCs w:val="16"/>
              </w:rPr>
              <w:t>Slovensko</w:t>
            </w:r>
          </w:p>
        </w:tc>
        <w:tc>
          <w:tcPr>
            <w:tcW w:w="390" w:type="pct"/>
            <w:tcBorders>
              <w:top w:val="nil"/>
              <w:left w:val="single" w:sz="4" w:space="0" w:color="auto"/>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421,2</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426,9</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414,9</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532,1</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540,0</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551,4</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546,8</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508,9</w:t>
            </w:r>
          </w:p>
        </w:tc>
        <w:tc>
          <w:tcPr>
            <w:tcW w:w="390" w:type="pct"/>
            <w:tcBorders>
              <w:top w:val="nil"/>
              <w:bottom w:val="nil"/>
            </w:tcBorders>
            <w:shd w:val="clear" w:color="auto" w:fill="D9D9D9"/>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433,1</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442,8</w:t>
            </w:r>
          </w:p>
        </w:tc>
        <w:tc>
          <w:tcPr>
            <w:tcW w:w="390" w:type="pct"/>
            <w:tcBorders>
              <w:top w:val="nil"/>
              <w:bottom w:val="nil"/>
              <w:right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428,4</w:t>
            </w:r>
          </w:p>
        </w:tc>
      </w:tr>
      <w:tr w:rsidR="007B30D0" w:rsidRPr="007B30D0" w:rsidTr="00037372">
        <w:trPr>
          <w:trHeight w:val="283"/>
        </w:trPr>
        <w:tc>
          <w:tcPr>
            <w:tcW w:w="710" w:type="pct"/>
            <w:tcBorders>
              <w:top w:val="nil"/>
              <w:left w:val="nil"/>
              <w:bottom w:val="nil"/>
              <w:right w:val="single" w:sz="4" w:space="0" w:color="auto"/>
            </w:tcBorders>
            <w:shd w:val="clear" w:color="auto" w:fill="auto"/>
            <w:noWrap/>
            <w:vAlign w:val="bottom"/>
            <w:hideMark/>
          </w:tcPr>
          <w:p w:rsidR="007B30D0" w:rsidRPr="007B30D0" w:rsidRDefault="007B30D0" w:rsidP="007B30D0">
            <w:pPr>
              <w:spacing w:after="0" w:line="240" w:lineRule="auto"/>
              <w:ind w:firstLineChars="100" w:firstLine="160"/>
              <w:jc w:val="left"/>
              <w:rPr>
                <w:rFonts w:cs="Arial"/>
                <w:sz w:val="16"/>
                <w:szCs w:val="16"/>
              </w:rPr>
            </w:pPr>
            <w:r w:rsidRPr="007B30D0">
              <w:rPr>
                <w:rFonts w:cs="Arial"/>
                <w:sz w:val="16"/>
                <w:szCs w:val="16"/>
              </w:rPr>
              <w:t>Slovinsko</w:t>
            </w:r>
          </w:p>
        </w:tc>
        <w:tc>
          <w:tcPr>
            <w:tcW w:w="390" w:type="pct"/>
            <w:tcBorders>
              <w:top w:val="nil"/>
              <w:left w:val="single" w:sz="4" w:space="0" w:color="auto"/>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1 787,7</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1 594,7</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1 627,1</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1 671,5</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1 570,7</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1 694,7</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1 584,0</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1 560,1</w:t>
            </w:r>
          </w:p>
        </w:tc>
        <w:tc>
          <w:tcPr>
            <w:tcW w:w="390" w:type="pct"/>
            <w:tcBorders>
              <w:top w:val="nil"/>
              <w:bottom w:val="nil"/>
            </w:tcBorders>
            <w:shd w:val="clear" w:color="auto" w:fill="D9D9D9"/>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1 339,7</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1 376,4</w:t>
            </w:r>
          </w:p>
        </w:tc>
        <w:tc>
          <w:tcPr>
            <w:tcW w:w="390" w:type="pct"/>
            <w:tcBorders>
              <w:top w:val="nil"/>
              <w:bottom w:val="nil"/>
              <w:right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1 288,3</w:t>
            </w:r>
          </w:p>
        </w:tc>
      </w:tr>
      <w:tr w:rsidR="007B30D0" w:rsidRPr="007B30D0" w:rsidTr="00037372">
        <w:trPr>
          <w:trHeight w:val="283"/>
        </w:trPr>
        <w:tc>
          <w:tcPr>
            <w:tcW w:w="710" w:type="pct"/>
            <w:tcBorders>
              <w:top w:val="nil"/>
              <w:left w:val="nil"/>
              <w:bottom w:val="nil"/>
              <w:right w:val="single" w:sz="4" w:space="0" w:color="auto"/>
            </w:tcBorders>
            <w:shd w:val="clear" w:color="auto" w:fill="auto"/>
            <w:noWrap/>
            <w:vAlign w:val="bottom"/>
            <w:hideMark/>
          </w:tcPr>
          <w:p w:rsidR="007B30D0" w:rsidRPr="007B30D0" w:rsidRDefault="007B30D0" w:rsidP="007B30D0">
            <w:pPr>
              <w:spacing w:after="0" w:line="240" w:lineRule="auto"/>
              <w:ind w:firstLineChars="100" w:firstLine="160"/>
              <w:jc w:val="left"/>
              <w:rPr>
                <w:rFonts w:cs="Arial"/>
                <w:sz w:val="16"/>
                <w:szCs w:val="16"/>
              </w:rPr>
            </w:pPr>
            <w:r w:rsidRPr="007B30D0">
              <w:rPr>
                <w:rFonts w:cs="Arial"/>
                <w:sz w:val="16"/>
                <w:szCs w:val="16"/>
              </w:rPr>
              <w:t>Španělsko</w:t>
            </w:r>
          </w:p>
        </w:tc>
        <w:tc>
          <w:tcPr>
            <w:tcW w:w="390" w:type="pct"/>
            <w:tcBorders>
              <w:top w:val="nil"/>
              <w:left w:val="single" w:sz="4" w:space="0" w:color="auto"/>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2 889,6</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2 909,0</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3 220,4</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3 165,0</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3 229,1</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3 327,7</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3 291,9</w:t>
            </w:r>
          </w:p>
        </w:tc>
        <w:tc>
          <w:tcPr>
            <w:tcW w:w="390" w:type="pct"/>
            <w:tcBorders>
              <w:top w:val="nil"/>
              <w:bottom w:val="nil"/>
            </w:tcBorders>
            <w:shd w:val="clear" w:color="000000" w:fill="D9D9D9"/>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2 955,6</w:t>
            </w:r>
          </w:p>
        </w:tc>
        <w:tc>
          <w:tcPr>
            <w:tcW w:w="390" w:type="pct"/>
            <w:tcBorders>
              <w:top w:val="nil"/>
              <w:bottom w:val="nil"/>
            </w:tcBorders>
            <w:shd w:val="clear" w:color="auto" w:fill="D9D9D9"/>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2 383,8</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2 656,7</w:t>
            </w:r>
          </w:p>
        </w:tc>
        <w:tc>
          <w:tcPr>
            <w:tcW w:w="390" w:type="pct"/>
            <w:tcBorders>
              <w:top w:val="nil"/>
              <w:bottom w:val="nil"/>
              <w:right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2 706,5</w:t>
            </w:r>
          </w:p>
        </w:tc>
      </w:tr>
      <w:tr w:rsidR="007B30D0" w:rsidRPr="007B30D0" w:rsidTr="00037372">
        <w:trPr>
          <w:trHeight w:val="283"/>
        </w:trPr>
        <w:tc>
          <w:tcPr>
            <w:tcW w:w="710" w:type="pct"/>
            <w:tcBorders>
              <w:top w:val="nil"/>
              <w:left w:val="nil"/>
              <w:bottom w:val="nil"/>
              <w:right w:val="single" w:sz="4" w:space="0" w:color="auto"/>
            </w:tcBorders>
            <w:shd w:val="clear" w:color="auto" w:fill="auto"/>
            <w:noWrap/>
            <w:vAlign w:val="bottom"/>
            <w:hideMark/>
          </w:tcPr>
          <w:p w:rsidR="007B30D0" w:rsidRPr="007B30D0" w:rsidRDefault="007B30D0" w:rsidP="007B30D0">
            <w:pPr>
              <w:spacing w:after="0" w:line="240" w:lineRule="auto"/>
              <w:ind w:firstLineChars="100" w:firstLine="160"/>
              <w:jc w:val="left"/>
              <w:rPr>
                <w:rFonts w:cs="Arial"/>
                <w:sz w:val="16"/>
                <w:szCs w:val="16"/>
              </w:rPr>
            </w:pPr>
            <w:r w:rsidRPr="007B30D0">
              <w:rPr>
                <w:rFonts w:cs="Arial"/>
                <w:sz w:val="16"/>
                <w:szCs w:val="16"/>
              </w:rPr>
              <w:t>Švédsko</w:t>
            </w:r>
          </w:p>
        </w:tc>
        <w:tc>
          <w:tcPr>
            <w:tcW w:w="390" w:type="pct"/>
            <w:tcBorders>
              <w:top w:val="nil"/>
              <w:left w:val="single" w:sz="4" w:space="0" w:color="auto"/>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901,4</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875,0</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759,8</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774,3</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801,2</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792,8</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788,6</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915,7</w:t>
            </w:r>
          </w:p>
        </w:tc>
        <w:tc>
          <w:tcPr>
            <w:tcW w:w="390" w:type="pct"/>
            <w:tcBorders>
              <w:top w:val="nil"/>
              <w:bottom w:val="nil"/>
            </w:tcBorders>
            <w:shd w:val="clear" w:color="auto" w:fill="D9D9D9"/>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841,9</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952,5</w:t>
            </w:r>
          </w:p>
        </w:tc>
        <w:tc>
          <w:tcPr>
            <w:tcW w:w="390" w:type="pct"/>
            <w:tcBorders>
              <w:top w:val="nil"/>
              <w:bottom w:val="nil"/>
              <w:right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885,1</w:t>
            </w:r>
          </w:p>
        </w:tc>
      </w:tr>
    </w:tbl>
    <w:p w:rsidR="000F3730" w:rsidRPr="000F3730" w:rsidRDefault="000F3730" w:rsidP="000F3730">
      <w:pPr>
        <w:spacing w:before="120" w:after="0"/>
        <w:rPr>
          <w:spacing w:val="-2"/>
          <w:sz w:val="16"/>
          <w:szCs w:val="20"/>
        </w:rPr>
      </w:pPr>
      <w:r w:rsidRPr="000F3730">
        <w:rPr>
          <w:spacing w:val="-2"/>
          <w:sz w:val="16"/>
          <w:szCs w:val="20"/>
        </w:rPr>
        <w:t>Poznámka: šedé podbarvení symbolizuje přerušení v časové řadě.</w:t>
      </w:r>
    </w:p>
    <w:p w:rsidR="007B30D0" w:rsidRDefault="000F3730" w:rsidP="000F3730">
      <w:pPr>
        <w:rPr>
          <w:spacing w:val="-2"/>
          <w:sz w:val="16"/>
          <w:szCs w:val="20"/>
        </w:rPr>
      </w:pPr>
      <w:r w:rsidRPr="000F3730">
        <w:rPr>
          <w:spacing w:val="-2"/>
          <w:sz w:val="16"/>
          <w:szCs w:val="20"/>
        </w:rPr>
        <w:t xml:space="preserve">Zdroj: </w:t>
      </w:r>
      <w:proofErr w:type="spellStart"/>
      <w:r w:rsidRPr="000F3730">
        <w:rPr>
          <w:spacing w:val="-2"/>
          <w:sz w:val="16"/>
          <w:szCs w:val="20"/>
        </w:rPr>
        <w:t>Eurostat</w:t>
      </w:r>
      <w:proofErr w:type="spellEnd"/>
      <w:r w:rsidRPr="000F3730">
        <w:rPr>
          <w:spacing w:val="-2"/>
          <w:sz w:val="16"/>
          <w:szCs w:val="20"/>
        </w:rPr>
        <w:t xml:space="preserve"> (ESAW)</w:t>
      </w:r>
    </w:p>
    <w:p w:rsidR="000F3730" w:rsidRDefault="00A52A85" w:rsidP="000F3730">
      <w:pPr>
        <w:rPr>
          <w:b/>
          <w:spacing w:val="-2"/>
          <w:szCs w:val="20"/>
        </w:rPr>
      </w:pPr>
      <w:r w:rsidRPr="00A52A85">
        <w:rPr>
          <w:spacing w:val="-2"/>
        </w:rPr>
        <w:t>Jak je možné vidět z grafu 6.2, v</w:t>
      </w:r>
      <w:r w:rsidR="009F6005" w:rsidRPr="00A52A85">
        <w:rPr>
          <w:spacing w:val="-2"/>
        </w:rPr>
        <w:t xml:space="preserve"> </w:t>
      </w:r>
      <w:r w:rsidRPr="00A52A85">
        <w:rPr>
          <w:spacing w:val="-2"/>
        </w:rPr>
        <w:t xml:space="preserve">kategorii </w:t>
      </w:r>
      <w:r w:rsidR="009F6005" w:rsidRPr="00A52A85">
        <w:rPr>
          <w:b/>
          <w:spacing w:val="-2"/>
        </w:rPr>
        <w:t>smrtelných pracovních úrazů</w:t>
      </w:r>
      <w:r w:rsidR="009F6005" w:rsidRPr="00A52A85">
        <w:rPr>
          <w:spacing w:val="-2"/>
        </w:rPr>
        <w:t xml:space="preserve"> se </w:t>
      </w:r>
      <w:r w:rsidR="003C734A" w:rsidRPr="00A52A85">
        <w:rPr>
          <w:b/>
          <w:spacing w:val="-2"/>
        </w:rPr>
        <w:t>Česko</w:t>
      </w:r>
      <w:r w:rsidR="009F6005" w:rsidRPr="00A52A85">
        <w:rPr>
          <w:spacing w:val="-2"/>
        </w:rPr>
        <w:t xml:space="preserve"> s hodn</w:t>
      </w:r>
      <w:r w:rsidR="003C734A" w:rsidRPr="00A52A85">
        <w:rPr>
          <w:spacing w:val="-2"/>
        </w:rPr>
        <w:t>otou 2,15</w:t>
      </w:r>
      <w:r w:rsidR="009F6005" w:rsidRPr="00251BF8">
        <w:t xml:space="preserve"> smrtelných pracovních úrazů na 100 tis</w:t>
      </w:r>
      <w:r w:rsidR="003C734A">
        <w:t>íc zaměstnaných osob v roce 2022 řadilo</w:t>
      </w:r>
      <w:r w:rsidR="009F6005" w:rsidRPr="00251BF8">
        <w:t xml:space="preserve"> na </w:t>
      </w:r>
      <w:r w:rsidR="003C734A">
        <w:rPr>
          <w:b/>
        </w:rPr>
        <w:t>17</w:t>
      </w:r>
      <w:r w:rsidR="009F6005" w:rsidRPr="00251BF8">
        <w:rPr>
          <w:b/>
        </w:rPr>
        <w:t xml:space="preserve">. místo </w:t>
      </w:r>
      <w:r w:rsidR="009F6005" w:rsidRPr="00251BF8">
        <w:t xml:space="preserve">v rámci </w:t>
      </w:r>
      <w:r w:rsidR="009F6005" w:rsidRPr="00251BF8">
        <w:rPr>
          <w:b/>
        </w:rPr>
        <w:t>EU27</w:t>
      </w:r>
      <w:r w:rsidR="003C734A">
        <w:t xml:space="preserve">. </w:t>
      </w:r>
      <w:r w:rsidR="003C734A" w:rsidRPr="003C734A">
        <w:rPr>
          <w:spacing w:val="-2"/>
        </w:rPr>
        <w:t xml:space="preserve">V roce 2020 </w:t>
      </w:r>
      <w:r>
        <w:rPr>
          <w:spacing w:val="-2"/>
        </w:rPr>
        <w:t>Česku</w:t>
      </w:r>
      <w:r w:rsidR="003C734A" w:rsidRPr="003C734A">
        <w:rPr>
          <w:spacing w:val="-2"/>
        </w:rPr>
        <w:t xml:space="preserve"> patřila</w:t>
      </w:r>
      <w:r w:rsidR="009F6005" w:rsidRPr="003C734A">
        <w:rPr>
          <w:spacing w:val="-2"/>
        </w:rPr>
        <w:t xml:space="preserve"> 13. příčka. Zatímco v roce 2016 bylo Česko na úrovni celoevropského průměru, v roce 202</w:t>
      </w:r>
      <w:r w:rsidR="003C734A" w:rsidRPr="003C734A">
        <w:rPr>
          <w:spacing w:val="-2"/>
        </w:rPr>
        <w:t>2 ho převyšovalo o 0,05</w:t>
      </w:r>
      <w:r w:rsidR="009F6005" w:rsidRPr="003C734A">
        <w:rPr>
          <w:spacing w:val="-2"/>
        </w:rPr>
        <w:t xml:space="preserve"> úrazu</w:t>
      </w:r>
      <w:r w:rsidR="009F6005" w:rsidRPr="00251BF8">
        <w:t xml:space="preserve"> v přepočtu na 100 tis</w:t>
      </w:r>
      <w:r w:rsidR="003C734A">
        <w:t>íc</w:t>
      </w:r>
      <w:r w:rsidR="009F6005" w:rsidRPr="00251BF8">
        <w:t xml:space="preserve"> </w:t>
      </w:r>
      <w:r w:rsidR="003C734A">
        <w:t>zaměstnaných osob</w:t>
      </w:r>
      <w:r w:rsidR="009F6005" w:rsidRPr="00251BF8">
        <w:t>. Nejvyšší míra smrtelné prac</w:t>
      </w:r>
      <w:r w:rsidR="003C734A">
        <w:t>ovn</w:t>
      </w:r>
      <w:r w:rsidR="008F46F2">
        <w:t>í úrazovosti byla v roce 2022 po</w:t>
      </w:r>
      <w:r w:rsidR="003C734A">
        <w:t xml:space="preserve">dle </w:t>
      </w:r>
      <w:proofErr w:type="spellStart"/>
      <w:r w:rsidR="003C734A">
        <w:t>Eurostatu</w:t>
      </w:r>
      <w:proofErr w:type="spellEnd"/>
      <w:r w:rsidR="003C734A">
        <w:t xml:space="preserve"> na Maltě (7,64</w:t>
      </w:r>
      <w:r w:rsidR="009F6005" w:rsidRPr="00251BF8">
        <w:t xml:space="preserve"> na 100 tis</w:t>
      </w:r>
      <w:r w:rsidR="003C734A">
        <w:t>íc</w:t>
      </w:r>
      <w:r w:rsidR="009F6005" w:rsidRPr="00251BF8">
        <w:t xml:space="preserve"> zaměstnaných osob</w:t>
      </w:r>
      <w:r w:rsidR="003C734A">
        <w:t xml:space="preserve">; zde </w:t>
      </w:r>
      <w:r w:rsidR="003C734A" w:rsidRPr="00251BF8">
        <w:t>ovšem vlivem velmi malé populace zaměstnaných osob dochází každoročně k velkým výkyvům tohoto ukazatele</w:t>
      </w:r>
      <w:r w:rsidR="009F6005" w:rsidRPr="00251BF8">
        <w:t xml:space="preserve">) a </w:t>
      </w:r>
      <w:r w:rsidR="003C734A">
        <w:t>ve Francii (4</w:t>
      </w:r>
      <w:r w:rsidR="009F6005" w:rsidRPr="00251BF8">
        <w:t>,</w:t>
      </w:r>
      <w:r w:rsidR="003C734A">
        <w:t>38</w:t>
      </w:r>
      <w:r w:rsidR="00332D44">
        <w:t xml:space="preserve">). </w:t>
      </w:r>
      <w:r w:rsidR="009F6005" w:rsidRPr="00251BF8">
        <w:t xml:space="preserve">Naopak nejnižší míra smrtelné pracovní úrazovosti se dlouhodobě </w:t>
      </w:r>
      <w:r>
        <w:t>udržuje</w:t>
      </w:r>
      <w:r w:rsidR="009F6005" w:rsidRPr="00251BF8">
        <w:t xml:space="preserve"> v</w:t>
      </w:r>
      <w:r w:rsidR="00332D44">
        <w:t> </w:t>
      </w:r>
      <w:r w:rsidR="009F6005" w:rsidRPr="00251BF8">
        <w:t>Nizozemsku (0,4</w:t>
      </w:r>
      <w:r w:rsidR="00332D44">
        <w:t>3</w:t>
      </w:r>
      <w:r w:rsidR="009F6005" w:rsidRPr="00251BF8">
        <w:t xml:space="preserve">), </w:t>
      </w:r>
      <w:r w:rsidR="00332D44">
        <w:t>Německu (0,95), Švédsku (0,99) či Řecku (1,14).</w:t>
      </w:r>
    </w:p>
    <w:p w:rsidR="009F6005" w:rsidRDefault="00A23437" w:rsidP="003C734A">
      <w:r>
        <w:t>Epidemie</w:t>
      </w:r>
      <w:r w:rsidR="008F46F2">
        <w:t xml:space="preserve"> onemocnění COVID-19</w:t>
      </w:r>
      <w:r>
        <w:t xml:space="preserve"> (respektive </w:t>
      </w:r>
      <w:r w:rsidR="009F6005" w:rsidRPr="001C68C1">
        <w:t>opatření proti jejímu šíření</w:t>
      </w:r>
      <w:r>
        <w:t>) neměla na smrtelné pracovní úrazy tak jednoznačný vliv, jako tomu bylo v případě pracovních úrazů spojených s pracovní neschopností. Rizikovější odvětví</w:t>
      </w:r>
      <w:r w:rsidR="009F6005" w:rsidRPr="001C68C1">
        <w:t xml:space="preserve"> </w:t>
      </w:r>
      <w:r>
        <w:t>s vyšší pravděpodobností výskytu smrtelných</w:t>
      </w:r>
      <w:r w:rsidR="009F6005" w:rsidRPr="001C68C1">
        <w:t xml:space="preserve"> pracovní</w:t>
      </w:r>
      <w:r>
        <w:t>ch úrazů</w:t>
      </w:r>
      <w:r w:rsidR="009F6005" w:rsidRPr="001C68C1">
        <w:t xml:space="preserve">, </w:t>
      </w:r>
      <w:r w:rsidR="009F6005" w:rsidRPr="00251BF8">
        <w:t>zaměstnávající manuálně pracující, neumožňovaly takové za</w:t>
      </w:r>
      <w:r>
        <w:t>pojení práce z domova jako například</w:t>
      </w:r>
      <w:r w:rsidR="009F6005" w:rsidRPr="00251BF8">
        <w:t xml:space="preserve"> administrativní obory. K  poklesu míry smrtelné pracovní úrazovosti </w:t>
      </w:r>
      <w:r w:rsidR="0091209B">
        <w:t xml:space="preserve">mezi lety 2020 a 2022 došlo </w:t>
      </w:r>
      <w:r w:rsidR="009F6005" w:rsidRPr="00251BF8">
        <w:t>u</w:t>
      </w:r>
      <w:r w:rsidR="009F6005">
        <w:t> </w:t>
      </w:r>
      <w:r w:rsidR="0091209B">
        <w:t>13</w:t>
      </w:r>
      <w:r w:rsidR="009F6005">
        <w:t> </w:t>
      </w:r>
      <w:r w:rsidR="0091209B">
        <w:t>zemí. Nejvíce konkrétně na Kypru (o 2,1 úrazů</w:t>
      </w:r>
      <w:r w:rsidR="009F6005" w:rsidRPr="00251BF8">
        <w:t xml:space="preserve"> na 100</w:t>
      </w:r>
      <w:r w:rsidR="0091209B">
        <w:t> </w:t>
      </w:r>
      <w:r w:rsidR="009F6005" w:rsidRPr="00251BF8">
        <w:t>tis</w:t>
      </w:r>
      <w:r w:rsidR="0091209B">
        <w:t>íc</w:t>
      </w:r>
      <w:r w:rsidR="009F6005" w:rsidRPr="00251BF8">
        <w:t xml:space="preserve"> zaměstnaných osob) a v</w:t>
      </w:r>
      <w:r w:rsidR="0091209B">
        <w:t> Irsku (o 1,2</w:t>
      </w:r>
      <w:r w:rsidR="009F6005" w:rsidRPr="00251BF8">
        <w:t xml:space="preserve">). Naopak největší </w:t>
      </w:r>
      <w:r w:rsidR="0091209B">
        <w:t>nárůst v tomto období zaznamen</w:t>
      </w:r>
      <w:r w:rsidR="00A52A85">
        <w:t>ala Malta (o 2,9), Lucembursko (o 1,7), Lotyšsko a Francie (shodně o 1,2 smrtelných pracovních úrazů v přepočtu na 100 tisíc zaměstnanců).</w:t>
      </w:r>
      <w:r w:rsidR="003D05A0">
        <w:t xml:space="preserve"> Vývoj hodnot ve státech Evropské unie mezi lety 2012–2022 je uveden v tabulce 6.2.</w:t>
      </w:r>
    </w:p>
    <w:p w:rsidR="000F3730" w:rsidRDefault="009F6005" w:rsidP="007B30D0">
      <w:pPr>
        <w:spacing w:after="0"/>
        <w:rPr>
          <w:rFonts w:cs="Arial"/>
          <w:b/>
          <w:bCs/>
          <w:color w:val="000000"/>
          <w:spacing w:val="-2"/>
          <w:szCs w:val="20"/>
        </w:rPr>
      </w:pPr>
      <w:r w:rsidRPr="009F6005">
        <w:rPr>
          <w:rFonts w:cs="Arial"/>
          <w:b/>
          <w:bCs/>
          <w:color w:val="000000"/>
          <w:spacing w:val="-2"/>
          <w:szCs w:val="20"/>
        </w:rPr>
        <w:lastRenderedPageBreak/>
        <w:t>Graf 6.2: Smrtelné pracovní úrazy v zemích EU (standardizovaná míra výskytu na 100 tisíc zaměstnaných osob), 2022</w:t>
      </w:r>
    </w:p>
    <w:p w:rsidR="00B80620" w:rsidRDefault="00A10B06" w:rsidP="006E6A50">
      <w:pPr>
        <w:spacing w:before="40" w:after="0"/>
        <w:rPr>
          <w:spacing w:val="-2"/>
          <w:sz w:val="16"/>
          <w:szCs w:val="16"/>
        </w:rPr>
      </w:pPr>
      <w:r w:rsidRPr="00A10B06">
        <w:rPr>
          <w:noProof/>
          <w:sz w:val="16"/>
          <w:szCs w:val="16"/>
        </w:rPr>
        <w:drawing>
          <wp:anchor distT="0" distB="0" distL="114300" distR="114300" simplePos="0" relativeHeight="251680256" behindDoc="1" locked="0" layoutInCell="1" allowOverlap="1">
            <wp:simplePos x="0" y="0"/>
            <wp:positionH relativeFrom="column">
              <wp:posOffset>3810</wp:posOffset>
            </wp:positionH>
            <wp:positionV relativeFrom="paragraph">
              <wp:posOffset>-3810</wp:posOffset>
            </wp:positionV>
            <wp:extent cx="6120000" cy="5040000"/>
            <wp:effectExtent l="0" t="0" r="0" b="8255"/>
            <wp:wrapTight wrapText="bothSides">
              <wp:wrapPolygon edited="0">
                <wp:start x="0" y="0"/>
                <wp:lineTo x="0" y="21554"/>
                <wp:lineTo x="21517" y="21554"/>
                <wp:lineTo x="21517" y="0"/>
                <wp:lineTo x="0" y="0"/>
              </wp:wrapPolygon>
            </wp:wrapTight>
            <wp:docPr id="38" name="Graf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14:sizeRelV relativeFrom="margin">
              <wp14:pctHeight>0</wp14:pctHeight>
            </wp14:sizeRelV>
          </wp:anchor>
        </w:drawing>
      </w:r>
      <w:r w:rsidR="00B80620" w:rsidRPr="00A10B06">
        <w:rPr>
          <w:spacing w:val="-2"/>
          <w:sz w:val="16"/>
          <w:szCs w:val="16"/>
        </w:rPr>
        <w:t xml:space="preserve">Zdroj: </w:t>
      </w:r>
      <w:proofErr w:type="spellStart"/>
      <w:r w:rsidR="00B80620" w:rsidRPr="00A10B06">
        <w:rPr>
          <w:spacing w:val="-2"/>
          <w:sz w:val="16"/>
          <w:szCs w:val="16"/>
        </w:rPr>
        <w:t>Eurostat</w:t>
      </w:r>
      <w:proofErr w:type="spellEnd"/>
      <w:r w:rsidR="00B80620" w:rsidRPr="00A10B06">
        <w:rPr>
          <w:spacing w:val="-2"/>
          <w:sz w:val="16"/>
          <w:szCs w:val="16"/>
        </w:rPr>
        <w:t xml:space="preserve"> (ESAW)</w:t>
      </w:r>
    </w:p>
    <w:p w:rsidR="00A10B06" w:rsidRDefault="00A10B06">
      <w:pPr>
        <w:spacing w:after="0" w:line="240" w:lineRule="auto"/>
        <w:jc w:val="left"/>
        <w:rPr>
          <w:spacing w:val="-2"/>
          <w:sz w:val="16"/>
          <w:szCs w:val="16"/>
        </w:rPr>
      </w:pPr>
      <w:r>
        <w:rPr>
          <w:spacing w:val="-2"/>
          <w:sz w:val="16"/>
          <w:szCs w:val="16"/>
        </w:rPr>
        <w:br w:type="page"/>
      </w:r>
    </w:p>
    <w:p w:rsidR="00A10B06" w:rsidRPr="00A10B06" w:rsidRDefault="00A10B06" w:rsidP="00A10B06">
      <w:pPr>
        <w:spacing w:after="0"/>
        <w:rPr>
          <w:rFonts w:cs="Arial"/>
          <w:b/>
          <w:bCs/>
          <w:color w:val="000000"/>
          <w:spacing w:val="-2"/>
          <w:szCs w:val="20"/>
        </w:rPr>
      </w:pPr>
      <w:r w:rsidRPr="00A10B06">
        <w:rPr>
          <w:rFonts w:cs="Arial"/>
          <w:b/>
          <w:bCs/>
          <w:color w:val="000000"/>
          <w:spacing w:val="-2"/>
          <w:szCs w:val="20"/>
        </w:rPr>
        <w:lastRenderedPageBreak/>
        <w:t>Tab. 6.2: Smrtelné pracovní úrazy v zemích EU (standardizovaná míra výskytu na 100 tisíc zaměstnaných osob), 2012–2022</w:t>
      </w:r>
    </w:p>
    <w:tbl>
      <w:tblPr>
        <w:tblW w:w="5000" w:type="pct"/>
        <w:tblCellMar>
          <w:left w:w="70" w:type="dxa"/>
          <w:right w:w="70" w:type="dxa"/>
        </w:tblCellMar>
        <w:tblLook w:val="04A0" w:firstRow="1" w:lastRow="0" w:firstColumn="1" w:lastColumn="0" w:noHBand="0" w:noVBand="1"/>
      </w:tblPr>
      <w:tblGrid>
        <w:gridCol w:w="1368"/>
        <w:gridCol w:w="751"/>
        <w:gridCol w:w="751"/>
        <w:gridCol w:w="752"/>
        <w:gridCol w:w="752"/>
        <w:gridCol w:w="752"/>
        <w:gridCol w:w="752"/>
        <w:gridCol w:w="752"/>
        <w:gridCol w:w="752"/>
        <w:gridCol w:w="752"/>
        <w:gridCol w:w="752"/>
        <w:gridCol w:w="752"/>
      </w:tblGrid>
      <w:tr w:rsidR="00A10B06" w:rsidRPr="00A10B06" w:rsidTr="00D43815">
        <w:trPr>
          <w:trHeight w:val="300"/>
        </w:trPr>
        <w:tc>
          <w:tcPr>
            <w:tcW w:w="710" w:type="pct"/>
            <w:tcBorders>
              <w:top w:val="single" w:sz="4" w:space="0" w:color="000000"/>
              <w:left w:val="nil"/>
              <w:bottom w:val="single" w:sz="4" w:space="0" w:color="000000"/>
              <w:right w:val="nil"/>
            </w:tcBorders>
            <w:shd w:val="clear" w:color="auto" w:fill="E6C483"/>
            <w:noWrap/>
            <w:vAlign w:val="center"/>
            <w:hideMark/>
          </w:tcPr>
          <w:p w:rsidR="00A10B06" w:rsidRPr="00A10B06" w:rsidRDefault="00A10B06" w:rsidP="00A10B06">
            <w:pPr>
              <w:spacing w:after="0" w:line="240" w:lineRule="auto"/>
              <w:jc w:val="center"/>
              <w:rPr>
                <w:rFonts w:cs="Arial"/>
                <w:sz w:val="16"/>
                <w:szCs w:val="16"/>
              </w:rPr>
            </w:pPr>
            <w:r w:rsidRPr="00A10B06">
              <w:rPr>
                <w:rFonts w:cs="Arial"/>
                <w:sz w:val="16"/>
                <w:szCs w:val="16"/>
              </w:rPr>
              <w:t>Členské státy EU</w:t>
            </w:r>
          </w:p>
        </w:tc>
        <w:tc>
          <w:tcPr>
            <w:tcW w:w="390" w:type="pct"/>
            <w:tcBorders>
              <w:top w:val="single" w:sz="4" w:space="0" w:color="000000"/>
              <w:left w:val="single" w:sz="4" w:space="0" w:color="000000"/>
              <w:bottom w:val="single" w:sz="4" w:space="0" w:color="auto"/>
              <w:right w:val="single" w:sz="4" w:space="0" w:color="000000"/>
            </w:tcBorders>
            <w:shd w:val="clear" w:color="auto" w:fill="E6C483"/>
            <w:noWrap/>
            <w:vAlign w:val="center"/>
            <w:hideMark/>
          </w:tcPr>
          <w:p w:rsidR="00A10B06" w:rsidRPr="00A10B06" w:rsidRDefault="00A10B06" w:rsidP="00A10B06">
            <w:pPr>
              <w:spacing w:after="0" w:line="240" w:lineRule="auto"/>
              <w:jc w:val="center"/>
              <w:rPr>
                <w:rFonts w:cs="Arial"/>
                <w:sz w:val="16"/>
                <w:szCs w:val="16"/>
              </w:rPr>
            </w:pPr>
            <w:r w:rsidRPr="00A10B06">
              <w:rPr>
                <w:rFonts w:cs="Arial"/>
                <w:sz w:val="16"/>
                <w:szCs w:val="16"/>
              </w:rPr>
              <w:t>2012</w:t>
            </w:r>
          </w:p>
        </w:tc>
        <w:tc>
          <w:tcPr>
            <w:tcW w:w="390" w:type="pct"/>
            <w:tcBorders>
              <w:top w:val="single" w:sz="4" w:space="0" w:color="000000"/>
              <w:left w:val="nil"/>
              <w:bottom w:val="single" w:sz="4" w:space="0" w:color="auto"/>
              <w:right w:val="single" w:sz="4" w:space="0" w:color="000000"/>
            </w:tcBorders>
            <w:shd w:val="clear" w:color="auto" w:fill="E6C483"/>
            <w:noWrap/>
            <w:vAlign w:val="center"/>
            <w:hideMark/>
          </w:tcPr>
          <w:p w:rsidR="00A10B06" w:rsidRPr="00A10B06" w:rsidRDefault="00A10B06" w:rsidP="00A10B06">
            <w:pPr>
              <w:spacing w:after="0" w:line="240" w:lineRule="auto"/>
              <w:jc w:val="center"/>
              <w:rPr>
                <w:rFonts w:cs="Arial"/>
                <w:sz w:val="16"/>
                <w:szCs w:val="16"/>
              </w:rPr>
            </w:pPr>
            <w:r w:rsidRPr="00A10B06">
              <w:rPr>
                <w:rFonts w:cs="Arial"/>
                <w:sz w:val="16"/>
                <w:szCs w:val="16"/>
              </w:rPr>
              <w:t>2013</w:t>
            </w:r>
          </w:p>
        </w:tc>
        <w:tc>
          <w:tcPr>
            <w:tcW w:w="390" w:type="pct"/>
            <w:tcBorders>
              <w:top w:val="single" w:sz="4" w:space="0" w:color="000000"/>
              <w:left w:val="nil"/>
              <w:bottom w:val="single" w:sz="4" w:space="0" w:color="auto"/>
              <w:right w:val="single" w:sz="4" w:space="0" w:color="000000"/>
            </w:tcBorders>
            <w:shd w:val="clear" w:color="auto" w:fill="E6C483"/>
            <w:noWrap/>
            <w:vAlign w:val="center"/>
            <w:hideMark/>
          </w:tcPr>
          <w:p w:rsidR="00A10B06" w:rsidRPr="00A10B06" w:rsidRDefault="00A10B06" w:rsidP="00A10B06">
            <w:pPr>
              <w:spacing w:after="0" w:line="240" w:lineRule="auto"/>
              <w:jc w:val="center"/>
              <w:rPr>
                <w:rFonts w:cs="Arial"/>
                <w:sz w:val="16"/>
                <w:szCs w:val="16"/>
              </w:rPr>
            </w:pPr>
            <w:r w:rsidRPr="00A10B06">
              <w:rPr>
                <w:rFonts w:cs="Arial"/>
                <w:sz w:val="16"/>
                <w:szCs w:val="16"/>
              </w:rPr>
              <w:t>2014</w:t>
            </w:r>
          </w:p>
        </w:tc>
        <w:tc>
          <w:tcPr>
            <w:tcW w:w="390" w:type="pct"/>
            <w:tcBorders>
              <w:top w:val="single" w:sz="4" w:space="0" w:color="000000"/>
              <w:left w:val="nil"/>
              <w:bottom w:val="single" w:sz="4" w:space="0" w:color="auto"/>
              <w:right w:val="single" w:sz="4" w:space="0" w:color="000000"/>
            </w:tcBorders>
            <w:shd w:val="clear" w:color="auto" w:fill="E6C483"/>
            <w:noWrap/>
            <w:vAlign w:val="center"/>
            <w:hideMark/>
          </w:tcPr>
          <w:p w:rsidR="00A10B06" w:rsidRPr="00A10B06" w:rsidRDefault="00A10B06" w:rsidP="00A10B06">
            <w:pPr>
              <w:spacing w:after="0" w:line="240" w:lineRule="auto"/>
              <w:jc w:val="center"/>
              <w:rPr>
                <w:rFonts w:cs="Arial"/>
                <w:sz w:val="16"/>
                <w:szCs w:val="16"/>
              </w:rPr>
            </w:pPr>
            <w:r w:rsidRPr="00A10B06">
              <w:rPr>
                <w:rFonts w:cs="Arial"/>
                <w:sz w:val="16"/>
                <w:szCs w:val="16"/>
              </w:rPr>
              <w:t>2015</w:t>
            </w:r>
          </w:p>
        </w:tc>
        <w:tc>
          <w:tcPr>
            <w:tcW w:w="390" w:type="pct"/>
            <w:tcBorders>
              <w:top w:val="single" w:sz="4" w:space="0" w:color="000000"/>
              <w:left w:val="nil"/>
              <w:bottom w:val="single" w:sz="4" w:space="0" w:color="auto"/>
              <w:right w:val="single" w:sz="4" w:space="0" w:color="000000"/>
            </w:tcBorders>
            <w:shd w:val="clear" w:color="auto" w:fill="E6C483"/>
            <w:noWrap/>
            <w:vAlign w:val="center"/>
            <w:hideMark/>
          </w:tcPr>
          <w:p w:rsidR="00A10B06" w:rsidRPr="00A10B06" w:rsidRDefault="00A10B06" w:rsidP="00A10B06">
            <w:pPr>
              <w:spacing w:after="0" w:line="240" w:lineRule="auto"/>
              <w:jc w:val="center"/>
              <w:rPr>
                <w:rFonts w:cs="Arial"/>
                <w:sz w:val="16"/>
                <w:szCs w:val="16"/>
              </w:rPr>
            </w:pPr>
            <w:r w:rsidRPr="00A10B06">
              <w:rPr>
                <w:rFonts w:cs="Arial"/>
                <w:sz w:val="16"/>
                <w:szCs w:val="16"/>
              </w:rPr>
              <w:t>2016</w:t>
            </w:r>
          </w:p>
        </w:tc>
        <w:tc>
          <w:tcPr>
            <w:tcW w:w="390" w:type="pct"/>
            <w:tcBorders>
              <w:top w:val="single" w:sz="4" w:space="0" w:color="000000"/>
              <w:left w:val="nil"/>
              <w:bottom w:val="single" w:sz="4" w:space="0" w:color="auto"/>
              <w:right w:val="single" w:sz="4" w:space="0" w:color="000000"/>
            </w:tcBorders>
            <w:shd w:val="clear" w:color="auto" w:fill="E6C483"/>
            <w:noWrap/>
            <w:vAlign w:val="center"/>
            <w:hideMark/>
          </w:tcPr>
          <w:p w:rsidR="00A10B06" w:rsidRPr="00A10B06" w:rsidRDefault="00A10B06" w:rsidP="00A10B06">
            <w:pPr>
              <w:spacing w:after="0" w:line="240" w:lineRule="auto"/>
              <w:jc w:val="center"/>
              <w:rPr>
                <w:rFonts w:cs="Arial"/>
                <w:sz w:val="16"/>
                <w:szCs w:val="16"/>
              </w:rPr>
            </w:pPr>
            <w:r w:rsidRPr="00A10B06">
              <w:rPr>
                <w:rFonts w:cs="Arial"/>
                <w:sz w:val="16"/>
                <w:szCs w:val="16"/>
              </w:rPr>
              <w:t>2017</w:t>
            </w:r>
          </w:p>
        </w:tc>
        <w:tc>
          <w:tcPr>
            <w:tcW w:w="390" w:type="pct"/>
            <w:tcBorders>
              <w:top w:val="single" w:sz="4" w:space="0" w:color="000000"/>
              <w:left w:val="nil"/>
              <w:bottom w:val="single" w:sz="4" w:space="0" w:color="auto"/>
              <w:right w:val="single" w:sz="4" w:space="0" w:color="000000"/>
            </w:tcBorders>
            <w:shd w:val="clear" w:color="auto" w:fill="E6C483"/>
            <w:noWrap/>
            <w:vAlign w:val="center"/>
            <w:hideMark/>
          </w:tcPr>
          <w:p w:rsidR="00A10B06" w:rsidRPr="00A10B06" w:rsidRDefault="00A10B06" w:rsidP="00A10B06">
            <w:pPr>
              <w:spacing w:after="0" w:line="240" w:lineRule="auto"/>
              <w:jc w:val="center"/>
              <w:rPr>
                <w:rFonts w:cs="Arial"/>
                <w:sz w:val="16"/>
                <w:szCs w:val="16"/>
              </w:rPr>
            </w:pPr>
            <w:r w:rsidRPr="00A10B06">
              <w:rPr>
                <w:rFonts w:cs="Arial"/>
                <w:sz w:val="16"/>
                <w:szCs w:val="16"/>
              </w:rPr>
              <w:t>2018</w:t>
            </w:r>
          </w:p>
        </w:tc>
        <w:tc>
          <w:tcPr>
            <w:tcW w:w="390" w:type="pct"/>
            <w:tcBorders>
              <w:top w:val="single" w:sz="4" w:space="0" w:color="000000"/>
              <w:left w:val="nil"/>
              <w:bottom w:val="single" w:sz="4" w:space="0" w:color="auto"/>
              <w:right w:val="single" w:sz="4" w:space="0" w:color="000000"/>
            </w:tcBorders>
            <w:shd w:val="clear" w:color="auto" w:fill="E6C483"/>
            <w:noWrap/>
            <w:vAlign w:val="center"/>
            <w:hideMark/>
          </w:tcPr>
          <w:p w:rsidR="00A10B06" w:rsidRPr="00A10B06" w:rsidRDefault="00A10B06" w:rsidP="00A10B06">
            <w:pPr>
              <w:spacing w:after="0" w:line="240" w:lineRule="auto"/>
              <w:jc w:val="center"/>
              <w:rPr>
                <w:rFonts w:cs="Arial"/>
                <w:sz w:val="16"/>
                <w:szCs w:val="16"/>
              </w:rPr>
            </w:pPr>
            <w:r w:rsidRPr="00A10B06">
              <w:rPr>
                <w:rFonts w:cs="Arial"/>
                <w:sz w:val="16"/>
                <w:szCs w:val="16"/>
              </w:rPr>
              <w:t>2019</w:t>
            </w:r>
          </w:p>
        </w:tc>
        <w:tc>
          <w:tcPr>
            <w:tcW w:w="390" w:type="pct"/>
            <w:tcBorders>
              <w:top w:val="single" w:sz="4" w:space="0" w:color="000000"/>
              <w:left w:val="nil"/>
              <w:bottom w:val="single" w:sz="4" w:space="0" w:color="auto"/>
              <w:right w:val="nil"/>
            </w:tcBorders>
            <w:shd w:val="clear" w:color="auto" w:fill="E6C483"/>
            <w:noWrap/>
            <w:vAlign w:val="center"/>
            <w:hideMark/>
          </w:tcPr>
          <w:p w:rsidR="00A10B06" w:rsidRPr="00A10B06" w:rsidRDefault="00A10B06" w:rsidP="00A10B06">
            <w:pPr>
              <w:spacing w:after="0" w:line="240" w:lineRule="auto"/>
              <w:jc w:val="center"/>
              <w:rPr>
                <w:rFonts w:cs="Arial"/>
                <w:sz w:val="16"/>
                <w:szCs w:val="16"/>
              </w:rPr>
            </w:pPr>
            <w:r w:rsidRPr="00A10B06">
              <w:rPr>
                <w:rFonts w:cs="Arial"/>
                <w:sz w:val="16"/>
                <w:szCs w:val="16"/>
              </w:rPr>
              <w:t>2020</w:t>
            </w:r>
          </w:p>
        </w:tc>
        <w:tc>
          <w:tcPr>
            <w:tcW w:w="390" w:type="pct"/>
            <w:tcBorders>
              <w:top w:val="single" w:sz="4" w:space="0" w:color="000000"/>
              <w:left w:val="single" w:sz="4" w:space="0" w:color="000000"/>
              <w:bottom w:val="single" w:sz="4" w:space="0" w:color="auto"/>
              <w:right w:val="nil"/>
            </w:tcBorders>
            <w:shd w:val="clear" w:color="auto" w:fill="E6C483"/>
            <w:noWrap/>
            <w:vAlign w:val="center"/>
            <w:hideMark/>
          </w:tcPr>
          <w:p w:rsidR="00A10B06" w:rsidRPr="00A10B06" w:rsidRDefault="00A10B06" w:rsidP="00A10B06">
            <w:pPr>
              <w:spacing w:after="0" w:line="240" w:lineRule="auto"/>
              <w:jc w:val="center"/>
              <w:rPr>
                <w:rFonts w:cs="Arial"/>
                <w:sz w:val="16"/>
                <w:szCs w:val="16"/>
              </w:rPr>
            </w:pPr>
            <w:r w:rsidRPr="00A10B06">
              <w:rPr>
                <w:rFonts w:cs="Arial"/>
                <w:sz w:val="16"/>
                <w:szCs w:val="16"/>
              </w:rPr>
              <w:t>2021</w:t>
            </w:r>
          </w:p>
        </w:tc>
        <w:tc>
          <w:tcPr>
            <w:tcW w:w="390" w:type="pct"/>
            <w:tcBorders>
              <w:top w:val="single" w:sz="4" w:space="0" w:color="000000"/>
              <w:left w:val="single" w:sz="4" w:space="0" w:color="000000"/>
              <w:bottom w:val="single" w:sz="4" w:space="0" w:color="auto"/>
              <w:right w:val="nil"/>
            </w:tcBorders>
            <w:shd w:val="clear" w:color="auto" w:fill="E6C483"/>
            <w:noWrap/>
            <w:vAlign w:val="center"/>
            <w:hideMark/>
          </w:tcPr>
          <w:p w:rsidR="00A10B06" w:rsidRPr="00A10B06" w:rsidRDefault="00A10B06" w:rsidP="00A10B06">
            <w:pPr>
              <w:spacing w:after="0" w:line="240" w:lineRule="auto"/>
              <w:jc w:val="center"/>
              <w:rPr>
                <w:rFonts w:cs="Arial"/>
                <w:sz w:val="16"/>
                <w:szCs w:val="16"/>
              </w:rPr>
            </w:pPr>
            <w:r w:rsidRPr="00A10B06">
              <w:rPr>
                <w:rFonts w:cs="Arial"/>
                <w:sz w:val="16"/>
                <w:szCs w:val="16"/>
              </w:rPr>
              <w:t>2022</w:t>
            </w:r>
          </w:p>
        </w:tc>
      </w:tr>
      <w:tr w:rsidR="00D43815" w:rsidRPr="00A10B06" w:rsidTr="00D43815">
        <w:trPr>
          <w:trHeight w:val="300"/>
        </w:trPr>
        <w:tc>
          <w:tcPr>
            <w:tcW w:w="710" w:type="pct"/>
            <w:tcBorders>
              <w:top w:val="single" w:sz="4" w:space="0" w:color="000000"/>
              <w:left w:val="nil"/>
              <w:bottom w:val="nil"/>
              <w:right w:val="single" w:sz="4" w:space="0" w:color="auto"/>
            </w:tcBorders>
            <w:shd w:val="clear" w:color="auto" w:fill="auto"/>
            <w:noWrap/>
            <w:vAlign w:val="bottom"/>
            <w:hideMark/>
          </w:tcPr>
          <w:p w:rsidR="00A10B06" w:rsidRPr="00A10B06" w:rsidRDefault="00A10B06" w:rsidP="00A10B06">
            <w:pPr>
              <w:spacing w:after="0" w:line="240" w:lineRule="auto"/>
              <w:jc w:val="left"/>
              <w:rPr>
                <w:rFonts w:cs="Arial"/>
                <w:b/>
                <w:bCs/>
                <w:sz w:val="16"/>
                <w:szCs w:val="16"/>
              </w:rPr>
            </w:pPr>
            <w:r w:rsidRPr="00A10B06">
              <w:rPr>
                <w:rFonts w:cs="Arial"/>
                <w:b/>
                <w:bCs/>
                <w:sz w:val="16"/>
                <w:szCs w:val="16"/>
              </w:rPr>
              <w:t>EU27</w:t>
            </w:r>
          </w:p>
        </w:tc>
        <w:tc>
          <w:tcPr>
            <w:tcW w:w="390" w:type="pct"/>
            <w:tcBorders>
              <w:top w:val="single" w:sz="4" w:space="0" w:color="auto"/>
              <w:left w:val="single" w:sz="4" w:space="0" w:color="auto"/>
              <w:bottom w:val="nil"/>
            </w:tcBorders>
            <w:shd w:val="clear" w:color="auto" w:fill="auto"/>
            <w:noWrap/>
            <w:vAlign w:val="bottom"/>
            <w:hideMark/>
          </w:tcPr>
          <w:p w:rsidR="00A10B06" w:rsidRPr="00A10B06" w:rsidRDefault="00A10B06" w:rsidP="00A10B06">
            <w:pPr>
              <w:spacing w:after="0" w:line="240" w:lineRule="auto"/>
              <w:jc w:val="right"/>
              <w:rPr>
                <w:rFonts w:cs="Arial"/>
                <w:b/>
                <w:bCs/>
                <w:sz w:val="16"/>
                <w:szCs w:val="16"/>
              </w:rPr>
            </w:pPr>
            <w:r w:rsidRPr="00A10B06">
              <w:rPr>
                <w:rFonts w:cs="Arial"/>
                <w:b/>
                <w:bCs/>
                <w:sz w:val="16"/>
                <w:szCs w:val="16"/>
              </w:rPr>
              <w:t>2,7</w:t>
            </w:r>
          </w:p>
        </w:tc>
        <w:tc>
          <w:tcPr>
            <w:tcW w:w="390" w:type="pct"/>
            <w:tcBorders>
              <w:top w:val="single" w:sz="4" w:space="0" w:color="auto"/>
              <w:bottom w:val="nil"/>
            </w:tcBorders>
            <w:shd w:val="clear" w:color="auto" w:fill="auto"/>
            <w:noWrap/>
            <w:vAlign w:val="bottom"/>
            <w:hideMark/>
          </w:tcPr>
          <w:p w:rsidR="00A10B06" w:rsidRPr="00A10B06" w:rsidRDefault="00A10B06" w:rsidP="00A10B06">
            <w:pPr>
              <w:spacing w:after="0" w:line="240" w:lineRule="auto"/>
              <w:jc w:val="right"/>
              <w:rPr>
                <w:rFonts w:cs="Arial"/>
                <w:b/>
                <w:bCs/>
                <w:sz w:val="16"/>
                <w:szCs w:val="16"/>
              </w:rPr>
            </w:pPr>
            <w:r w:rsidRPr="00A10B06">
              <w:rPr>
                <w:rFonts w:cs="Arial"/>
                <w:b/>
                <w:bCs/>
                <w:sz w:val="16"/>
                <w:szCs w:val="16"/>
              </w:rPr>
              <w:t>2,4</w:t>
            </w:r>
          </w:p>
        </w:tc>
        <w:tc>
          <w:tcPr>
            <w:tcW w:w="390" w:type="pct"/>
            <w:tcBorders>
              <w:top w:val="single" w:sz="4" w:space="0" w:color="auto"/>
              <w:bottom w:val="nil"/>
            </w:tcBorders>
            <w:shd w:val="clear" w:color="auto" w:fill="auto"/>
            <w:noWrap/>
            <w:vAlign w:val="bottom"/>
            <w:hideMark/>
          </w:tcPr>
          <w:p w:rsidR="00A10B06" w:rsidRPr="00A10B06" w:rsidRDefault="00A10B06" w:rsidP="00A10B06">
            <w:pPr>
              <w:spacing w:after="0" w:line="240" w:lineRule="auto"/>
              <w:jc w:val="right"/>
              <w:rPr>
                <w:rFonts w:cs="Arial"/>
                <w:b/>
                <w:bCs/>
                <w:sz w:val="16"/>
                <w:szCs w:val="16"/>
              </w:rPr>
            </w:pPr>
            <w:r w:rsidRPr="00A10B06">
              <w:rPr>
                <w:rFonts w:cs="Arial"/>
                <w:b/>
                <w:bCs/>
                <w:sz w:val="16"/>
                <w:szCs w:val="16"/>
              </w:rPr>
              <w:t>2,5</w:t>
            </w:r>
          </w:p>
        </w:tc>
        <w:tc>
          <w:tcPr>
            <w:tcW w:w="390" w:type="pct"/>
            <w:tcBorders>
              <w:top w:val="single" w:sz="4" w:space="0" w:color="auto"/>
              <w:bottom w:val="nil"/>
            </w:tcBorders>
            <w:shd w:val="clear" w:color="auto" w:fill="auto"/>
            <w:noWrap/>
            <w:vAlign w:val="bottom"/>
            <w:hideMark/>
          </w:tcPr>
          <w:p w:rsidR="00A10B06" w:rsidRPr="00A10B06" w:rsidRDefault="00A10B06" w:rsidP="00A10B06">
            <w:pPr>
              <w:spacing w:after="0" w:line="240" w:lineRule="auto"/>
              <w:jc w:val="right"/>
              <w:rPr>
                <w:rFonts w:cs="Arial"/>
                <w:b/>
                <w:bCs/>
                <w:sz w:val="16"/>
                <w:szCs w:val="16"/>
              </w:rPr>
            </w:pPr>
            <w:r w:rsidRPr="00A10B06">
              <w:rPr>
                <w:rFonts w:cs="Arial"/>
                <w:b/>
                <w:bCs/>
                <w:sz w:val="16"/>
                <w:szCs w:val="16"/>
              </w:rPr>
              <w:t>2,7</w:t>
            </w:r>
          </w:p>
        </w:tc>
        <w:tc>
          <w:tcPr>
            <w:tcW w:w="390" w:type="pct"/>
            <w:tcBorders>
              <w:top w:val="single" w:sz="4" w:space="0" w:color="auto"/>
              <w:bottom w:val="nil"/>
            </w:tcBorders>
            <w:shd w:val="clear" w:color="auto" w:fill="auto"/>
            <w:noWrap/>
            <w:vAlign w:val="bottom"/>
            <w:hideMark/>
          </w:tcPr>
          <w:p w:rsidR="00A10B06" w:rsidRPr="00A10B06" w:rsidRDefault="00A10B06" w:rsidP="00A10B06">
            <w:pPr>
              <w:spacing w:after="0" w:line="240" w:lineRule="auto"/>
              <w:jc w:val="right"/>
              <w:rPr>
                <w:rFonts w:cs="Arial"/>
                <w:b/>
                <w:bCs/>
                <w:sz w:val="16"/>
                <w:szCs w:val="16"/>
              </w:rPr>
            </w:pPr>
            <w:r w:rsidRPr="00A10B06">
              <w:rPr>
                <w:rFonts w:cs="Arial"/>
                <w:b/>
                <w:bCs/>
                <w:sz w:val="16"/>
                <w:szCs w:val="16"/>
              </w:rPr>
              <w:t>2,4</w:t>
            </w:r>
          </w:p>
        </w:tc>
        <w:tc>
          <w:tcPr>
            <w:tcW w:w="390" w:type="pct"/>
            <w:tcBorders>
              <w:top w:val="single" w:sz="4" w:space="0" w:color="auto"/>
              <w:bottom w:val="nil"/>
            </w:tcBorders>
            <w:shd w:val="clear" w:color="auto" w:fill="auto"/>
            <w:noWrap/>
            <w:vAlign w:val="bottom"/>
            <w:hideMark/>
          </w:tcPr>
          <w:p w:rsidR="00A10B06" w:rsidRPr="00A10B06" w:rsidRDefault="00A10B06" w:rsidP="00A10B06">
            <w:pPr>
              <w:spacing w:after="0" w:line="240" w:lineRule="auto"/>
              <w:jc w:val="right"/>
              <w:rPr>
                <w:rFonts w:cs="Arial"/>
                <w:b/>
                <w:bCs/>
                <w:sz w:val="16"/>
                <w:szCs w:val="16"/>
              </w:rPr>
            </w:pPr>
            <w:r w:rsidRPr="00A10B06">
              <w:rPr>
                <w:rFonts w:cs="Arial"/>
                <w:b/>
                <w:bCs/>
                <w:sz w:val="16"/>
                <w:szCs w:val="16"/>
              </w:rPr>
              <w:t>2,2</w:t>
            </w:r>
          </w:p>
        </w:tc>
        <w:tc>
          <w:tcPr>
            <w:tcW w:w="390" w:type="pct"/>
            <w:tcBorders>
              <w:top w:val="single" w:sz="4" w:space="0" w:color="auto"/>
              <w:bottom w:val="nil"/>
            </w:tcBorders>
            <w:shd w:val="clear" w:color="auto" w:fill="auto"/>
            <w:noWrap/>
            <w:vAlign w:val="bottom"/>
            <w:hideMark/>
          </w:tcPr>
          <w:p w:rsidR="00A10B06" w:rsidRPr="00A10B06" w:rsidRDefault="00A10B06" w:rsidP="00A10B06">
            <w:pPr>
              <w:spacing w:after="0" w:line="240" w:lineRule="auto"/>
              <w:jc w:val="right"/>
              <w:rPr>
                <w:rFonts w:cs="Arial"/>
                <w:b/>
                <w:bCs/>
                <w:sz w:val="16"/>
                <w:szCs w:val="16"/>
              </w:rPr>
            </w:pPr>
            <w:r w:rsidRPr="00A10B06">
              <w:rPr>
                <w:rFonts w:cs="Arial"/>
                <w:b/>
                <w:bCs/>
                <w:sz w:val="16"/>
                <w:szCs w:val="16"/>
              </w:rPr>
              <w:t>2,2</w:t>
            </w:r>
          </w:p>
        </w:tc>
        <w:tc>
          <w:tcPr>
            <w:tcW w:w="390" w:type="pct"/>
            <w:tcBorders>
              <w:top w:val="single" w:sz="4" w:space="0" w:color="auto"/>
              <w:bottom w:val="nil"/>
            </w:tcBorders>
            <w:shd w:val="clear" w:color="auto" w:fill="auto"/>
            <w:noWrap/>
            <w:vAlign w:val="bottom"/>
            <w:hideMark/>
          </w:tcPr>
          <w:p w:rsidR="00A10B06" w:rsidRPr="00A10B06" w:rsidRDefault="00A10B06" w:rsidP="00A10B06">
            <w:pPr>
              <w:spacing w:after="0" w:line="240" w:lineRule="auto"/>
              <w:jc w:val="right"/>
              <w:rPr>
                <w:rFonts w:cs="Arial"/>
                <w:b/>
                <w:bCs/>
                <w:sz w:val="16"/>
                <w:szCs w:val="16"/>
              </w:rPr>
            </w:pPr>
            <w:r w:rsidRPr="00A10B06">
              <w:rPr>
                <w:rFonts w:cs="Arial"/>
                <w:b/>
                <w:bCs/>
                <w:sz w:val="16"/>
                <w:szCs w:val="16"/>
              </w:rPr>
              <w:t>1,9</w:t>
            </w:r>
          </w:p>
        </w:tc>
        <w:tc>
          <w:tcPr>
            <w:tcW w:w="390" w:type="pct"/>
            <w:tcBorders>
              <w:top w:val="single" w:sz="4" w:space="0" w:color="auto"/>
              <w:bottom w:val="nil"/>
            </w:tcBorders>
            <w:shd w:val="clear" w:color="000000" w:fill="D9D9D9"/>
            <w:noWrap/>
            <w:vAlign w:val="bottom"/>
            <w:hideMark/>
          </w:tcPr>
          <w:p w:rsidR="00A10B06" w:rsidRPr="00A10B06" w:rsidRDefault="00A10B06" w:rsidP="00A10B06">
            <w:pPr>
              <w:spacing w:after="0" w:line="240" w:lineRule="auto"/>
              <w:jc w:val="right"/>
              <w:rPr>
                <w:rFonts w:cs="Arial"/>
                <w:b/>
                <w:bCs/>
                <w:sz w:val="16"/>
                <w:szCs w:val="16"/>
              </w:rPr>
            </w:pPr>
            <w:r w:rsidRPr="00A10B06">
              <w:rPr>
                <w:rFonts w:cs="Arial"/>
                <w:b/>
                <w:bCs/>
                <w:sz w:val="16"/>
                <w:szCs w:val="16"/>
              </w:rPr>
              <w:t>2,1</w:t>
            </w:r>
          </w:p>
        </w:tc>
        <w:tc>
          <w:tcPr>
            <w:tcW w:w="390" w:type="pct"/>
            <w:tcBorders>
              <w:top w:val="single" w:sz="4" w:space="0" w:color="auto"/>
              <w:bottom w:val="nil"/>
            </w:tcBorders>
            <w:shd w:val="clear" w:color="auto" w:fill="auto"/>
            <w:noWrap/>
            <w:vAlign w:val="bottom"/>
            <w:hideMark/>
          </w:tcPr>
          <w:p w:rsidR="00A10B06" w:rsidRPr="00A10B06" w:rsidRDefault="00A10B06" w:rsidP="00A10B06">
            <w:pPr>
              <w:spacing w:after="0" w:line="240" w:lineRule="auto"/>
              <w:jc w:val="right"/>
              <w:rPr>
                <w:rFonts w:cs="Arial"/>
                <w:b/>
                <w:bCs/>
                <w:sz w:val="16"/>
                <w:szCs w:val="16"/>
              </w:rPr>
            </w:pPr>
            <w:r w:rsidRPr="00A10B06">
              <w:rPr>
                <w:rFonts w:cs="Arial"/>
                <w:b/>
                <w:bCs/>
                <w:sz w:val="16"/>
                <w:szCs w:val="16"/>
              </w:rPr>
              <w:t>2,3</w:t>
            </w:r>
          </w:p>
        </w:tc>
        <w:tc>
          <w:tcPr>
            <w:tcW w:w="390" w:type="pct"/>
            <w:tcBorders>
              <w:top w:val="single" w:sz="4" w:space="0" w:color="auto"/>
              <w:bottom w:val="nil"/>
              <w:right w:val="nil"/>
            </w:tcBorders>
            <w:shd w:val="clear" w:color="auto" w:fill="auto"/>
            <w:noWrap/>
            <w:vAlign w:val="bottom"/>
            <w:hideMark/>
          </w:tcPr>
          <w:p w:rsidR="00A10B06" w:rsidRPr="00A10B06" w:rsidRDefault="00A10B06" w:rsidP="00A10B06">
            <w:pPr>
              <w:spacing w:after="0" w:line="240" w:lineRule="auto"/>
              <w:jc w:val="right"/>
              <w:rPr>
                <w:rFonts w:cs="Arial"/>
                <w:b/>
                <w:bCs/>
                <w:sz w:val="16"/>
                <w:szCs w:val="16"/>
              </w:rPr>
            </w:pPr>
            <w:r w:rsidRPr="00A10B06">
              <w:rPr>
                <w:rFonts w:cs="Arial"/>
                <w:b/>
                <w:bCs/>
                <w:sz w:val="16"/>
                <w:szCs w:val="16"/>
              </w:rPr>
              <w:t>2,1</w:t>
            </w:r>
          </w:p>
        </w:tc>
      </w:tr>
      <w:tr w:rsidR="00D43815" w:rsidRPr="00A10B06" w:rsidTr="00D43815">
        <w:trPr>
          <w:trHeight w:val="300"/>
        </w:trPr>
        <w:tc>
          <w:tcPr>
            <w:tcW w:w="710" w:type="pct"/>
            <w:tcBorders>
              <w:top w:val="nil"/>
              <w:left w:val="nil"/>
              <w:bottom w:val="nil"/>
              <w:right w:val="single" w:sz="4" w:space="0" w:color="auto"/>
            </w:tcBorders>
            <w:shd w:val="clear" w:color="auto" w:fill="auto"/>
            <w:noWrap/>
            <w:vAlign w:val="bottom"/>
            <w:hideMark/>
          </w:tcPr>
          <w:p w:rsidR="00A10B06" w:rsidRPr="00A10B06" w:rsidRDefault="00A10B06" w:rsidP="00A10B06">
            <w:pPr>
              <w:spacing w:after="0" w:line="240" w:lineRule="auto"/>
              <w:ind w:firstLineChars="100" w:firstLine="160"/>
              <w:jc w:val="left"/>
              <w:rPr>
                <w:rFonts w:cs="Arial"/>
                <w:sz w:val="16"/>
                <w:szCs w:val="16"/>
              </w:rPr>
            </w:pPr>
            <w:r w:rsidRPr="00A10B06">
              <w:rPr>
                <w:rFonts w:cs="Arial"/>
                <w:sz w:val="16"/>
                <w:szCs w:val="16"/>
              </w:rPr>
              <w:t>Belgie</w:t>
            </w:r>
          </w:p>
        </w:tc>
        <w:tc>
          <w:tcPr>
            <w:tcW w:w="390" w:type="pct"/>
            <w:tcBorders>
              <w:top w:val="nil"/>
              <w:left w:val="single" w:sz="4" w:space="0" w:color="auto"/>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2,1</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3,1</w:t>
            </w:r>
          </w:p>
        </w:tc>
        <w:tc>
          <w:tcPr>
            <w:tcW w:w="390" w:type="pct"/>
            <w:tcBorders>
              <w:top w:val="nil"/>
              <w:bottom w:val="nil"/>
            </w:tcBorders>
            <w:shd w:val="clear" w:color="000000" w:fill="D9D9D9"/>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1,7</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3,5</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2,2</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2,4</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2,7</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1,7</w:t>
            </w:r>
          </w:p>
        </w:tc>
        <w:tc>
          <w:tcPr>
            <w:tcW w:w="390" w:type="pct"/>
            <w:tcBorders>
              <w:top w:val="nil"/>
              <w:bottom w:val="nil"/>
            </w:tcBorders>
            <w:shd w:val="clear" w:color="000000" w:fill="D9D9D9"/>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2,1</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2,1</w:t>
            </w:r>
          </w:p>
        </w:tc>
        <w:tc>
          <w:tcPr>
            <w:tcW w:w="390" w:type="pct"/>
            <w:tcBorders>
              <w:top w:val="nil"/>
              <w:bottom w:val="nil"/>
              <w:right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1,8</w:t>
            </w:r>
          </w:p>
        </w:tc>
      </w:tr>
      <w:tr w:rsidR="00D43815" w:rsidRPr="00A10B06" w:rsidTr="00D43815">
        <w:trPr>
          <w:trHeight w:val="300"/>
        </w:trPr>
        <w:tc>
          <w:tcPr>
            <w:tcW w:w="710" w:type="pct"/>
            <w:tcBorders>
              <w:top w:val="nil"/>
              <w:left w:val="nil"/>
              <w:bottom w:val="nil"/>
              <w:right w:val="single" w:sz="4" w:space="0" w:color="auto"/>
            </w:tcBorders>
            <w:shd w:val="clear" w:color="auto" w:fill="auto"/>
            <w:noWrap/>
            <w:vAlign w:val="bottom"/>
            <w:hideMark/>
          </w:tcPr>
          <w:p w:rsidR="00A10B06" w:rsidRPr="00A10B06" w:rsidRDefault="00A10B06" w:rsidP="00A10B06">
            <w:pPr>
              <w:spacing w:after="0" w:line="240" w:lineRule="auto"/>
              <w:ind w:firstLineChars="100" w:firstLine="160"/>
              <w:jc w:val="left"/>
              <w:rPr>
                <w:rFonts w:cs="Arial"/>
                <w:sz w:val="16"/>
                <w:szCs w:val="16"/>
              </w:rPr>
            </w:pPr>
            <w:r w:rsidRPr="00A10B06">
              <w:rPr>
                <w:rFonts w:cs="Arial"/>
                <w:sz w:val="16"/>
                <w:szCs w:val="16"/>
              </w:rPr>
              <w:t>Bulharsko</w:t>
            </w:r>
          </w:p>
        </w:tc>
        <w:tc>
          <w:tcPr>
            <w:tcW w:w="390" w:type="pct"/>
            <w:tcBorders>
              <w:top w:val="nil"/>
              <w:left w:val="single" w:sz="4" w:space="0" w:color="auto"/>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4,7</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3,7</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5,4</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4,3</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3,7</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4,2</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3,8</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3,6</w:t>
            </w:r>
          </w:p>
        </w:tc>
        <w:tc>
          <w:tcPr>
            <w:tcW w:w="390" w:type="pct"/>
            <w:tcBorders>
              <w:top w:val="nil"/>
              <w:bottom w:val="nil"/>
            </w:tcBorders>
            <w:shd w:val="clear" w:color="000000" w:fill="D9D9D9"/>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4,5</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3,5</w:t>
            </w:r>
          </w:p>
        </w:tc>
        <w:tc>
          <w:tcPr>
            <w:tcW w:w="390" w:type="pct"/>
            <w:tcBorders>
              <w:top w:val="nil"/>
              <w:bottom w:val="nil"/>
              <w:right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4,2</w:t>
            </w:r>
          </w:p>
        </w:tc>
      </w:tr>
      <w:tr w:rsidR="00D43815" w:rsidRPr="00A10B06" w:rsidTr="00D43815">
        <w:trPr>
          <w:trHeight w:val="300"/>
        </w:trPr>
        <w:tc>
          <w:tcPr>
            <w:tcW w:w="710" w:type="pct"/>
            <w:tcBorders>
              <w:top w:val="nil"/>
              <w:left w:val="nil"/>
              <w:bottom w:val="nil"/>
              <w:right w:val="single" w:sz="4" w:space="0" w:color="auto"/>
            </w:tcBorders>
            <w:shd w:val="clear" w:color="auto" w:fill="auto"/>
            <w:noWrap/>
            <w:vAlign w:val="bottom"/>
            <w:hideMark/>
          </w:tcPr>
          <w:p w:rsidR="00A10B06" w:rsidRPr="00A10B06" w:rsidRDefault="00A10B06" w:rsidP="00A10B06">
            <w:pPr>
              <w:spacing w:after="0" w:line="240" w:lineRule="auto"/>
              <w:ind w:firstLineChars="100" w:firstLine="160"/>
              <w:jc w:val="left"/>
              <w:rPr>
                <w:rFonts w:cs="Arial"/>
                <w:b/>
                <w:bCs/>
                <w:sz w:val="16"/>
                <w:szCs w:val="16"/>
              </w:rPr>
            </w:pPr>
            <w:r w:rsidRPr="00A10B06">
              <w:rPr>
                <w:rFonts w:cs="Arial"/>
                <w:b/>
                <w:bCs/>
                <w:sz w:val="16"/>
                <w:szCs w:val="16"/>
              </w:rPr>
              <w:t>Česko</w:t>
            </w:r>
          </w:p>
        </w:tc>
        <w:tc>
          <w:tcPr>
            <w:tcW w:w="390" w:type="pct"/>
            <w:tcBorders>
              <w:top w:val="nil"/>
              <w:left w:val="single" w:sz="4" w:space="0" w:color="auto"/>
              <w:bottom w:val="nil"/>
            </w:tcBorders>
            <w:shd w:val="clear" w:color="auto" w:fill="auto"/>
            <w:noWrap/>
            <w:vAlign w:val="bottom"/>
            <w:hideMark/>
          </w:tcPr>
          <w:p w:rsidR="00A10B06" w:rsidRPr="00A10B06" w:rsidRDefault="00A10B06" w:rsidP="00A10B06">
            <w:pPr>
              <w:spacing w:after="0" w:line="240" w:lineRule="auto"/>
              <w:jc w:val="right"/>
              <w:rPr>
                <w:rFonts w:cs="Arial"/>
                <w:b/>
                <w:bCs/>
                <w:sz w:val="16"/>
                <w:szCs w:val="16"/>
              </w:rPr>
            </w:pPr>
            <w:r w:rsidRPr="00A10B06">
              <w:rPr>
                <w:rFonts w:cs="Arial"/>
                <w:b/>
                <w:bCs/>
                <w:sz w:val="16"/>
                <w:szCs w:val="16"/>
              </w:rPr>
              <w:t>3,0</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b/>
                <w:bCs/>
                <w:sz w:val="16"/>
                <w:szCs w:val="16"/>
              </w:rPr>
            </w:pPr>
            <w:r w:rsidRPr="00A10B06">
              <w:rPr>
                <w:rFonts w:cs="Arial"/>
                <w:b/>
                <w:bCs/>
                <w:sz w:val="16"/>
                <w:szCs w:val="16"/>
              </w:rPr>
              <w:t>2,7</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b/>
                <w:bCs/>
                <w:sz w:val="16"/>
                <w:szCs w:val="16"/>
              </w:rPr>
            </w:pPr>
            <w:r w:rsidRPr="00A10B06">
              <w:rPr>
                <w:rFonts w:cs="Arial"/>
                <w:b/>
                <w:bCs/>
                <w:sz w:val="16"/>
                <w:szCs w:val="16"/>
              </w:rPr>
              <w:t>2,6</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b/>
                <w:bCs/>
                <w:sz w:val="16"/>
                <w:szCs w:val="16"/>
              </w:rPr>
            </w:pPr>
            <w:r w:rsidRPr="00A10B06">
              <w:rPr>
                <w:rFonts w:cs="Arial"/>
                <w:b/>
                <w:bCs/>
                <w:sz w:val="16"/>
                <w:szCs w:val="16"/>
              </w:rPr>
              <w:t>3,4</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b/>
                <w:bCs/>
                <w:sz w:val="16"/>
                <w:szCs w:val="16"/>
              </w:rPr>
            </w:pPr>
            <w:r w:rsidRPr="00A10B06">
              <w:rPr>
                <w:rFonts w:cs="Arial"/>
                <w:b/>
                <w:bCs/>
                <w:sz w:val="16"/>
                <w:szCs w:val="16"/>
              </w:rPr>
              <w:t>2,2</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b/>
                <w:bCs/>
                <w:sz w:val="16"/>
                <w:szCs w:val="16"/>
              </w:rPr>
            </w:pPr>
            <w:r w:rsidRPr="00A10B06">
              <w:rPr>
                <w:rFonts w:cs="Arial"/>
                <w:b/>
                <w:bCs/>
                <w:sz w:val="16"/>
                <w:szCs w:val="16"/>
              </w:rPr>
              <w:t>2,3</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b/>
                <w:bCs/>
                <w:sz w:val="16"/>
                <w:szCs w:val="16"/>
              </w:rPr>
            </w:pPr>
            <w:r w:rsidRPr="00A10B06">
              <w:rPr>
                <w:rFonts w:cs="Arial"/>
                <w:b/>
                <w:bCs/>
                <w:sz w:val="16"/>
                <w:szCs w:val="16"/>
              </w:rPr>
              <w:t>2,8</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b/>
                <w:bCs/>
                <w:sz w:val="16"/>
                <w:szCs w:val="16"/>
              </w:rPr>
            </w:pPr>
            <w:r w:rsidRPr="00A10B06">
              <w:rPr>
                <w:rFonts w:cs="Arial"/>
                <w:b/>
                <w:bCs/>
                <w:sz w:val="16"/>
                <w:szCs w:val="16"/>
              </w:rPr>
              <w:t>1,9</w:t>
            </w:r>
          </w:p>
        </w:tc>
        <w:tc>
          <w:tcPr>
            <w:tcW w:w="390" w:type="pct"/>
            <w:tcBorders>
              <w:top w:val="nil"/>
              <w:bottom w:val="nil"/>
            </w:tcBorders>
            <w:shd w:val="clear" w:color="000000" w:fill="D9D9D9"/>
            <w:noWrap/>
            <w:vAlign w:val="bottom"/>
            <w:hideMark/>
          </w:tcPr>
          <w:p w:rsidR="00A10B06" w:rsidRPr="00A10B06" w:rsidRDefault="00A10B06" w:rsidP="00A10B06">
            <w:pPr>
              <w:spacing w:after="0" w:line="240" w:lineRule="auto"/>
              <w:jc w:val="right"/>
              <w:rPr>
                <w:rFonts w:cs="Arial"/>
                <w:b/>
                <w:bCs/>
                <w:sz w:val="16"/>
                <w:szCs w:val="16"/>
              </w:rPr>
            </w:pPr>
            <w:r w:rsidRPr="00A10B06">
              <w:rPr>
                <w:rFonts w:cs="Arial"/>
                <w:b/>
                <w:bCs/>
                <w:sz w:val="16"/>
                <w:szCs w:val="16"/>
              </w:rPr>
              <w:t>2,5</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b/>
                <w:bCs/>
                <w:sz w:val="16"/>
                <w:szCs w:val="16"/>
              </w:rPr>
            </w:pPr>
            <w:r w:rsidRPr="00A10B06">
              <w:rPr>
                <w:rFonts w:cs="Arial"/>
                <w:b/>
                <w:bCs/>
                <w:sz w:val="16"/>
                <w:szCs w:val="16"/>
              </w:rPr>
              <w:t>2,0</w:t>
            </w:r>
          </w:p>
        </w:tc>
        <w:tc>
          <w:tcPr>
            <w:tcW w:w="390" w:type="pct"/>
            <w:tcBorders>
              <w:top w:val="nil"/>
              <w:bottom w:val="nil"/>
              <w:right w:val="nil"/>
            </w:tcBorders>
            <w:shd w:val="clear" w:color="auto" w:fill="auto"/>
            <w:noWrap/>
            <w:vAlign w:val="bottom"/>
            <w:hideMark/>
          </w:tcPr>
          <w:p w:rsidR="00A10B06" w:rsidRPr="00A10B06" w:rsidRDefault="00A10B06" w:rsidP="00A10B06">
            <w:pPr>
              <w:spacing w:after="0" w:line="240" w:lineRule="auto"/>
              <w:jc w:val="right"/>
              <w:rPr>
                <w:rFonts w:cs="Arial"/>
                <w:b/>
                <w:bCs/>
                <w:sz w:val="16"/>
                <w:szCs w:val="16"/>
              </w:rPr>
            </w:pPr>
            <w:r w:rsidRPr="00A10B06">
              <w:rPr>
                <w:rFonts w:cs="Arial"/>
                <w:b/>
                <w:bCs/>
                <w:sz w:val="16"/>
                <w:szCs w:val="16"/>
              </w:rPr>
              <w:t>2,2</w:t>
            </w:r>
          </w:p>
        </w:tc>
      </w:tr>
      <w:tr w:rsidR="00D43815" w:rsidRPr="00A10B06" w:rsidTr="00D43815">
        <w:trPr>
          <w:trHeight w:val="300"/>
        </w:trPr>
        <w:tc>
          <w:tcPr>
            <w:tcW w:w="710" w:type="pct"/>
            <w:tcBorders>
              <w:top w:val="nil"/>
              <w:left w:val="nil"/>
              <w:bottom w:val="nil"/>
              <w:right w:val="single" w:sz="4" w:space="0" w:color="auto"/>
            </w:tcBorders>
            <w:shd w:val="clear" w:color="auto" w:fill="auto"/>
            <w:noWrap/>
            <w:vAlign w:val="bottom"/>
            <w:hideMark/>
          </w:tcPr>
          <w:p w:rsidR="00A10B06" w:rsidRPr="00A10B06" w:rsidRDefault="00A10B06" w:rsidP="00A10B06">
            <w:pPr>
              <w:spacing w:after="0" w:line="240" w:lineRule="auto"/>
              <w:ind w:firstLineChars="100" w:firstLine="160"/>
              <w:jc w:val="left"/>
              <w:rPr>
                <w:rFonts w:cs="Arial"/>
                <w:sz w:val="16"/>
                <w:szCs w:val="16"/>
              </w:rPr>
            </w:pPr>
            <w:r w:rsidRPr="00A10B06">
              <w:rPr>
                <w:rFonts w:cs="Arial"/>
                <w:sz w:val="16"/>
                <w:szCs w:val="16"/>
              </w:rPr>
              <w:t>Dánsko</w:t>
            </w:r>
          </w:p>
        </w:tc>
        <w:tc>
          <w:tcPr>
            <w:tcW w:w="390" w:type="pct"/>
            <w:tcBorders>
              <w:top w:val="nil"/>
              <w:left w:val="single" w:sz="4" w:space="0" w:color="auto"/>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3,0</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2,3</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1,9</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1,4</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1,9</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1,4</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1,9</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1,1</w:t>
            </w:r>
          </w:p>
        </w:tc>
        <w:tc>
          <w:tcPr>
            <w:tcW w:w="390" w:type="pct"/>
            <w:tcBorders>
              <w:top w:val="nil"/>
              <w:bottom w:val="nil"/>
            </w:tcBorders>
            <w:shd w:val="clear" w:color="000000" w:fill="D9D9D9"/>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2,0</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2,0</w:t>
            </w:r>
          </w:p>
        </w:tc>
        <w:tc>
          <w:tcPr>
            <w:tcW w:w="390" w:type="pct"/>
            <w:tcBorders>
              <w:top w:val="nil"/>
              <w:bottom w:val="nil"/>
              <w:right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1,7</w:t>
            </w:r>
          </w:p>
        </w:tc>
      </w:tr>
      <w:tr w:rsidR="00D43815" w:rsidRPr="00A10B06" w:rsidTr="00D43815">
        <w:trPr>
          <w:trHeight w:val="300"/>
        </w:trPr>
        <w:tc>
          <w:tcPr>
            <w:tcW w:w="710" w:type="pct"/>
            <w:tcBorders>
              <w:top w:val="nil"/>
              <w:left w:val="nil"/>
              <w:bottom w:val="nil"/>
              <w:right w:val="single" w:sz="4" w:space="0" w:color="auto"/>
            </w:tcBorders>
            <w:shd w:val="clear" w:color="auto" w:fill="auto"/>
            <w:noWrap/>
            <w:vAlign w:val="bottom"/>
            <w:hideMark/>
          </w:tcPr>
          <w:p w:rsidR="00A10B06" w:rsidRPr="00A10B06" w:rsidRDefault="00A10B06" w:rsidP="00A10B06">
            <w:pPr>
              <w:spacing w:after="0" w:line="240" w:lineRule="auto"/>
              <w:ind w:firstLineChars="100" w:firstLine="160"/>
              <w:jc w:val="left"/>
              <w:rPr>
                <w:rFonts w:cs="Arial"/>
                <w:sz w:val="16"/>
                <w:szCs w:val="16"/>
              </w:rPr>
            </w:pPr>
            <w:r w:rsidRPr="00A10B06">
              <w:rPr>
                <w:rFonts w:cs="Arial"/>
                <w:sz w:val="16"/>
                <w:szCs w:val="16"/>
              </w:rPr>
              <w:t>Estonsko</w:t>
            </w:r>
          </w:p>
        </w:tc>
        <w:tc>
          <w:tcPr>
            <w:tcW w:w="390" w:type="pct"/>
            <w:tcBorders>
              <w:top w:val="nil"/>
              <w:left w:val="single" w:sz="4" w:space="0" w:color="auto"/>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1,9</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3,5</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2,2</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2,5</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4,6</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1,2</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1,9</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2,3</w:t>
            </w:r>
          </w:p>
        </w:tc>
        <w:tc>
          <w:tcPr>
            <w:tcW w:w="390" w:type="pct"/>
            <w:tcBorders>
              <w:top w:val="nil"/>
              <w:bottom w:val="nil"/>
            </w:tcBorders>
            <w:shd w:val="clear" w:color="000000" w:fill="D9D9D9"/>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2,1</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2,5</w:t>
            </w:r>
          </w:p>
        </w:tc>
        <w:tc>
          <w:tcPr>
            <w:tcW w:w="390" w:type="pct"/>
            <w:tcBorders>
              <w:top w:val="nil"/>
              <w:bottom w:val="nil"/>
              <w:right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3,1</w:t>
            </w:r>
          </w:p>
        </w:tc>
      </w:tr>
      <w:tr w:rsidR="00D43815" w:rsidRPr="00A10B06" w:rsidTr="00D43815">
        <w:trPr>
          <w:trHeight w:val="300"/>
        </w:trPr>
        <w:tc>
          <w:tcPr>
            <w:tcW w:w="710" w:type="pct"/>
            <w:tcBorders>
              <w:top w:val="nil"/>
              <w:left w:val="nil"/>
              <w:bottom w:val="nil"/>
              <w:right w:val="single" w:sz="4" w:space="0" w:color="auto"/>
            </w:tcBorders>
            <w:shd w:val="clear" w:color="auto" w:fill="auto"/>
            <w:noWrap/>
            <w:vAlign w:val="bottom"/>
            <w:hideMark/>
          </w:tcPr>
          <w:p w:rsidR="00A10B06" w:rsidRPr="00A10B06" w:rsidRDefault="00A10B06" w:rsidP="00A10B06">
            <w:pPr>
              <w:spacing w:after="0" w:line="240" w:lineRule="auto"/>
              <w:ind w:firstLineChars="100" w:firstLine="160"/>
              <w:jc w:val="left"/>
              <w:rPr>
                <w:rFonts w:cs="Arial"/>
                <w:sz w:val="16"/>
                <w:szCs w:val="16"/>
              </w:rPr>
            </w:pPr>
            <w:r w:rsidRPr="00A10B06">
              <w:rPr>
                <w:rFonts w:cs="Arial"/>
                <w:sz w:val="16"/>
                <w:szCs w:val="16"/>
              </w:rPr>
              <w:t>Finsko</w:t>
            </w:r>
          </w:p>
        </w:tc>
        <w:tc>
          <w:tcPr>
            <w:tcW w:w="390" w:type="pct"/>
            <w:tcBorders>
              <w:top w:val="nil"/>
              <w:left w:val="single" w:sz="4" w:space="0" w:color="auto"/>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1,9</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1,2</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1,7</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1,8</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1,6</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1,8</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1,3</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1,2</w:t>
            </w:r>
          </w:p>
        </w:tc>
        <w:tc>
          <w:tcPr>
            <w:tcW w:w="390" w:type="pct"/>
            <w:tcBorders>
              <w:top w:val="nil"/>
              <w:bottom w:val="nil"/>
            </w:tcBorders>
            <w:shd w:val="clear" w:color="000000" w:fill="D9D9D9"/>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1,3</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1,0</w:t>
            </w:r>
          </w:p>
        </w:tc>
        <w:tc>
          <w:tcPr>
            <w:tcW w:w="390" w:type="pct"/>
            <w:tcBorders>
              <w:top w:val="nil"/>
              <w:bottom w:val="nil"/>
              <w:right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1,3</w:t>
            </w:r>
          </w:p>
        </w:tc>
      </w:tr>
      <w:tr w:rsidR="00A10B06" w:rsidRPr="00A10B06" w:rsidTr="00D43815">
        <w:trPr>
          <w:trHeight w:val="300"/>
        </w:trPr>
        <w:tc>
          <w:tcPr>
            <w:tcW w:w="710" w:type="pct"/>
            <w:tcBorders>
              <w:top w:val="nil"/>
              <w:left w:val="nil"/>
              <w:bottom w:val="nil"/>
              <w:right w:val="single" w:sz="4" w:space="0" w:color="auto"/>
            </w:tcBorders>
            <w:shd w:val="clear" w:color="auto" w:fill="auto"/>
            <w:noWrap/>
            <w:vAlign w:val="bottom"/>
            <w:hideMark/>
          </w:tcPr>
          <w:p w:rsidR="00A10B06" w:rsidRPr="00A10B06" w:rsidRDefault="00A10B06" w:rsidP="00A10B06">
            <w:pPr>
              <w:spacing w:after="0" w:line="240" w:lineRule="auto"/>
              <w:ind w:firstLineChars="100" w:firstLine="160"/>
              <w:jc w:val="left"/>
              <w:rPr>
                <w:rFonts w:cs="Arial"/>
                <w:sz w:val="16"/>
                <w:szCs w:val="16"/>
              </w:rPr>
            </w:pPr>
            <w:r w:rsidRPr="00A10B06">
              <w:rPr>
                <w:rFonts w:cs="Arial"/>
                <w:sz w:val="16"/>
                <w:szCs w:val="16"/>
              </w:rPr>
              <w:t>Francie</w:t>
            </w:r>
          </w:p>
        </w:tc>
        <w:tc>
          <w:tcPr>
            <w:tcW w:w="390" w:type="pct"/>
            <w:tcBorders>
              <w:top w:val="nil"/>
              <w:left w:val="single" w:sz="4" w:space="0" w:color="auto"/>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3,5</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3,7</w:t>
            </w:r>
          </w:p>
        </w:tc>
        <w:tc>
          <w:tcPr>
            <w:tcW w:w="390" w:type="pct"/>
            <w:tcBorders>
              <w:top w:val="nil"/>
              <w:bottom w:val="nil"/>
            </w:tcBorders>
            <w:shd w:val="clear" w:color="000000" w:fill="D9D9D9"/>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3,7</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4,0</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4,1</w:t>
            </w:r>
          </w:p>
        </w:tc>
        <w:tc>
          <w:tcPr>
            <w:tcW w:w="390" w:type="pct"/>
            <w:tcBorders>
              <w:top w:val="nil"/>
              <w:bottom w:val="nil"/>
            </w:tcBorders>
            <w:shd w:val="clear" w:color="000000" w:fill="D9D9D9"/>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3,8</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3,7</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4,4</w:t>
            </w:r>
          </w:p>
        </w:tc>
        <w:tc>
          <w:tcPr>
            <w:tcW w:w="390" w:type="pct"/>
            <w:tcBorders>
              <w:top w:val="nil"/>
              <w:bottom w:val="nil"/>
            </w:tcBorders>
            <w:shd w:val="clear" w:color="000000" w:fill="D9D9D9"/>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3,2</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4,5</w:t>
            </w:r>
          </w:p>
        </w:tc>
        <w:tc>
          <w:tcPr>
            <w:tcW w:w="390" w:type="pct"/>
            <w:tcBorders>
              <w:top w:val="nil"/>
              <w:bottom w:val="nil"/>
            </w:tcBorders>
            <w:shd w:val="clear" w:color="000000" w:fill="D9D9D9"/>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4,4</w:t>
            </w:r>
          </w:p>
        </w:tc>
      </w:tr>
      <w:tr w:rsidR="00D43815" w:rsidRPr="00A10B06" w:rsidTr="00D43815">
        <w:trPr>
          <w:trHeight w:val="300"/>
        </w:trPr>
        <w:tc>
          <w:tcPr>
            <w:tcW w:w="710" w:type="pct"/>
            <w:tcBorders>
              <w:top w:val="nil"/>
              <w:left w:val="nil"/>
              <w:bottom w:val="nil"/>
              <w:right w:val="single" w:sz="4" w:space="0" w:color="auto"/>
            </w:tcBorders>
            <w:shd w:val="clear" w:color="auto" w:fill="auto"/>
            <w:noWrap/>
            <w:vAlign w:val="bottom"/>
            <w:hideMark/>
          </w:tcPr>
          <w:p w:rsidR="00A10B06" w:rsidRPr="00A10B06" w:rsidRDefault="00A10B06" w:rsidP="00A10B06">
            <w:pPr>
              <w:spacing w:after="0" w:line="240" w:lineRule="auto"/>
              <w:ind w:firstLineChars="100" w:firstLine="160"/>
              <w:jc w:val="left"/>
              <w:rPr>
                <w:rFonts w:cs="Arial"/>
                <w:sz w:val="16"/>
                <w:szCs w:val="16"/>
              </w:rPr>
            </w:pPr>
            <w:r w:rsidRPr="00A10B06">
              <w:rPr>
                <w:rFonts w:cs="Arial"/>
                <w:sz w:val="16"/>
                <w:szCs w:val="16"/>
              </w:rPr>
              <w:t>Chorvatsko</w:t>
            </w:r>
          </w:p>
        </w:tc>
        <w:tc>
          <w:tcPr>
            <w:tcW w:w="390" w:type="pct"/>
            <w:tcBorders>
              <w:top w:val="nil"/>
              <w:left w:val="single" w:sz="4" w:space="0" w:color="auto"/>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4,6</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2,4</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2,3</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2,6</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2,9</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2,9</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3,3</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2,3</w:t>
            </w:r>
          </w:p>
        </w:tc>
        <w:tc>
          <w:tcPr>
            <w:tcW w:w="390" w:type="pct"/>
            <w:tcBorders>
              <w:top w:val="nil"/>
              <w:bottom w:val="nil"/>
            </w:tcBorders>
            <w:shd w:val="clear" w:color="000000" w:fill="D9D9D9"/>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3,1</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2,4</w:t>
            </w:r>
          </w:p>
        </w:tc>
        <w:tc>
          <w:tcPr>
            <w:tcW w:w="390" w:type="pct"/>
            <w:tcBorders>
              <w:top w:val="nil"/>
              <w:bottom w:val="nil"/>
              <w:right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3,2</w:t>
            </w:r>
          </w:p>
        </w:tc>
      </w:tr>
      <w:tr w:rsidR="00D43815" w:rsidRPr="00A10B06" w:rsidTr="00D43815">
        <w:trPr>
          <w:trHeight w:val="300"/>
        </w:trPr>
        <w:tc>
          <w:tcPr>
            <w:tcW w:w="710" w:type="pct"/>
            <w:tcBorders>
              <w:top w:val="nil"/>
              <w:left w:val="nil"/>
              <w:bottom w:val="nil"/>
              <w:right w:val="single" w:sz="4" w:space="0" w:color="auto"/>
            </w:tcBorders>
            <w:shd w:val="clear" w:color="auto" w:fill="auto"/>
            <w:noWrap/>
            <w:vAlign w:val="bottom"/>
            <w:hideMark/>
          </w:tcPr>
          <w:p w:rsidR="00A10B06" w:rsidRPr="00A10B06" w:rsidRDefault="00A10B06" w:rsidP="00A10B06">
            <w:pPr>
              <w:spacing w:after="0" w:line="240" w:lineRule="auto"/>
              <w:ind w:firstLineChars="100" w:firstLine="160"/>
              <w:jc w:val="left"/>
              <w:rPr>
                <w:rFonts w:cs="Arial"/>
                <w:sz w:val="16"/>
                <w:szCs w:val="16"/>
              </w:rPr>
            </w:pPr>
            <w:r w:rsidRPr="00A10B06">
              <w:rPr>
                <w:rFonts w:cs="Arial"/>
                <w:sz w:val="16"/>
                <w:szCs w:val="16"/>
              </w:rPr>
              <w:t>Irsko</w:t>
            </w:r>
          </w:p>
        </w:tc>
        <w:tc>
          <w:tcPr>
            <w:tcW w:w="390" w:type="pct"/>
            <w:tcBorders>
              <w:top w:val="nil"/>
              <w:left w:val="single" w:sz="4" w:space="0" w:color="auto"/>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3,4</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2,7</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3,1</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2,8</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2,7</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2,2</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2,0</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1,4</w:t>
            </w:r>
          </w:p>
        </w:tc>
        <w:tc>
          <w:tcPr>
            <w:tcW w:w="390" w:type="pct"/>
            <w:tcBorders>
              <w:top w:val="nil"/>
              <w:bottom w:val="nil"/>
            </w:tcBorders>
            <w:shd w:val="clear" w:color="000000" w:fill="D9D9D9"/>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2,4</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2,1</w:t>
            </w:r>
          </w:p>
        </w:tc>
        <w:tc>
          <w:tcPr>
            <w:tcW w:w="390" w:type="pct"/>
            <w:tcBorders>
              <w:top w:val="nil"/>
              <w:bottom w:val="nil"/>
              <w:right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1,2</w:t>
            </w:r>
          </w:p>
        </w:tc>
      </w:tr>
      <w:tr w:rsidR="00D43815" w:rsidRPr="00A10B06" w:rsidTr="00D43815">
        <w:trPr>
          <w:trHeight w:val="300"/>
        </w:trPr>
        <w:tc>
          <w:tcPr>
            <w:tcW w:w="710" w:type="pct"/>
            <w:tcBorders>
              <w:top w:val="nil"/>
              <w:left w:val="nil"/>
              <w:bottom w:val="nil"/>
              <w:right w:val="single" w:sz="4" w:space="0" w:color="auto"/>
            </w:tcBorders>
            <w:shd w:val="clear" w:color="auto" w:fill="auto"/>
            <w:noWrap/>
            <w:vAlign w:val="bottom"/>
            <w:hideMark/>
          </w:tcPr>
          <w:p w:rsidR="00A10B06" w:rsidRPr="00A10B06" w:rsidRDefault="00A10B06" w:rsidP="00A10B06">
            <w:pPr>
              <w:spacing w:after="0" w:line="240" w:lineRule="auto"/>
              <w:ind w:firstLineChars="100" w:firstLine="160"/>
              <w:jc w:val="left"/>
              <w:rPr>
                <w:rFonts w:cs="Arial"/>
                <w:sz w:val="16"/>
                <w:szCs w:val="16"/>
              </w:rPr>
            </w:pPr>
            <w:r w:rsidRPr="00A10B06">
              <w:rPr>
                <w:rFonts w:cs="Arial"/>
                <w:sz w:val="16"/>
                <w:szCs w:val="16"/>
              </w:rPr>
              <w:t>Itálie</w:t>
            </w:r>
          </w:p>
        </w:tc>
        <w:tc>
          <w:tcPr>
            <w:tcW w:w="390" w:type="pct"/>
            <w:tcBorders>
              <w:top w:val="nil"/>
              <w:left w:val="single" w:sz="4" w:space="0" w:color="auto"/>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2,9</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3,0</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3,0</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3,1</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2,6</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2,6</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2,7</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2,0</w:t>
            </w:r>
          </w:p>
        </w:tc>
        <w:tc>
          <w:tcPr>
            <w:tcW w:w="390" w:type="pct"/>
            <w:tcBorders>
              <w:top w:val="nil"/>
              <w:bottom w:val="nil"/>
            </w:tcBorders>
            <w:shd w:val="clear" w:color="000000" w:fill="D9D9D9"/>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3,0</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3,2</w:t>
            </w:r>
          </w:p>
        </w:tc>
        <w:tc>
          <w:tcPr>
            <w:tcW w:w="390" w:type="pct"/>
            <w:tcBorders>
              <w:top w:val="nil"/>
              <w:bottom w:val="nil"/>
              <w:right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2,5</w:t>
            </w:r>
          </w:p>
        </w:tc>
      </w:tr>
      <w:tr w:rsidR="00D43815" w:rsidRPr="00A10B06" w:rsidTr="00D43815">
        <w:trPr>
          <w:trHeight w:val="300"/>
        </w:trPr>
        <w:tc>
          <w:tcPr>
            <w:tcW w:w="710" w:type="pct"/>
            <w:tcBorders>
              <w:top w:val="nil"/>
              <w:left w:val="nil"/>
              <w:bottom w:val="nil"/>
              <w:right w:val="single" w:sz="4" w:space="0" w:color="auto"/>
            </w:tcBorders>
            <w:shd w:val="clear" w:color="auto" w:fill="auto"/>
            <w:noWrap/>
            <w:vAlign w:val="bottom"/>
            <w:hideMark/>
          </w:tcPr>
          <w:p w:rsidR="00A10B06" w:rsidRPr="00A10B06" w:rsidRDefault="00A10B06" w:rsidP="00A10B06">
            <w:pPr>
              <w:spacing w:after="0" w:line="240" w:lineRule="auto"/>
              <w:ind w:firstLineChars="100" w:firstLine="160"/>
              <w:jc w:val="left"/>
              <w:rPr>
                <w:rFonts w:cs="Arial"/>
                <w:sz w:val="16"/>
                <w:szCs w:val="16"/>
              </w:rPr>
            </w:pPr>
            <w:r w:rsidRPr="00A10B06">
              <w:rPr>
                <w:rFonts w:cs="Arial"/>
                <w:sz w:val="16"/>
                <w:szCs w:val="16"/>
              </w:rPr>
              <w:t>Kypr</w:t>
            </w:r>
          </w:p>
        </w:tc>
        <w:tc>
          <w:tcPr>
            <w:tcW w:w="390" w:type="pct"/>
            <w:tcBorders>
              <w:top w:val="nil"/>
              <w:left w:val="single" w:sz="4" w:space="0" w:color="auto"/>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3,9</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3,7</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2,6</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1,5</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2,7</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0,9</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5,0</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3,9</w:t>
            </w:r>
          </w:p>
        </w:tc>
        <w:tc>
          <w:tcPr>
            <w:tcW w:w="390" w:type="pct"/>
            <w:tcBorders>
              <w:top w:val="nil"/>
              <w:bottom w:val="nil"/>
            </w:tcBorders>
            <w:shd w:val="clear" w:color="000000" w:fill="D9D9D9"/>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5,1</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2,1</w:t>
            </w:r>
          </w:p>
        </w:tc>
        <w:tc>
          <w:tcPr>
            <w:tcW w:w="390" w:type="pct"/>
            <w:tcBorders>
              <w:top w:val="nil"/>
              <w:bottom w:val="nil"/>
              <w:right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3,0</w:t>
            </w:r>
          </w:p>
        </w:tc>
      </w:tr>
      <w:tr w:rsidR="00D43815" w:rsidRPr="00A10B06" w:rsidTr="00D43815">
        <w:trPr>
          <w:trHeight w:val="300"/>
        </w:trPr>
        <w:tc>
          <w:tcPr>
            <w:tcW w:w="710" w:type="pct"/>
            <w:tcBorders>
              <w:top w:val="nil"/>
              <w:left w:val="nil"/>
              <w:bottom w:val="nil"/>
              <w:right w:val="single" w:sz="4" w:space="0" w:color="auto"/>
            </w:tcBorders>
            <w:shd w:val="clear" w:color="auto" w:fill="auto"/>
            <w:noWrap/>
            <w:vAlign w:val="bottom"/>
            <w:hideMark/>
          </w:tcPr>
          <w:p w:rsidR="00A10B06" w:rsidRPr="00A10B06" w:rsidRDefault="00A10B06" w:rsidP="00A10B06">
            <w:pPr>
              <w:spacing w:after="0" w:line="240" w:lineRule="auto"/>
              <w:ind w:firstLineChars="100" w:firstLine="160"/>
              <w:jc w:val="left"/>
              <w:rPr>
                <w:rFonts w:cs="Arial"/>
                <w:sz w:val="16"/>
                <w:szCs w:val="16"/>
              </w:rPr>
            </w:pPr>
            <w:r w:rsidRPr="00A10B06">
              <w:rPr>
                <w:rFonts w:cs="Arial"/>
                <w:sz w:val="16"/>
                <w:szCs w:val="16"/>
              </w:rPr>
              <w:t>Litva</w:t>
            </w:r>
          </w:p>
        </w:tc>
        <w:tc>
          <w:tcPr>
            <w:tcW w:w="390" w:type="pct"/>
            <w:tcBorders>
              <w:top w:val="nil"/>
              <w:left w:val="single" w:sz="4" w:space="0" w:color="auto"/>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6,3</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5,0</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5,6</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4,2</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4,4</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3,8</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3,9</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3,2</w:t>
            </w:r>
          </w:p>
        </w:tc>
        <w:tc>
          <w:tcPr>
            <w:tcW w:w="390" w:type="pct"/>
            <w:tcBorders>
              <w:top w:val="nil"/>
              <w:bottom w:val="nil"/>
            </w:tcBorders>
            <w:shd w:val="clear" w:color="000000" w:fill="D9D9D9"/>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3,8</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5,5</w:t>
            </w:r>
          </w:p>
        </w:tc>
        <w:tc>
          <w:tcPr>
            <w:tcW w:w="390" w:type="pct"/>
            <w:tcBorders>
              <w:top w:val="nil"/>
              <w:bottom w:val="nil"/>
              <w:right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3,4</w:t>
            </w:r>
          </w:p>
        </w:tc>
      </w:tr>
      <w:tr w:rsidR="00D43815" w:rsidRPr="00A10B06" w:rsidTr="00D43815">
        <w:trPr>
          <w:trHeight w:val="300"/>
        </w:trPr>
        <w:tc>
          <w:tcPr>
            <w:tcW w:w="710" w:type="pct"/>
            <w:tcBorders>
              <w:top w:val="nil"/>
              <w:left w:val="nil"/>
              <w:bottom w:val="nil"/>
              <w:right w:val="single" w:sz="4" w:space="0" w:color="auto"/>
            </w:tcBorders>
            <w:shd w:val="clear" w:color="auto" w:fill="auto"/>
            <w:noWrap/>
            <w:vAlign w:val="bottom"/>
            <w:hideMark/>
          </w:tcPr>
          <w:p w:rsidR="00A10B06" w:rsidRPr="00A10B06" w:rsidRDefault="00A10B06" w:rsidP="00A10B06">
            <w:pPr>
              <w:spacing w:after="0" w:line="240" w:lineRule="auto"/>
              <w:ind w:firstLineChars="100" w:firstLine="160"/>
              <w:jc w:val="left"/>
              <w:rPr>
                <w:rFonts w:cs="Arial"/>
                <w:sz w:val="16"/>
                <w:szCs w:val="16"/>
              </w:rPr>
            </w:pPr>
            <w:r w:rsidRPr="00A10B06">
              <w:rPr>
                <w:rFonts w:cs="Arial"/>
                <w:sz w:val="16"/>
                <w:szCs w:val="16"/>
              </w:rPr>
              <w:t>Lotyšsko</w:t>
            </w:r>
          </w:p>
        </w:tc>
        <w:tc>
          <w:tcPr>
            <w:tcW w:w="390" w:type="pct"/>
            <w:tcBorders>
              <w:top w:val="nil"/>
              <w:left w:val="single" w:sz="4" w:space="0" w:color="auto"/>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5,3</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4,5</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6,0</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4,2</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5,5</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2,9</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4,7</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3,0</w:t>
            </w:r>
          </w:p>
        </w:tc>
        <w:tc>
          <w:tcPr>
            <w:tcW w:w="390" w:type="pct"/>
            <w:tcBorders>
              <w:top w:val="nil"/>
              <w:bottom w:val="nil"/>
            </w:tcBorders>
            <w:shd w:val="clear" w:color="000000" w:fill="D9D9D9"/>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3,2</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4,7</w:t>
            </w:r>
          </w:p>
        </w:tc>
        <w:tc>
          <w:tcPr>
            <w:tcW w:w="390" w:type="pct"/>
            <w:tcBorders>
              <w:top w:val="nil"/>
              <w:bottom w:val="nil"/>
              <w:right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4,4</w:t>
            </w:r>
          </w:p>
        </w:tc>
      </w:tr>
      <w:tr w:rsidR="00D43815" w:rsidRPr="00A10B06" w:rsidTr="00D43815">
        <w:trPr>
          <w:trHeight w:val="300"/>
        </w:trPr>
        <w:tc>
          <w:tcPr>
            <w:tcW w:w="710" w:type="pct"/>
            <w:tcBorders>
              <w:top w:val="nil"/>
              <w:left w:val="nil"/>
              <w:bottom w:val="nil"/>
              <w:right w:val="single" w:sz="4" w:space="0" w:color="auto"/>
            </w:tcBorders>
            <w:shd w:val="clear" w:color="auto" w:fill="auto"/>
            <w:noWrap/>
            <w:vAlign w:val="bottom"/>
            <w:hideMark/>
          </w:tcPr>
          <w:p w:rsidR="00A10B06" w:rsidRPr="00A10B06" w:rsidRDefault="00A10B06" w:rsidP="00A10B06">
            <w:pPr>
              <w:spacing w:after="0" w:line="240" w:lineRule="auto"/>
              <w:ind w:firstLineChars="100" w:firstLine="160"/>
              <w:jc w:val="left"/>
              <w:rPr>
                <w:rFonts w:cs="Arial"/>
                <w:sz w:val="16"/>
                <w:szCs w:val="16"/>
              </w:rPr>
            </w:pPr>
            <w:r w:rsidRPr="00A10B06">
              <w:rPr>
                <w:rFonts w:cs="Arial"/>
                <w:sz w:val="16"/>
                <w:szCs w:val="16"/>
              </w:rPr>
              <w:t>Lucembursko</w:t>
            </w:r>
          </w:p>
        </w:tc>
        <w:tc>
          <w:tcPr>
            <w:tcW w:w="390" w:type="pct"/>
            <w:tcBorders>
              <w:top w:val="nil"/>
              <w:left w:val="single" w:sz="4" w:space="0" w:color="auto"/>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5,2</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1,6</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3,7</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4,4</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10,3</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2,6</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6,4</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3,2</w:t>
            </w:r>
          </w:p>
        </w:tc>
        <w:tc>
          <w:tcPr>
            <w:tcW w:w="390" w:type="pct"/>
            <w:tcBorders>
              <w:top w:val="nil"/>
              <w:bottom w:val="nil"/>
            </w:tcBorders>
            <w:shd w:val="clear" w:color="000000" w:fill="D9D9D9"/>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2,3</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3,1</w:t>
            </w:r>
          </w:p>
        </w:tc>
        <w:tc>
          <w:tcPr>
            <w:tcW w:w="390" w:type="pct"/>
            <w:tcBorders>
              <w:top w:val="nil"/>
              <w:bottom w:val="nil"/>
              <w:right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4,0</w:t>
            </w:r>
          </w:p>
        </w:tc>
      </w:tr>
      <w:tr w:rsidR="00D43815" w:rsidRPr="00A10B06" w:rsidTr="00D43815">
        <w:trPr>
          <w:trHeight w:val="300"/>
        </w:trPr>
        <w:tc>
          <w:tcPr>
            <w:tcW w:w="710" w:type="pct"/>
            <w:tcBorders>
              <w:top w:val="nil"/>
              <w:left w:val="nil"/>
              <w:bottom w:val="nil"/>
              <w:right w:val="single" w:sz="4" w:space="0" w:color="auto"/>
            </w:tcBorders>
            <w:shd w:val="clear" w:color="auto" w:fill="auto"/>
            <w:noWrap/>
            <w:vAlign w:val="bottom"/>
            <w:hideMark/>
          </w:tcPr>
          <w:p w:rsidR="00A10B06" w:rsidRPr="00A10B06" w:rsidRDefault="00A10B06" w:rsidP="00A10B06">
            <w:pPr>
              <w:spacing w:after="0" w:line="240" w:lineRule="auto"/>
              <w:ind w:firstLineChars="100" w:firstLine="160"/>
              <w:jc w:val="left"/>
              <w:rPr>
                <w:rFonts w:cs="Arial"/>
                <w:sz w:val="16"/>
                <w:szCs w:val="16"/>
              </w:rPr>
            </w:pPr>
            <w:r w:rsidRPr="00A10B06">
              <w:rPr>
                <w:rFonts w:cs="Arial"/>
                <w:sz w:val="16"/>
                <w:szCs w:val="16"/>
              </w:rPr>
              <w:t>Maďarsko</w:t>
            </w:r>
          </w:p>
        </w:tc>
        <w:tc>
          <w:tcPr>
            <w:tcW w:w="390" w:type="pct"/>
            <w:tcBorders>
              <w:top w:val="nil"/>
              <w:left w:val="single" w:sz="4" w:space="0" w:color="auto"/>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2,0</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1,8</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2,9</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2,9</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2,7</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2,6</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2,4</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2,3</w:t>
            </w:r>
          </w:p>
        </w:tc>
        <w:tc>
          <w:tcPr>
            <w:tcW w:w="390" w:type="pct"/>
            <w:tcBorders>
              <w:top w:val="nil"/>
              <w:bottom w:val="nil"/>
            </w:tcBorders>
            <w:shd w:val="clear" w:color="000000" w:fill="D9D9D9"/>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2,2</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2,5</w:t>
            </w:r>
          </w:p>
        </w:tc>
        <w:tc>
          <w:tcPr>
            <w:tcW w:w="390" w:type="pct"/>
            <w:tcBorders>
              <w:top w:val="nil"/>
              <w:bottom w:val="nil"/>
              <w:right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2,3</w:t>
            </w:r>
          </w:p>
        </w:tc>
      </w:tr>
      <w:tr w:rsidR="00D43815" w:rsidRPr="00A10B06" w:rsidTr="00D43815">
        <w:trPr>
          <w:trHeight w:val="300"/>
        </w:trPr>
        <w:tc>
          <w:tcPr>
            <w:tcW w:w="710" w:type="pct"/>
            <w:tcBorders>
              <w:top w:val="nil"/>
              <w:left w:val="nil"/>
              <w:bottom w:val="nil"/>
              <w:right w:val="single" w:sz="4" w:space="0" w:color="auto"/>
            </w:tcBorders>
            <w:shd w:val="clear" w:color="auto" w:fill="auto"/>
            <w:noWrap/>
            <w:vAlign w:val="bottom"/>
            <w:hideMark/>
          </w:tcPr>
          <w:p w:rsidR="00A10B06" w:rsidRPr="00A10B06" w:rsidRDefault="00A10B06" w:rsidP="00A10B06">
            <w:pPr>
              <w:spacing w:after="0" w:line="240" w:lineRule="auto"/>
              <w:ind w:firstLineChars="100" w:firstLine="160"/>
              <w:jc w:val="left"/>
              <w:rPr>
                <w:rFonts w:cs="Arial"/>
                <w:sz w:val="16"/>
                <w:szCs w:val="16"/>
              </w:rPr>
            </w:pPr>
            <w:r w:rsidRPr="00A10B06">
              <w:rPr>
                <w:rFonts w:cs="Arial"/>
                <w:sz w:val="16"/>
                <w:szCs w:val="16"/>
              </w:rPr>
              <w:t>Malta</w:t>
            </w:r>
          </w:p>
        </w:tc>
        <w:tc>
          <w:tcPr>
            <w:tcW w:w="390" w:type="pct"/>
            <w:tcBorders>
              <w:top w:val="nil"/>
              <w:left w:val="single" w:sz="4" w:space="0" w:color="auto"/>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7,6</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4,7</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4,6</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3,4</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3,9</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0,5</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2,2</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1,5</w:t>
            </w:r>
          </w:p>
        </w:tc>
        <w:tc>
          <w:tcPr>
            <w:tcW w:w="390" w:type="pct"/>
            <w:tcBorders>
              <w:top w:val="nil"/>
              <w:bottom w:val="nil"/>
            </w:tcBorders>
            <w:shd w:val="clear" w:color="000000" w:fill="D9D9D9"/>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4,7</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5,0</w:t>
            </w:r>
          </w:p>
        </w:tc>
        <w:tc>
          <w:tcPr>
            <w:tcW w:w="390" w:type="pct"/>
            <w:tcBorders>
              <w:top w:val="nil"/>
              <w:bottom w:val="nil"/>
              <w:right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7,6</w:t>
            </w:r>
          </w:p>
        </w:tc>
      </w:tr>
      <w:tr w:rsidR="00D43815" w:rsidRPr="00A10B06" w:rsidTr="00D43815">
        <w:trPr>
          <w:trHeight w:val="300"/>
        </w:trPr>
        <w:tc>
          <w:tcPr>
            <w:tcW w:w="710" w:type="pct"/>
            <w:tcBorders>
              <w:top w:val="nil"/>
              <w:left w:val="nil"/>
              <w:bottom w:val="nil"/>
              <w:right w:val="single" w:sz="4" w:space="0" w:color="auto"/>
            </w:tcBorders>
            <w:shd w:val="clear" w:color="auto" w:fill="auto"/>
            <w:noWrap/>
            <w:vAlign w:val="bottom"/>
            <w:hideMark/>
          </w:tcPr>
          <w:p w:rsidR="00A10B06" w:rsidRPr="00A10B06" w:rsidRDefault="00A10B06" w:rsidP="00A10B06">
            <w:pPr>
              <w:spacing w:after="0" w:line="240" w:lineRule="auto"/>
              <w:ind w:firstLineChars="100" w:firstLine="160"/>
              <w:jc w:val="left"/>
              <w:rPr>
                <w:rFonts w:cs="Arial"/>
                <w:sz w:val="16"/>
                <w:szCs w:val="16"/>
              </w:rPr>
            </w:pPr>
            <w:r w:rsidRPr="00A10B06">
              <w:rPr>
                <w:rFonts w:cs="Arial"/>
                <w:sz w:val="16"/>
                <w:szCs w:val="16"/>
              </w:rPr>
              <w:t>Německo</w:t>
            </w:r>
          </w:p>
        </w:tc>
        <w:tc>
          <w:tcPr>
            <w:tcW w:w="390" w:type="pct"/>
            <w:tcBorders>
              <w:top w:val="nil"/>
              <w:left w:val="single" w:sz="4" w:space="0" w:color="auto"/>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1,5</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1,3</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1,4</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1,3</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1,1</w:t>
            </w:r>
          </w:p>
        </w:tc>
        <w:tc>
          <w:tcPr>
            <w:tcW w:w="390" w:type="pct"/>
            <w:tcBorders>
              <w:top w:val="nil"/>
              <w:bottom w:val="nil"/>
            </w:tcBorders>
            <w:shd w:val="clear" w:color="000000" w:fill="D9D9D9"/>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1,2</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1,0</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0,8</w:t>
            </w:r>
          </w:p>
        </w:tc>
        <w:tc>
          <w:tcPr>
            <w:tcW w:w="390" w:type="pct"/>
            <w:tcBorders>
              <w:top w:val="nil"/>
              <w:bottom w:val="nil"/>
            </w:tcBorders>
            <w:shd w:val="clear" w:color="000000" w:fill="D9D9D9"/>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1,0</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1,1</w:t>
            </w:r>
          </w:p>
        </w:tc>
        <w:tc>
          <w:tcPr>
            <w:tcW w:w="390" w:type="pct"/>
            <w:tcBorders>
              <w:top w:val="nil"/>
              <w:bottom w:val="nil"/>
              <w:right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1,0</w:t>
            </w:r>
          </w:p>
        </w:tc>
      </w:tr>
      <w:tr w:rsidR="00D43815" w:rsidRPr="00A10B06" w:rsidTr="00D43815">
        <w:trPr>
          <w:trHeight w:val="300"/>
        </w:trPr>
        <w:tc>
          <w:tcPr>
            <w:tcW w:w="710" w:type="pct"/>
            <w:tcBorders>
              <w:top w:val="nil"/>
              <w:left w:val="nil"/>
              <w:bottom w:val="nil"/>
              <w:right w:val="single" w:sz="4" w:space="0" w:color="auto"/>
            </w:tcBorders>
            <w:shd w:val="clear" w:color="auto" w:fill="auto"/>
            <w:noWrap/>
            <w:vAlign w:val="bottom"/>
            <w:hideMark/>
          </w:tcPr>
          <w:p w:rsidR="00A10B06" w:rsidRPr="00A10B06" w:rsidRDefault="00A10B06" w:rsidP="00A10B06">
            <w:pPr>
              <w:spacing w:after="0" w:line="240" w:lineRule="auto"/>
              <w:ind w:firstLineChars="100" w:firstLine="160"/>
              <w:jc w:val="left"/>
              <w:rPr>
                <w:rFonts w:cs="Arial"/>
                <w:sz w:val="16"/>
                <w:szCs w:val="16"/>
              </w:rPr>
            </w:pPr>
            <w:r w:rsidRPr="00A10B06">
              <w:rPr>
                <w:rFonts w:cs="Arial"/>
                <w:sz w:val="16"/>
                <w:szCs w:val="16"/>
              </w:rPr>
              <w:t>Nizozemsko</w:t>
            </w:r>
          </w:p>
        </w:tc>
        <w:tc>
          <w:tcPr>
            <w:tcW w:w="390" w:type="pct"/>
            <w:tcBorders>
              <w:top w:val="nil"/>
              <w:left w:val="single" w:sz="4" w:space="0" w:color="auto"/>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0,7</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0,8</w:t>
            </w:r>
          </w:p>
        </w:tc>
        <w:tc>
          <w:tcPr>
            <w:tcW w:w="390" w:type="pct"/>
            <w:tcBorders>
              <w:top w:val="nil"/>
              <w:bottom w:val="nil"/>
            </w:tcBorders>
            <w:shd w:val="clear" w:color="000000" w:fill="D9D9D9"/>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1,0</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0,8</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0,7</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0,8</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0,9</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0,7</w:t>
            </w:r>
          </w:p>
        </w:tc>
        <w:tc>
          <w:tcPr>
            <w:tcW w:w="390" w:type="pct"/>
            <w:tcBorders>
              <w:top w:val="nil"/>
              <w:bottom w:val="nil"/>
            </w:tcBorders>
            <w:shd w:val="clear" w:color="000000" w:fill="D9D9D9"/>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0,5</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0,4</w:t>
            </w:r>
          </w:p>
        </w:tc>
        <w:tc>
          <w:tcPr>
            <w:tcW w:w="390" w:type="pct"/>
            <w:tcBorders>
              <w:top w:val="nil"/>
              <w:bottom w:val="nil"/>
              <w:right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0,4</w:t>
            </w:r>
          </w:p>
        </w:tc>
      </w:tr>
      <w:tr w:rsidR="00D43815" w:rsidRPr="00A10B06" w:rsidTr="00D43815">
        <w:trPr>
          <w:trHeight w:val="300"/>
        </w:trPr>
        <w:tc>
          <w:tcPr>
            <w:tcW w:w="710" w:type="pct"/>
            <w:tcBorders>
              <w:top w:val="nil"/>
              <w:left w:val="nil"/>
              <w:bottom w:val="nil"/>
              <w:right w:val="single" w:sz="4" w:space="0" w:color="auto"/>
            </w:tcBorders>
            <w:shd w:val="clear" w:color="auto" w:fill="auto"/>
            <w:noWrap/>
            <w:vAlign w:val="bottom"/>
            <w:hideMark/>
          </w:tcPr>
          <w:p w:rsidR="00A10B06" w:rsidRPr="00A10B06" w:rsidRDefault="00A10B06" w:rsidP="00A10B06">
            <w:pPr>
              <w:spacing w:after="0" w:line="240" w:lineRule="auto"/>
              <w:ind w:firstLineChars="100" w:firstLine="160"/>
              <w:jc w:val="left"/>
              <w:rPr>
                <w:rFonts w:cs="Arial"/>
                <w:sz w:val="16"/>
                <w:szCs w:val="16"/>
              </w:rPr>
            </w:pPr>
            <w:r w:rsidRPr="00A10B06">
              <w:rPr>
                <w:rFonts w:cs="Arial"/>
                <w:sz w:val="16"/>
                <w:szCs w:val="16"/>
              </w:rPr>
              <w:t>Polsko</w:t>
            </w:r>
          </w:p>
        </w:tc>
        <w:tc>
          <w:tcPr>
            <w:tcW w:w="390" w:type="pct"/>
            <w:tcBorders>
              <w:top w:val="nil"/>
              <w:left w:val="single" w:sz="4" w:space="0" w:color="auto"/>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2,6</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1,9</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1,9</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2,7</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2,0</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2,1</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1,7</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1,2</w:t>
            </w:r>
          </w:p>
        </w:tc>
        <w:tc>
          <w:tcPr>
            <w:tcW w:w="390" w:type="pct"/>
            <w:tcBorders>
              <w:top w:val="nil"/>
              <w:bottom w:val="nil"/>
            </w:tcBorders>
            <w:shd w:val="clear" w:color="000000" w:fill="D9D9D9"/>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1,5</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1,8</w:t>
            </w:r>
          </w:p>
        </w:tc>
        <w:tc>
          <w:tcPr>
            <w:tcW w:w="390" w:type="pct"/>
            <w:tcBorders>
              <w:top w:val="nil"/>
              <w:bottom w:val="nil"/>
              <w:right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1,3</w:t>
            </w:r>
          </w:p>
        </w:tc>
      </w:tr>
      <w:tr w:rsidR="00D43815" w:rsidRPr="00A10B06" w:rsidTr="00D43815">
        <w:trPr>
          <w:trHeight w:val="300"/>
        </w:trPr>
        <w:tc>
          <w:tcPr>
            <w:tcW w:w="710" w:type="pct"/>
            <w:tcBorders>
              <w:top w:val="nil"/>
              <w:left w:val="nil"/>
              <w:bottom w:val="nil"/>
              <w:right w:val="single" w:sz="4" w:space="0" w:color="auto"/>
            </w:tcBorders>
            <w:shd w:val="clear" w:color="auto" w:fill="auto"/>
            <w:noWrap/>
            <w:vAlign w:val="bottom"/>
            <w:hideMark/>
          </w:tcPr>
          <w:p w:rsidR="00A10B06" w:rsidRPr="00A10B06" w:rsidRDefault="00A10B06" w:rsidP="00A10B06">
            <w:pPr>
              <w:spacing w:after="0" w:line="240" w:lineRule="auto"/>
              <w:ind w:firstLineChars="100" w:firstLine="160"/>
              <w:jc w:val="left"/>
              <w:rPr>
                <w:rFonts w:cs="Arial"/>
                <w:sz w:val="16"/>
                <w:szCs w:val="16"/>
              </w:rPr>
            </w:pPr>
            <w:r w:rsidRPr="00A10B06">
              <w:rPr>
                <w:rFonts w:cs="Arial"/>
                <w:sz w:val="16"/>
                <w:szCs w:val="16"/>
              </w:rPr>
              <w:t>Portugalsko</w:t>
            </w:r>
          </w:p>
        </w:tc>
        <w:tc>
          <w:tcPr>
            <w:tcW w:w="390" w:type="pct"/>
            <w:tcBorders>
              <w:top w:val="nil"/>
              <w:left w:val="single" w:sz="4" w:space="0" w:color="auto"/>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4,8</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4,5</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4,7</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4,6</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4,0</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4,1</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2,7</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2,4</w:t>
            </w:r>
          </w:p>
        </w:tc>
        <w:tc>
          <w:tcPr>
            <w:tcW w:w="390" w:type="pct"/>
            <w:tcBorders>
              <w:top w:val="nil"/>
              <w:bottom w:val="nil"/>
            </w:tcBorders>
            <w:shd w:val="clear" w:color="000000" w:fill="D9D9D9"/>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3,6</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3,9</w:t>
            </w:r>
          </w:p>
        </w:tc>
        <w:tc>
          <w:tcPr>
            <w:tcW w:w="390" w:type="pct"/>
            <w:tcBorders>
              <w:top w:val="nil"/>
              <w:bottom w:val="nil"/>
              <w:right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3,9</w:t>
            </w:r>
          </w:p>
        </w:tc>
      </w:tr>
      <w:tr w:rsidR="00D43815" w:rsidRPr="00A10B06" w:rsidTr="00D43815">
        <w:trPr>
          <w:trHeight w:val="300"/>
        </w:trPr>
        <w:tc>
          <w:tcPr>
            <w:tcW w:w="710" w:type="pct"/>
            <w:tcBorders>
              <w:top w:val="nil"/>
              <w:left w:val="nil"/>
              <w:bottom w:val="nil"/>
              <w:right w:val="single" w:sz="4" w:space="0" w:color="auto"/>
            </w:tcBorders>
            <w:shd w:val="clear" w:color="auto" w:fill="auto"/>
            <w:noWrap/>
            <w:vAlign w:val="bottom"/>
            <w:hideMark/>
          </w:tcPr>
          <w:p w:rsidR="00A10B06" w:rsidRPr="00A10B06" w:rsidRDefault="00A10B06" w:rsidP="00A10B06">
            <w:pPr>
              <w:spacing w:after="0" w:line="240" w:lineRule="auto"/>
              <w:ind w:firstLineChars="100" w:firstLine="160"/>
              <w:jc w:val="left"/>
              <w:rPr>
                <w:rFonts w:cs="Arial"/>
                <w:sz w:val="16"/>
                <w:szCs w:val="16"/>
              </w:rPr>
            </w:pPr>
            <w:r w:rsidRPr="00A10B06">
              <w:rPr>
                <w:rFonts w:cs="Arial"/>
                <w:sz w:val="16"/>
                <w:szCs w:val="16"/>
              </w:rPr>
              <w:t>Rakousko</w:t>
            </w:r>
          </w:p>
        </w:tc>
        <w:tc>
          <w:tcPr>
            <w:tcW w:w="390" w:type="pct"/>
            <w:tcBorders>
              <w:top w:val="nil"/>
              <w:left w:val="single" w:sz="4" w:space="0" w:color="auto"/>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4,4</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4,2</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4,0</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4,2</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3,2</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3,3</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4,3</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2,0</w:t>
            </w:r>
          </w:p>
        </w:tc>
        <w:tc>
          <w:tcPr>
            <w:tcW w:w="390" w:type="pct"/>
            <w:tcBorders>
              <w:top w:val="nil"/>
              <w:bottom w:val="nil"/>
            </w:tcBorders>
            <w:shd w:val="clear" w:color="000000" w:fill="D9D9D9"/>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2,9</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3,4</w:t>
            </w:r>
          </w:p>
        </w:tc>
        <w:tc>
          <w:tcPr>
            <w:tcW w:w="390" w:type="pct"/>
            <w:tcBorders>
              <w:top w:val="nil"/>
              <w:bottom w:val="nil"/>
              <w:right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3,6</w:t>
            </w:r>
          </w:p>
        </w:tc>
      </w:tr>
      <w:tr w:rsidR="00D43815" w:rsidRPr="00A10B06" w:rsidTr="00D43815">
        <w:trPr>
          <w:trHeight w:val="300"/>
        </w:trPr>
        <w:tc>
          <w:tcPr>
            <w:tcW w:w="710" w:type="pct"/>
            <w:tcBorders>
              <w:top w:val="nil"/>
              <w:left w:val="nil"/>
              <w:bottom w:val="nil"/>
              <w:right w:val="single" w:sz="4" w:space="0" w:color="auto"/>
            </w:tcBorders>
            <w:shd w:val="clear" w:color="auto" w:fill="auto"/>
            <w:noWrap/>
            <w:vAlign w:val="bottom"/>
            <w:hideMark/>
          </w:tcPr>
          <w:p w:rsidR="00A10B06" w:rsidRPr="00A10B06" w:rsidRDefault="00A10B06" w:rsidP="00A10B06">
            <w:pPr>
              <w:spacing w:after="0" w:line="240" w:lineRule="auto"/>
              <w:ind w:firstLineChars="100" w:firstLine="160"/>
              <w:jc w:val="left"/>
              <w:rPr>
                <w:rFonts w:cs="Arial"/>
                <w:sz w:val="16"/>
                <w:szCs w:val="16"/>
              </w:rPr>
            </w:pPr>
            <w:r w:rsidRPr="00A10B06">
              <w:rPr>
                <w:rFonts w:cs="Arial"/>
                <w:sz w:val="16"/>
                <w:szCs w:val="16"/>
              </w:rPr>
              <w:t>Rumunsko</w:t>
            </w:r>
          </w:p>
        </w:tc>
        <w:tc>
          <w:tcPr>
            <w:tcW w:w="390" w:type="pct"/>
            <w:tcBorders>
              <w:top w:val="nil"/>
              <w:left w:val="single" w:sz="4" w:space="0" w:color="auto"/>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7,6</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6,9</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7,1</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7,4</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6,1</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6,1</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5,3</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3,9</w:t>
            </w:r>
          </w:p>
        </w:tc>
        <w:tc>
          <w:tcPr>
            <w:tcW w:w="390" w:type="pct"/>
            <w:tcBorders>
              <w:top w:val="nil"/>
              <w:bottom w:val="nil"/>
            </w:tcBorders>
            <w:shd w:val="clear" w:color="000000" w:fill="D9D9D9"/>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4,0</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3,8</w:t>
            </w:r>
          </w:p>
        </w:tc>
        <w:tc>
          <w:tcPr>
            <w:tcW w:w="390" w:type="pct"/>
            <w:tcBorders>
              <w:top w:val="nil"/>
              <w:bottom w:val="nil"/>
              <w:right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2,8</w:t>
            </w:r>
          </w:p>
        </w:tc>
      </w:tr>
      <w:tr w:rsidR="00D43815" w:rsidRPr="00A10B06" w:rsidTr="00D43815">
        <w:trPr>
          <w:trHeight w:val="300"/>
        </w:trPr>
        <w:tc>
          <w:tcPr>
            <w:tcW w:w="710" w:type="pct"/>
            <w:tcBorders>
              <w:top w:val="nil"/>
              <w:left w:val="nil"/>
              <w:bottom w:val="nil"/>
              <w:right w:val="single" w:sz="4" w:space="0" w:color="auto"/>
            </w:tcBorders>
            <w:shd w:val="clear" w:color="auto" w:fill="auto"/>
            <w:noWrap/>
            <w:vAlign w:val="bottom"/>
            <w:hideMark/>
          </w:tcPr>
          <w:p w:rsidR="00A10B06" w:rsidRPr="00A10B06" w:rsidRDefault="00A10B06" w:rsidP="00A10B06">
            <w:pPr>
              <w:spacing w:after="0" w:line="240" w:lineRule="auto"/>
              <w:ind w:firstLineChars="100" w:firstLine="160"/>
              <w:jc w:val="left"/>
              <w:rPr>
                <w:rFonts w:cs="Arial"/>
                <w:sz w:val="16"/>
                <w:szCs w:val="16"/>
              </w:rPr>
            </w:pPr>
            <w:r w:rsidRPr="00A10B06">
              <w:rPr>
                <w:rFonts w:cs="Arial"/>
                <w:sz w:val="16"/>
                <w:szCs w:val="16"/>
              </w:rPr>
              <w:t>Řecko</w:t>
            </w:r>
          </w:p>
        </w:tc>
        <w:tc>
          <w:tcPr>
            <w:tcW w:w="390" w:type="pct"/>
            <w:tcBorders>
              <w:top w:val="nil"/>
              <w:left w:val="single" w:sz="4" w:space="0" w:color="auto"/>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1,3</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1,2</w:t>
            </w:r>
          </w:p>
        </w:tc>
        <w:tc>
          <w:tcPr>
            <w:tcW w:w="390" w:type="pct"/>
            <w:tcBorders>
              <w:top w:val="nil"/>
              <w:bottom w:val="nil"/>
            </w:tcBorders>
            <w:shd w:val="clear" w:color="000000" w:fill="D9D9D9"/>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1,2</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2,4</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2,0</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2,7</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2,9</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1,6</w:t>
            </w:r>
          </w:p>
        </w:tc>
        <w:tc>
          <w:tcPr>
            <w:tcW w:w="390" w:type="pct"/>
            <w:tcBorders>
              <w:top w:val="nil"/>
              <w:bottom w:val="nil"/>
            </w:tcBorders>
            <w:shd w:val="clear" w:color="000000" w:fill="D9D9D9"/>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1,4</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1,1</w:t>
            </w:r>
          </w:p>
        </w:tc>
        <w:tc>
          <w:tcPr>
            <w:tcW w:w="390" w:type="pct"/>
            <w:tcBorders>
              <w:top w:val="nil"/>
              <w:bottom w:val="nil"/>
              <w:right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1,1</w:t>
            </w:r>
          </w:p>
        </w:tc>
      </w:tr>
      <w:tr w:rsidR="00D43815" w:rsidRPr="00A10B06" w:rsidTr="00D43815">
        <w:trPr>
          <w:trHeight w:val="300"/>
        </w:trPr>
        <w:tc>
          <w:tcPr>
            <w:tcW w:w="710" w:type="pct"/>
            <w:tcBorders>
              <w:top w:val="nil"/>
              <w:left w:val="nil"/>
              <w:bottom w:val="nil"/>
              <w:right w:val="single" w:sz="4" w:space="0" w:color="auto"/>
            </w:tcBorders>
            <w:shd w:val="clear" w:color="auto" w:fill="auto"/>
            <w:noWrap/>
            <w:vAlign w:val="bottom"/>
            <w:hideMark/>
          </w:tcPr>
          <w:p w:rsidR="00A10B06" w:rsidRPr="00A10B06" w:rsidRDefault="00A10B06" w:rsidP="00A10B06">
            <w:pPr>
              <w:spacing w:after="0" w:line="240" w:lineRule="auto"/>
              <w:ind w:firstLineChars="100" w:firstLine="160"/>
              <w:jc w:val="left"/>
              <w:rPr>
                <w:rFonts w:cs="Arial"/>
                <w:sz w:val="16"/>
                <w:szCs w:val="16"/>
              </w:rPr>
            </w:pPr>
            <w:r w:rsidRPr="00A10B06">
              <w:rPr>
                <w:rFonts w:cs="Arial"/>
                <w:sz w:val="16"/>
                <w:szCs w:val="16"/>
              </w:rPr>
              <w:t>Slovensko</w:t>
            </w:r>
          </w:p>
        </w:tc>
        <w:tc>
          <w:tcPr>
            <w:tcW w:w="390" w:type="pct"/>
            <w:tcBorders>
              <w:top w:val="nil"/>
              <w:left w:val="single" w:sz="4" w:space="0" w:color="auto"/>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3,1</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3,3</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2,3</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3,6</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2,7</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2,8</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2,6</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1,4</w:t>
            </w:r>
          </w:p>
        </w:tc>
        <w:tc>
          <w:tcPr>
            <w:tcW w:w="390" w:type="pct"/>
            <w:tcBorders>
              <w:top w:val="nil"/>
              <w:bottom w:val="nil"/>
            </w:tcBorders>
            <w:shd w:val="clear" w:color="000000" w:fill="D9D9D9"/>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2,2</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2,1</w:t>
            </w:r>
          </w:p>
        </w:tc>
        <w:tc>
          <w:tcPr>
            <w:tcW w:w="390" w:type="pct"/>
            <w:tcBorders>
              <w:top w:val="nil"/>
              <w:bottom w:val="nil"/>
              <w:right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2,0</w:t>
            </w:r>
          </w:p>
        </w:tc>
      </w:tr>
      <w:tr w:rsidR="00D43815" w:rsidRPr="00A10B06" w:rsidTr="00D43815">
        <w:trPr>
          <w:trHeight w:val="300"/>
        </w:trPr>
        <w:tc>
          <w:tcPr>
            <w:tcW w:w="710" w:type="pct"/>
            <w:tcBorders>
              <w:top w:val="nil"/>
              <w:left w:val="nil"/>
              <w:bottom w:val="nil"/>
              <w:right w:val="single" w:sz="4" w:space="0" w:color="auto"/>
            </w:tcBorders>
            <w:shd w:val="clear" w:color="auto" w:fill="auto"/>
            <w:noWrap/>
            <w:vAlign w:val="bottom"/>
            <w:hideMark/>
          </w:tcPr>
          <w:p w:rsidR="00A10B06" w:rsidRPr="00A10B06" w:rsidRDefault="00A10B06" w:rsidP="00A10B06">
            <w:pPr>
              <w:spacing w:after="0" w:line="240" w:lineRule="auto"/>
              <w:ind w:firstLineChars="100" w:firstLine="160"/>
              <w:jc w:val="left"/>
              <w:rPr>
                <w:rFonts w:cs="Arial"/>
                <w:sz w:val="16"/>
                <w:szCs w:val="16"/>
              </w:rPr>
            </w:pPr>
            <w:r w:rsidRPr="00A10B06">
              <w:rPr>
                <w:rFonts w:cs="Arial"/>
                <w:sz w:val="16"/>
                <w:szCs w:val="16"/>
              </w:rPr>
              <w:t>Slovinsko</w:t>
            </w:r>
          </w:p>
        </w:tc>
        <w:tc>
          <w:tcPr>
            <w:tcW w:w="390" w:type="pct"/>
            <w:tcBorders>
              <w:top w:val="nil"/>
              <w:left w:val="single" w:sz="4" w:space="0" w:color="auto"/>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3,2</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3,0</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4,0</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3,5</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2,2</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2,8</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2,1</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1,8</w:t>
            </w:r>
          </w:p>
        </w:tc>
        <w:tc>
          <w:tcPr>
            <w:tcW w:w="390" w:type="pct"/>
            <w:tcBorders>
              <w:top w:val="nil"/>
              <w:bottom w:val="nil"/>
            </w:tcBorders>
            <w:shd w:val="clear" w:color="000000" w:fill="D9D9D9"/>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2,8</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1,9</w:t>
            </w:r>
          </w:p>
        </w:tc>
        <w:tc>
          <w:tcPr>
            <w:tcW w:w="390" w:type="pct"/>
            <w:tcBorders>
              <w:top w:val="nil"/>
              <w:bottom w:val="nil"/>
              <w:right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2,4</w:t>
            </w:r>
          </w:p>
        </w:tc>
      </w:tr>
      <w:tr w:rsidR="00D43815" w:rsidRPr="00A10B06" w:rsidTr="00D43815">
        <w:trPr>
          <w:trHeight w:val="300"/>
        </w:trPr>
        <w:tc>
          <w:tcPr>
            <w:tcW w:w="710" w:type="pct"/>
            <w:tcBorders>
              <w:top w:val="nil"/>
              <w:left w:val="nil"/>
              <w:bottom w:val="nil"/>
              <w:right w:val="single" w:sz="4" w:space="0" w:color="auto"/>
            </w:tcBorders>
            <w:shd w:val="clear" w:color="auto" w:fill="auto"/>
            <w:noWrap/>
            <w:vAlign w:val="bottom"/>
            <w:hideMark/>
          </w:tcPr>
          <w:p w:rsidR="00A10B06" w:rsidRPr="00A10B06" w:rsidRDefault="00A10B06" w:rsidP="00A10B06">
            <w:pPr>
              <w:spacing w:after="0" w:line="240" w:lineRule="auto"/>
              <w:ind w:firstLineChars="100" w:firstLine="160"/>
              <w:jc w:val="left"/>
              <w:rPr>
                <w:rFonts w:cs="Arial"/>
                <w:sz w:val="16"/>
                <w:szCs w:val="16"/>
              </w:rPr>
            </w:pPr>
            <w:r w:rsidRPr="00A10B06">
              <w:rPr>
                <w:rFonts w:cs="Arial"/>
                <w:sz w:val="16"/>
                <w:szCs w:val="16"/>
              </w:rPr>
              <w:t>Španělsko</w:t>
            </w:r>
          </w:p>
        </w:tc>
        <w:tc>
          <w:tcPr>
            <w:tcW w:w="390" w:type="pct"/>
            <w:tcBorders>
              <w:top w:val="nil"/>
              <w:left w:val="single" w:sz="4" w:space="0" w:color="auto"/>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3,0</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2,7</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3,1</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3,5</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2,9</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3,0</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2,8</w:t>
            </w:r>
          </w:p>
        </w:tc>
        <w:tc>
          <w:tcPr>
            <w:tcW w:w="390" w:type="pct"/>
            <w:tcBorders>
              <w:top w:val="nil"/>
              <w:bottom w:val="nil"/>
            </w:tcBorders>
            <w:shd w:val="clear" w:color="000000" w:fill="D9D9D9"/>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2,2</w:t>
            </w:r>
          </w:p>
        </w:tc>
        <w:tc>
          <w:tcPr>
            <w:tcW w:w="390" w:type="pct"/>
            <w:tcBorders>
              <w:top w:val="nil"/>
              <w:bottom w:val="nil"/>
            </w:tcBorders>
            <w:shd w:val="clear" w:color="000000" w:fill="D9D9D9"/>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2,8</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2,5</w:t>
            </w:r>
          </w:p>
        </w:tc>
        <w:tc>
          <w:tcPr>
            <w:tcW w:w="390" w:type="pct"/>
            <w:tcBorders>
              <w:top w:val="nil"/>
              <w:bottom w:val="nil"/>
              <w:right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2,8</w:t>
            </w:r>
          </w:p>
        </w:tc>
      </w:tr>
      <w:tr w:rsidR="00D43815" w:rsidRPr="00A10B06" w:rsidTr="00D43815">
        <w:trPr>
          <w:trHeight w:val="300"/>
        </w:trPr>
        <w:tc>
          <w:tcPr>
            <w:tcW w:w="710" w:type="pct"/>
            <w:tcBorders>
              <w:top w:val="nil"/>
              <w:left w:val="nil"/>
              <w:bottom w:val="nil"/>
              <w:right w:val="single" w:sz="4" w:space="0" w:color="auto"/>
            </w:tcBorders>
            <w:shd w:val="clear" w:color="auto" w:fill="auto"/>
            <w:noWrap/>
            <w:vAlign w:val="bottom"/>
            <w:hideMark/>
          </w:tcPr>
          <w:p w:rsidR="00A10B06" w:rsidRPr="00A10B06" w:rsidRDefault="00A10B06" w:rsidP="00A10B06">
            <w:pPr>
              <w:spacing w:after="0" w:line="240" w:lineRule="auto"/>
              <w:ind w:firstLineChars="100" w:firstLine="160"/>
              <w:jc w:val="left"/>
              <w:rPr>
                <w:rFonts w:cs="Arial"/>
                <w:sz w:val="16"/>
                <w:szCs w:val="16"/>
              </w:rPr>
            </w:pPr>
            <w:r w:rsidRPr="00A10B06">
              <w:rPr>
                <w:rFonts w:cs="Arial"/>
                <w:sz w:val="16"/>
                <w:szCs w:val="16"/>
              </w:rPr>
              <w:t>Švédsko</w:t>
            </w:r>
          </w:p>
        </w:tc>
        <w:tc>
          <w:tcPr>
            <w:tcW w:w="390" w:type="pct"/>
            <w:tcBorders>
              <w:top w:val="nil"/>
              <w:left w:val="single" w:sz="4" w:space="0" w:color="auto"/>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1,4</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1,2</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1,5</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1,2</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1,2</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1,7</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1,7</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0,9</w:t>
            </w:r>
          </w:p>
        </w:tc>
        <w:tc>
          <w:tcPr>
            <w:tcW w:w="390" w:type="pct"/>
            <w:tcBorders>
              <w:top w:val="nil"/>
              <w:bottom w:val="nil"/>
            </w:tcBorders>
            <w:shd w:val="clear" w:color="000000" w:fill="D9D9D9"/>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0,8</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1,1</w:t>
            </w:r>
          </w:p>
        </w:tc>
        <w:tc>
          <w:tcPr>
            <w:tcW w:w="390" w:type="pct"/>
            <w:tcBorders>
              <w:top w:val="nil"/>
              <w:bottom w:val="nil"/>
              <w:right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1,0</w:t>
            </w:r>
          </w:p>
        </w:tc>
      </w:tr>
    </w:tbl>
    <w:p w:rsidR="00A52A85" w:rsidRDefault="00A52A85" w:rsidP="00A52A85">
      <w:pPr>
        <w:spacing w:before="120" w:after="0"/>
        <w:rPr>
          <w:spacing w:val="-2"/>
          <w:sz w:val="16"/>
          <w:szCs w:val="16"/>
        </w:rPr>
      </w:pPr>
      <w:r w:rsidRPr="00A52A85">
        <w:rPr>
          <w:spacing w:val="-2"/>
          <w:sz w:val="16"/>
          <w:szCs w:val="16"/>
        </w:rPr>
        <w:t>Poznámka: šedé podbarvení symbolizuje přerušení v časové řadě.</w:t>
      </w:r>
    </w:p>
    <w:p w:rsidR="00D43815" w:rsidRDefault="00D43815" w:rsidP="00A52A85">
      <w:pPr>
        <w:rPr>
          <w:spacing w:val="-2"/>
          <w:sz w:val="16"/>
          <w:szCs w:val="16"/>
        </w:rPr>
      </w:pPr>
      <w:r>
        <w:rPr>
          <w:spacing w:val="-2"/>
          <w:sz w:val="16"/>
          <w:szCs w:val="16"/>
        </w:rPr>
        <w:t xml:space="preserve">Zdroj: </w:t>
      </w:r>
      <w:proofErr w:type="spellStart"/>
      <w:r>
        <w:rPr>
          <w:spacing w:val="-2"/>
          <w:sz w:val="16"/>
          <w:szCs w:val="16"/>
        </w:rPr>
        <w:t>Eurostat</w:t>
      </w:r>
      <w:proofErr w:type="spellEnd"/>
      <w:r>
        <w:rPr>
          <w:spacing w:val="-2"/>
          <w:sz w:val="16"/>
          <w:szCs w:val="16"/>
        </w:rPr>
        <w:t xml:space="preserve"> (ESAW)</w:t>
      </w:r>
    </w:p>
    <w:p w:rsidR="00D43815" w:rsidRDefault="00D43815">
      <w:pPr>
        <w:spacing w:after="0" w:line="240" w:lineRule="auto"/>
        <w:jc w:val="left"/>
        <w:rPr>
          <w:spacing w:val="-2"/>
          <w:sz w:val="16"/>
          <w:szCs w:val="16"/>
        </w:rPr>
      </w:pPr>
      <w:r>
        <w:rPr>
          <w:spacing w:val="-2"/>
          <w:sz w:val="16"/>
          <w:szCs w:val="16"/>
        </w:rPr>
        <w:br w:type="page"/>
      </w:r>
    </w:p>
    <w:p w:rsidR="00A10B06" w:rsidRDefault="008F6C93" w:rsidP="008F6C93">
      <w:pPr>
        <w:pStyle w:val="Nadpis3"/>
      </w:pPr>
      <w:bookmarkStart w:id="11" w:name="_Toc198986223"/>
      <w:r>
        <w:lastRenderedPageBreak/>
        <w:t>4</w:t>
      </w:r>
      <w:r w:rsidR="000511A2">
        <w:t>.7 Závěrečné shrnutí</w:t>
      </w:r>
      <w:bookmarkEnd w:id="11"/>
    </w:p>
    <w:p w:rsidR="000511A2" w:rsidRPr="00743DDA" w:rsidRDefault="000511A2" w:rsidP="00BB1795">
      <w:pPr>
        <w:numPr>
          <w:ilvl w:val="0"/>
          <w:numId w:val="29"/>
        </w:numPr>
        <w:spacing w:before="120"/>
      </w:pPr>
      <w:r w:rsidRPr="000511A2">
        <w:t>V roce 202</w:t>
      </w:r>
      <w:r>
        <w:t>4</w:t>
      </w:r>
      <w:r w:rsidRPr="000511A2">
        <w:t xml:space="preserve"> bylo v Česku</w:t>
      </w:r>
      <w:r w:rsidRPr="000511A2">
        <w:rPr>
          <w:b/>
        </w:rPr>
        <w:t xml:space="preserve"> nemocensky pojištěno </w:t>
      </w:r>
      <w:r w:rsidRPr="000511A2">
        <w:t>celkem</w:t>
      </w:r>
      <w:r w:rsidRPr="000511A2">
        <w:rPr>
          <w:b/>
        </w:rPr>
        <w:t xml:space="preserve"> </w:t>
      </w:r>
      <w:r w:rsidR="00456EBD" w:rsidRPr="00456EBD">
        <w:rPr>
          <w:b/>
        </w:rPr>
        <w:t>4 765</w:t>
      </w:r>
      <w:r w:rsidRPr="00456EBD">
        <w:rPr>
          <w:b/>
        </w:rPr>
        <w:t xml:space="preserve"> tisíc</w:t>
      </w:r>
      <w:r w:rsidRPr="00456EBD">
        <w:t xml:space="preserve"> </w:t>
      </w:r>
      <w:r w:rsidRPr="00456EBD">
        <w:rPr>
          <w:b/>
        </w:rPr>
        <w:t>osob</w:t>
      </w:r>
      <w:r w:rsidRPr="00456EBD">
        <w:t>,</w:t>
      </w:r>
      <w:r w:rsidR="00456EBD">
        <w:t xml:space="preserve"> </w:t>
      </w:r>
      <w:r w:rsidR="00F92C10">
        <w:t>téměř stejně jako</w:t>
      </w:r>
      <w:r w:rsidRPr="00743DDA">
        <w:rPr>
          <w:szCs w:val="20"/>
        </w:rPr>
        <w:t xml:space="preserve"> před </w:t>
      </w:r>
      <w:r w:rsidRPr="001204BD">
        <w:rPr>
          <w:spacing w:val="-4"/>
          <w:szCs w:val="20"/>
        </w:rPr>
        <w:t xml:space="preserve">rokem. Meziročně nejvýrazněji vzrostl počet pojištěných </w:t>
      </w:r>
      <w:r w:rsidR="00BB1795" w:rsidRPr="001204BD">
        <w:rPr>
          <w:spacing w:val="-4"/>
          <w:szCs w:val="20"/>
        </w:rPr>
        <w:t>osob v odvětvích</w:t>
      </w:r>
      <w:r w:rsidRPr="001204BD">
        <w:rPr>
          <w:spacing w:val="-4"/>
          <w:szCs w:val="20"/>
        </w:rPr>
        <w:t xml:space="preserve"> </w:t>
      </w:r>
      <w:r w:rsidR="00BB1795" w:rsidRPr="001204BD">
        <w:rPr>
          <w:spacing w:val="-4"/>
          <w:szCs w:val="20"/>
        </w:rPr>
        <w:t>Vzdělávání (</w:t>
      </w:r>
      <w:r w:rsidR="00456EBD" w:rsidRPr="001204BD">
        <w:rPr>
          <w:spacing w:val="-4"/>
          <w:szCs w:val="20"/>
        </w:rPr>
        <w:t>o 37</w:t>
      </w:r>
      <w:r w:rsidR="001204BD" w:rsidRPr="001204BD">
        <w:rPr>
          <w:spacing w:val="-4"/>
          <w:szCs w:val="20"/>
        </w:rPr>
        <w:t xml:space="preserve"> tisíc, </w:t>
      </w:r>
      <w:r w:rsidR="00743DDA" w:rsidRPr="001204BD">
        <w:rPr>
          <w:spacing w:val="-4"/>
          <w:szCs w:val="20"/>
        </w:rPr>
        <w:t>tj.</w:t>
      </w:r>
      <w:r w:rsidR="00743DDA" w:rsidRPr="00743DDA">
        <w:rPr>
          <w:szCs w:val="20"/>
        </w:rPr>
        <w:t xml:space="preserve"> 8,8 %) a</w:t>
      </w:r>
      <w:r w:rsidR="00BB1795" w:rsidRPr="00743DDA">
        <w:rPr>
          <w:szCs w:val="20"/>
        </w:rPr>
        <w:t xml:space="preserve"> Zdravotní a sociální péče (</w:t>
      </w:r>
      <w:r w:rsidR="00743DDA" w:rsidRPr="00743DDA">
        <w:rPr>
          <w:szCs w:val="20"/>
        </w:rPr>
        <w:t>o 16,5</w:t>
      </w:r>
      <w:r w:rsidR="00BB1795" w:rsidRPr="00743DDA">
        <w:rPr>
          <w:szCs w:val="20"/>
        </w:rPr>
        <w:t xml:space="preserve"> tisíc</w:t>
      </w:r>
      <w:r w:rsidR="00743DDA" w:rsidRPr="00743DDA">
        <w:rPr>
          <w:szCs w:val="20"/>
        </w:rPr>
        <w:t>e, tj. 3,8</w:t>
      </w:r>
      <w:r w:rsidR="00BB1795" w:rsidRPr="00743DDA">
        <w:rPr>
          <w:szCs w:val="20"/>
        </w:rPr>
        <w:t xml:space="preserve"> %)</w:t>
      </w:r>
      <w:r w:rsidR="00743DDA" w:rsidRPr="00743DDA">
        <w:rPr>
          <w:szCs w:val="20"/>
        </w:rPr>
        <w:t>.</w:t>
      </w:r>
    </w:p>
    <w:p w:rsidR="000511A2" w:rsidRPr="00743DDA" w:rsidRDefault="000511A2" w:rsidP="000511A2">
      <w:pPr>
        <w:numPr>
          <w:ilvl w:val="0"/>
          <w:numId w:val="29"/>
        </w:numPr>
        <w:ind w:left="714" w:hanging="357"/>
      </w:pPr>
      <w:r w:rsidRPr="00743DDA">
        <w:t xml:space="preserve">Stejně jako </w:t>
      </w:r>
      <w:r w:rsidR="00AD4162" w:rsidRPr="00743DDA">
        <w:t xml:space="preserve">loni bylo </w:t>
      </w:r>
      <w:r w:rsidR="000311B1" w:rsidRPr="00743DDA">
        <w:t>v roce 202</w:t>
      </w:r>
      <w:r w:rsidR="002C6409" w:rsidRPr="00743DDA">
        <w:t xml:space="preserve">4 </w:t>
      </w:r>
      <w:r w:rsidR="000311B1" w:rsidRPr="00743DDA">
        <w:t xml:space="preserve">mezi pojištěnci více </w:t>
      </w:r>
      <w:r w:rsidR="00743DDA" w:rsidRPr="00743DDA">
        <w:t>žen (50,9</w:t>
      </w:r>
      <w:r w:rsidR="000311B1" w:rsidRPr="00743DDA">
        <w:t xml:space="preserve"> %) než mužů </w:t>
      </w:r>
      <w:r w:rsidR="00743DDA" w:rsidRPr="00743DDA">
        <w:t>(49,1</w:t>
      </w:r>
      <w:r w:rsidR="000311B1" w:rsidRPr="00743DDA">
        <w:t xml:space="preserve"> %). V roce 2024</w:t>
      </w:r>
      <w:r w:rsidRPr="00743DDA">
        <w:t xml:space="preserve"> bylo nemocensky pojištěných 2 </w:t>
      </w:r>
      <w:r w:rsidR="00743DDA" w:rsidRPr="00743DDA">
        <w:t>424</w:t>
      </w:r>
      <w:r w:rsidRPr="00743DDA">
        <w:t xml:space="preserve"> tis</w:t>
      </w:r>
      <w:r w:rsidR="000311B1" w:rsidRPr="00743DDA">
        <w:t>íc</w:t>
      </w:r>
      <w:r w:rsidRPr="00743DDA">
        <w:t xml:space="preserve"> žen a 2 </w:t>
      </w:r>
      <w:r w:rsidR="00743DDA" w:rsidRPr="00743DDA">
        <w:t>341</w:t>
      </w:r>
      <w:r w:rsidRPr="00743DDA">
        <w:t xml:space="preserve"> tis</w:t>
      </w:r>
      <w:r w:rsidR="000311B1" w:rsidRPr="00743DDA">
        <w:t>íc</w:t>
      </w:r>
      <w:r w:rsidRPr="00743DDA">
        <w:t xml:space="preserve"> mužů. Meziročně vzrostl počet pojištěných žen o </w:t>
      </w:r>
      <w:r w:rsidR="00743DDA" w:rsidRPr="00743DDA">
        <w:t>11</w:t>
      </w:r>
      <w:r w:rsidRPr="00743DDA">
        <w:t xml:space="preserve"> tis</w:t>
      </w:r>
      <w:r w:rsidR="000311B1" w:rsidRPr="00743DDA">
        <w:t>íc</w:t>
      </w:r>
      <w:r w:rsidRPr="00743DDA">
        <w:t xml:space="preserve"> (v relativním vyjádření o </w:t>
      </w:r>
      <w:r w:rsidR="00743DDA" w:rsidRPr="00743DDA">
        <w:t>0,</w:t>
      </w:r>
      <w:r w:rsidR="00A35B38">
        <w:t>4</w:t>
      </w:r>
      <w:r w:rsidR="00743DDA" w:rsidRPr="00743DDA">
        <w:t>5</w:t>
      </w:r>
      <w:r w:rsidR="000311B1" w:rsidRPr="00743DDA">
        <w:t xml:space="preserve"> </w:t>
      </w:r>
      <w:r w:rsidRPr="00743DDA">
        <w:t xml:space="preserve">%), počet mužů </w:t>
      </w:r>
      <w:r w:rsidR="00743DDA" w:rsidRPr="00743DDA">
        <w:t xml:space="preserve">poklesl </w:t>
      </w:r>
      <w:r w:rsidRPr="00743DDA">
        <w:t xml:space="preserve">o </w:t>
      </w:r>
      <w:r w:rsidR="00743DDA" w:rsidRPr="00743DDA">
        <w:t>13</w:t>
      </w:r>
      <w:r w:rsidRPr="00743DDA">
        <w:t> tis</w:t>
      </w:r>
      <w:r w:rsidR="000311B1" w:rsidRPr="00743DDA">
        <w:t>íc</w:t>
      </w:r>
      <w:r w:rsidRPr="00743DDA">
        <w:t xml:space="preserve"> (</w:t>
      </w:r>
      <w:r w:rsidR="00743DDA" w:rsidRPr="00743DDA">
        <w:t>0,55</w:t>
      </w:r>
      <w:r w:rsidR="000311B1" w:rsidRPr="00743DDA">
        <w:t xml:space="preserve"> %)</w:t>
      </w:r>
      <w:r w:rsidRPr="00743DDA">
        <w:t>.</w:t>
      </w:r>
    </w:p>
    <w:p w:rsidR="000511A2" w:rsidRPr="000511A2" w:rsidRDefault="002C6409" w:rsidP="000511A2">
      <w:pPr>
        <w:numPr>
          <w:ilvl w:val="0"/>
          <w:numId w:val="29"/>
        </w:numPr>
        <w:ind w:left="714" w:hanging="357"/>
        <w:rPr>
          <w:i/>
        </w:rPr>
      </w:pPr>
      <w:r>
        <w:t>V roce 2024</w:t>
      </w:r>
      <w:r w:rsidR="000511A2" w:rsidRPr="000511A2">
        <w:t xml:space="preserve"> bylo nahlášeno </w:t>
      </w:r>
      <w:r w:rsidR="000511A2" w:rsidRPr="00DF1250">
        <w:t xml:space="preserve">celkem </w:t>
      </w:r>
      <w:r w:rsidR="000511A2" w:rsidRPr="00DF1250">
        <w:rPr>
          <w:b/>
        </w:rPr>
        <w:t xml:space="preserve">2 </w:t>
      </w:r>
      <w:r w:rsidR="001A562A" w:rsidRPr="00DF1250">
        <w:rPr>
          <w:b/>
        </w:rPr>
        <w:t>476</w:t>
      </w:r>
      <w:r w:rsidR="000511A2" w:rsidRPr="00DF1250">
        <w:rPr>
          <w:b/>
        </w:rPr>
        <w:t xml:space="preserve"> tis</w:t>
      </w:r>
      <w:r w:rsidRPr="00DF1250">
        <w:rPr>
          <w:b/>
        </w:rPr>
        <w:t xml:space="preserve">íc </w:t>
      </w:r>
      <w:r w:rsidR="000511A2" w:rsidRPr="00DF1250">
        <w:rPr>
          <w:b/>
        </w:rPr>
        <w:t>případů dočasné pracovní neschopnosti</w:t>
      </w:r>
      <w:r w:rsidR="000511A2" w:rsidRPr="00DF1250">
        <w:t xml:space="preserve">. Ve srovnání s rokem 2019 (tedy obdobím před pandemií) přibylo </w:t>
      </w:r>
      <w:r w:rsidR="00DF1250" w:rsidRPr="00DF1250">
        <w:t>561</w:t>
      </w:r>
      <w:r w:rsidR="000511A2" w:rsidRPr="00DF1250">
        <w:t xml:space="preserve"> tis</w:t>
      </w:r>
      <w:r w:rsidRPr="00DF1250">
        <w:t>íc</w:t>
      </w:r>
      <w:r w:rsidR="000511A2" w:rsidRPr="000511A2">
        <w:t xml:space="preserve"> případů. </w:t>
      </w:r>
      <w:r w:rsidR="000511A2" w:rsidRPr="000511A2">
        <w:rPr>
          <w:b/>
        </w:rPr>
        <w:t xml:space="preserve">Ženy </w:t>
      </w:r>
      <w:r w:rsidR="000511A2" w:rsidRPr="000511A2">
        <w:t xml:space="preserve">nahlásily </w:t>
      </w:r>
      <w:r w:rsidR="000511A2" w:rsidRPr="00DF1250">
        <w:t>1 </w:t>
      </w:r>
      <w:r w:rsidR="00DF1250" w:rsidRPr="00DF1250">
        <w:t>362</w:t>
      </w:r>
      <w:r w:rsidRPr="00DF1250">
        <w:t xml:space="preserve"> tisíc</w:t>
      </w:r>
      <w:r w:rsidR="000511A2" w:rsidRPr="00DF1250">
        <w:t xml:space="preserve"> neschopenek, zatímco </w:t>
      </w:r>
      <w:r w:rsidR="000511A2" w:rsidRPr="00DF1250">
        <w:rPr>
          <w:b/>
        </w:rPr>
        <w:t>muži</w:t>
      </w:r>
      <w:r w:rsidR="000511A2" w:rsidRPr="00DF1250">
        <w:t xml:space="preserve"> o </w:t>
      </w:r>
      <w:r w:rsidRPr="00DF1250">
        <w:t>něco</w:t>
      </w:r>
      <w:r w:rsidR="000511A2" w:rsidRPr="00DF1250">
        <w:t xml:space="preserve"> </w:t>
      </w:r>
      <w:r w:rsidR="000511A2" w:rsidRPr="00DF1250">
        <w:rPr>
          <w:b/>
        </w:rPr>
        <w:t>méně</w:t>
      </w:r>
      <w:r w:rsidR="000511A2" w:rsidRPr="00DF1250">
        <w:t xml:space="preserve">, a sice 1 </w:t>
      </w:r>
      <w:r w:rsidR="00DF1250" w:rsidRPr="00DF1250">
        <w:t>114</w:t>
      </w:r>
      <w:r w:rsidRPr="00DF1250">
        <w:t xml:space="preserve"> tisíc</w:t>
      </w:r>
      <w:r>
        <w:t xml:space="preserve"> pracovních neschopností.</w:t>
      </w:r>
    </w:p>
    <w:p w:rsidR="000511A2" w:rsidRPr="000511A2" w:rsidRDefault="000511A2" w:rsidP="000511A2">
      <w:pPr>
        <w:numPr>
          <w:ilvl w:val="0"/>
          <w:numId w:val="29"/>
        </w:numPr>
        <w:ind w:left="714" w:hanging="357"/>
      </w:pPr>
      <w:r w:rsidRPr="000511A2">
        <w:t>Srovnáme-li současný stav s obdobím před pandemií</w:t>
      </w:r>
      <w:r w:rsidR="002C6409">
        <w:t xml:space="preserve"> (rokem 2019)</w:t>
      </w:r>
      <w:r w:rsidRPr="000511A2">
        <w:t xml:space="preserve">, počet </w:t>
      </w:r>
      <w:r w:rsidRPr="000511A2">
        <w:rPr>
          <w:b/>
        </w:rPr>
        <w:t>neschopenek</w:t>
      </w:r>
      <w:r w:rsidRPr="000511A2">
        <w:t xml:space="preserve"> </w:t>
      </w:r>
      <w:r w:rsidRPr="000511A2">
        <w:rPr>
          <w:b/>
        </w:rPr>
        <w:t>pro nemoc</w:t>
      </w:r>
      <w:r w:rsidRPr="000511A2">
        <w:t xml:space="preserve"> se </w:t>
      </w:r>
      <w:r w:rsidRPr="00DF1250">
        <w:t>zvýšil o </w:t>
      </w:r>
      <w:r w:rsidR="00DF1250" w:rsidRPr="00DF1250">
        <w:t>32</w:t>
      </w:r>
      <w:r w:rsidR="00DF1250">
        <w:t>,5</w:t>
      </w:r>
      <w:r w:rsidRPr="000511A2">
        <w:t xml:space="preserve"> %. </w:t>
      </w:r>
      <w:r w:rsidRPr="000511A2">
        <w:rPr>
          <w:b/>
        </w:rPr>
        <w:t xml:space="preserve">U </w:t>
      </w:r>
      <w:r w:rsidRPr="00DF1250">
        <w:rPr>
          <w:b/>
        </w:rPr>
        <w:t>mužů</w:t>
      </w:r>
      <w:r w:rsidRPr="00DF1250">
        <w:t xml:space="preserve"> vzrostl o </w:t>
      </w:r>
      <w:r w:rsidR="00DF1250" w:rsidRPr="00DF1250">
        <w:t>28</w:t>
      </w:r>
      <w:r w:rsidR="00DD1237" w:rsidRPr="00DF1250">
        <w:t xml:space="preserve"> % (o </w:t>
      </w:r>
      <w:r w:rsidRPr="00DF1250">
        <w:t>2</w:t>
      </w:r>
      <w:r w:rsidR="00DF1250" w:rsidRPr="00DF1250">
        <w:t>14</w:t>
      </w:r>
      <w:r w:rsidRPr="00DF1250">
        <w:t xml:space="preserve"> tis</w:t>
      </w:r>
      <w:r w:rsidR="00DD1237" w:rsidRPr="00DF1250">
        <w:t>íc</w:t>
      </w:r>
      <w:r w:rsidRPr="00DF1250">
        <w:t xml:space="preserve">), </w:t>
      </w:r>
      <w:r w:rsidRPr="00DF1250">
        <w:rPr>
          <w:b/>
        </w:rPr>
        <w:t>u žen</w:t>
      </w:r>
      <w:r w:rsidRPr="00DF1250">
        <w:t xml:space="preserve"> o </w:t>
      </w:r>
      <w:r w:rsidR="00DF1250" w:rsidRPr="00DF1250">
        <w:t>36</w:t>
      </w:r>
      <w:r w:rsidRPr="00DF1250">
        <w:t xml:space="preserve"> % (</w:t>
      </w:r>
      <w:r w:rsidR="00DF1250" w:rsidRPr="00DF1250">
        <w:t>o 341</w:t>
      </w:r>
      <w:r w:rsidRPr="00DF1250">
        <w:t xml:space="preserve"> tis</w:t>
      </w:r>
      <w:r w:rsidR="00DD1237" w:rsidRPr="00DF1250">
        <w:t>íc</w:t>
      </w:r>
      <w:r w:rsidRPr="00DF1250">
        <w:t>).</w:t>
      </w:r>
      <w:r w:rsidRPr="000511A2">
        <w:t xml:space="preserve"> Celkem bylo v roce 202</w:t>
      </w:r>
      <w:r w:rsidR="002C6409">
        <w:t>4</w:t>
      </w:r>
      <w:r w:rsidRPr="000511A2">
        <w:t xml:space="preserve"> </w:t>
      </w:r>
      <w:r w:rsidRPr="00DF1250">
        <w:t xml:space="preserve">nahlášeno 2 </w:t>
      </w:r>
      <w:r w:rsidR="00DF1250" w:rsidRPr="00DF1250">
        <w:t>267</w:t>
      </w:r>
      <w:r w:rsidRPr="00DF1250">
        <w:t xml:space="preserve"> tis</w:t>
      </w:r>
      <w:r w:rsidR="002C6409" w:rsidRPr="00DF1250">
        <w:t>íc</w:t>
      </w:r>
      <w:r w:rsidRPr="00DF1250">
        <w:t xml:space="preserve"> případů pracovní</w:t>
      </w:r>
      <w:r w:rsidRPr="000511A2">
        <w:t xml:space="preserve"> neschopnosti pro nemoc.</w:t>
      </w:r>
    </w:p>
    <w:p w:rsidR="000511A2" w:rsidRPr="000511A2" w:rsidRDefault="000511A2" w:rsidP="000511A2">
      <w:pPr>
        <w:numPr>
          <w:ilvl w:val="0"/>
          <w:numId w:val="29"/>
        </w:numPr>
        <w:ind w:left="714" w:hanging="357"/>
      </w:pPr>
      <w:r w:rsidRPr="000511A2">
        <w:t xml:space="preserve">Pro </w:t>
      </w:r>
      <w:r w:rsidRPr="000511A2">
        <w:rPr>
          <w:b/>
        </w:rPr>
        <w:t xml:space="preserve">pracovní úraz </w:t>
      </w:r>
      <w:r w:rsidR="0053385B">
        <w:t xml:space="preserve">bylo </w:t>
      </w:r>
      <w:r w:rsidR="0053385B" w:rsidRPr="00DF1250">
        <w:t>vystaveno 44 tisíc</w:t>
      </w:r>
      <w:r w:rsidRPr="00DF1250">
        <w:t xml:space="preserve"> neschopenek, tj. o </w:t>
      </w:r>
      <w:r w:rsidR="00DF1250" w:rsidRPr="00DF1250">
        <w:t>339</w:t>
      </w:r>
      <w:r w:rsidR="0053385B" w:rsidRPr="00DF1250">
        <w:t xml:space="preserve"> </w:t>
      </w:r>
      <w:r w:rsidRPr="00DF1250">
        <w:t>méně</w:t>
      </w:r>
      <w:r w:rsidR="0053385B">
        <w:t xml:space="preserve"> než v roce 2023</w:t>
      </w:r>
      <w:r w:rsidRPr="000511A2">
        <w:t xml:space="preserve">. </w:t>
      </w:r>
    </w:p>
    <w:p w:rsidR="000511A2" w:rsidRPr="00DF1250" w:rsidRDefault="000511A2" w:rsidP="000511A2">
      <w:pPr>
        <w:numPr>
          <w:ilvl w:val="0"/>
          <w:numId w:val="29"/>
        </w:numPr>
        <w:ind w:left="714" w:hanging="357"/>
      </w:pPr>
      <w:r w:rsidRPr="000511A2">
        <w:t>V roce 202</w:t>
      </w:r>
      <w:r w:rsidR="0053385B">
        <w:t>4</w:t>
      </w:r>
      <w:r w:rsidRPr="000511A2">
        <w:rPr>
          <w:b/>
        </w:rPr>
        <w:t xml:space="preserve"> na 100 pojištěnců</w:t>
      </w:r>
      <w:r w:rsidR="0053385B">
        <w:t xml:space="preserve"> </w:t>
      </w:r>
      <w:r w:rsidR="00DF1250" w:rsidRPr="00DF1250">
        <w:t>připadalo 52</w:t>
      </w:r>
      <w:r w:rsidRPr="000511A2">
        <w:t xml:space="preserve"> nově hlášených </w:t>
      </w:r>
      <w:r w:rsidRPr="000511A2">
        <w:rPr>
          <w:b/>
        </w:rPr>
        <w:t>případů</w:t>
      </w:r>
      <w:r w:rsidRPr="000511A2">
        <w:t xml:space="preserve"> dočasné </w:t>
      </w:r>
      <w:r w:rsidRPr="000511A2">
        <w:rPr>
          <w:b/>
        </w:rPr>
        <w:t>pracovní neschopnosti</w:t>
      </w:r>
      <w:r w:rsidR="0053385B">
        <w:t>, o </w:t>
      </w:r>
      <w:r w:rsidR="00DF1250" w:rsidRPr="00DF1250">
        <w:t>11</w:t>
      </w:r>
      <w:r w:rsidR="0053385B" w:rsidRPr="00DF1250">
        <w:t>,5</w:t>
      </w:r>
      <w:r w:rsidRPr="00DF1250">
        <w:t> </w:t>
      </w:r>
      <w:r w:rsidR="0053385B" w:rsidRPr="00DF1250">
        <w:t xml:space="preserve">případů </w:t>
      </w:r>
      <w:r w:rsidRPr="00DF1250">
        <w:t>více než v roce 2019. Tento ukazatel oproti době před pandemií (2019) vzrostl ve všech odvětvových sekcích</w:t>
      </w:r>
      <w:r w:rsidR="00DF1250">
        <w:t xml:space="preserve"> (CZ-NACE)</w:t>
      </w:r>
      <w:r w:rsidRPr="000511A2">
        <w:t xml:space="preserve">. Nejvíce </w:t>
      </w:r>
      <w:r w:rsidRPr="000511A2">
        <w:rPr>
          <w:rFonts w:cs="Arial"/>
        </w:rPr>
        <w:t xml:space="preserve">v oblasti </w:t>
      </w:r>
      <w:r w:rsidRPr="000511A2">
        <w:rPr>
          <w:rFonts w:cs="Arial"/>
          <w:b/>
        </w:rPr>
        <w:t>Vzdělávání</w:t>
      </w:r>
      <w:r w:rsidRPr="000511A2">
        <w:rPr>
          <w:rFonts w:cs="Arial"/>
        </w:rPr>
        <w:t xml:space="preserve">, a </w:t>
      </w:r>
      <w:r w:rsidRPr="00DF1250">
        <w:rPr>
          <w:rFonts w:cs="Arial"/>
        </w:rPr>
        <w:t xml:space="preserve">to o </w:t>
      </w:r>
      <w:r w:rsidR="00DF1250" w:rsidRPr="00DF1250">
        <w:rPr>
          <w:rFonts w:cs="Arial"/>
        </w:rPr>
        <w:t xml:space="preserve">20,6 </w:t>
      </w:r>
      <w:r w:rsidRPr="00DF1250">
        <w:rPr>
          <w:rFonts w:cs="Arial"/>
        </w:rPr>
        <w:t xml:space="preserve">případů na 100 pojištěnců, tedy o </w:t>
      </w:r>
      <w:r w:rsidR="00DF1250" w:rsidRPr="00DF1250">
        <w:rPr>
          <w:rFonts w:cs="Arial"/>
        </w:rPr>
        <w:t>57</w:t>
      </w:r>
      <w:r w:rsidRPr="00DF1250">
        <w:rPr>
          <w:rFonts w:cs="Arial"/>
        </w:rPr>
        <w:t xml:space="preserve"> %.</w:t>
      </w:r>
    </w:p>
    <w:p w:rsidR="000511A2" w:rsidRPr="000511A2" w:rsidRDefault="0070059D" w:rsidP="000511A2">
      <w:pPr>
        <w:numPr>
          <w:ilvl w:val="0"/>
          <w:numId w:val="29"/>
        </w:numPr>
        <w:ind w:left="714" w:hanging="357"/>
      </w:pPr>
      <w:r>
        <w:t>Celkově strávili pojištěnci v </w:t>
      </w:r>
      <w:r w:rsidR="000511A2" w:rsidRPr="000511A2">
        <w:t>roce</w:t>
      </w:r>
      <w:r>
        <w:t xml:space="preserve"> 2024</w:t>
      </w:r>
      <w:r w:rsidR="000511A2" w:rsidRPr="000511A2">
        <w:t xml:space="preserve"> </w:t>
      </w:r>
      <w:r w:rsidR="00F9319B">
        <w:rPr>
          <w:b/>
        </w:rPr>
        <w:t xml:space="preserve">v pracovní </w:t>
      </w:r>
      <w:r w:rsidR="00EB098A" w:rsidRPr="00EB098A">
        <w:rPr>
          <w:b/>
        </w:rPr>
        <w:t>neschopnosti 78 482</w:t>
      </w:r>
      <w:r w:rsidR="000511A2" w:rsidRPr="00EB098A">
        <w:rPr>
          <w:b/>
        </w:rPr>
        <w:t xml:space="preserve"> tis</w:t>
      </w:r>
      <w:r w:rsidR="00F9319B" w:rsidRPr="00EB098A">
        <w:rPr>
          <w:b/>
        </w:rPr>
        <w:t>íc</w:t>
      </w:r>
      <w:r w:rsidR="000511A2" w:rsidRPr="00EB098A">
        <w:rPr>
          <w:b/>
        </w:rPr>
        <w:t xml:space="preserve"> dnů</w:t>
      </w:r>
      <w:r w:rsidR="000511A2" w:rsidRPr="00783528">
        <w:t>, o </w:t>
      </w:r>
      <w:r w:rsidR="00783528" w:rsidRPr="00783528">
        <w:t>jedno procento</w:t>
      </w:r>
      <w:r w:rsidR="000511A2" w:rsidRPr="000511A2">
        <w:t xml:space="preserve"> méně než v roce 2019.</w:t>
      </w:r>
    </w:p>
    <w:p w:rsidR="000511A2" w:rsidRPr="00783528" w:rsidRDefault="000511A2" w:rsidP="000511A2">
      <w:pPr>
        <w:numPr>
          <w:ilvl w:val="0"/>
          <w:numId w:val="29"/>
        </w:numPr>
        <w:ind w:left="714" w:hanging="357"/>
      </w:pPr>
      <w:r w:rsidRPr="000511A2">
        <w:t xml:space="preserve">Zatímco během </w:t>
      </w:r>
      <w:r w:rsidR="00F9319B">
        <w:t>období epidemie COVID-19</w:t>
      </w:r>
      <w:r w:rsidRPr="000511A2">
        <w:t xml:space="preserve"> se průměrná délka trvání </w:t>
      </w:r>
      <w:r w:rsidR="00F9319B">
        <w:t xml:space="preserve">jednoho </w:t>
      </w:r>
      <w:r w:rsidRPr="000511A2">
        <w:t>případu pracovní neschopnosti snižovala (z důvodu velkého množství krátkodobých pracovních neschopností pro nemoc, tedy vč. karantén), v roce 202</w:t>
      </w:r>
      <w:r w:rsidR="00F9319B">
        <w:t>4</w:t>
      </w:r>
      <w:r w:rsidRPr="000511A2">
        <w:t xml:space="preserve"> došlo v průměru k prodloužení neschopenky. </w:t>
      </w:r>
      <w:r w:rsidRPr="000511A2">
        <w:rPr>
          <w:b/>
        </w:rPr>
        <w:t>Průměrná délka</w:t>
      </w:r>
      <w:r w:rsidRPr="000511A2">
        <w:t xml:space="preserve"> </w:t>
      </w:r>
      <w:r w:rsidRPr="000511A2">
        <w:rPr>
          <w:b/>
        </w:rPr>
        <w:t>trvání pracovní neschopnosti</w:t>
      </w:r>
      <w:r w:rsidR="00F9319B">
        <w:t xml:space="preserve"> meziročně </w:t>
      </w:r>
      <w:r w:rsidR="00F9319B" w:rsidRPr="00AC6CB7">
        <w:t>vzrostla z</w:t>
      </w:r>
      <w:r w:rsidRPr="00AC6CB7">
        <w:t xml:space="preserve"> </w:t>
      </w:r>
      <w:r w:rsidR="00F9319B" w:rsidRPr="00AC6CB7">
        <w:t>31,4 dne v</w:t>
      </w:r>
      <w:r w:rsidR="00F9319B">
        <w:t> roce 2023</w:t>
      </w:r>
      <w:r w:rsidRPr="000511A2">
        <w:t xml:space="preserve"> </w:t>
      </w:r>
      <w:r w:rsidRPr="00783528">
        <w:t>na 31,</w:t>
      </w:r>
      <w:r w:rsidR="00783528" w:rsidRPr="00783528">
        <w:t>7</w:t>
      </w:r>
      <w:r w:rsidRPr="00783528">
        <w:t> dne o rok později. Oproti roku 2019 klesla o 1</w:t>
      </w:r>
      <w:r w:rsidR="00783528" w:rsidRPr="00783528">
        <w:t>0,7</w:t>
      </w:r>
      <w:r w:rsidRPr="00783528">
        <w:t> dnů.</w:t>
      </w:r>
    </w:p>
    <w:p w:rsidR="000511A2" w:rsidRPr="00783528" w:rsidRDefault="000511A2" w:rsidP="000511A2">
      <w:pPr>
        <w:numPr>
          <w:ilvl w:val="0"/>
          <w:numId w:val="29"/>
        </w:numPr>
        <w:ind w:left="714" w:hanging="357"/>
      </w:pPr>
      <w:r w:rsidRPr="000511A2">
        <w:rPr>
          <w:b/>
        </w:rPr>
        <w:t>Ženy</w:t>
      </w:r>
      <w:r w:rsidRPr="000511A2">
        <w:t xml:space="preserve"> strávily v pracovní neschopnosti v</w:t>
      </w:r>
      <w:r w:rsidR="000072CF">
        <w:t xml:space="preserve"> roce 2024 v </w:t>
      </w:r>
      <w:r w:rsidRPr="000511A2">
        <w:t xml:space="preserve">průměru na 1 </w:t>
      </w:r>
      <w:r w:rsidRPr="00783528">
        <w:t>případ 31</w:t>
      </w:r>
      <w:r w:rsidR="000072CF" w:rsidRPr="00783528">
        <w:t xml:space="preserve">,4 dní, muži </w:t>
      </w:r>
      <w:r w:rsidR="00783528" w:rsidRPr="00783528">
        <w:t>32,1</w:t>
      </w:r>
      <w:r w:rsidR="000072CF" w:rsidRPr="00783528">
        <w:t xml:space="preserve"> dní</w:t>
      </w:r>
      <w:r w:rsidRPr="000511A2">
        <w:t>. Ženám se meziročně prodloužila průměrná délka pobytu v pracovní nes</w:t>
      </w:r>
      <w:r w:rsidR="000072CF">
        <w:t xml:space="preserve">chopnosti </w:t>
      </w:r>
      <w:r w:rsidR="000072CF" w:rsidRPr="00783528">
        <w:t xml:space="preserve">o 0,4 dne, mužům o </w:t>
      </w:r>
      <w:r w:rsidR="00783528" w:rsidRPr="00783528">
        <w:t>0,2</w:t>
      </w:r>
      <w:r w:rsidR="000072CF" w:rsidRPr="00783528">
        <w:t xml:space="preserve"> dne.</w:t>
      </w:r>
    </w:p>
    <w:p w:rsidR="000511A2" w:rsidRPr="000511A2" w:rsidRDefault="00CE2D5F" w:rsidP="00CE2D5F">
      <w:pPr>
        <w:numPr>
          <w:ilvl w:val="0"/>
          <w:numId w:val="29"/>
        </w:numPr>
      </w:pPr>
      <w:r>
        <w:t>Nejvyšší p</w:t>
      </w:r>
      <w:r w:rsidRPr="00CE2D5F">
        <w:t>růměrn</w:t>
      </w:r>
      <w:r w:rsidR="00283C05">
        <w:t>ou délku</w:t>
      </w:r>
      <w:r w:rsidRPr="00CE2D5F">
        <w:t xml:space="preserve"> trvání dočasné pracovní neschopnosti</w:t>
      </w:r>
      <w:r w:rsidR="000511A2" w:rsidRPr="000511A2">
        <w:t xml:space="preserve"> </w:t>
      </w:r>
      <w:r w:rsidR="00283C05">
        <w:t>vykazovaly</w:t>
      </w:r>
      <w:r w:rsidR="000511A2" w:rsidRPr="000511A2">
        <w:t xml:space="preserve"> v</w:t>
      </w:r>
      <w:r w:rsidR="00283C05">
        <w:t xml:space="preserve"> roce 2024 sekce </w:t>
      </w:r>
      <w:r w:rsidR="000511A2" w:rsidRPr="000511A2">
        <w:t>Zemědělství, lesnictví, rybářství</w:t>
      </w:r>
      <w:r w:rsidR="00283C05">
        <w:t xml:space="preserve"> </w:t>
      </w:r>
      <w:r w:rsidR="00283C05" w:rsidRPr="00783528">
        <w:t>(</w:t>
      </w:r>
      <w:r w:rsidR="00783528">
        <w:t>45,1 dnů</w:t>
      </w:r>
      <w:r w:rsidR="00283C05" w:rsidRPr="00783528">
        <w:t>)</w:t>
      </w:r>
      <w:r w:rsidR="000511A2" w:rsidRPr="00783528">
        <w:t>,</w:t>
      </w:r>
      <w:r w:rsidR="000511A2" w:rsidRPr="000511A2">
        <w:t xml:space="preserve"> </w:t>
      </w:r>
      <w:r w:rsidR="00283C05" w:rsidRPr="00783528">
        <w:t>Stavebnictví (</w:t>
      </w:r>
      <w:r w:rsidR="00783528">
        <w:t>42,2</w:t>
      </w:r>
      <w:r w:rsidR="00283C05" w:rsidRPr="00783528">
        <w:t>) a Těžba a dobývání (</w:t>
      </w:r>
      <w:r w:rsidR="00783528">
        <w:t>40,7</w:t>
      </w:r>
      <w:r w:rsidR="00283C05" w:rsidRPr="00783528">
        <w:t>).</w:t>
      </w:r>
      <w:r w:rsidR="00283C05">
        <w:t xml:space="preserve"> </w:t>
      </w:r>
      <w:r w:rsidR="00783528">
        <w:t xml:space="preserve">Nejkratší naopak </w:t>
      </w:r>
      <w:r w:rsidR="0075176D">
        <w:t xml:space="preserve">sekce </w:t>
      </w:r>
      <w:r w:rsidR="00783528">
        <w:t>Informační</w:t>
      </w:r>
      <w:r w:rsidR="000511A2" w:rsidRPr="000511A2">
        <w:t xml:space="preserve"> a ko</w:t>
      </w:r>
      <w:r w:rsidR="00783528">
        <w:t xml:space="preserve">munikační </w:t>
      </w:r>
      <w:r w:rsidR="00783528" w:rsidRPr="00783528">
        <w:t>činnosti</w:t>
      </w:r>
      <w:r w:rsidR="000511A2" w:rsidRPr="00783528">
        <w:t xml:space="preserve"> (18</w:t>
      </w:r>
      <w:r w:rsidR="00783528" w:rsidRPr="00783528">
        <w:t>,1</w:t>
      </w:r>
      <w:r w:rsidR="000511A2" w:rsidRPr="00783528">
        <w:t>)</w:t>
      </w:r>
      <w:r w:rsidR="00783528" w:rsidRPr="00783528">
        <w:t xml:space="preserve"> a </w:t>
      </w:r>
      <w:r w:rsidR="000511A2" w:rsidRPr="00783528">
        <w:t>Vzdělávání (20</w:t>
      </w:r>
      <w:r w:rsidR="00283C05" w:rsidRPr="00783528">
        <w:t>,9</w:t>
      </w:r>
      <w:r w:rsidR="000511A2" w:rsidRPr="00783528">
        <w:t>).</w:t>
      </w:r>
    </w:p>
    <w:p w:rsidR="000511A2" w:rsidRPr="00FC45A6" w:rsidRDefault="000511A2" w:rsidP="000511A2">
      <w:pPr>
        <w:numPr>
          <w:ilvl w:val="0"/>
          <w:numId w:val="29"/>
        </w:numPr>
        <w:ind w:left="714" w:hanging="357"/>
      </w:pPr>
      <w:r w:rsidRPr="000511A2">
        <w:rPr>
          <w:b/>
        </w:rPr>
        <w:t xml:space="preserve">Průměrné procento dočasné pracovní neschopnosti </w:t>
      </w:r>
      <w:r w:rsidR="00E446B1">
        <w:t>v roce 2024</w:t>
      </w:r>
      <w:r w:rsidR="005F25A8">
        <w:t xml:space="preserve"> dosáhlo </w:t>
      </w:r>
      <w:r w:rsidR="005F25A8" w:rsidRPr="00783528">
        <w:t>hodnoty 4</w:t>
      </w:r>
      <w:r w:rsidR="00783528" w:rsidRPr="00783528">
        <w:t>,5</w:t>
      </w:r>
      <w:r w:rsidRPr="00783528">
        <w:t>.</w:t>
      </w:r>
      <w:r w:rsidRPr="000511A2">
        <w:t xml:space="preserve"> V</w:t>
      </w:r>
      <w:r w:rsidR="005F25A8">
        <w:t xml:space="preserve"> případě mužů činila </w:t>
      </w:r>
      <w:r w:rsidR="005F25A8" w:rsidRPr="00FC45A6">
        <w:t xml:space="preserve">hodnota </w:t>
      </w:r>
      <w:r w:rsidR="00783528" w:rsidRPr="00FC45A6">
        <w:t>4,2</w:t>
      </w:r>
      <w:r w:rsidR="005F25A8" w:rsidRPr="00FC45A6">
        <w:t xml:space="preserve"> %, u </w:t>
      </w:r>
      <w:r w:rsidR="00783528" w:rsidRPr="00FC45A6">
        <w:t>žen 4,8</w:t>
      </w:r>
      <w:r w:rsidRPr="00FC45A6">
        <w:t xml:space="preserve"> %. Průměrné procento</w:t>
      </w:r>
      <w:r w:rsidR="00783528" w:rsidRPr="00FC45A6">
        <w:t xml:space="preserve"> dočasné pracovní neschopnosti</w:t>
      </w:r>
      <w:r w:rsidRPr="00FC45A6">
        <w:t xml:space="preserve"> s</w:t>
      </w:r>
      <w:r w:rsidR="005F25A8" w:rsidRPr="00FC45A6">
        <w:t>e oproti roku 2019 snížilo o 0,</w:t>
      </w:r>
      <w:r w:rsidR="00FC45A6" w:rsidRPr="00FC45A6">
        <w:t>2</w:t>
      </w:r>
      <w:r w:rsidRPr="00FC45A6">
        <w:t xml:space="preserve"> p. b.</w:t>
      </w:r>
    </w:p>
    <w:p w:rsidR="000511A2" w:rsidRPr="000511A2" w:rsidRDefault="000511A2" w:rsidP="000511A2">
      <w:pPr>
        <w:numPr>
          <w:ilvl w:val="0"/>
          <w:numId w:val="29"/>
        </w:numPr>
        <w:ind w:left="714" w:hanging="357"/>
      </w:pPr>
      <w:r w:rsidRPr="000511A2">
        <w:t>Během roku 202</w:t>
      </w:r>
      <w:r w:rsidR="00BB4F32">
        <w:t>4</w:t>
      </w:r>
      <w:r w:rsidRPr="000511A2">
        <w:t xml:space="preserve"> v Česk</w:t>
      </w:r>
      <w:r w:rsidR="00BB4F32">
        <w:t>u</w:t>
      </w:r>
      <w:r w:rsidRPr="000511A2">
        <w:t xml:space="preserve"> kvůli dočasné pracovní neschopnosti </w:t>
      </w:r>
      <w:r w:rsidR="00BB4F32">
        <w:t xml:space="preserve">pro nemoc či úraz </w:t>
      </w:r>
      <w:r w:rsidRPr="000511A2">
        <w:rPr>
          <w:b/>
        </w:rPr>
        <w:t>denně</w:t>
      </w:r>
      <w:r w:rsidR="00BB4F32">
        <w:rPr>
          <w:b/>
        </w:rPr>
        <w:t xml:space="preserve"> chybělo</w:t>
      </w:r>
      <w:r w:rsidRPr="000511A2">
        <w:rPr>
          <w:b/>
        </w:rPr>
        <w:t xml:space="preserve"> na </w:t>
      </w:r>
      <w:r w:rsidRPr="00FC45A6">
        <w:rPr>
          <w:b/>
        </w:rPr>
        <w:t>pracovištích 21</w:t>
      </w:r>
      <w:r w:rsidR="00FC45A6" w:rsidRPr="00FC45A6">
        <w:rPr>
          <w:b/>
        </w:rPr>
        <w:t>4</w:t>
      </w:r>
      <w:r w:rsidR="00BB4F32" w:rsidRPr="00FC45A6">
        <w:rPr>
          <w:b/>
        </w:rPr>
        <w:t>,</w:t>
      </w:r>
      <w:r w:rsidR="00FC45A6" w:rsidRPr="00FC45A6">
        <w:rPr>
          <w:b/>
        </w:rPr>
        <w:t>4</w:t>
      </w:r>
      <w:r w:rsidR="00BB4F32" w:rsidRPr="00FC45A6">
        <w:rPr>
          <w:b/>
        </w:rPr>
        <w:t xml:space="preserve"> tisíc</w:t>
      </w:r>
      <w:r w:rsidRPr="00FC45A6">
        <w:rPr>
          <w:b/>
        </w:rPr>
        <w:t xml:space="preserve"> nemocensky</w:t>
      </w:r>
      <w:r w:rsidRPr="000511A2">
        <w:rPr>
          <w:b/>
        </w:rPr>
        <w:t xml:space="preserve"> pojištěných osob</w:t>
      </w:r>
      <w:r w:rsidRPr="000511A2">
        <w:t xml:space="preserve">, což bylo ve srovnání s rokem 2019 přibližně </w:t>
      </w:r>
      <w:r w:rsidRPr="00FC45A6">
        <w:t>o </w:t>
      </w:r>
      <w:r w:rsidR="00FC45A6" w:rsidRPr="00FC45A6">
        <w:t>8</w:t>
      </w:r>
      <w:r w:rsidR="00BB4F32" w:rsidRPr="00FC45A6">
        <w:t xml:space="preserve"> tisíc (3</w:t>
      </w:r>
      <w:r w:rsidR="00FC45A6" w:rsidRPr="00FC45A6">
        <w:t>,6</w:t>
      </w:r>
      <w:r w:rsidRPr="00FC45A6">
        <w:t> %) zaměstnaných osob méně</w:t>
      </w:r>
      <w:r w:rsidRPr="000511A2">
        <w:t>.</w:t>
      </w:r>
    </w:p>
    <w:p w:rsidR="000511A2" w:rsidRDefault="000511A2" w:rsidP="000511A2">
      <w:pPr>
        <w:numPr>
          <w:ilvl w:val="0"/>
          <w:numId w:val="29"/>
        </w:numPr>
        <w:ind w:left="714" w:hanging="357"/>
      </w:pPr>
      <w:r w:rsidRPr="000511A2">
        <w:t>Více než dvě pětiny (42</w:t>
      </w:r>
      <w:r w:rsidR="00BB4F32">
        <w:t>,6</w:t>
      </w:r>
      <w:r w:rsidRPr="000511A2">
        <w:t xml:space="preserve"> %) </w:t>
      </w:r>
      <w:r w:rsidR="00BB4F32">
        <w:t xml:space="preserve">ukončených </w:t>
      </w:r>
      <w:r w:rsidRPr="000511A2">
        <w:t xml:space="preserve">případů pracovní neschopnosti byly spojeny s </w:t>
      </w:r>
      <w:r w:rsidR="00BB4F32">
        <w:rPr>
          <w:b/>
        </w:rPr>
        <w:t>nemocemi</w:t>
      </w:r>
      <w:r w:rsidRPr="000511A2">
        <w:rPr>
          <w:b/>
        </w:rPr>
        <w:t xml:space="preserve"> dýchací soustavy</w:t>
      </w:r>
      <w:r w:rsidR="00A85DFF">
        <w:t>, které</w:t>
      </w:r>
      <w:r w:rsidRPr="000511A2">
        <w:t xml:space="preserve"> </w:t>
      </w:r>
      <w:r w:rsidR="00A85DFF">
        <w:t xml:space="preserve">si v </w:t>
      </w:r>
      <w:r w:rsidRPr="000511A2">
        <w:t xml:space="preserve">průměru </w:t>
      </w:r>
      <w:r w:rsidR="00A85DFF">
        <w:t xml:space="preserve">vyžádaly </w:t>
      </w:r>
      <w:r w:rsidRPr="000511A2">
        <w:t xml:space="preserve">12 dnů </w:t>
      </w:r>
      <w:r w:rsidR="00A85DFF">
        <w:t xml:space="preserve">pracovní neschopnosti </w:t>
      </w:r>
      <w:r w:rsidRPr="000511A2">
        <w:t xml:space="preserve">na </w:t>
      </w:r>
      <w:r w:rsidR="00A85DFF">
        <w:t xml:space="preserve">jeden </w:t>
      </w:r>
      <w:r w:rsidRPr="000511A2">
        <w:t xml:space="preserve">případ. </w:t>
      </w:r>
      <w:r w:rsidRPr="000511A2">
        <w:rPr>
          <w:b/>
        </w:rPr>
        <w:t xml:space="preserve">Nemoci pohybové soustavy </w:t>
      </w:r>
      <w:r w:rsidRPr="000511A2">
        <w:t>způsobily 15 % pracovních neschopností s průměrnou délkou</w:t>
      </w:r>
      <w:r w:rsidR="00A85DFF">
        <w:t xml:space="preserve"> trvání 61 dní</w:t>
      </w:r>
      <w:r w:rsidRPr="000511A2">
        <w:t>.</w:t>
      </w:r>
    </w:p>
    <w:p w:rsidR="00947FF1" w:rsidRPr="00947FF1" w:rsidRDefault="00A85DFF" w:rsidP="00D15656">
      <w:pPr>
        <w:numPr>
          <w:ilvl w:val="0"/>
          <w:numId w:val="29"/>
        </w:numPr>
        <w:ind w:left="714" w:hanging="357"/>
      </w:pPr>
      <w:r>
        <w:t>Za rok 2024</w:t>
      </w:r>
      <w:r w:rsidR="000511A2" w:rsidRPr="000511A2">
        <w:t xml:space="preserve"> bylo pojištěncům</w:t>
      </w:r>
      <w:r>
        <w:t xml:space="preserve"> vyplaceno nemocenské ve výši 34 miliard</w:t>
      </w:r>
      <w:r w:rsidR="000511A2" w:rsidRPr="000511A2">
        <w:t xml:space="preserve"> Kč. Meziročně výdaje </w:t>
      </w:r>
      <w:r>
        <w:t>na nemocenské vzrostly o 2,4 miliardy Kč, tj. o 7,5</w:t>
      </w:r>
      <w:r w:rsidR="000511A2" w:rsidRPr="000511A2">
        <w:t xml:space="preserve"> %. Výdaje na nemocenské v přepočtu na jednoho pojištěnce činily </w:t>
      </w:r>
      <w:r w:rsidR="00FC45A6">
        <w:t>7 147</w:t>
      </w:r>
      <w:r w:rsidR="000511A2" w:rsidRPr="000511A2">
        <w:t> Kč.</w:t>
      </w:r>
    </w:p>
    <w:sectPr w:rsidR="00947FF1" w:rsidRPr="00947FF1" w:rsidSect="00D15656">
      <w:headerReference w:type="even" r:id="rId32"/>
      <w:headerReference w:type="default" r:id="rId33"/>
      <w:footerReference w:type="even" r:id="rId34"/>
      <w:footerReference w:type="default" r:id="rId35"/>
      <w:pgSz w:w="11906" w:h="16838" w:code="9"/>
      <w:pgMar w:top="1134" w:right="1134" w:bottom="1418" w:left="1134" w:header="680" w:footer="680" w:gutter="0"/>
      <w:pgNumType w:start="1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00B9" w:rsidRDefault="006000B9" w:rsidP="00E71A58">
      <w:r>
        <w:separator/>
      </w:r>
    </w:p>
  </w:endnote>
  <w:endnote w:type="continuationSeparator" w:id="0">
    <w:p w:rsidR="006000B9" w:rsidRDefault="006000B9" w:rsidP="00E71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 w:name="MS Mincho">
    <w:altName w:val="Yu Gothic UI"/>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30B6" w:rsidRPr="00932443" w:rsidRDefault="00E830B6" w:rsidP="00A418BC">
    <w:pPr>
      <w:pStyle w:val="Zpat"/>
      <w:rPr>
        <w:szCs w:val="16"/>
      </w:rPr>
    </w:pPr>
    <w:r>
      <w:rPr>
        <w:szCs w:val="16"/>
        <w:lang w:eastAsia="cs-CZ"/>
      </w:rPr>
      <w:drawing>
        <wp:anchor distT="0" distB="0" distL="114300" distR="114300" simplePos="0" relativeHeight="251658240" behindDoc="0" locked="0" layoutInCell="1" allowOverlap="1">
          <wp:simplePos x="0" y="0"/>
          <wp:positionH relativeFrom="column">
            <wp:align>right</wp:align>
          </wp:positionH>
          <wp:positionV relativeFrom="paragraph">
            <wp:posOffset>-64770</wp:posOffset>
          </wp:positionV>
          <wp:extent cx="428625" cy="201295"/>
          <wp:effectExtent l="0" t="0" r="3175" b="1905"/>
          <wp:wrapNone/>
          <wp:docPr id="11" name="Picture 11" descr="CSU RGB CZ 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SU RGB CZ logo-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8625" cy="2012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32443">
      <w:rPr>
        <w:szCs w:val="16"/>
      </w:rPr>
      <w:fldChar w:fldCharType="begin"/>
    </w:r>
    <w:r w:rsidRPr="00932443">
      <w:rPr>
        <w:szCs w:val="16"/>
      </w:rPr>
      <w:instrText>PAGE   \* MERGEFORMAT</w:instrText>
    </w:r>
    <w:r w:rsidRPr="00932443">
      <w:rPr>
        <w:szCs w:val="16"/>
      </w:rPr>
      <w:fldChar w:fldCharType="separate"/>
    </w:r>
    <w:r w:rsidR="00B943E2">
      <w:rPr>
        <w:szCs w:val="16"/>
      </w:rPr>
      <w:t>44</w:t>
    </w:r>
    <w:r w:rsidRPr="00932443">
      <w:rPr>
        <w:szCs w:val="16"/>
      </w:rPr>
      <w:fldChar w:fldCharType="end"/>
    </w:r>
    <w:r w:rsidRPr="00932443">
      <w:rPr>
        <w:szCs w:val="16"/>
      </w:rPr>
      <w:tab/>
    </w:r>
    <w:r>
      <w:rPr>
        <w:szCs w:val="16"/>
      </w:rPr>
      <w:t>2024</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30B6" w:rsidRPr="00932443" w:rsidRDefault="00E830B6" w:rsidP="00A418BC">
    <w:pPr>
      <w:pStyle w:val="Zpat"/>
      <w:rPr>
        <w:szCs w:val="16"/>
      </w:rPr>
    </w:pPr>
    <w:r>
      <w:rPr>
        <w:szCs w:val="16"/>
        <w:lang w:eastAsia="cs-CZ"/>
      </w:rPr>
      <w:drawing>
        <wp:anchor distT="0" distB="0" distL="114300" distR="114300" simplePos="0" relativeHeight="251657216" behindDoc="0" locked="0" layoutInCell="1" allowOverlap="1">
          <wp:simplePos x="0" y="0"/>
          <wp:positionH relativeFrom="column">
            <wp:align>left</wp:align>
          </wp:positionH>
          <wp:positionV relativeFrom="paragraph">
            <wp:posOffset>-122555</wp:posOffset>
          </wp:positionV>
          <wp:extent cx="510540" cy="272415"/>
          <wp:effectExtent l="0" t="0" r="0" b="6985"/>
          <wp:wrapNone/>
          <wp:docPr id="10" name="Picture 10" descr="CSU RGB CZ logo-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SU RGB CZ logo-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0540" cy="2724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32443">
      <w:rPr>
        <w:szCs w:val="16"/>
      </w:rPr>
      <w:tab/>
    </w:r>
    <w:r>
      <w:rPr>
        <w:rStyle w:val="ZpatChar"/>
        <w:szCs w:val="16"/>
      </w:rPr>
      <w:t>2024</w:t>
    </w:r>
    <w:r w:rsidRPr="00932443">
      <w:rPr>
        <w:szCs w:val="16"/>
      </w:rPr>
      <w:tab/>
    </w:r>
    <w:r w:rsidRPr="00932443">
      <w:rPr>
        <w:rStyle w:val="ZpatChar"/>
        <w:szCs w:val="16"/>
      </w:rPr>
      <w:fldChar w:fldCharType="begin"/>
    </w:r>
    <w:r w:rsidRPr="00932443">
      <w:rPr>
        <w:rStyle w:val="ZpatChar"/>
        <w:szCs w:val="16"/>
      </w:rPr>
      <w:instrText>PAGE   \* MERGEFORMAT</w:instrText>
    </w:r>
    <w:r w:rsidRPr="00932443">
      <w:rPr>
        <w:rStyle w:val="ZpatChar"/>
        <w:szCs w:val="16"/>
      </w:rPr>
      <w:fldChar w:fldCharType="separate"/>
    </w:r>
    <w:r w:rsidR="00B943E2">
      <w:rPr>
        <w:rStyle w:val="ZpatChar"/>
        <w:szCs w:val="16"/>
      </w:rPr>
      <w:t>43</w:t>
    </w:r>
    <w:r w:rsidRPr="00932443">
      <w:rPr>
        <w:rStyle w:val="ZpatChar"/>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00B9" w:rsidRDefault="006000B9" w:rsidP="00E71A58">
      <w:r>
        <w:separator/>
      </w:r>
    </w:p>
  </w:footnote>
  <w:footnote w:type="continuationSeparator" w:id="0">
    <w:p w:rsidR="006000B9" w:rsidRDefault="006000B9" w:rsidP="00E71A58">
      <w:r>
        <w:continuationSeparator/>
      </w:r>
    </w:p>
  </w:footnote>
  <w:footnote w:id="1">
    <w:p w:rsidR="00E830B6" w:rsidRPr="008A3EFE" w:rsidRDefault="00E830B6">
      <w:pPr>
        <w:pStyle w:val="Textpoznpodarou"/>
        <w:rPr>
          <w:sz w:val="16"/>
          <w:szCs w:val="16"/>
        </w:rPr>
      </w:pPr>
      <w:r w:rsidRPr="008A3EFE">
        <w:rPr>
          <w:rStyle w:val="Znakapoznpodarou"/>
          <w:sz w:val="16"/>
          <w:szCs w:val="16"/>
        </w:rPr>
        <w:footnoteRef/>
      </w:r>
      <w:r w:rsidRPr="008A3EFE">
        <w:rPr>
          <w:sz w:val="16"/>
          <w:szCs w:val="16"/>
        </w:rPr>
        <w:t xml:space="preserve"> Celý název sekce O: Veřejná správa a obrana; povinné sociální zabezpečení.</w:t>
      </w:r>
    </w:p>
  </w:footnote>
  <w:footnote w:id="2">
    <w:p w:rsidR="00E830B6" w:rsidRDefault="00E830B6">
      <w:pPr>
        <w:pStyle w:val="Textpoznpodarou"/>
      </w:pPr>
      <w:r>
        <w:rPr>
          <w:rStyle w:val="Znakapoznpodarou"/>
        </w:rPr>
        <w:footnoteRef/>
      </w:r>
      <w:r>
        <w:t xml:space="preserve"> </w:t>
      </w:r>
      <w:r w:rsidRPr="000547B7">
        <w:rPr>
          <w:sz w:val="16"/>
        </w:rPr>
        <w:t>Uvedený podíl nezahrnuje vojáky z povolání, příslušníky Policie ČR, Hasičského záchranného sboru ČR, Celní správy ČR, Vězeňské služby ČR, Generální inspekce bezpečnostních sborů, Bezpečnostní informační služby a Úřadu pro zahraniční styky a informace.</w:t>
      </w:r>
      <w:r>
        <w:rPr>
          <w:sz w:val="16"/>
        </w:rPr>
        <w:t xml:space="preserve"> </w:t>
      </w:r>
      <w:r>
        <w:rPr>
          <w:rFonts w:cs="Arial"/>
          <w:sz w:val="16"/>
        </w:rPr>
        <w:t>Správcem registrů těchto příslušníků je služební orgán v oborech své působnosti.</w:t>
      </w:r>
    </w:p>
  </w:footnote>
  <w:footnote w:id="3">
    <w:p w:rsidR="00E830B6" w:rsidRDefault="00E830B6">
      <w:pPr>
        <w:pStyle w:val="Textpoznpodarou"/>
      </w:pPr>
      <w:r>
        <w:rPr>
          <w:rStyle w:val="Znakapoznpodarou"/>
        </w:rPr>
        <w:footnoteRef/>
      </w:r>
      <w:r>
        <w:t xml:space="preserve"> </w:t>
      </w:r>
      <w:r w:rsidRPr="006054AC">
        <w:rPr>
          <w:sz w:val="16"/>
        </w:rPr>
        <w:t xml:space="preserve">Platilo do </w:t>
      </w:r>
      <w:r>
        <w:rPr>
          <w:sz w:val="16"/>
        </w:rPr>
        <w:t>28</w:t>
      </w:r>
      <w:r w:rsidRPr="006054AC">
        <w:rPr>
          <w:sz w:val="16"/>
        </w:rPr>
        <w:t xml:space="preserve">. </w:t>
      </w:r>
      <w:r>
        <w:rPr>
          <w:sz w:val="16"/>
        </w:rPr>
        <w:t>2</w:t>
      </w:r>
      <w:r w:rsidRPr="006054AC">
        <w:rPr>
          <w:sz w:val="16"/>
        </w:rPr>
        <w:t>. 202</w:t>
      </w:r>
      <w:r>
        <w:rPr>
          <w:sz w:val="16"/>
        </w:rPr>
        <w:t>2.</w:t>
      </w:r>
    </w:p>
  </w:footnote>
  <w:footnote w:id="4">
    <w:p w:rsidR="00E830B6" w:rsidRDefault="00E830B6" w:rsidP="00E77573">
      <w:pPr>
        <w:pStyle w:val="Textpoznpodarou"/>
      </w:pPr>
      <w:r>
        <w:rPr>
          <w:rStyle w:val="Znakapoznpodarou"/>
        </w:rPr>
        <w:footnoteRef/>
      </w:r>
      <w:r>
        <w:t xml:space="preserve"> </w:t>
      </w:r>
      <w:r w:rsidRPr="00B67A38">
        <w:rPr>
          <w:sz w:val="16"/>
        </w:rPr>
        <w:t>Na jaře 2021 se</w:t>
      </w:r>
      <w:r>
        <w:rPr>
          <w:sz w:val="16"/>
        </w:rPr>
        <w:t xml:space="preserve"> podíl</w:t>
      </w:r>
      <w:r w:rsidRPr="00B67A38">
        <w:rPr>
          <w:sz w:val="16"/>
        </w:rPr>
        <w:t xml:space="preserve"> zvýšil na 80 %.</w:t>
      </w:r>
    </w:p>
  </w:footnote>
  <w:footnote w:id="5">
    <w:p w:rsidR="00E830B6" w:rsidRDefault="00E830B6" w:rsidP="003A3175">
      <w:pPr>
        <w:pStyle w:val="Textpoznpodarou"/>
      </w:pPr>
      <w:r>
        <w:rPr>
          <w:rStyle w:val="Znakapoznpodarou"/>
        </w:rPr>
        <w:footnoteRef/>
      </w:r>
      <w:r>
        <w:t xml:space="preserve"> </w:t>
      </w:r>
      <w:r w:rsidRPr="00EA2DCF">
        <w:rPr>
          <w:sz w:val="16"/>
          <w:szCs w:val="16"/>
        </w:rPr>
        <w:t>Poslední dostupná data s mezinárodním srovnáním za členské státy EU2</w:t>
      </w:r>
      <w:r>
        <w:rPr>
          <w:sz w:val="16"/>
          <w:szCs w:val="16"/>
        </w:rPr>
        <w:t>7</w:t>
      </w:r>
      <w:r w:rsidRPr="00EA2DCF">
        <w:rPr>
          <w:sz w:val="16"/>
          <w:szCs w:val="16"/>
        </w:rPr>
        <w:t xml:space="preserve"> byla v době zpracování této publikace </w:t>
      </w:r>
      <w:r w:rsidRPr="00EA2DCF">
        <w:rPr>
          <w:spacing w:val="-3"/>
          <w:sz w:val="16"/>
          <w:szCs w:val="16"/>
        </w:rPr>
        <w:t>za rok 20</w:t>
      </w:r>
      <w:r>
        <w:rPr>
          <w:spacing w:val="-3"/>
          <w:sz w:val="16"/>
          <w:szCs w:val="16"/>
        </w:rPr>
        <w:t>22</w:t>
      </w:r>
      <w:r w:rsidRPr="00EA2DCF">
        <w:rPr>
          <w:spacing w:val="-3"/>
          <w:sz w:val="16"/>
          <w:szCs w:val="16"/>
        </w:rPr>
        <w:t xml:space="preserve">. Jejich zdrojem je databáze </w:t>
      </w:r>
      <w:proofErr w:type="spellStart"/>
      <w:r w:rsidRPr="00EA2DCF">
        <w:rPr>
          <w:spacing w:val="-3"/>
          <w:sz w:val="16"/>
          <w:szCs w:val="16"/>
        </w:rPr>
        <w:t>Eurostatu</w:t>
      </w:r>
      <w:proofErr w:type="spellEnd"/>
      <w:r w:rsidRPr="00EA2DCF">
        <w:rPr>
          <w:spacing w:val="-3"/>
          <w:sz w:val="16"/>
          <w:szCs w:val="16"/>
        </w:rPr>
        <w:t xml:space="preserve">: </w:t>
      </w:r>
      <w:hyperlink r:id="rId1" w:history="1">
        <w:r w:rsidRPr="00C50880">
          <w:rPr>
            <w:rStyle w:val="Hypertextovodkaz"/>
            <w:sz w:val="16"/>
          </w:rPr>
          <w:t>https://ec.europa.eu/eurostat/web/health/database</w:t>
        </w:r>
      </w:hyperlink>
      <w:r w:rsidRPr="003A3175">
        <w:rPr>
          <w:rStyle w:val="Hypertextovodkaz"/>
          <w:color w:val="000000" w:themeColor="text1"/>
          <w:sz w:val="16"/>
          <w:u w:val="non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30B6" w:rsidRPr="006F5416" w:rsidRDefault="00E830B6" w:rsidP="00937AE2">
    <w:pPr>
      <w:pStyle w:val="Zhlav"/>
    </w:pPr>
    <w:r>
      <w:t>Pracovní neschopnost pro nemoc a úraz v České republice za rok 2024</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30B6" w:rsidRPr="006F5416" w:rsidRDefault="00E830B6" w:rsidP="00937AE2">
    <w:pPr>
      <w:pStyle w:val="Zhlav"/>
    </w:pPr>
    <w:r>
      <w:t>Pracovní neschopnost pro nemoc a úraz v České republice za rok 2024</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1.25pt;height:11.25pt" o:bullet="t">
        <v:imagedata r:id="rId1" o:title="msoFAAF"/>
      </v:shape>
    </w:pict>
  </w:numPicBullet>
  <w:abstractNum w:abstractNumId="0" w15:restartNumberingAfterBreak="0">
    <w:nsid w:val="FFFFFF7C"/>
    <w:multiLevelType w:val="singleLevel"/>
    <w:tmpl w:val="49CEEC4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EC69A9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37A1C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76230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6965B5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0DE276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C7AED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68C5BA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C8EEA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18AD8C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2E1470"/>
    <w:multiLevelType w:val="hybridMultilevel"/>
    <w:tmpl w:val="5C96561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0EB30C9"/>
    <w:multiLevelType w:val="multilevel"/>
    <w:tmpl w:val="8AE26AFA"/>
    <w:lvl w:ilvl="0">
      <w:start w:val="1"/>
      <w:numFmt w:val="bullet"/>
      <w:lvlText w:val=""/>
      <w:lvlJc w:val="left"/>
      <w:pPr>
        <w:ind w:left="720" w:hanging="360"/>
      </w:pPr>
      <w:rPr>
        <w:rFonts w:ascii="Symbol" w:hAnsi="Symbol" w:hint="default"/>
      </w:rPr>
    </w:lvl>
    <w:lvl w:ilvl="1">
      <w:start w:val="7"/>
      <w:numFmt w:val="decimal"/>
      <w:isLgl/>
      <w:suff w:val="space"/>
      <w:lvlText w:val="4.%2"/>
      <w:lvlJc w:val="left"/>
      <w:pPr>
        <w:ind w:left="720" w:hanging="360"/>
      </w:pPr>
      <w:rPr>
        <w:rFonts w:hint="default"/>
      </w:rPr>
    </w:lvl>
    <w:lvl w:ilvl="2">
      <w:start w:val="1"/>
      <w:numFmt w:val="decimal"/>
      <w:isLgl/>
      <w:suff w:val="space"/>
      <w:lvlText w:val="4.%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1D394626"/>
    <w:multiLevelType w:val="hybridMultilevel"/>
    <w:tmpl w:val="C29C83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02556A7"/>
    <w:multiLevelType w:val="hybridMultilevel"/>
    <w:tmpl w:val="F064C8EC"/>
    <w:lvl w:ilvl="0" w:tplc="04050001">
      <w:start w:val="1"/>
      <w:numFmt w:val="bullet"/>
      <w:lvlText w:val=""/>
      <w:lvlJc w:val="left"/>
      <w:pPr>
        <w:ind w:left="780" w:hanging="360"/>
      </w:pPr>
      <w:rPr>
        <w:rFonts w:ascii="Symbol" w:hAnsi="Symbol" w:hint="default"/>
      </w:rPr>
    </w:lvl>
    <w:lvl w:ilvl="1" w:tplc="04050003">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14" w15:restartNumberingAfterBreak="0">
    <w:nsid w:val="23C9092A"/>
    <w:multiLevelType w:val="hybridMultilevel"/>
    <w:tmpl w:val="6106A15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58473A1"/>
    <w:multiLevelType w:val="hybridMultilevel"/>
    <w:tmpl w:val="7984410C"/>
    <w:lvl w:ilvl="0" w:tplc="3712003C">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8AA48F6"/>
    <w:multiLevelType w:val="hybridMultilevel"/>
    <w:tmpl w:val="89FE51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B8016D3"/>
    <w:multiLevelType w:val="hybridMultilevel"/>
    <w:tmpl w:val="353CA3D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2ECC156E"/>
    <w:multiLevelType w:val="hybridMultilevel"/>
    <w:tmpl w:val="7EECAB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6255DB5"/>
    <w:multiLevelType w:val="hybridMultilevel"/>
    <w:tmpl w:val="E42050C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8384A27"/>
    <w:multiLevelType w:val="hybridMultilevel"/>
    <w:tmpl w:val="105050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C581760"/>
    <w:multiLevelType w:val="hybridMultilevel"/>
    <w:tmpl w:val="CFEE97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55363618"/>
    <w:multiLevelType w:val="hybridMultilevel"/>
    <w:tmpl w:val="E3E8EB9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590017F3"/>
    <w:multiLevelType w:val="hybridMultilevel"/>
    <w:tmpl w:val="D4C4002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DD50F1A"/>
    <w:multiLevelType w:val="hybridMultilevel"/>
    <w:tmpl w:val="1410E98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686C4312"/>
    <w:multiLevelType w:val="multilevel"/>
    <w:tmpl w:val="A544A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1FB04D0"/>
    <w:multiLevelType w:val="hybridMultilevel"/>
    <w:tmpl w:val="A5FC219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7925555E"/>
    <w:multiLevelType w:val="hybridMultilevel"/>
    <w:tmpl w:val="50D6B4EC"/>
    <w:lvl w:ilvl="0" w:tplc="04050003">
      <w:start w:val="1"/>
      <w:numFmt w:val="bullet"/>
      <w:lvlText w:val="o"/>
      <w:lvlJc w:val="left"/>
      <w:pPr>
        <w:ind w:left="720" w:hanging="360"/>
      </w:pPr>
      <w:rPr>
        <w:rFonts w:ascii="Courier New" w:hAnsi="Courier New" w:cs="Courier New"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7FEF4B85"/>
    <w:multiLevelType w:val="hybridMultilevel"/>
    <w:tmpl w:val="E4FC5EA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0"/>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15"/>
  </w:num>
  <w:num w:numId="13">
    <w:abstractNumId w:val="21"/>
  </w:num>
  <w:num w:numId="14">
    <w:abstractNumId w:val="19"/>
  </w:num>
  <w:num w:numId="15">
    <w:abstractNumId w:val="24"/>
  </w:num>
  <w:num w:numId="16">
    <w:abstractNumId w:val="28"/>
  </w:num>
  <w:num w:numId="17">
    <w:abstractNumId w:val="14"/>
  </w:num>
  <w:num w:numId="18">
    <w:abstractNumId w:val="16"/>
  </w:num>
  <w:num w:numId="19">
    <w:abstractNumId w:val="26"/>
  </w:num>
  <w:num w:numId="20">
    <w:abstractNumId w:val="17"/>
  </w:num>
  <w:num w:numId="21">
    <w:abstractNumId w:val="23"/>
  </w:num>
  <w:num w:numId="22">
    <w:abstractNumId w:val="12"/>
  </w:num>
  <w:num w:numId="23">
    <w:abstractNumId w:val="25"/>
  </w:num>
  <w:num w:numId="24">
    <w:abstractNumId w:val="18"/>
  </w:num>
  <w:num w:numId="25">
    <w:abstractNumId w:val="13"/>
  </w:num>
  <w:num w:numId="26">
    <w:abstractNumId w:val="27"/>
  </w:num>
  <w:num w:numId="27">
    <w:abstractNumId w:val="22"/>
  </w:num>
  <w:num w:numId="28">
    <w:abstractNumId w:val="10"/>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4"/>
  <w:defaultTabStop w:val="708"/>
  <w:hyphenationZone w:val="425"/>
  <w:evenAndOddHeaders/>
  <w:drawingGridHorizontalSpacing w:val="110"/>
  <w:displayHorizontalDrawingGridEvery w:val="2"/>
  <w:characterSpacingControl w:val="doNotCompress"/>
  <w:hdrShapeDefaults>
    <o:shapedefaults v:ext="edit" spidmax="2049">
      <o:colormru v:ext="edit" colors="#ecf4dd,#eaecee,#fcec0a,#fcecdb,#f1daf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088C"/>
    <w:rsid w:val="0000209D"/>
    <w:rsid w:val="00004D5A"/>
    <w:rsid w:val="000056D5"/>
    <w:rsid w:val="000072CF"/>
    <w:rsid w:val="0000767A"/>
    <w:rsid w:val="00010702"/>
    <w:rsid w:val="00014389"/>
    <w:rsid w:val="000145C8"/>
    <w:rsid w:val="00014D11"/>
    <w:rsid w:val="00015E70"/>
    <w:rsid w:val="00017A85"/>
    <w:rsid w:val="00020337"/>
    <w:rsid w:val="00021C3F"/>
    <w:rsid w:val="000234D6"/>
    <w:rsid w:val="00023D29"/>
    <w:rsid w:val="00024BB1"/>
    <w:rsid w:val="000256F4"/>
    <w:rsid w:val="00026389"/>
    <w:rsid w:val="00026A24"/>
    <w:rsid w:val="00030311"/>
    <w:rsid w:val="000311B1"/>
    <w:rsid w:val="00031AE0"/>
    <w:rsid w:val="000322EF"/>
    <w:rsid w:val="00033FCD"/>
    <w:rsid w:val="00037372"/>
    <w:rsid w:val="00041CEC"/>
    <w:rsid w:val="0004694F"/>
    <w:rsid w:val="00046B98"/>
    <w:rsid w:val="000511A2"/>
    <w:rsid w:val="000522E4"/>
    <w:rsid w:val="00056FF3"/>
    <w:rsid w:val="000610E1"/>
    <w:rsid w:val="00062EC5"/>
    <w:rsid w:val="00062F22"/>
    <w:rsid w:val="000700C6"/>
    <w:rsid w:val="000712B3"/>
    <w:rsid w:val="0008044B"/>
    <w:rsid w:val="0008263E"/>
    <w:rsid w:val="00082C19"/>
    <w:rsid w:val="00085395"/>
    <w:rsid w:val="00086EF9"/>
    <w:rsid w:val="00087634"/>
    <w:rsid w:val="00087F2B"/>
    <w:rsid w:val="000974D1"/>
    <w:rsid w:val="0009799E"/>
    <w:rsid w:val="000A1183"/>
    <w:rsid w:val="000A256D"/>
    <w:rsid w:val="000A3A2C"/>
    <w:rsid w:val="000B352B"/>
    <w:rsid w:val="000B368D"/>
    <w:rsid w:val="000B71E9"/>
    <w:rsid w:val="000C2D37"/>
    <w:rsid w:val="000C3408"/>
    <w:rsid w:val="000C4B06"/>
    <w:rsid w:val="000C5250"/>
    <w:rsid w:val="000C6AFD"/>
    <w:rsid w:val="000D35AA"/>
    <w:rsid w:val="000D5637"/>
    <w:rsid w:val="000D7DC4"/>
    <w:rsid w:val="000E0CC3"/>
    <w:rsid w:val="000E0DDF"/>
    <w:rsid w:val="000E32AF"/>
    <w:rsid w:val="000E6FBD"/>
    <w:rsid w:val="000F3730"/>
    <w:rsid w:val="00100F5C"/>
    <w:rsid w:val="00104C4C"/>
    <w:rsid w:val="00106FAD"/>
    <w:rsid w:val="001116FC"/>
    <w:rsid w:val="001204BD"/>
    <w:rsid w:val="0012192F"/>
    <w:rsid w:val="00125D69"/>
    <w:rsid w:val="00126F27"/>
    <w:rsid w:val="0013117F"/>
    <w:rsid w:val="00137CD8"/>
    <w:rsid w:val="001405FA"/>
    <w:rsid w:val="001425C3"/>
    <w:rsid w:val="0016256B"/>
    <w:rsid w:val="00163793"/>
    <w:rsid w:val="001706D6"/>
    <w:rsid w:val="001714F2"/>
    <w:rsid w:val="001716C8"/>
    <w:rsid w:val="00173371"/>
    <w:rsid w:val="00176121"/>
    <w:rsid w:val="00184B08"/>
    <w:rsid w:val="00185010"/>
    <w:rsid w:val="001A07AD"/>
    <w:rsid w:val="001A1051"/>
    <w:rsid w:val="001A42B2"/>
    <w:rsid w:val="001A42B3"/>
    <w:rsid w:val="001A552F"/>
    <w:rsid w:val="001A562A"/>
    <w:rsid w:val="001B2CA9"/>
    <w:rsid w:val="001B3110"/>
    <w:rsid w:val="001B4720"/>
    <w:rsid w:val="001B4729"/>
    <w:rsid w:val="001B6A4D"/>
    <w:rsid w:val="001B6C09"/>
    <w:rsid w:val="001C05CD"/>
    <w:rsid w:val="001C1A52"/>
    <w:rsid w:val="001D1F5B"/>
    <w:rsid w:val="001D5794"/>
    <w:rsid w:val="001D68B2"/>
    <w:rsid w:val="001E4771"/>
    <w:rsid w:val="001E527C"/>
    <w:rsid w:val="001F4597"/>
    <w:rsid w:val="00203EDD"/>
    <w:rsid w:val="00207A84"/>
    <w:rsid w:val="002118B9"/>
    <w:rsid w:val="002139C5"/>
    <w:rsid w:val="00217C5B"/>
    <w:rsid w:val="0022139E"/>
    <w:rsid w:val="00222398"/>
    <w:rsid w:val="00223A67"/>
    <w:rsid w:val="00224942"/>
    <w:rsid w:val="002252E0"/>
    <w:rsid w:val="002255F6"/>
    <w:rsid w:val="00227850"/>
    <w:rsid w:val="00227A53"/>
    <w:rsid w:val="0023074C"/>
    <w:rsid w:val="00230C6E"/>
    <w:rsid w:val="00236443"/>
    <w:rsid w:val="0023741F"/>
    <w:rsid w:val="0024172A"/>
    <w:rsid w:val="002436BA"/>
    <w:rsid w:val="00244A15"/>
    <w:rsid w:val="00247319"/>
    <w:rsid w:val="0024799E"/>
    <w:rsid w:val="00253C0F"/>
    <w:rsid w:val="002644A9"/>
    <w:rsid w:val="002666BC"/>
    <w:rsid w:val="00266AF5"/>
    <w:rsid w:val="00266D94"/>
    <w:rsid w:val="00271465"/>
    <w:rsid w:val="00274659"/>
    <w:rsid w:val="00274DFD"/>
    <w:rsid w:val="00276BBF"/>
    <w:rsid w:val="002822B0"/>
    <w:rsid w:val="00283C05"/>
    <w:rsid w:val="00285412"/>
    <w:rsid w:val="00294A6A"/>
    <w:rsid w:val="00296DD1"/>
    <w:rsid w:val="00297266"/>
    <w:rsid w:val="002A052F"/>
    <w:rsid w:val="002A088C"/>
    <w:rsid w:val="002A16D4"/>
    <w:rsid w:val="002A230C"/>
    <w:rsid w:val="002A7D9D"/>
    <w:rsid w:val="002B2BD0"/>
    <w:rsid w:val="002C00B5"/>
    <w:rsid w:val="002C41B4"/>
    <w:rsid w:val="002C43BD"/>
    <w:rsid w:val="002C5530"/>
    <w:rsid w:val="002C6409"/>
    <w:rsid w:val="002D0E59"/>
    <w:rsid w:val="002D26B7"/>
    <w:rsid w:val="002D2703"/>
    <w:rsid w:val="002D29F0"/>
    <w:rsid w:val="002D438D"/>
    <w:rsid w:val="002D559D"/>
    <w:rsid w:val="002D7E78"/>
    <w:rsid w:val="002E02A1"/>
    <w:rsid w:val="002E1BC1"/>
    <w:rsid w:val="002E4E31"/>
    <w:rsid w:val="002E4E4C"/>
    <w:rsid w:val="002F2CC5"/>
    <w:rsid w:val="002F31D7"/>
    <w:rsid w:val="002F6673"/>
    <w:rsid w:val="0030154F"/>
    <w:rsid w:val="00304771"/>
    <w:rsid w:val="003052D4"/>
    <w:rsid w:val="00306114"/>
    <w:rsid w:val="00306C5B"/>
    <w:rsid w:val="0031293E"/>
    <w:rsid w:val="00314096"/>
    <w:rsid w:val="0031497C"/>
    <w:rsid w:val="00314D9F"/>
    <w:rsid w:val="003209D6"/>
    <w:rsid w:val="00320F95"/>
    <w:rsid w:val="00321924"/>
    <w:rsid w:val="003222C5"/>
    <w:rsid w:val="00322CC6"/>
    <w:rsid w:val="0032656E"/>
    <w:rsid w:val="00332190"/>
    <w:rsid w:val="003322E6"/>
    <w:rsid w:val="00332671"/>
    <w:rsid w:val="00332D44"/>
    <w:rsid w:val="00344668"/>
    <w:rsid w:val="003462D9"/>
    <w:rsid w:val="00354F17"/>
    <w:rsid w:val="003564CA"/>
    <w:rsid w:val="00360C86"/>
    <w:rsid w:val="003611B4"/>
    <w:rsid w:val="003636A3"/>
    <w:rsid w:val="00364E38"/>
    <w:rsid w:val="003657F3"/>
    <w:rsid w:val="003704C9"/>
    <w:rsid w:val="0038069B"/>
    <w:rsid w:val="003818DC"/>
    <w:rsid w:val="003822A5"/>
    <w:rsid w:val="00384327"/>
    <w:rsid w:val="00385D98"/>
    <w:rsid w:val="0039112B"/>
    <w:rsid w:val="003A1421"/>
    <w:rsid w:val="003A2B4D"/>
    <w:rsid w:val="003A2FAF"/>
    <w:rsid w:val="003A3175"/>
    <w:rsid w:val="003A478C"/>
    <w:rsid w:val="003A5525"/>
    <w:rsid w:val="003A6B38"/>
    <w:rsid w:val="003B5A32"/>
    <w:rsid w:val="003C3490"/>
    <w:rsid w:val="003C734A"/>
    <w:rsid w:val="003D0027"/>
    <w:rsid w:val="003D05A0"/>
    <w:rsid w:val="003D6920"/>
    <w:rsid w:val="003E4C91"/>
    <w:rsid w:val="003F313C"/>
    <w:rsid w:val="003F44B9"/>
    <w:rsid w:val="003F4B2C"/>
    <w:rsid w:val="003F551C"/>
    <w:rsid w:val="003F66F2"/>
    <w:rsid w:val="003F7111"/>
    <w:rsid w:val="003F7D23"/>
    <w:rsid w:val="00401841"/>
    <w:rsid w:val="00403D84"/>
    <w:rsid w:val="0040587D"/>
    <w:rsid w:val="00407C13"/>
    <w:rsid w:val="00410638"/>
    <w:rsid w:val="00411854"/>
    <w:rsid w:val="0041327A"/>
    <w:rsid w:val="004159E0"/>
    <w:rsid w:val="00420109"/>
    <w:rsid w:val="00424812"/>
    <w:rsid w:val="00430091"/>
    <w:rsid w:val="00431235"/>
    <w:rsid w:val="00432645"/>
    <w:rsid w:val="00432A58"/>
    <w:rsid w:val="00434617"/>
    <w:rsid w:val="00440900"/>
    <w:rsid w:val="004422A6"/>
    <w:rsid w:val="00442CFE"/>
    <w:rsid w:val="00443707"/>
    <w:rsid w:val="004441A0"/>
    <w:rsid w:val="0044480C"/>
    <w:rsid w:val="00451CBD"/>
    <w:rsid w:val="00456EBD"/>
    <w:rsid w:val="00460FB3"/>
    <w:rsid w:val="004620B9"/>
    <w:rsid w:val="00462543"/>
    <w:rsid w:val="00464C4F"/>
    <w:rsid w:val="00476240"/>
    <w:rsid w:val="00476439"/>
    <w:rsid w:val="0047735C"/>
    <w:rsid w:val="004776BC"/>
    <w:rsid w:val="0048060F"/>
    <w:rsid w:val="0048139F"/>
    <w:rsid w:val="00481E40"/>
    <w:rsid w:val="00484AE8"/>
    <w:rsid w:val="00484ECE"/>
    <w:rsid w:val="00486F05"/>
    <w:rsid w:val="004915CB"/>
    <w:rsid w:val="004924DC"/>
    <w:rsid w:val="00496EEF"/>
    <w:rsid w:val="004A12B2"/>
    <w:rsid w:val="004A14E4"/>
    <w:rsid w:val="004A3212"/>
    <w:rsid w:val="004A61C5"/>
    <w:rsid w:val="004A6623"/>
    <w:rsid w:val="004A77DF"/>
    <w:rsid w:val="004B1417"/>
    <w:rsid w:val="004B28EE"/>
    <w:rsid w:val="004B47B4"/>
    <w:rsid w:val="004B4ADA"/>
    <w:rsid w:val="004B55B7"/>
    <w:rsid w:val="004B5617"/>
    <w:rsid w:val="004B6468"/>
    <w:rsid w:val="004B6FEF"/>
    <w:rsid w:val="004C0C9D"/>
    <w:rsid w:val="004C384C"/>
    <w:rsid w:val="004C3867"/>
    <w:rsid w:val="004C4CD0"/>
    <w:rsid w:val="004C70DC"/>
    <w:rsid w:val="004D0211"/>
    <w:rsid w:val="004D0794"/>
    <w:rsid w:val="004D0967"/>
    <w:rsid w:val="004D3ECF"/>
    <w:rsid w:val="004D40BB"/>
    <w:rsid w:val="004D5900"/>
    <w:rsid w:val="004F06F5"/>
    <w:rsid w:val="004F33A0"/>
    <w:rsid w:val="005108C0"/>
    <w:rsid w:val="00511873"/>
    <w:rsid w:val="00512A2F"/>
    <w:rsid w:val="00513B7E"/>
    <w:rsid w:val="00515C74"/>
    <w:rsid w:val="0052007E"/>
    <w:rsid w:val="00521D08"/>
    <w:rsid w:val="0052337A"/>
    <w:rsid w:val="00523F15"/>
    <w:rsid w:val="00525137"/>
    <w:rsid w:val="005251DD"/>
    <w:rsid w:val="0053114F"/>
    <w:rsid w:val="00531CF3"/>
    <w:rsid w:val="00532CE7"/>
    <w:rsid w:val="00532D91"/>
    <w:rsid w:val="0053324C"/>
    <w:rsid w:val="0053336E"/>
    <w:rsid w:val="0053385B"/>
    <w:rsid w:val="005347EB"/>
    <w:rsid w:val="00534A28"/>
    <w:rsid w:val="00541508"/>
    <w:rsid w:val="005415F5"/>
    <w:rsid w:val="00542B79"/>
    <w:rsid w:val="0055307B"/>
    <w:rsid w:val="0055599F"/>
    <w:rsid w:val="00556D68"/>
    <w:rsid w:val="005647BF"/>
    <w:rsid w:val="00564BA4"/>
    <w:rsid w:val="00567115"/>
    <w:rsid w:val="0057364B"/>
    <w:rsid w:val="00574773"/>
    <w:rsid w:val="00576790"/>
    <w:rsid w:val="005776CD"/>
    <w:rsid w:val="00583FFD"/>
    <w:rsid w:val="00590D4E"/>
    <w:rsid w:val="005911BE"/>
    <w:rsid w:val="00593152"/>
    <w:rsid w:val="005A10F2"/>
    <w:rsid w:val="005A21E0"/>
    <w:rsid w:val="005A28FE"/>
    <w:rsid w:val="005A28FF"/>
    <w:rsid w:val="005A3DF8"/>
    <w:rsid w:val="005A5549"/>
    <w:rsid w:val="005A74F0"/>
    <w:rsid w:val="005B121D"/>
    <w:rsid w:val="005B1750"/>
    <w:rsid w:val="005C06ED"/>
    <w:rsid w:val="005C1412"/>
    <w:rsid w:val="005D5802"/>
    <w:rsid w:val="005D7890"/>
    <w:rsid w:val="005E326B"/>
    <w:rsid w:val="005E7C78"/>
    <w:rsid w:val="005F25A8"/>
    <w:rsid w:val="005F3EB1"/>
    <w:rsid w:val="005F505E"/>
    <w:rsid w:val="005F5347"/>
    <w:rsid w:val="005F5469"/>
    <w:rsid w:val="005F7B39"/>
    <w:rsid w:val="006000B9"/>
    <w:rsid w:val="00600D3B"/>
    <w:rsid w:val="00601DFE"/>
    <w:rsid w:val="00604307"/>
    <w:rsid w:val="0060487F"/>
    <w:rsid w:val="00604EAD"/>
    <w:rsid w:val="00605275"/>
    <w:rsid w:val="006104FB"/>
    <w:rsid w:val="0061064A"/>
    <w:rsid w:val="00612A2F"/>
    <w:rsid w:val="00616E05"/>
    <w:rsid w:val="006172DA"/>
    <w:rsid w:val="00621BC8"/>
    <w:rsid w:val="00624093"/>
    <w:rsid w:val="006260C7"/>
    <w:rsid w:val="006334F3"/>
    <w:rsid w:val="006404A7"/>
    <w:rsid w:val="006451E4"/>
    <w:rsid w:val="00645B33"/>
    <w:rsid w:val="00645D18"/>
    <w:rsid w:val="00647EA1"/>
    <w:rsid w:val="00650A57"/>
    <w:rsid w:val="006516CB"/>
    <w:rsid w:val="006547DF"/>
    <w:rsid w:val="0065670C"/>
    <w:rsid w:val="00657E87"/>
    <w:rsid w:val="006634CE"/>
    <w:rsid w:val="00664803"/>
    <w:rsid w:val="00665BA4"/>
    <w:rsid w:val="00667AF2"/>
    <w:rsid w:val="006710C9"/>
    <w:rsid w:val="0067138C"/>
    <w:rsid w:val="00671CFD"/>
    <w:rsid w:val="00674D89"/>
    <w:rsid w:val="00675E37"/>
    <w:rsid w:val="006801D6"/>
    <w:rsid w:val="0068174E"/>
    <w:rsid w:val="00681DCE"/>
    <w:rsid w:val="0068260E"/>
    <w:rsid w:val="006828CD"/>
    <w:rsid w:val="00683A67"/>
    <w:rsid w:val="00687F03"/>
    <w:rsid w:val="00695BEF"/>
    <w:rsid w:val="006977F6"/>
    <w:rsid w:val="00697A13"/>
    <w:rsid w:val="006A109C"/>
    <w:rsid w:val="006A3BB8"/>
    <w:rsid w:val="006A5E60"/>
    <w:rsid w:val="006B0089"/>
    <w:rsid w:val="006B344A"/>
    <w:rsid w:val="006B5EFB"/>
    <w:rsid w:val="006B6A5B"/>
    <w:rsid w:val="006B78D8"/>
    <w:rsid w:val="006C113F"/>
    <w:rsid w:val="006C123E"/>
    <w:rsid w:val="006C2942"/>
    <w:rsid w:val="006C37C4"/>
    <w:rsid w:val="006C56D4"/>
    <w:rsid w:val="006C6924"/>
    <w:rsid w:val="006C7CA6"/>
    <w:rsid w:val="006D2101"/>
    <w:rsid w:val="006D2A4D"/>
    <w:rsid w:val="006D3E8A"/>
    <w:rsid w:val="006D5702"/>
    <w:rsid w:val="006D61F6"/>
    <w:rsid w:val="006E235F"/>
    <w:rsid w:val="006E279A"/>
    <w:rsid w:val="006E313B"/>
    <w:rsid w:val="006E4016"/>
    <w:rsid w:val="006E6A50"/>
    <w:rsid w:val="006F11AE"/>
    <w:rsid w:val="006F43ED"/>
    <w:rsid w:val="006F5416"/>
    <w:rsid w:val="006F5781"/>
    <w:rsid w:val="006F5FF5"/>
    <w:rsid w:val="0070059D"/>
    <w:rsid w:val="00702F18"/>
    <w:rsid w:val="00704746"/>
    <w:rsid w:val="00705E11"/>
    <w:rsid w:val="00706AD4"/>
    <w:rsid w:val="00707508"/>
    <w:rsid w:val="00713204"/>
    <w:rsid w:val="007140BE"/>
    <w:rsid w:val="007211F5"/>
    <w:rsid w:val="007233BC"/>
    <w:rsid w:val="007233C8"/>
    <w:rsid w:val="00723524"/>
    <w:rsid w:val="00724361"/>
    <w:rsid w:val="00725BB5"/>
    <w:rsid w:val="00730AE8"/>
    <w:rsid w:val="007361A5"/>
    <w:rsid w:val="007411D8"/>
    <w:rsid w:val="00741493"/>
    <w:rsid w:val="007430BE"/>
    <w:rsid w:val="00743DDA"/>
    <w:rsid w:val="00747E59"/>
    <w:rsid w:val="0075176D"/>
    <w:rsid w:val="007520FC"/>
    <w:rsid w:val="00752180"/>
    <w:rsid w:val="007551ED"/>
    <w:rsid w:val="00755202"/>
    <w:rsid w:val="00755D3A"/>
    <w:rsid w:val="00756C90"/>
    <w:rsid w:val="007576F6"/>
    <w:rsid w:val="007578D3"/>
    <w:rsid w:val="00760027"/>
    <w:rsid w:val="007602F1"/>
    <w:rsid w:val="007609C6"/>
    <w:rsid w:val="0076175D"/>
    <w:rsid w:val="007634A2"/>
    <w:rsid w:val="0076521E"/>
    <w:rsid w:val="007661E9"/>
    <w:rsid w:val="00775F0A"/>
    <w:rsid w:val="00776169"/>
    <w:rsid w:val="00776527"/>
    <w:rsid w:val="00780EF1"/>
    <w:rsid w:val="00783528"/>
    <w:rsid w:val="0078576F"/>
    <w:rsid w:val="00787ADD"/>
    <w:rsid w:val="00790764"/>
    <w:rsid w:val="00791C1F"/>
    <w:rsid w:val="0079232B"/>
    <w:rsid w:val="0079390F"/>
    <w:rsid w:val="0079453C"/>
    <w:rsid w:val="00794677"/>
    <w:rsid w:val="0079585A"/>
    <w:rsid w:val="007A32BD"/>
    <w:rsid w:val="007A790B"/>
    <w:rsid w:val="007B30D0"/>
    <w:rsid w:val="007B6689"/>
    <w:rsid w:val="007C4330"/>
    <w:rsid w:val="007C6D7B"/>
    <w:rsid w:val="007D40DF"/>
    <w:rsid w:val="007E019D"/>
    <w:rsid w:val="007E7806"/>
    <w:rsid w:val="007E7E61"/>
    <w:rsid w:val="007F0845"/>
    <w:rsid w:val="007F7AC3"/>
    <w:rsid w:val="00804F15"/>
    <w:rsid w:val="00807C82"/>
    <w:rsid w:val="00816905"/>
    <w:rsid w:val="00821FF6"/>
    <w:rsid w:val="00822421"/>
    <w:rsid w:val="008242E4"/>
    <w:rsid w:val="00825C4D"/>
    <w:rsid w:val="0083143E"/>
    <w:rsid w:val="00831CDE"/>
    <w:rsid w:val="00834304"/>
    <w:rsid w:val="00834FAA"/>
    <w:rsid w:val="00836086"/>
    <w:rsid w:val="00841674"/>
    <w:rsid w:val="0084708F"/>
    <w:rsid w:val="008477C8"/>
    <w:rsid w:val="0085114D"/>
    <w:rsid w:val="00852217"/>
    <w:rsid w:val="00854434"/>
    <w:rsid w:val="00855408"/>
    <w:rsid w:val="00856D65"/>
    <w:rsid w:val="00861B41"/>
    <w:rsid w:val="00863434"/>
    <w:rsid w:val="00864C88"/>
    <w:rsid w:val="00865E4C"/>
    <w:rsid w:val="00866A41"/>
    <w:rsid w:val="008701E4"/>
    <w:rsid w:val="008719AC"/>
    <w:rsid w:val="00875A32"/>
    <w:rsid w:val="00876086"/>
    <w:rsid w:val="00876FBE"/>
    <w:rsid w:val="0088076C"/>
    <w:rsid w:val="00880CF5"/>
    <w:rsid w:val="008818FD"/>
    <w:rsid w:val="008840A3"/>
    <w:rsid w:val="008873D4"/>
    <w:rsid w:val="00893E85"/>
    <w:rsid w:val="00894031"/>
    <w:rsid w:val="008A2D53"/>
    <w:rsid w:val="008A3EFE"/>
    <w:rsid w:val="008B5721"/>
    <w:rsid w:val="008B5CEA"/>
    <w:rsid w:val="008B7C02"/>
    <w:rsid w:val="008B7D2B"/>
    <w:rsid w:val="008C0049"/>
    <w:rsid w:val="008C0E88"/>
    <w:rsid w:val="008C37C3"/>
    <w:rsid w:val="008D02E1"/>
    <w:rsid w:val="008D1E6A"/>
    <w:rsid w:val="008D2A16"/>
    <w:rsid w:val="008D33C8"/>
    <w:rsid w:val="008D434D"/>
    <w:rsid w:val="008D7614"/>
    <w:rsid w:val="008E2C57"/>
    <w:rsid w:val="008E31FF"/>
    <w:rsid w:val="008E5ABF"/>
    <w:rsid w:val="008E6F06"/>
    <w:rsid w:val="008F029B"/>
    <w:rsid w:val="008F0A41"/>
    <w:rsid w:val="008F3FC9"/>
    <w:rsid w:val="008F46F2"/>
    <w:rsid w:val="008F585B"/>
    <w:rsid w:val="008F6C93"/>
    <w:rsid w:val="008F70A5"/>
    <w:rsid w:val="009003A8"/>
    <w:rsid w:val="00902500"/>
    <w:rsid w:val="00902EFF"/>
    <w:rsid w:val="00904E35"/>
    <w:rsid w:val="00906401"/>
    <w:rsid w:val="00907113"/>
    <w:rsid w:val="00911311"/>
    <w:rsid w:val="0091155E"/>
    <w:rsid w:val="0091209B"/>
    <w:rsid w:val="00912A92"/>
    <w:rsid w:val="0091427E"/>
    <w:rsid w:val="0091728D"/>
    <w:rsid w:val="0092180B"/>
    <w:rsid w:val="00921F14"/>
    <w:rsid w:val="00922C12"/>
    <w:rsid w:val="00924AC8"/>
    <w:rsid w:val="0092597A"/>
    <w:rsid w:val="0093032B"/>
    <w:rsid w:val="00932443"/>
    <w:rsid w:val="00935AEF"/>
    <w:rsid w:val="009363CC"/>
    <w:rsid w:val="00937AE2"/>
    <w:rsid w:val="00937D29"/>
    <w:rsid w:val="0094427A"/>
    <w:rsid w:val="009468EC"/>
    <w:rsid w:val="00947FF1"/>
    <w:rsid w:val="009530E7"/>
    <w:rsid w:val="009628B8"/>
    <w:rsid w:val="00974923"/>
    <w:rsid w:val="0097555E"/>
    <w:rsid w:val="00977F44"/>
    <w:rsid w:val="00980D3D"/>
    <w:rsid w:val="00982734"/>
    <w:rsid w:val="00987A30"/>
    <w:rsid w:val="00992CF3"/>
    <w:rsid w:val="00995A66"/>
    <w:rsid w:val="00996699"/>
    <w:rsid w:val="009968D6"/>
    <w:rsid w:val="009A0953"/>
    <w:rsid w:val="009A1CAB"/>
    <w:rsid w:val="009A60D1"/>
    <w:rsid w:val="009B10A8"/>
    <w:rsid w:val="009B2406"/>
    <w:rsid w:val="009B309E"/>
    <w:rsid w:val="009B6FD3"/>
    <w:rsid w:val="009C1750"/>
    <w:rsid w:val="009C19B2"/>
    <w:rsid w:val="009C2E29"/>
    <w:rsid w:val="009C3F72"/>
    <w:rsid w:val="009C548B"/>
    <w:rsid w:val="009C554B"/>
    <w:rsid w:val="009C719E"/>
    <w:rsid w:val="009D3ACD"/>
    <w:rsid w:val="009E1B03"/>
    <w:rsid w:val="009E5273"/>
    <w:rsid w:val="009E5DDB"/>
    <w:rsid w:val="009E6676"/>
    <w:rsid w:val="009E73C9"/>
    <w:rsid w:val="009F4CA7"/>
    <w:rsid w:val="009F6005"/>
    <w:rsid w:val="00A00CC7"/>
    <w:rsid w:val="00A02D2D"/>
    <w:rsid w:val="00A10B06"/>
    <w:rsid w:val="00A10D66"/>
    <w:rsid w:val="00A1138C"/>
    <w:rsid w:val="00A11B19"/>
    <w:rsid w:val="00A14114"/>
    <w:rsid w:val="00A16413"/>
    <w:rsid w:val="00A16823"/>
    <w:rsid w:val="00A210AE"/>
    <w:rsid w:val="00A210B9"/>
    <w:rsid w:val="00A226F0"/>
    <w:rsid w:val="00A23437"/>
    <w:rsid w:val="00A23E43"/>
    <w:rsid w:val="00A24BBA"/>
    <w:rsid w:val="00A272E6"/>
    <w:rsid w:val="00A30F65"/>
    <w:rsid w:val="00A33106"/>
    <w:rsid w:val="00A35B38"/>
    <w:rsid w:val="00A373E1"/>
    <w:rsid w:val="00A418BC"/>
    <w:rsid w:val="00A46DE0"/>
    <w:rsid w:val="00A50D73"/>
    <w:rsid w:val="00A52A85"/>
    <w:rsid w:val="00A52CAD"/>
    <w:rsid w:val="00A53FC7"/>
    <w:rsid w:val="00A54770"/>
    <w:rsid w:val="00A60649"/>
    <w:rsid w:val="00A60A85"/>
    <w:rsid w:val="00A62CE1"/>
    <w:rsid w:val="00A6314D"/>
    <w:rsid w:val="00A65FFE"/>
    <w:rsid w:val="00A6741E"/>
    <w:rsid w:val="00A679EC"/>
    <w:rsid w:val="00A710F7"/>
    <w:rsid w:val="00A75E40"/>
    <w:rsid w:val="00A77D1D"/>
    <w:rsid w:val="00A84058"/>
    <w:rsid w:val="00A842D8"/>
    <w:rsid w:val="00A857C0"/>
    <w:rsid w:val="00A85DFF"/>
    <w:rsid w:val="00A90AD5"/>
    <w:rsid w:val="00A927E4"/>
    <w:rsid w:val="00AA2996"/>
    <w:rsid w:val="00AA52BF"/>
    <w:rsid w:val="00AA559A"/>
    <w:rsid w:val="00AB2AF1"/>
    <w:rsid w:val="00AB4884"/>
    <w:rsid w:val="00AB4D30"/>
    <w:rsid w:val="00AB7304"/>
    <w:rsid w:val="00AC59D4"/>
    <w:rsid w:val="00AC6CB7"/>
    <w:rsid w:val="00AD06D9"/>
    <w:rsid w:val="00AD25A6"/>
    <w:rsid w:val="00AD306C"/>
    <w:rsid w:val="00AD4162"/>
    <w:rsid w:val="00AD7C22"/>
    <w:rsid w:val="00AE09B3"/>
    <w:rsid w:val="00AE1A83"/>
    <w:rsid w:val="00AE2B4E"/>
    <w:rsid w:val="00AE49D8"/>
    <w:rsid w:val="00AE6EAD"/>
    <w:rsid w:val="00AF3892"/>
    <w:rsid w:val="00AF46DC"/>
    <w:rsid w:val="00B00913"/>
    <w:rsid w:val="00B00C45"/>
    <w:rsid w:val="00B01268"/>
    <w:rsid w:val="00B01593"/>
    <w:rsid w:val="00B07F1B"/>
    <w:rsid w:val="00B10A4D"/>
    <w:rsid w:val="00B17E71"/>
    <w:rsid w:val="00B17FDE"/>
    <w:rsid w:val="00B20FC5"/>
    <w:rsid w:val="00B22982"/>
    <w:rsid w:val="00B2379C"/>
    <w:rsid w:val="00B2687D"/>
    <w:rsid w:val="00B323BE"/>
    <w:rsid w:val="00B32DDB"/>
    <w:rsid w:val="00B34528"/>
    <w:rsid w:val="00B3495F"/>
    <w:rsid w:val="00B361FA"/>
    <w:rsid w:val="00B402FC"/>
    <w:rsid w:val="00B457EA"/>
    <w:rsid w:val="00B46604"/>
    <w:rsid w:val="00B530CD"/>
    <w:rsid w:val="00B55F5E"/>
    <w:rsid w:val="00B5653B"/>
    <w:rsid w:val="00B5752E"/>
    <w:rsid w:val="00B63A11"/>
    <w:rsid w:val="00B64C24"/>
    <w:rsid w:val="00B6608F"/>
    <w:rsid w:val="00B679FB"/>
    <w:rsid w:val="00B722AD"/>
    <w:rsid w:val="00B73043"/>
    <w:rsid w:val="00B76D1E"/>
    <w:rsid w:val="00B80620"/>
    <w:rsid w:val="00B80EC6"/>
    <w:rsid w:val="00B86A6C"/>
    <w:rsid w:val="00B901A8"/>
    <w:rsid w:val="00B92D1D"/>
    <w:rsid w:val="00B938C5"/>
    <w:rsid w:val="00B943E2"/>
    <w:rsid w:val="00B95940"/>
    <w:rsid w:val="00BA16F8"/>
    <w:rsid w:val="00BB1795"/>
    <w:rsid w:val="00BB46F3"/>
    <w:rsid w:val="00BB4CB1"/>
    <w:rsid w:val="00BB4F32"/>
    <w:rsid w:val="00BB4F5C"/>
    <w:rsid w:val="00BB4F98"/>
    <w:rsid w:val="00BC029B"/>
    <w:rsid w:val="00BC2A21"/>
    <w:rsid w:val="00BC584E"/>
    <w:rsid w:val="00BC626D"/>
    <w:rsid w:val="00BC7154"/>
    <w:rsid w:val="00BD1A0E"/>
    <w:rsid w:val="00BD289D"/>
    <w:rsid w:val="00BD33B9"/>
    <w:rsid w:val="00BD366B"/>
    <w:rsid w:val="00BD6D50"/>
    <w:rsid w:val="00BE17A4"/>
    <w:rsid w:val="00BE18B9"/>
    <w:rsid w:val="00BE2495"/>
    <w:rsid w:val="00BE4840"/>
    <w:rsid w:val="00BF1578"/>
    <w:rsid w:val="00BF188B"/>
    <w:rsid w:val="00BF2D72"/>
    <w:rsid w:val="00BF351E"/>
    <w:rsid w:val="00C0356A"/>
    <w:rsid w:val="00C155C9"/>
    <w:rsid w:val="00C2075C"/>
    <w:rsid w:val="00C21F94"/>
    <w:rsid w:val="00C26085"/>
    <w:rsid w:val="00C27913"/>
    <w:rsid w:val="00C321AA"/>
    <w:rsid w:val="00C334B5"/>
    <w:rsid w:val="00C33B68"/>
    <w:rsid w:val="00C355AC"/>
    <w:rsid w:val="00C35778"/>
    <w:rsid w:val="00C36A79"/>
    <w:rsid w:val="00C405D4"/>
    <w:rsid w:val="00C425B5"/>
    <w:rsid w:val="00C4513B"/>
    <w:rsid w:val="00C47418"/>
    <w:rsid w:val="00C53A1B"/>
    <w:rsid w:val="00C54697"/>
    <w:rsid w:val="00C5497F"/>
    <w:rsid w:val="00C57A92"/>
    <w:rsid w:val="00C631AB"/>
    <w:rsid w:val="00C6570F"/>
    <w:rsid w:val="00C71F69"/>
    <w:rsid w:val="00C73737"/>
    <w:rsid w:val="00C73885"/>
    <w:rsid w:val="00C747B1"/>
    <w:rsid w:val="00C82191"/>
    <w:rsid w:val="00C90CF4"/>
    <w:rsid w:val="00C92EB6"/>
    <w:rsid w:val="00C93389"/>
    <w:rsid w:val="00C93E98"/>
    <w:rsid w:val="00CA184D"/>
    <w:rsid w:val="00CB4930"/>
    <w:rsid w:val="00CB5F21"/>
    <w:rsid w:val="00CC2E7D"/>
    <w:rsid w:val="00CD07CB"/>
    <w:rsid w:val="00CD10A5"/>
    <w:rsid w:val="00CD2076"/>
    <w:rsid w:val="00CD2936"/>
    <w:rsid w:val="00CD67F3"/>
    <w:rsid w:val="00CD77D4"/>
    <w:rsid w:val="00CD7D71"/>
    <w:rsid w:val="00CE19A0"/>
    <w:rsid w:val="00CE2D5F"/>
    <w:rsid w:val="00CE48AF"/>
    <w:rsid w:val="00CE5E4B"/>
    <w:rsid w:val="00CE670B"/>
    <w:rsid w:val="00CF0057"/>
    <w:rsid w:val="00CF0549"/>
    <w:rsid w:val="00CF3484"/>
    <w:rsid w:val="00CF51EC"/>
    <w:rsid w:val="00CF73AE"/>
    <w:rsid w:val="00D040DD"/>
    <w:rsid w:val="00D04580"/>
    <w:rsid w:val="00D104F4"/>
    <w:rsid w:val="00D10CEE"/>
    <w:rsid w:val="00D13986"/>
    <w:rsid w:val="00D15656"/>
    <w:rsid w:val="00D16EC5"/>
    <w:rsid w:val="00D21CC1"/>
    <w:rsid w:val="00D22D27"/>
    <w:rsid w:val="00D235B7"/>
    <w:rsid w:val="00D25F28"/>
    <w:rsid w:val="00D27973"/>
    <w:rsid w:val="00D3621B"/>
    <w:rsid w:val="00D41B71"/>
    <w:rsid w:val="00D43815"/>
    <w:rsid w:val="00D446CF"/>
    <w:rsid w:val="00D460DD"/>
    <w:rsid w:val="00D50F46"/>
    <w:rsid w:val="00D575E3"/>
    <w:rsid w:val="00D57DD6"/>
    <w:rsid w:val="00D62D99"/>
    <w:rsid w:val="00D66223"/>
    <w:rsid w:val="00D7081E"/>
    <w:rsid w:val="00D8078B"/>
    <w:rsid w:val="00D8084C"/>
    <w:rsid w:val="00D8253D"/>
    <w:rsid w:val="00D836A1"/>
    <w:rsid w:val="00D83D60"/>
    <w:rsid w:val="00DA6A35"/>
    <w:rsid w:val="00DA7C0C"/>
    <w:rsid w:val="00DB127B"/>
    <w:rsid w:val="00DB1E98"/>
    <w:rsid w:val="00DB2EC8"/>
    <w:rsid w:val="00DC4F32"/>
    <w:rsid w:val="00DC5B3B"/>
    <w:rsid w:val="00DD1237"/>
    <w:rsid w:val="00DD129F"/>
    <w:rsid w:val="00DD43D2"/>
    <w:rsid w:val="00DD6C03"/>
    <w:rsid w:val="00DE05DD"/>
    <w:rsid w:val="00DE1026"/>
    <w:rsid w:val="00DE2DC1"/>
    <w:rsid w:val="00DE600B"/>
    <w:rsid w:val="00DE65FF"/>
    <w:rsid w:val="00DF1250"/>
    <w:rsid w:val="00DF128B"/>
    <w:rsid w:val="00DF42FF"/>
    <w:rsid w:val="00E01C0E"/>
    <w:rsid w:val="00E03F9A"/>
    <w:rsid w:val="00E04694"/>
    <w:rsid w:val="00E04FBD"/>
    <w:rsid w:val="00E12B1E"/>
    <w:rsid w:val="00E17262"/>
    <w:rsid w:val="00E242C6"/>
    <w:rsid w:val="00E253A2"/>
    <w:rsid w:val="00E2604A"/>
    <w:rsid w:val="00E266E9"/>
    <w:rsid w:val="00E3309D"/>
    <w:rsid w:val="00E40760"/>
    <w:rsid w:val="00E4324B"/>
    <w:rsid w:val="00E445EE"/>
    <w:rsid w:val="00E446B1"/>
    <w:rsid w:val="00E500A5"/>
    <w:rsid w:val="00E50156"/>
    <w:rsid w:val="00E52F73"/>
    <w:rsid w:val="00E53470"/>
    <w:rsid w:val="00E539F6"/>
    <w:rsid w:val="00E550E9"/>
    <w:rsid w:val="00E61904"/>
    <w:rsid w:val="00E63E69"/>
    <w:rsid w:val="00E6519D"/>
    <w:rsid w:val="00E665A5"/>
    <w:rsid w:val="00E67696"/>
    <w:rsid w:val="00E71658"/>
    <w:rsid w:val="00E71A58"/>
    <w:rsid w:val="00E72A7A"/>
    <w:rsid w:val="00E745EA"/>
    <w:rsid w:val="00E75C94"/>
    <w:rsid w:val="00E76862"/>
    <w:rsid w:val="00E77573"/>
    <w:rsid w:val="00E830B6"/>
    <w:rsid w:val="00E93820"/>
    <w:rsid w:val="00EA0C68"/>
    <w:rsid w:val="00EA32BC"/>
    <w:rsid w:val="00EA4FCF"/>
    <w:rsid w:val="00EA5062"/>
    <w:rsid w:val="00EA6978"/>
    <w:rsid w:val="00EB098A"/>
    <w:rsid w:val="00EB3701"/>
    <w:rsid w:val="00EB4511"/>
    <w:rsid w:val="00EC0298"/>
    <w:rsid w:val="00EC03D7"/>
    <w:rsid w:val="00EC122C"/>
    <w:rsid w:val="00EC438E"/>
    <w:rsid w:val="00EC5A1A"/>
    <w:rsid w:val="00ED62C6"/>
    <w:rsid w:val="00ED64C1"/>
    <w:rsid w:val="00EE1040"/>
    <w:rsid w:val="00EE3446"/>
    <w:rsid w:val="00EE34FB"/>
    <w:rsid w:val="00EE3E78"/>
    <w:rsid w:val="00EE4B1B"/>
    <w:rsid w:val="00EE50AD"/>
    <w:rsid w:val="00EE6E25"/>
    <w:rsid w:val="00EF0264"/>
    <w:rsid w:val="00EF150D"/>
    <w:rsid w:val="00EF1F5A"/>
    <w:rsid w:val="00EF33ED"/>
    <w:rsid w:val="00EF47BF"/>
    <w:rsid w:val="00F04811"/>
    <w:rsid w:val="00F0488C"/>
    <w:rsid w:val="00F07605"/>
    <w:rsid w:val="00F10F11"/>
    <w:rsid w:val="00F1145A"/>
    <w:rsid w:val="00F14A93"/>
    <w:rsid w:val="00F15AAA"/>
    <w:rsid w:val="00F15BEF"/>
    <w:rsid w:val="00F16A15"/>
    <w:rsid w:val="00F23E0E"/>
    <w:rsid w:val="00F24407"/>
    <w:rsid w:val="00F24FAA"/>
    <w:rsid w:val="00F26BA4"/>
    <w:rsid w:val="00F33479"/>
    <w:rsid w:val="00F3364D"/>
    <w:rsid w:val="00F33DA6"/>
    <w:rsid w:val="00F33E6C"/>
    <w:rsid w:val="00F34B23"/>
    <w:rsid w:val="00F4161A"/>
    <w:rsid w:val="00F437CC"/>
    <w:rsid w:val="00F47067"/>
    <w:rsid w:val="00F524F5"/>
    <w:rsid w:val="00F525EB"/>
    <w:rsid w:val="00F53167"/>
    <w:rsid w:val="00F60161"/>
    <w:rsid w:val="00F63DDE"/>
    <w:rsid w:val="00F63FB7"/>
    <w:rsid w:val="00F649D2"/>
    <w:rsid w:val="00F65105"/>
    <w:rsid w:val="00F6602B"/>
    <w:rsid w:val="00F72B23"/>
    <w:rsid w:val="00F73A0C"/>
    <w:rsid w:val="00F756DB"/>
    <w:rsid w:val="00F82B96"/>
    <w:rsid w:val="00F83B84"/>
    <w:rsid w:val="00F85066"/>
    <w:rsid w:val="00F866F9"/>
    <w:rsid w:val="00F87435"/>
    <w:rsid w:val="00F928B6"/>
    <w:rsid w:val="00F92C10"/>
    <w:rsid w:val="00F9319B"/>
    <w:rsid w:val="00FA1306"/>
    <w:rsid w:val="00FA3921"/>
    <w:rsid w:val="00FA5D4D"/>
    <w:rsid w:val="00FB0EE2"/>
    <w:rsid w:val="00FB542E"/>
    <w:rsid w:val="00FC0E5F"/>
    <w:rsid w:val="00FC1A95"/>
    <w:rsid w:val="00FC2DAD"/>
    <w:rsid w:val="00FC39C6"/>
    <w:rsid w:val="00FC45A6"/>
    <w:rsid w:val="00FC56DE"/>
    <w:rsid w:val="00FC684B"/>
    <w:rsid w:val="00FC744D"/>
    <w:rsid w:val="00FD286C"/>
    <w:rsid w:val="00FD3265"/>
    <w:rsid w:val="00FE0C05"/>
    <w:rsid w:val="00FE2B8C"/>
    <w:rsid w:val="00FE2F78"/>
    <w:rsid w:val="00FF1D3D"/>
    <w:rsid w:val="00FF3AC0"/>
    <w:rsid w:val="00FF672E"/>
    <w:rsid w:val="00FF7B96"/>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ecf4dd,#eaecee,#fcec0a,#fcecdb,#f1daf5"/>
    </o:shapedefaults>
    <o:shapelayout v:ext="edit">
      <o:idmap v:ext="edit" data="1"/>
    </o:shapelayout>
  </w:shapeDefaults>
  <w:decimalSymbol w:val=","/>
  <w:listSeparator w:val=";"/>
  <w14:docId w14:val="64EBE29E"/>
  <w15:docId w15:val="{EFF88EEF-B76D-4F3B-AC84-78EDA8D23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AF5"/>
    <w:pPr>
      <w:spacing w:after="120" w:line="288" w:lineRule="auto"/>
      <w:jc w:val="both"/>
    </w:pPr>
    <w:rPr>
      <w:rFonts w:ascii="Arial" w:eastAsia="Times New Roman" w:hAnsi="Arial"/>
      <w:szCs w:val="24"/>
      <w:lang w:eastAsia="cs-CZ"/>
    </w:rPr>
  </w:style>
  <w:style w:type="paragraph" w:styleId="Nadpis1">
    <w:name w:val="heading 1"/>
    <w:next w:val="Normln"/>
    <w:link w:val="Nadpis1Char"/>
    <w:uiPriority w:val="9"/>
    <w:qFormat/>
    <w:rsid w:val="00332671"/>
    <w:pPr>
      <w:keepNext/>
      <w:keepLines/>
      <w:spacing w:after="100" w:line="288" w:lineRule="auto"/>
      <w:contextualSpacing/>
      <w:outlineLvl w:val="0"/>
    </w:pPr>
    <w:rPr>
      <w:rFonts w:ascii="Arial" w:eastAsia="MS Gothic" w:hAnsi="Arial"/>
      <w:b/>
      <w:bCs/>
      <w:color w:val="CC9610"/>
      <w:sz w:val="32"/>
      <w:szCs w:val="28"/>
      <w:lang w:eastAsia="cs-CZ"/>
    </w:rPr>
  </w:style>
  <w:style w:type="paragraph" w:styleId="Nadpis2">
    <w:name w:val="heading 2"/>
    <w:next w:val="Normln"/>
    <w:link w:val="Nadpis2Char"/>
    <w:uiPriority w:val="9"/>
    <w:qFormat/>
    <w:rsid w:val="00332671"/>
    <w:pPr>
      <w:keepNext/>
      <w:keepLines/>
      <w:spacing w:line="288" w:lineRule="auto"/>
      <w:outlineLvl w:val="1"/>
    </w:pPr>
    <w:rPr>
      <w:rFonts w:ascii="Arial" w:eastAsia="MS Gothic" w:hAnsi="Arial"/>
      <w:b/>
      <w:bCs/>
      <w:color w:val="CC9610"/>
      <w:sz w:val="28"/>
      <w:szCs w:val="26"/>
      <w:lang w:eastAsia="cs-CZ"/>
    </w:rPr>
  </w:style>
  <w:style w:type="paragraph" w:styleId="Nadpis3">
    <w:name w:val="heading 3"/>
    <w:next w:val="Normln"/>
    <w:link w:val="Nadpis3Char"/>
    <w:uiPriority w:val="9"/>
    <w:qFormat/>
    <w:rsid w:val="00332671"/>
    <w:pPr>
      <w:keepNext/>
      <w:keepLines/>
      <w:spacing w:line="288" w:lineRule="auto"/>
      <w:outlineLvl w:val="2"/>
    </w:pPr>
    <w:rPr>
      <w:rFonts w:ascii="Arial" w:eastAsia="MS Gothic" w:hAnsi="Arial"/>
      <w:b/>
      <w:bCs/>
      <w:color w:val="CC9610"/>
      <w:sz w:val="24"/>
      <w:szCs w:val="24"/>
      <w:lang w:eastAsia="cs-CZ"/>
    </w:rPr>
  </w:style>
  <w:style w:type="paragraph" w:styleId="Nadpis4">
    <w:name w:val="heading 4"/>
    <w:next w:val="Normln"/>
    <w:link w:val="Nadpis4Char"/>
    <w:uiPriority w:val="9"/>
    <w:qFormat/>
    <w:rsid w:val="00332671"/>
    <w:pPr>
      <w:keepNext/>
      <w:keepLines/>
      <w:spacing w:line="288" w:lineRule="auto"/>
      <w:outlineLvl w:val="3"/>
    </w:pPr>
    <w:rPr>
      <w:rFonts w:ascii="Arial" w:eastAsia="MS Gothic" w:hAnsi="Arial"/>
      <w:b/>
      <w:bCs/>
      <w:iCs/>
      <w:color w:val="CC9610"/>
      <w:szCs w:val="24"/>
      <w:lang w:eastAsia="cs-CZ"/>
    </w:rPr>
  </w:style>
  <w:style w:type="paragraph" w:styleId="Nadpis9">
    <w:name w:val="heading 9"/>
    <w:basedOn w:val="Normln"/>
    <w:next w:val="Normln"/>
    <w:link w:val="Nadpis9Char"/>
    <w:uiPriority w:val="9"/>
    <w:semiHidden/>
    <w:unhideWhenUsed/>
    <w:qFormat/>
    <w:rsid w:val="00A30F65"/>
    <w:pPr>
      <w:spacing w:before="240" w:after="60"/>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sid w:val="00332671"/>
    <w:rPr>
      <w:rFonts w:ascii="Arial" w:eastAsia="MS Gothic" w:hAnsi="Arial"/>
      <w:b/>
      <w:bCs/>
      <w:color w:val="CC9610"/>
      <w:sz w:val="32"/>
      <w:szCs w:val="28"/>
      <w:lang w:eastAsia="cs-CZ"/>
    </w:rPr>
  </w:style>
  <w:style w:type="character" w:customStyle="1" w:styleId="Nadpis2Char">
    <w:name w:val="Nadpis 2 Char"/>
    <w:link w:val="Nadpis2"/>
    <w:uiPriority w:val="9"/>
    <w:rsid w:val="00332671"/>
    <w:rPr>
      <w:rFonts w:ascii="Arial" w:eastAsia="MS Gothic" w:hAnsi="Arial"/>
      <w:b/>
      <w:bCs/>
      <w:color w:val="CC9610"/>
      <w:sz w:val="28"/>
      <w:szCs w:val="26"/>
      <w:lang w:eastAsia="cs-CZ"/>
    </w:rPr>
  </w:style>
  <w:style w:type="character" w:customStyle="1" w:styleId="Nadpis3Char">
    <w:name w:val="Nadpis 3 Char"/>
    <w:link w:val="Nadpis3"/>
    <w:uiPriority w:val="9"/>
    <w:rsid w:val="00332671"/>
    <w:rPr>
      <w:rFonts w:ascii="Arial" w:eastAsia="MS Gothic" w:hAnsi="Arial"/>
      <w:b/>
      <w:bCs/>
      <w:color w:val="CC9610"/>
      <w:sz w:val="24"/>
      <w:szCs w:val="24"/>
      <w:lang w:eastAsia="cs-CZ"/>
    </w:rPr>
  </w:style>
  <w:style w:type="character" w:customStyle="1" w:styleId="Nadpis4Char">
    <w:name w:val="Nadpis 4 Char"/>
    <w:link w:val="Nadpis4"/>
    <w:uiPriority w:val="9"/>
    <w:rsid w:val="00332671"/>
    <w:rPr>
      <w:rFonts w:ascii="Arial" w:eastAsia="MS Gothic" w:hAnsi="Arial"/>
      <w:b/>
      <w:bCs/>
      <w:iCs/>
      <w:color w:val="CC9610"/>
      <w:szCs w:val="24"/>
      <w:lang w:eastAsia="cs-CZ"/>
    </w:rPr>
  </w:style>
  <w:style w:type="character" w:customStyle="1" w:styleId="Nadpis9Char">
    <w:name w:val="Nadpis 9 Char"/>
    <w:link w:val="Nadpis9"/>
    <w:uiPriority w:val="9"/>
    <w:semiHidden/>
    <w:rsid w:val="00A30F65"/>
    <w:rPr>
      <w:rFonts w:ascii="Cambria" w:eastAsia="Times New Roman" w:hAnsi="Cambria" w:cs="Times New Roman"/>
      <w:sz w:val="22"/>
      <w:szCs w:val="22"/>
    </w:rPr>
  </w:style>
  <w:style w:type="character" w:styleId="Hypertextovodkaz">
    <w:name w:val="Hyperlink"/>
    <w:uiPriority w:val="99"/>
    <w:rsid w:val="00E71A58"/>
    <w:rPr>
      <w:color w:val="0000FF"/>
      <w:u w:val="single"/>
    </w:rPr>
  </w:style>
  <w:style w:type="paragraph" w:styleId="Zhlav">
    <w:name w:val="header"/>
    <w:link w:val="ZhlavChar"/>
    <w:uiPriority w:val="99"/>
    <w:unhideWhenUsed/>
    <w:qFormat/>
    <w:rsid w:val="00A418BC"/>
    <w:pPr>
      <w:spacing w:line="288" w:lineRule="auto"/>
    </w:pPr>
    <w:rPr>
      <w:rFonts w:ascii="Arial" w:hAnsi="Arial"/>
      <w:sz w:val="16"/>
      <w:szCs w:val="22"/>
    </w:rPr>
  </w:style>
  <w:style w:type="character" w:customStyle="1" w:styleId="ZhlavChar">
    <w:name w:val="Záhlaví Char"/>
    <w:link w:val="Zhlav"/>
    <w:uiPriority w:val="99"/>
    <w:rsid w:val="00A418BC"/>
    <w:rPr>
      <w:rFonts w:ascii="Arial" w:hAnsi="Arial"/>
      <w:sz w:val="16"/>
      <w:szCs w:val="22"/>
      <w:lang w:eastAsia="en-US"/>
    </w:rPr>
  </w:style>
  <w:style w:type="paragraph" w:styleId="Zpat">
    <w:name w:val="footer"/>
    <w:link w:val="ZpatChar"/>
    <w:uiPriority w:val="99"/>
    <w:unhideWhenUsed/>
    <w:qFormat/>
    <w:rsid w:val="00031AE0"/>
    <w:pPr>
      <w:tabs>
        <w:tab w:val="center" w:pos="4820"/>
        <w:tab w:val="right" w:pos="9639"/>
      </w:tabs>
    </w:pPr>
    <w:rPr>
      <w:rFonts w:ascii="Arial" w:hAnsi="Arial" w:cs="Arial"/>
      <w:noProof/>
      <w:sz w:val="16"/>
    </w:rPr>
  </w:style>
  <w:style w:type="character" w:customStyle="1" w:styleId="ZpatChar">
    <w:name w:val="Zápatí Char"/>
    <w:link w:val="Zpat"/>
    <w:uiPriority w:val="99"/>
    <w:rsid w:val="00031AE0"/>
    <w:rPr>
      <w:rFonts w:ascii="Arial" w:hAnsi="Arial" w:cs="Arial"/>
      <w:noProof/>
      <w:sz w:val="16"/>
      <w:lang w:eastAsia="en-US"/>
    </w:rPr>
  </w:style>
  <w:style w:type="paragraph" w:styleId="Textbubliny">
    <w:name w:val="Balloon Text"/>
    <w:basedOn w:val="Normln"/>
    <w:link w:val="TextbublinyChar"/>
    <w:uiPriority w:val="99"/>
    <w:semiHidden/>
    <w:unhideWhenUsed/>
    <w:rsid w:val="00E71A58"/>
    <w:rPr>
      <w:rFonts w:ascii="Tahoma" w:eastAsia="Calibri" w:hAnsi="Tahoma"/>
      <w:sz w:val="16"/>
      <w:szCs w:val="16"/>
      <w:lang w:val="x-none" w:eastAsia="x-none"/>
    </w:rPr>
  </w:style>
  <w:style w:type="character" w:customStyle="1" w:styleId="TextbublinyChar">
    <w:name w:val="Text bubliny Char"/>
    <w:link w:val="Textbubliny"/>
    <w:uiPriority w:val="99"/>
    <w:semiHidden/>
    <w:rsid w:val="00E71A58"/>
    <w:rPr>
      <w:rFonts w:ascii="Tahoma" w:hAnsi="Tahoma" w:cs="Tahoma"/>
      <w:sz w:val="16"/>
      <w:szCs w:val="16"/>
    </w:rPr>
  </w:style>
  <w:style w:type="paragraph" w:customStyle="1" w:styleId="Zkladnodstavec">
    <w:name w:val="[Základní odstavec]"/>
    <w:link w:val="ZkladnodstavecChar"/>
    <w:uiPriority w:val="99"/>
    <w:rsid w:val="0008263E"/>
    <w:pPr>
      <w:autoSpaceDE w:val="0"/>
      <w:autoSpaceDN w:val="0"/>
      <w:adjustRightInd w:val="0"/>
      <w:spacing w:line="276" w:lineRule="auto"/>
      <w:textAlignment w:val="center"/>
    </w:pPr>
    <w:rPr>
      <w:rFonts w:ascii="Arial" w:hAnsi="Arial" w:cs="Minion Pro"/>
      <w:color w:val="000000"/>
      <w:szCs w:val="24"/>
      <w:lang w:eastAsia="cs-CZ"/>
    </w:rPr>
  </w:style>
  <w:style w:type="character" w:customStyle="1" w:styleId="ZkladnodstavecChar">
    <w:name w:val="[Základní odstavec] Char"/>
    <w:link w:val="Zkladnodstavec"/>
    <w:uiPriority w:val="99"/>
    <w:rsid w:val="0008263E"/>
    <w:rPr>
      <w:rFonts w:ascii="Arial" w:hAnsi="Arial" w:cs="Minion Pro"/>
      <w:color w:val="000000"/>
      <w:szCs w:val="24"/>
    </w:rPr>
  </w:style>
  <w:style w:type="paragraph" w:styleId="Obsah1">
    <w:name w:val="toc 1"/>
    <w:basedOn w:val="Obsahpoloky"/>
    <w:next w:val="Obsahpoloky"/>
    <w:autoRedefine/>
    <w:uiPriority w:val="39"/>
    <w:unhideWhenUsed/>
    <w:rsid w:val="00FC1A95"/>
  </w:style>
  <w:style w:type="paragraph" w:customStyle="1" w:styleId="TLIdentifikace-sted">
    <w:name w:val="TL Identifikace - střed"/>
    <w:qFormat/>
    <w:rsid w:val="009A60D1"/>
    <w:pPr>
      <w:spacing w:after="200" w:line="288" w:lineRule="auto"/>
    </w:pPr>
    <w:rPr>
      <w:rFonts w:ascii="Arial" w:eastAsia="Times New Roman" w:hAnsi="Arial"/>
      <w:sz w:val="24"/>
      <w:szCs w:val="24"/>
      <w:lang w:eastAsia="cs-CZ"/>
    </w:rPr>
  </w:style>
  <w:style w:type="paragraph" w:customStyle="1" w:styleId="Obsah">
    <w:name w:val="Obsah"/>
    <w:next w:val="Normln"/>
    <w:qFormat/>
    <w:rsid w:val="0031293E"/>
    <w:pPr>
      <w:spacing w:after="80" w:line="288" w:lineRule="auto"/>
    </w:pPr>
    <w:rPr>
      <w:rFonts w:ascii="Arial" w:eastAsia="Times New Roman" w:hAnsi="Arial"/>
      <w:b/>
      <w:color w:val="CC9610"/>
      <w:sz w:val="32"/>
      <w:szCs w:val="24"/>
      <w:lang w:eastAsia="cs-CZ"/>
    </w:rPr>
  </w:style>
  <w:style w:type="paragraph" w:customStyle="1" w:styleId="Obsahpoloky">
    <w:name w:val="Obsah položky"/>
    <w:qFormat/>
    <w:rsid w:val="00616E05"/>
    <w:pPr>
      <w:tabs>
        <w:tab w:val="right" w:leader="dot" w:pos="9639"/>
      </w:tabs>
      <w:spacing w:line="288" w:lineRule="auto"/>
    </w:pPr>
    <w:rPr>
      <w:rFonts w:ascii="Arial" w:eastAsia="Times New Roman" w:hAnsi="Arial"/>
      <w:szCs w:val="24"/>
      <w:lang w:eastAsia="cs-CZ"/>
    </w:rPr>
  </w:style>
  <w:style w:type="paragraph" w:customStyle="1" w:styleId="Box1">
    <w:name w:val="Box 1"/>
    <w:next w:val="Normln"/>
    <w:qFormat/>
    <w:rsid w:val="005E326B"/>
    <w:pPr>
      <w:shd w:val="clear" w:color="auto" w:fill="F8EFDE"/>
      <w:spacing w:before="240" w:after="240" w:line="288" w:lineRule="auto"/>
      <w:ind w:left="709"/>
      <w:contextualSpacing/>
    </w:pPr>
    <w:rPr>
      <w:rFonts w:ascii="Arial" w:hAnsi="Arial" w:cs="Arial"/>
      <w:lang w:eastAsia="cs-CZ"/>
    </w:rPr>
  </w:style>
  <w:style w:type="paragraph" w:customStyle="1" w:styleId="Box2">
    <w:name w:val="Box 2"/>
    <w:qFormat/>
    <w:rsid w:val="00332671"/>
    <w:pPr>
      <w:spacing w:before="240" w:after="240" w:line="288" w:lineRule="auto"/>
      <w:ind w:left="709"/>
      <w:contextualSpacing/>
    </w:pPr>
    <w:rPr>
      <w:rFonts w:ascii="Arial" w:hAnsi="Arial" w:cs="Arial"/>
      <w:color w:val="CC9610"/>
      <w:lang w:eastAsia="cs-CZ"/>
    </w:rPr>
  </w:style>
  <w:style w:type="paragraph" w:styleId="Seznam">
    <w:name w:val="List"/>
    <w:basedOn w:val="Normln"/>
    <w:uiPriority w:val="99"/>
    <w:unhideWhenUsed/>
    <w:qFormat/>
    <w:rsid w:val="00481E40"/>
    <w:pPr>
      <w:contextualSpacing/>
    </w:pPr>
  </w:style>
  <w:style w:type="character" w:styleId="Siln">
    <w:name w:val="Strong"/>
    <w:aliases w:val="Tučné"/>
    <w:uiPriority w:val="22"/>
    <w:qFormat/>
    <w:rsid w:val="00EC03D7"/>
    <w:rPr>
      <w:rFonts w:ascii="Arial" w:hAnsi="Arial"/>
      <w:b/>
      <w:bCs/>
      <w:sz w:val="20"/>
    </w:rPr>
  </w:style>
  <w:style w:type="paragraph" w:customStyle="1" w:styleId="TLKontaktyerven">
    <w:name w:val="TL Kontakty červené"/>
    <w:basedOn w:val="Normln"/>
    <w:qFormat/>
    <w:rsid w:val="0031293E"/>
    <w:pPr>
      <w:spacing w:after="40"/>
      <w:contextualSpacing/>
    </w:pPr>
    <w:rPr>
      <w:b/>
      <w:caps/>
      <w:color w:val="000000" w:themeColor="text1"/>
      <w:sz w:val="24"/>
    </w:rPr>
  </w:style>
  <w:style w:type="paragraph" w:customStyle="1" w:styleId="TLKontakty">
    <w:name w:val="TL Kontakty"/>
    <w:qFormat/>
    <w:rsid w:val="0031293E"/>
    <w:pPr>
      <w:spacing w:after="160" w:line="259" w:lineRule="auto"/>
      <w:contextualSpacing/>
    </w:pPr>
    <w:rPr>
      <w:rFonts w:ascii="Arial" w:eastAsia="Times New Roman" w:hAnsi="Arial"/>
      <w:b/>
      <w:color w:val="CC9610"/>
      <w:lang w:eastAsia="cs-CZ"/>
    </w:rPr>
  </w:style>
  <w:style w:type="paragraph" w:styleId="Nzev">
    <w:name w:val="Title"/>
    <w:link w:val="NzevChar"/>
    <w:uiPriority w:val="10"/>
    <w:qFormat/>
    <w:rsid w:val="0031293E"/>
    <w:pPr>
      <w:spacing w:line="288" w:lineRule="auto"/>
    </w:pPr>
    <w:rPr>
      <w:rFonts w:ascii="Arial" w:eastAsia="Times New Roman" w:hAnsi="Arial"/>
      <w:b/>
      <w:bCs/>
      <w:caps/>
      <w:color w:val="000000" w:themeColor="text1"/>
      <w:kern w:val="28"/>
      <w:sz w:val="56"/>
      <w:szCs w:val="32"/>
      <w:lang w:eastAsia="cs-CZ"/>
    </w:rPr>
  </w:style>
  <w:style w:type="character" w:customStyle="1" w:styleId="NzevChar">
    <w:name w:val="Název Char"/>
    <w:link w:val="Nzev"/>
    <w:uiPriority w:val="10"/>
    <w:rsid w:val="0031293E"/>
    <w:rPr>
      <w:rFonts w:ascii="Arial" w:eastAsia="Times New Roman" w:hAnsi="Arial"/>
      <w:b/>
      <w:bCs/>
      <w:caps/>
      <w:color w:val="000000" w:themeColor="text1"/>
      <w:kern w:val="28"/>
      <w:sz w:val="56"/>
      <w:szCs w:val="32"/>
      <w:lang w:eastAsia="cs-CZ"/>
    </w:rPr>
  </w:style>
  <w:style w:type="paragraph" w:styleId="Podnadpis">
    <w:name w:val="Subtitle"/>
    <w:link w:val="PodnadpisChar"/>
    <w:uiPriority w:val="11"/>
    <w:qFormat/>
    <w:rsid w:val="0031293E"/>
    <w:pPr>
      <w:spacing w:line="288" w:lineRule="auto"/>
    </w:pPr>
    <w:rPr>
      <w:rFonts w:ascii="Arial" w:eastAsia="Times New Roman" w:hAnsi="Arial" w:cs="Arial"/>
      <w:b/>
      <w:color w:val="000000" w:themeColor="text1"/>
      <w:sz w:val="28"/>
      <w:szCs w:val="24"/>
      <w:lang w:eastAsia="cs-CZ"/>
    </w:rPr>
  </w:style>
  <w:style w:type="character" w:customStyle="1" w:styleId="PodnadpisChar">
    <w:name w:val="Podnadpis Char"/>
    <w:link w:val="Podnadpis"/>
    <w:uiPriority w:val="11"/>
    <w:rsid w:val="0031293E"/>
    <w:rPr>
      <w:rFonts w:ascii="Arial" w:eastAsia="Times New Roman" w:hAnsi="Arial" w:cs="Arial"/>
      <w:b/>
      <w:color w:val="000000" w:themeColor="text1"/>
      <w:sz w:val="28"/>
      <w:szCs w:val="24"/>
      <w:lang w:eastAsia="cs-CZ"/>
    </w:rPr>
  </w:style>
  <w:style w:type="paragraph" w:styleId="Obsah2">
    <w:name w:val="toc 2"/>
    <w:basedOn w:val="Obsahpoloky"/>
    <w:next w:val="Obsahpoloky"/>
    <w:autoRedefine/>
    <w:uiPriority w:val="39"/>
    <w:unhideWhenUsed/>
    <w:rsid w:val="00FC1A95"/>
    <w:pPr>
      <w:ind w:left="200"/>
    </w:pPr>
  </w:style>
  <w:style w:type="paragraph" w:styleId="Obsah3">
    <w:name w:val="toc 3"/>
    <w:basedOn w:val="Obsahpoloky"/>
    <w:next w:val="Obsahpoloky"/>
    <w:autoRedefine/>
    <w:uiPriority w:val="39"/>
    <w:unhideWhenUsed/>
    <w:rsid w:val="00FC1A95"/>
    <w:pPr>
      <w:ind w:left="400"/>
    </w:pPr>
  </w:style>
  <w:style w:type="paragraph" w:styleId="Obsah4">
    <w:name w:val="toc 4"/>
    <w:basedOn w:val="Obsahpoloky"/>
    <w:next w:val="Obsahpoloky"/>
    <w:autoRedefine/>
    <w:uiPriority w:val="39"/>
    <w:unhideWhenUsed/>
    <w:rsid w:val="00FC1A95"/>
    <w:pPr>
      <w:ind w:left="600"/>
    </w:pPr>
  </w:style>
  <w:style w:type="paragraph" w:styleId="Obsah5">
    <w:name w:val="toc 5"/>
    <w:basedOn w:val="Obsahpoloky"/>
    <w:next w:val="Obsahpoloky"/>
    <w:autoRedefine/>
    <w:uiPriority w:val="39"/>
    <w:semiHidden/>
    <w:unhideWhenUsed/>
    <w:rsid w:val="00FC1A95"/>
    <w:pPr>
      <w:ind w:left="800"/>
    </w:pPr>
  </w:style>
  <w:style w:type="paragraph" w:styleId="Obsah6">
    <w:name w:val="toc 6"/>
    <w:basedOn w:val="Obsahpoloky"/>
    <w:next w:val="Obsahpoloky"/>
    <w:autoRedefine/>
    <w:uiPriority w:val="39"/>
    <w:semiHidden/>
    <w:unhideWhenUsed/>
    <w:rsid w:val="00FC1A95"/>
    <w:pPr>
      <w:ind w:left="1000"/>
    </w:pPr>
  </w:style>
  <w:style w:type="paragraph" w:styleId="Obsah7">
    <w:name w:val="toc 7"/>
    <w:basedOn w:val="Obsahpoloky"/>
    <w:next w:val="Obsahpoloky"/>
    <w:autoRedefine/>
    <w:uiPriority w:val="39"/>
    <w:semiHidden/>
    <w:unhideWhenUsed/>
    <w:rsid w:val="00FC1A95"/>
    <w:pPr>
      <w:ind w:left="1200"/>
    </w:pPr>
  </w:style>
  <w:style w:type="paragraph" w:styleId="Obsah8">
    <w:name w:val="toc 8"/>
    <w:basedOn w:val="Obsahpoloky"/>
    <w:next w:val="Obsahpoloky"/>
    <w:autoRedefine/>
    <w:uiPriority w:val="39"/>
    <w:semiHidden/>
    <w:unhideWhenUsed/>
    <w:rsid w:val="00FC1A95"/>
    <w:pPr>
      <w:ind w:left="1400"/>
    </w:pPr>
  </w:style>
  <w:style w:type="paragraph" w:styleId="Obsah9">
    <w:name w:val="toc 9"/>
    <w:basedOn w:val="Obsahpoloky"/>
    <w:next w:val="Obsahpoloky"/>
    <w:autoRedefine/>
    <w:uiPriority w:val="39"/>
    <w:semiHidden/>
    <w:unhideWhenUsed/>
    <w:rsid w:val="00924AC8"/>
    <w:pPr>
      <w:ind w:left="1600"/>
    </w:pPr>
  </w:style>
  <w:style w:type="character" w:styleId="Zdraznnintenzivn">
    <w:name w:val="Intense Emphasis"/>
    <w:basedOn w:val="Standardnpsmoodstavce"/>
    <w:uiPriority w:val="21"/>
    <w:qFormat/>
    <w:rsid w:val="0031293E"/>
    <w:rPr>
      <w:i/>
      <w:iCs/>
      <w:color w:val="000000" w:themeColor="text1"/>
    </w:rPr>
  </w:style>
  <w:style w:type="character" w:styleId="Odkazintenzivn">
    <w:name w:val="Intense Reference"/>
    <w:basedOn w:val="Standardnpsmoodstavce"/>
    <w:uiPriority w:val="32"/>
    <w:qFormat/>
    <w:rsid w:val="0031293E"/>
    <w:rPr>
      <w:b/>
      <w:bCs/>
      <w:smallCaps/>
      <w:color w:val="000000" w:themeColor="text1"/>
      <w:spacing w:val="5"/>
    </w:rPr>
  </w:style>
  <w:style w:type="paragraph" w:styleId="Odstavecseseznamem">
    <w:name w:val="List Paragraph"/>
    <w:basedOn w:val="Normln"/>
    <w:uiPriority w:val="99"/>
    <w:qFormat/>
    <w:rsid w:val="001A42B3"/>
    <w:pPr>
      <w:ind w:left="720"/>
      <w:contextualSpacing/>
    </w:pPr>
  </w:style>
  <w:style w:type="paragraph" w:styleId="Textpoznpodarou">
    <w:name w:val="footnote text"/>
    <w:basedOn w:val="Normln"/>
    <w:link w:val="TextpoznpodarouChar"/>
    <w:uiPriority w:val="99"/>
    <w:semiHidden/>
    <w:unhideWhenUsed/>
    <w:rsid w:val="00BF188B"/>
    <w:pPr>
      <w:spacing w:after="0" w:line="240" w:lineRule="auto"/>
    </w:pPr>
    <w:rPr>
      <w:szCs w:val="20"/>
    </w:rPr>
  </w:style>
  <w:style w:type="character" w:customStyle="1" w:styleId="TextpoznpodarouChar">
    <w:name w:val="Text pozn. pod čarou Char"/>
    <w:basedOn w:val="Standardnpsmoodstavce"/>
    <w:link w:val="Textpoznpodarou"/>
    <w:uiPriority w:val="99"/>
    <w:semiHidden/>
    <w:rsid w:val="00BF188B"/>
    <w:rPr>
      <w:rFonts w:ascii="Arial" w:eastAsia="Times New Roman" w:hAnsi="Arial"/>
      <w:lang w:eastAsia="cs-CZ"/>
    </w:rPr>
  </w:style>
  <w:style w:type="character" w:styleId="Znakapoznpodarou">
    <w:name w:val="footnote reference"/>
    <w:basedOn w:val="Standardnpsmoodstavce"/>
    <w:unhideWhenUsed/>
    <w:rsid w:val="00BF188B"/>
    <w:rPr>
      <w:vertAlign w:val="superscript"/>
    </w:rPr>
  </w:style>
  <w:style w:type="character" w:styleId="Sledovanodkaz">
    <w:name w:val="FollowedHyperlink"/>
    <w:basedOn w:val="Standardnpsmoodstavce"/>
    <w:uiPriority w:val="99"/>
    <w:semiHidden/>
    <w:unhideWhenUsed/>
    <w:rsid w:val="00266AF5"/>
    <w:rPr>
      <w:color w:val="800080" w:themeColor="followedHyperlink"/>
      <w:u w:val="single"/>
    </w:rPr>
  </w:style>
  <w:style w:type="character" w:styleId="Odkaznakoment">
    <w:name w:val="annotation reference"/>
    <w:basedOn w:val="Standardnpsmoodstavce"/>
    <w:uiPriority w:val="99"/>
    <w:semiHidden/>
    <w:unhideWhenUsed/>
    <w:rsid w:val="00B722AD"/>
    <w:rPr>
      <w:sz w:val="16"/>
      <w:szCs w:val="16"/>
    </w:rPr>
  </w:style>
  <w:style w:type="paragraph" w:styleId="Textkomente">
    <w:name w:val="annotation text"/>
    <w:basedOn w:val="Normln"/>
    <w:link w:val="TextkomenteChar"/>
    <w:uiPriority w:val="99"/>
    <w:semiHidden/>
    <w:unhideWhenUsed/>
    <w:rsid w:val="00B722AD"/>
    <w:pPr>
      <w:spacing w:line="240" w:lineRule="auto"/>
    </w:pPr>
    <w:rPr>
      <w:szCs w:val="20"/>
    </w:rPr>
  </w:style>
  <w:style w:type="character" w:customStyle="1" w:styleId="TextkomenteChar">
    <w:name w:val="Text komentáře Char"/>
    <w:basedOn w:val="Standardnpsmoodstavce"/>
    <w:link w:val="Textkomente"/>
    <w:uiPriority w:val="99"/>
    <w:semiHidden/>
    <w:rsid w:val="00B722AD"/>
    <w:rPr>
      <w:rFonts w:ascii="Arial" w:eastAsia="Times New Roman" w:hAnsi="Arial"/>
      <w:lang w:eastAsia="cs-CZ"/>
    </w:rPr>
  </w:style>
  <w:style w:type="paragraph" w:styleId="Pedmtkomente">
    <w:name w:val="annotation subject"/>
    <w:basedOn w:val="Textkomente"/>
    <w:next w:val="Textkomente"/>
    <w:link w:val="PedmtkomenteChar"/>
    <w:uiPriority w:val="99"/>
    <w:semiHidden/>
    <w:unhideWhenUsed/>
    <w:rsid w:val="00B722AD"/>
    <w:rPr>
      <w:b/>
      <w:bCs/>
    </w:rPr>
  </w:style>
  <w:style w:type="character" w:customStyle="1" w:styleId="PedmtkomenteChar">
    <w:name w:val="Předmět komentáře Char"/>
    <w:basedOn w:val="TextkomenteChar"/>
    <w:link w:val="Pedmtkomente"/>
    <w:uiPriority w:val="99"/>
    <w:semiHidden/>
    <w:rsid w:val="00B722AD"/>
    <w:rPr>
      <w:rFonts w:ascii="Arial" w:eastAsia="Times New Roman" w:hAnsi="Arial"/>
      <w:b/>
      <w:bCs/>
      <w:lang w:eastAsia="cs-CZ"/>
    </w:rPr>
  </w:style>
  <w:style w:type="paragraph" w:styleId="Titulek">
    <w:name w:val="caption"/>
    <w:basedOn w:val="Normln"/>
    <w:next w:val="Normln"/>
    <w:uiPriority w:val="35"/>
    <w:unhideWhenUsed/>
    <w:qFormat/>
    <w:rsid w:val="007602F1"/>
    <w:pPr>
      <w:spacing w:after="200" w:line="240" w:lineRule="auto"/>
    </w:pPr>
    <w:rPr>
      <w:i/>
      <w:iCs/>
      <w:color w:val="1F497D" w:themeColor="text2"/>
      <w:sz w:val="18"/>
      <w:szCs w:val="18"/>
    </w:rPr>
  </w:style>
  <w:style w:type="paragraph" w:styleId="Normlnweb">
    <w:name w:val="Normal (Web)"/>
    <w:basedOn w:val="Normln"/>
    <w:uiPriority w:val="99"/>
    <w:semiHidden/>
    <w:unhideWhenUsed/>
    <w:rsid w:val="00021C3F"/>
    <w:pPr>
      <w:spacing w:before="100" w:beforeAutospacing="1" w:after="100" w:afterAutospacing="1" w:line="240" w:lineRule="auto"/>
      <w:jc w:val="left"/>
    </w:pPr>
    <w:rPr>
      <w:rFonts w:ascii="Times New Roman" w:eastAsiaTheme="minorEastAsia"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6699">
      <w:bodyDiv w:val="1"/>
      <w:marLeft w:val="0"/>
      <w:marRight w:val="0"/>
      <w:marTop w:val="0"/>
      <w:marBottom w:val="0"/>
      <w:divBdr>
        <w:top w:val="none" w:sz="0" w:space="0" w:color="auto"/>
        <w:left w:val="none" w:sz="0" w:space="0" w:color="auto"/>
        <w:bottom w:val="none" w:sz="0" w:space="0" w:color="auto"/>
        <w:right w:val="none" w:sz="0" w:space="0" w:color="auto"/>
      </w:divBdr>
    </w:div>
    <w:div w:id="2897913">
      <w:bodyDiv w:val="1"/>
      <w:marLeft w:val="0"/>
      <w:marRight w:val="0"/>
      <w:marTop w:val="0"/>
      <w:marBottom w:val="0"/>
      <w:divBdr>
        <w:top w:val="none" w:sz="0" w:space="0" w:color="auto"/>
        <w:left w:val="none" w:sz="0" w:space="0" w:color="auto"/>
        <w:bottom w:val="none" w:sz="0" w:space="0" w:color="auto"/>
        <w:right w:val="none" w:sz="0" w:space="0" w:color="auto"/>
      </w:divBdr>
    </w:div>
    <w:div w:id="12079845">
      <w:bodyDiv w:val="1"/>
      <w:marLeft w:val="0"/>
      <w:marRight w:val="0"/>
      <w:marTop w:val="0"/>
      <w:marBottom w:val="0"/>
      <w:divBdr>
        <w:top w:val="none" w:sz="0" w:space="0" w:color="auto"/>
        <w:left w:val="none" w:sz="0" w:space="0" w:color="auto"/>
        <w:bottom w:val="none" w:sz="0" w:space="0" w:color="auto"/>
        <w:right w:val="none" w:sz="0" w:space="0" w:color="auto"/>
      </w:divBdr>
    </w:div>
    <w:div w:id="24137105">
      <w:bodyDiv w:val="1"/>
      <w:marLeft w:val="0"/>
      <w:marRight w:val="0"/>
      <w:marTop w:val="0"/>
      <w:marBottom w:val="0"/>
      <w:divBdr>
        <w:top w:val="none" w:sz="0" w:space="0" w:color="auto"/>
        <w:left w:val="none" w:sz="0" w:space="0" w:color="auto"/>
        <w:bottom w:val="none" w:sz="0" w:space="0" w:color="auto"/>
        <w:right w:val="none" w:sz="0" w:space="0" w:color="auto"/>
      </w:divBdr>
    </w:div>
    <w:div w:id="35861840">
      <w:bodyDiv w:val="1"/>
      <w:marLeft w:val="0"/>
      <w:marRight w:val="0"/>
      <w:marTop w:val="0"/>
      <w:marBottom w:val="0"/>
      <w:divBdr>
        <w:top w:val="none" w:sz="0" w:space="0" w:color="auto"/>
        <w:left w:val="none" w:sz="0" w:space="0" w:color="auto"/>
        <w:bottom w:val="none" w:sz="0" w:space="0" w:color="auto"/>
        <w:right w:val="none" w:sz="0" w:space="0" w:color="auto"/>
      </w:divBdr>
    </w:div>
    <w:div w:id="38166901">
      <w:bodyDiv w:val="1"/>
      <w:marLeft w:val="0"/>
      <w:marRight w:val="0"/>
      <w:marTop w:val="0"/>
      <w:marBottom w:val="0"/>
      <w:divBdr>
        <w:top w:val="none" w:sz="0" w:space="0" w:color="auto"/>
        <w:left w:val="none" w:sz="0" w:space="0" w:color="auto"/>
        <w:bottom w:val="none" w:sz="0" w:space="0" w:color="auto"/>
        <w:right w:val="none" w:sz="0" w:space="0" w:color="auto"/>
      </w:divBdr>
    </w:div>
    <w:div w:id="39136801">
      <w:bodyDiv w:val="1"/>
      <w:marLeft w:val="0"/>
      <w:marRight w:val="0"/>
      <w:marTop w:val="0"/>
      <w:marBottom w:val="0"/>
      <w:divBdr>
        <w:top w:val="none" w:sz="0" w:space="0" w:color="auto"/>
        <w:left w:val="none" w:sz="0" w:space="0" w:color="auto"/>
        <w:bottom w:val="none" w:sz="0" w:space="0" w:color="auto"/>
        <w:right w:val="none" w:sz="0" w:space="0" w:color="auto"/>
      </w:divBdr>
    </w:div>
    <w:div w:id="74321973">
      <w:bodyDiv w:val="1"/>
      <w:marLeft w:val="0"/>
      <w:marRight w:val="0"/>
      <w:marTop w:val="0"/>
      <w:marBottom w:val="0"/>
      <w:divBdr>
        <w:top w:val="none" w:sz="0" w:space="0" w:color="auto"/>
        <w:left w:val="none" w:sz="0" w:space="0" w:color="auto"/>
        <w:bottom w:val="none" w:sz="0" w:space="0" w:color="auto"/>
        <w:right w:val="none" w:sz="0" w:space="0" w:color="auto"/>
      </w:divBdr>
    </w:div>
    <w:div w:id="103966990">
      <w:bodyDiv w:val="1"/>
      <w:marLeft w:val="0"/>
      <w:marRight w:val="0"/>
      <w:marTop w:val="0"/>
      <w:marBottom w:val="0"/>
      <w:divBdr>
        <w:top w:val="none" w:sz="0" w:space="0" w:color="auto"/>
        <w:left w:val="none" w:sz="0" w:space="0" w:color="auto"/>
        <w:bottom w:val="none" w:sz="0" w:space="0" w:color="auto"/>
        <w:right w:val="none" w:sz="0" w:space="0" w:color="auto"/>
      </w:divBdr>
    </w:div>
    <w:div w:id="114643628">
      <w:bodyDiv w:val="1"/>
      <w:marLeft w:val="0"/>
      <w:marRight w:val="0"/>
      <w:marTop w:val="0"/>
      <w:marBottom w:val="0"/>
      <w:divBdr>
        <w:top w:val="none" w:sz="0" w:space="0" w:color="auto"/>
        <w:left w:val="none" w:sz="0" w:space="0" w:color="auto"/>
        <w:bottom w:val="none" w:sz="0" w:space="0" w:color="auto"/>
        <w:right w:val="none" w:sz="0" w:space="0" w:color="auto"/>
      </w:divBdr>
    </w:div>
    <w:div w:id="134567493">
      <w:bodyDiv w:val="1"/>
      <w:marLeft w:val="0"/>
      <w:marRight w:val="0"/>
      <w:marTop w:val="0"/>
      <w:marBottom w:val="0"/>
      <w:divBdr>
        <w:top w:val="none" w:sz="0" w:space="0" w:color="auto"/>
        <w:left w:val="none" w:sz="0" w:space="0" w:color="auto"/>
        <w:bottom w:val="none" w:sz="0" w:space="0" w:color="auto"/>
        <w:right w:val="none" w:sz="0" w:space="0" w:color="auto"/>
      </w:divBdr>
    </w:div>
    <w:div w:id="141964413">
      <w:bodyDiv w:val="1"/>
      <w:marLeft w:val="0"/>
      <w:marRight w:val="0"/>
      <w:marTop w:val="0"/>
      <w:marBottom w:val="0"/>
      <w:divBdr>
        <w:top w:val="none" w:sz="0" w:space="0" w:color="auto"/>
        <w:left w:val="none" w:sz="0" w:space="0" w:color="auto"/>
        <w:bottom w:val="none" w:sz="0" w:space="0" w:color="auto"/>
        <w:right w:val="none" w:sz="0" w:space="0" w:color="auto"/>
      </w:divBdr>
    </w:div>
    <w:div w:id="160199894">
      <w:bodyDiv w:val="1"/>
      <w:marLeft w:val="0"/>
      <w:marRight w:val="0"/>
      <w:marTop w:val="0"/>
      <w:marBottom w:val="0"/>
      <w:divBdr>
        <w:top w:val="none" w:sz="0" w:space="0" w:color="auto"/>
        <w:left w:val="none" w:sz="0" w:space="0" w:color="auto"/>
        <w:bottom w:val="none" w:sz="0" w:space="0" w:color="auto"/>
        <w:right w:val="none" w:sz="0" w:space="0" w:color="auto"/>
      </w:divBdr>
    </w:div>
    <w:div w:id="179467529">
      <w:bodyDiv w:val="1"/>
      <w:marLeft w:val="0"/>
      <w:marRight w:val="0"/>
      <w:marTop w:val="0"/>
      <w:marBottom w:val="0"/>
      <w:divBdr>
        <w:top w:val="none" w:sz="0" w:space="0" w:color="auto"/>
        <w:left w:val="none" w:sz="0" w:space="0" w:color="auto"/>
        <w:bottom w:val="none" w:sz="0" w:space="0" w:color="auto"/>
        <w:right w:val="none" w:sz="0" w:space="0" w:color="auto"/>
      </w:divBdr>
    </w:div>
    <w:div w:id="188108490">
      <w:bodyDiv w:val="1"/>
      <w:marLeft w:val="0"/>
      <w:marRight w:val="0"/>
      <w:marTop w:val="0"/>
      <w:marBottom w:val="0"/>
      <w:divBdr>
        <w:top w:val="none" w:sz="0" w:space="0" w:color="auto"/>
        <w:left w:val="none" w:sz="0" w:space="0" w:color="auto"/>
        <w:bottom w:val="none" w:sz="0" w:space="0" w:color="auto"/>
        <w:right w:val="none" w:sz="0" w:space="0" w:color="auto"/>
      </w:divBdr>
    </w:div>
    <w:div w:id="195167705">
      <w:bodyDiv w:val="1"/>
      <w:marLeft w:val="0"/>
      <w:marRight w:val="0"/>
      <w:marTop w:val="0"/>
      <w:marBottom w:val="0"/>
      <w:divBdr>
        <w:top w:val="none" w:sz="0" w:space="0" w:color="auto"/>
        <w:left w:val="none" w:sz="0" w:space="0" w:color="auto"/>
        <w:bottom w:val="none" w:sz="0" w:space="0" w:color="auto"/>
        <w:right w:val="none" w:sz="0" w:space="0" w:color="auto"/>
      </w:divBdr>
    </w:div>
    <w:div w:id="264115308">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309483955">
      <w:bodyDiv w:val="1"/>
      <w:marLeft w:val="0"/>
      <w:marRight w:val="0"/>
      <w:marTop w:val="0"/>
      <w:marBottom w:val="0"/>
      <w:divBdr>
        <w:top w:val="none" w:sz="0" w:space="0" w:color="auto"/>
        <w:left w:val="none" w:sz="0" w:space="0" w:color="auto"/>
        <w:bottom w:val="none" w:sz="0" w:space="0" w:color="auto"/>
        <w:right w:val="none" w:sz="0" w:space="0" w:color="auto"/>
      </w:divBdr>
    </w:div>
    <w:div w:id="358092061">
      <w:bodyDiv w:val="1"/>
      <w:marLeft w:val="0"/>
      <w:marRight w:val="0"/>
      <w:marTop w:val="0"/>
      <w:marBottom w:val="0"/>
      <w:divBdr>
        <w:top w:val="none" w:sz="0" w:space="0" w:color="auto"/>
        <w:left w:val="none" w:sz="0" w:space="0" w:color="auto"/>
        <w:bottom w:val="none" w:sz="0" w:space="0" w:color="auto"/>
        <w:right w:val="none" w:sz="0" w:space="0" w:color="auto"/>
      </w:divBdr>
    </w:div>
    <w:div w:id="370808912">
      <w:bodyDiv w:val="1"/>
      <w:marLeft w:val="0"/>
      <w:marRight w:val="0"/>
      <w:marTop w:val="0"/>
      <w:marBottom w:val="0"/>
      <w:divBdr>
        <w:top w:val="none" w:sz="0" w:space="0" w:color="auto"/>
        <w:left w:val="none" w:sz="0" w:space="0" w:color="auto"/>
        <w:bottom w:val="none" w:sz="0" w:space="0" w:color="auto"/>
        <w:right w:val="none" w:sz="0" w:space="0" w:color="auto"/>
      </w:divBdr>
    </w:div>
    <w:div w:id="386759622">
      <w:bodyDiv w:val="1"/>
      <w:marLeft w:val="0"/>
      <w:marRight w:val="0"/>
      <w:marTop w:val="0"/>
      <w:marBottom w:val="0"/>
      <w:divBdr>
        <w:top w:val="none" w:sz="0" w:space="0" w:color="auto"/>
        <w:left w:val="none" w:sz="0" w:space="0" w:color="auto"/>
        <w:bottom w:val="none" w:sz="0" w:space="0" w:color="auto"/>
        <w:right w:val="none" w:sz="0" w:space="0" w:color="auto"/>
      </w:divBdr>
    </w:div>
    <w:div w:id="410273593">
      <w:bodyDiv w:val="1"/>
      <w:marLeft w:val="0"/>
      <w:marRight w:val="0"/>
      <w:marTop w:val="0"/>
      <w:marBottom w:val="0"/>
      <w:divBdr>
        <w:top w:val="none" w:sz="0" w:space="0" w:color="auto"/>
        <w:left w:val="none" w:sz="0" w:space="0" w:color="auto"/>
        <w:bottom w:val="none" w:sz="0" w:space="0" w:color="auto"/>
        <w:right w:val="none" w:sz="0" w:space="0" w:color="auto"/>
      </w:divBdr>
    </w:div>
    <w:div w:id="413822633">
      <w:bodyDiv w:val="1"/>
      <w:marLeft w:val="0"/>
      <w:marRight w:val="0"/>
      <w:marTop w:val="0"/>
      <w:marBottom w:val="0"/>
      <w:divBdr>
        <w:top w:val="none" w:sz="0" w:space="0" w:color="auto"/>
        <w:left w:val="none" w:sz="0" w:space="0" w:color="auto"/>
        <w:bottom w:val="none" w:sz="0" w:space="0" w:color="auto"/>
        <w:right w:val="none" w:sz="0" w:space="0" w:color="auto"/>
      </w:divBdr>
    </w:div>
    <w:div w:id="425346949">
      <w:bodyDiv w:val="1"/>
      <w:marLeft w:val="0"/>
      <w:marRight w:val="0"/>
      <w:marTop w:val="0"/>
      <w:marBottom w:val="0"/>
      <w:divBdr>
        <w:top w:val="none" w:sz="0" w:space="0" w:color="auto"/>
        <w:left w:val="none" w:sz="0" w:space="0" w:color="auto"/>
        <w:bottom w:val="none" w:sz="0" w:space="0" w:color="auto"/>
        <w:right w:val="none" w:sz="0" w:space="0" w:color="auto"/>
      </w:divBdr>
    </w:div>
    <w:div w:id="426854145">
      <w:bodyDiv w:val="1"/>
      <w:marLeft w:val="0"/>
      <w:marRight w:val="0"/>
      <w:marTop w:val="0"/>
      <w:marBottom w:val="0"/>
      <w:divBdr>
        <w:top w:val="none" w:sz="0" w:space="0" w:color="auto"/>
        <w:left w:val="none" w:sz="0" w:space="0" w:color="auto"/>
        <w:bottom w:val="none" w:sz="0" w:space="0" w:color="auto"/>
        <w:right w:val="none" w:sz="0" w:space="0" w:color="auto"/>
      </w:divBdr>
    </w:div>
    <w:div w:id="437867909">
      <w:bodyDiv w:val="1"/>
      <w:marLeft w:val="0"/>
      <w:marRight w:val="0"/>
      <w:marTop w:val="0"/>
      <w:marBottom w:val="0"/>
      <w:divBdr>
        <w:top w:val="none" w:sz="0" w:space="0" w:color="auto"/>
        <w:left w:val="none" w:sz="0" w:space="0" w:color="auto"/>
        <w:bottom w:val="none" w:sz="0" w:space="0" w:color="auto"/>
        <w:right w:val="none" w:sz="0" w:space="0" w:color="auto"/>
      </w:divBdr>
    </w:div>
    <w:div w:id="493226895">
      <w:bodyDiv w:val="1"/>
      <w:marLeft w:val="0"/>
      <w:marRight w:val="0"/>
      <w:marTop w:val="0"/>
      <w:marBottom w:val="0"/>
      <w:divBdr>
        <w:top w:val="none" w:sz="0" w:space="0" w:color="auto"/>
        <w:left w:val="none" w:sz="0" w:space="0" w:color="auto"/>
        <w:bottom w:val="none" w:sz="0" w:space="0" w:color="auto"/>
        <w:right w:val="none" w:sz="0" w:space="0" w:color="auto"/>
      </w:divBdr>
    </w:div>
    <w:div w:id="530656425">
      <w:bodyDiv w:val="1"/>
      <w:marLeft w:val="0"/>
      <w:marRight w:val="0"/>
      <w:marTop w:val="0"/>
      <w:marBottom w:val="0"/>
      <w:divBdr>
        <w:top w:val="none" w:sz="0" w:space="0" w:color="auto"/>
        <w:left w:val="none" w:sz="0" w:space="0" w:color="auto"/>
        <w:bottom w:val="none" w:sz="0" w:space="0" w:color="auto"/>
        <w:right w:val="none" w:sz="0" w:space="0" w:color="auto"/>
      </w:divBdr>
    </w:div>
    <w:div w:id="533806547">
      <w:bodyDiv w:val="1"/>
      <w:marLeft w:val="0"/>
      <w:marRight w:val="0"/>
      <w:marTop w:val="0"/>
      <w:marBottom w:val="0"/>
      <w:divBdr>
        <w:top w:val="none" w:sz="0" w:space="0" w:color="auto"/>
        <w:left w:val="none" w:sz="0" w:space="0" w:color="auto"/>
        <w:bottom w:val="none" w:sz="0" w:space="0" w:color="auto"/>
        <w:right w:val="none" w:sz="0" w:space="0" w:color="auto"/>
      </w:divBdr>
    </w:div>
    <w:div w:id="541942851">
      <w:bodyDiv w:val="1"/>
      <w:marLeft w:val="0"/>
      <w:marRight w:val="0"/>
      <w:marTop w:val="0"/>
      <w:marBottom w:val="0"/>
      <w:divBdr>
        <w:top w:val="none" w:sz="0" w:space="0" w:color="auto"/>
        <w:left w:val="none" w:sz="0" w:space="0" w:color="auto"/>
        <w:bottom w:val="none" w:sz="0" w:space="0" w:color="auto"/>
        <w:right w:val="none" w:sz="0" w:space="0" w:color="auto"/>
      </w:divBdr>
    </w:div>
    <w:div w:id="556624786">
      <w:bodyDiv w:val="1"/>
      <w:marLeft w:val="0"/>
      <w:marRight w:val="0"/>
      <w:marTop w:val="0"/>
      <w:marBottom w:val="0"/>
      <w:divBdr>
        <w:top w:val="none" w:sz="0" w:space="0" w:color="auto"/>
        <w:left w:val="none" w:sz="0" w:space="0" w:color="auto"/>
        <w:bottom w:val="none" w:sz="0" w:space="0" w:color="auto"/>
        <w:right w:val="none" w:sz="0" w:space="0" w:color="auto"/>
      </w:divBdr>
    </w:div>
    <w:div w:id="569929932">
      <w:bodyDiv w:val="1"/>
      <w:marLeft w:val="0"/>
      <w:marRight w:val="0"/>
      <w:marTop w:val="0"/>
      <w:marBottom w:val="0"/>
      <w:divBdr>
        <w:top w:val="none" w:sz="0" w:space="0" w:color="auto"/>
        <w:left w:val="none" w:sz="0" w:space="0" w:color="auto"/>
        <w:bottom w:val="none" w:sz="0" w:space="0" w:color="auto"/>
        <w:right w:val="none" w:sz="0" w:space="0" w:color="auto"/>
      </w:divBdr>
    </w:div>
    <w:div w:id="590741861">
      <w:bodyDiv w:val="1"/>
      <w:marLeft w:val="0"/>
      <w:marRight w:val="0"/>
      <w:marTop w:val="0"/>
      <w:marBottom w:val="0"/>
      <w:divBdr>
        <w:top w:val="none" w:sz="0" w:space="0" w:color="auto"/>
        <w:left w:val="none" w:sz="0" w:space="0" w:color="auto"/>
        <w:bottom w:val="none" w:sz="0" w:space="0" w:color="auto"/>
        <w:right w:val="none" w:sz="0" w:space="0" w:color="auto"/>
      </w:divBdr>
    </w:div>
    <w:div w:id="602032721">
      <w:bodyDiv w:val="1"/>
      <w:marLeft w:val="0"/>
      <w:marRight w:val="0"/>
      <w:marTop w:val="0"/>
      <w:marBottom w:val="0"/>
      <w:divBdr>
        <w:top w:val="none" w:sz="0" w:space="0" w:color="auto"/>
        <w:left w:val="none" w:sz="0" w:space="0" w:color="auto"/>
        <w:bottom w:val="none" w:sz="0" w:space="0" w:color="auto"/>
        <w:right w:val="none" w:sz="0" w:space="0" w:color="auto"/>
      </w:divBdr>
    </w:div>
    <w:div w:id="650328145">
      <w:bodyDiv w:val="1"/>
      <w:marLeft w:val="0"/>
      <w:marRight w:val="0"/>
      <w:marTop w:val="0"/>
      <w:marBottom w:val="0"/>
      <w:divBdr>
        <w:top w:val="none" w:sz="0" w:space="0" w:color="auto"/>
        <w:left w:val="none" w:sz="0" w:space="0" w:color="auto"/>
        <w:bottom w:val="none" w:sz="0" w:space="0" w:color="auto"/>
        <w:right w:val="none" w:sz="0" w:space="0" w:color="auto"/>
      </w:divBdr>
    </w:div>
    <w:div w:id="656230885">
      <w:bodyDiv w:val="1"/>
      <w:marLeft w:val="0"/>
      <w:marRight w:val="0"/>
      <w:marTop w:val="0"/>
      <w:marBottom w:val="0"/>
      <w:divBdr>
        <w:top w:val="none" w:sz="0" w:space="0" w:color="auto"/>
        <w:left w:val="none" w:sz="0" w:space="0" w:color="auto"/>
        <w:bottom w:val="none" w:sz="0" w:space="0" w:color="auto"/>
        <w:right w:val="none" w:sz="0" w:space="0" w:color="auto"/>
      </w:divBdr>
    </w:div>
    <w:div w:id="668560400">
      <w:bodyDiv w:val="1"/>
      <w:marLeft w:val="0"/>
      <w:marRight w:val="0"/>
      <w:marTop w:val="0"/>
      <w:marBottom w:val="0"/>
      <w:divBdr>
        <w:top w:val="none" w:sz="0" w:space="0" w:color="auto"/>
        <w:left w:val="none" w:sz="0" w:space="0" w:color="auto"/>
        <w:bottom w:val="none" w:sz="0" w:space="0" w:color="auto"/>
        <w:right w:val="none" w:sz="0" w:space="0" w:color="auto"/>
      </w:divBdr>
    </w:div>
    <w:div w:id="681706883">
      <w:bodyDiv w:val="1"/>
      <w:marLeft w:val="0"/>
      <w:marRight w:val="0"/>
      <w:marTop w:val="0"/>
      <w:marBottom w:val="0"/>
      <w:divBdr>
        <w:top w:val="none" w:sz="0" w:space="0" w:color="auto"/>
        <w:left w:val="none" w:sz="0" w:space="0" w:color="auto"/>
        <w:bottom w:val="none" w:sz="0" w:space="0" w:color="auto"/>
        <w:right w:val="none" w:sz="0" w:space="0" w:color="auto"/>
      </w:divBdr>
    </w:div>
    <w:div w:id="683020579">
      <w:bodyDiv w:val="1"/>
      <w:marLeft w:val="0"/>
      <w:marRight w:val="0"/>
      <w:marTop w:val="0"/>
      <w:marBottom w:val="0"/>
      <w:divBdr>
        <w:top w:val="none" w:sz="0" w:space="0" w:color="auto"/>
        <w:left w:val="none" w:sz="0" w:space="0" w:color="auto"/>
        <w:bottom w:val="none" w:sz="0" w:space="0" w:color="auto"/>
        <w:right w:val="none" w:sz="0" w:space="0" w:color="auto"/>
      </w:divBdr>
    </w:div>
    <w:div w:id="703989709">
      <w:bodyDiv w:val="1"/>
      <w:marLeft w:val="0"/>
      <w:marRight w:val="0"/>
      <w:marTop w:val="0"/>
      <w:marBottom w:val="0"/>
      <w:divBdr>
        <w:top w:val="none" w:sz="0" w:space="0" w:color="auto"/>
        <w:left w:val="none" w:sz="0" w:space="0" w:color="auto"/>
        <w:bottom w:val="none" w:sz="0" w:space="0" w:color="auto"/>
        <w:right w:val="none" w:sz="0" w:space="0" w:color="auto"/>
      </w:divBdr>
    </w:div>
    <w:div w:id="721488428">
      <w:bodyDiv w:val="1"/>
      <w:marLeft w:val="0"/>
      <w:marRight w:val="0"/>
      <w:marTop w:val="0"/>
      <w:marBottom w:val="0"/>
      <w:divBdr>
        <w:top w:val="none" w:sz="0" w:space="0" w:color="auto"/>
        <w:left w:val="none" w:sz="0" w:space="0" w:color="auto"/>
        <w:bottom w:val="none" w:sz="0" w:space="0" w:color="auto"/>
        <w:right w:val="none" w:sz="0" w:space="0" w:color="auto"/>
      </w:divBdr>
    </w:div>
    <w:div w:id="727070471">
      <w:bodyDiv w:val="1"/>
      <w:marLeft w:val="0"/>
      <w:marRight w:val="0"/>
      <w:marTop w:val="0"/>
      <w:marBottom w:val="0"/>
      <w:divBdr>
        <w:top w:val="none" w:sz="0" w:space="0" w:color="auto"/>
        <w:left w:val="none" w:sz="0" w:space="0" w:color="auto"/>
        <w:bottom w:val="none" w:sz="0" w:space="0" w:color="auto"/>
        <w:right w:val="none" w:sz="0" w:space="0" w:color="auto"/>
      </w:divBdr>
    </w:div>
    <w:div w:id="749817407">
      <w:bodyDiv w:val="1"/>
      <w:marLeft w:val="0"/>
      <w:marRight w:val="0"/>
      <w:marTop w:val="0"/>
      <w:marBottom w:val="0"/>
      <w:divBdr>
        <w:top w:val="none" w:sz="0" w:space="0" w:color="auto"/>
        <w:left w:val="none" w:sz="0" w:space="0" w:color="auto"/>
        <w:bottom w:val="none" w:sz="0" w:space="0" w:color="auto"/>
        <w:right w:val="none" w:sz="0" w:space="0" w:color="auto"/>
      </w:divBdr>
    </w:div>
    <w:div w:id="776800643">
      <w:bodyDiv w:val="1"/>
      <w:marLeft w:val="0"/>
      <w:marRight w:val="0"/>
      <w:marTop w:val="0"/>
      <w:marBottom w:val="0"/>
      <w:divBdr>
        <w:top w:val="none" w:sz="0" w:space="0" w:color="auto"/>
        <w:left w:val="none" w:sz="0" w:space="0" w:color="auto"/>
        <w:bottom w:val="none" w:sz="0" w:space="0" w:color="auto"/>
        <w:right w:val="none" w:sz="0" w:space="0" w:color="auto"/>
      </w:divBdr>
    </w:div>
    <w:div w:id="811361905">
      <w:bodyDiv w:val="1"/>
      <w:marLeft w:val="0"/>
      <w:marRight w:val="0"/>
      <w:marTop w:val="0"/>
      <w:marBottom w:val="0"/>
      <w:divBdr>
        <w:top w:val="none" w:sz="0" w:space="0" w:color="auto"/>
        <w:left w:val="none" w:sz="0" w:space="0" w:color="auto"/>
        <w:bottom w:val="none" w:sz="0" w:space="0" w:color="auto"/>
        <w:right w:val="none" w:sz="0" w:space="0" w:color="auto"/>
      </w:divBdr>
    </w:div>
    <w:div w:id="831486017">
      <w:bodyDiv w:val="1"/>
      <w:marLeft w:val="0"/>
      <w:marRight w:val="0"/>
      <w:marTop w:val="0"/>
      <w:marBottom w:val="0"/>
      <w:divBdr>
        <w:top w:val="none" w:sz="0" w:space="0" w:color="auto"/>
        <w:left w:val="none" w:sz="0" w:space="0" w:color="auto"/>
        <w:bottom w:val="none" w:sz="0" w:space="0" w:color="auto"/>
        <w:right w:val="none" w:sz="0" w:space="0" w:color="auto"/>
      </w:divBdr>
    </w:div>
    <w:div w:id="847132962">
      <w:bodyDiv w:val="1"/>
      <w:marLeft w:val="0"/>
      <w:marRight w:val="0"/>
      <w:marTop w:val="0"/>
      <w:marBottom w:val="0"/>
      <w:divBdr>
        <w:top w:val="none" w:sz="0" w:space="0" w:color="auto"/>
        <w:left w:val="none" w:sz="0" w:space="0" w:color="auto"/>
        <w:bottom w:val="none" w:sz="0" w:space="0" w:color="auto"/>
        <w:right w:val="none" w:sz="0" w:space="0" w:color="auto"/>
      </w:divBdr>
    </w:div>
    <w:div w:id="872381966">
      <w:bodyDiv w:val="1"/>
      <w:marLeft w:val="0"/>
      <w:marRight w:val="0"/>
      <w:marTop w:val="0"/>
      <w:marBottom w:val="0"/>
      <w:divBdr>
        <w:top w:val="none" w:sz="0" w:space="0" w:color="auto"/>
        <w:left w:val="none" w:sz="0" w:space="0" w:color="auto"/>
        <w:bottom w:val="none" w:sz="0" w:space="0" w:color="auto"/>
        <w:right w:val="none" w:sz="0" w:space="0" w:color="auto"/>
      </w:divBdr>
    </w:div>
    <w:div w:id="901407292">
      <w:bodyDiv w:val="1"/>
      <w:marLeft w:val="0"/>
      <w:marRight w:val="0"/>
      <w:marTop w:val="0"/>
      <w:marBottom w:val="0"/>
      <w:divBdr>
        <w:top w:val="none" w:sz="0" w:space="0" w:color="auto"/>
        <w:left w:val="none" w:sz="0" w:space="0" w:color="auto"/>
        <w:bottom w:val="none" w:sz="0" w:space="0" w:color="auto"/>
        <w:right w:val="none" w:sz="0" w:space="0" w:color="auto"/>
      </w:divBdr>
    </w:div>
    <w:div w:id="938681292">
      <w:bodyDiv w:val="1"/>
      <w:marLeft w:val="0"/>
      <w:marRight w:val="0"/>
      <w:marTop w:val="0"/>
      <w:marBottom w:val="0"/>
      <w:divBdr>
        <w:top w:val="none" w:sz="0" w:space="0" w:color="auto"/>
        <w:left w:val="none" w:sz="0" w:space="0" w:color="auto"/>
        <w:bottom w:val="none" w:sz="0" w:space="0" w:color="auto"/>
        <w:right w:val="none" w:sz="0" w:space="0" w:color="auto"/>
      </w:divBdr>
    </w:div>
    <w:div w:id="950673854">
      <w:bodyDiv w:val="1"/>
      <w:marLeft w:val="0"/>
      <w:marRight w:val="0"/>
      <w:marTop w:val="0"/>
      <w:marBottom w:val="0"/>
      <w:divBdr>
        <w:top w:val="none" w:sz="0" w:space="0" w:color="auto"/>
        <w:left w:val="none" w:sz="0" w:space="0" w:color="auto"/>
        <w:bottom w:val="none" w:sz="0" w:space="0" w:color="auto"/>
        <w:right w:val="none" w:sz="0" w:space="0" w:color="auto"/>
      </w:divBdr>
    </w:div>
    <w:div w:id="962199715">
      <w:bodyDiv w:val="1"/>
      <w:marLeft w:val="0"/>
      <w:marRight w:val="0"/>
      <w:marTop w:val="0"/>
      <w:marBottom w:val="0"/>
      <w:divBdr>
        <w:top w:val="none" w:sz="0" w:space="0" w:color="auto"/>
        <w:left w:val="none" w:sz="0" w:space="0" w:color="auto"/>
        <w:bottom w:val="none" w:sz="0" w:space="0" w:color="auto"/>
        <w:right w:val="none" w:sz="0" w:space="0" w:color="auto"/>
      </w:divBdr>
    </w:div>
    <w:div w:id="972440158">
      <w:bodyDiv w:val="1"/>
      <w:marLeft w:val="0"/>
      <w:marRight w:val="0"/>
      <w:marTop w:val="0"/>
      <w:marBottom w:val="0"/>
      <w:divBdr>
        <w:top w:val="none" w:sz="0" w:space="0" w:color="auto"/>
        <w:left w:val="none" w:sz="0" w:space="0" w:color="auto"/>
        <w:bottom w:val="none" w:sz="0" w:space="0" w:color="auto"/>
        <w:right w:val="none" w:sz="0" w:space="0" w:color="auto"/>
      </w:divBdr>
    </w:div>
    <w:div w:id="974335002">
      <w:bodyDiv w:val="1"/>
      <w:marLeft w:val="0"/>
      <w:marRight w:val="0"/>
      <w:marTop w:val="0"/>
      <w:marBottom w:val="0"/>
      <w:divBdr>
        <w:top w:val="none" w:sz="0" w:space="0" w:color="auto"/>
        <w:left w:val="none" w:sz="0" w:space="0" w:color="auto"/>
        <w:bottom w:val="none" w:sz="0" w:space="0" w:color="auto"/>
        <w:right w:val="none" w:sz="0" w:space="0" w:color="auto"/>
      </w:divBdr>
    </w:div>
    <w:div w:id="995765196">
      <w:bodyDiv w:val="1"/>
      <w:marLeft w:val="0"/>
      <w:marRight w:val="0"/>
      <w:marTop w:val="0"/>
      <w:marBottom w:val="0"/>
      <w:divBdr>
        <w:top w:val="none" w:sz="0" w:space="0" w:color="auto"/>
        <w:left w:val="none" w:sz="0" w:space="0" w:color="auto"/>
        <w:bottom w:val="none" w:sz="0" w:space="0" w:color="auto"/>
        <w:right w:val="none" w:sz="0" w:space="0" w:color="auto"/>
      </w:divBdr>
    </w:div>
    <w:div w:id="996037105">
      <w:bodyDiv w:val="1"/>
      <w:marLeft w:val="0"/>
      <w:marRight w:val="0"/>
      <w:marTop w:val="0"/>
      <w:marBottom w:val="0"/>
      <w:divBdr>
        <w:top w:val="none" w:sz="0" w:space="0" w:color="auto"/>
        <w:left w:val="none" w:sz="0" w:space="0" w:color="auto"/>
        <w:bottom w:val="none" w:sz="0" w:space="0" w:color="auto"/>
        <w:right w:val="none" w:sz="0" w:space="0" w:color="auto"/>
      </w:divBdr>
    </w:div>
    <w:div w:id="997272949">
      <w:bodyDiv w:val="1"/>
      <w:marLeft w:val="0"/>
      <w:marRight w:val="0"/>
      <w:marTop w:val="0"/>
      <w:marBottom w:val="0"/>
      <w:divBdr>
        <w:top w:val="none" w:sz="0" w:space="0" w:color="auto"/>
        <w:left w:val="none" w:sz="0" w:space="0" w:color="auto"/>
        <w:bottom w:val="none" w:sz="0" w:space="0" w:color="auto"/>
        <w:right w:val="none" w:sz="0" w:space="0" w:color="auto"/>
      </w:divBdr>
    </w:div>
    <w:div w:id="1000348838">
      <w:bodyDiv w:val="1"/>
      <w:marLeft w:val="0"/>
      <w:marRight w:val="0"/>
      <w:marTop w:val="0"/>
      <w:marBottom w:val="0"/>
      <w:divBdr>
        <w:top w:val="none" w:sz="0" w:space="0" w:color="auto"/>
        <w:left w:val="none" w:sz="0" w:space="0" w:color="auto"/>
        <w:bottom w:val="none" w:sz="0" w:space="0" w:color="auto"/>
        <w:right w:val="none" w:sz="0" w:space="0" w:color="auto"/>
      </w:divBdr>
    </w:div>
    <w:div w:id="1063673939">
      <w:bodyDiv w:val="1"/>
      <w:marLeft w:val="0"/>
      <w:marRight w:val="0"/>
      <w:marTop w:val="0"/>
      <w:marBottom w:val="0"/>
      <w:divBdr>
        <w:top w:val="none" w:sz="0" w:space="0" w:color="auto"/>
        <w:left w:val="none" w:sz="0" w:space="0" w:color="auto"/>
        <w:bottom w:val="none" w:sz="0" w:space="0" w:color="auto"/>
        <w:right w:val="none" w:sz="0" w:space="0" w:color="auto"/>
      </w:divBdr>
    </w:div>
    <w:div w:id="1089043192">
      <w:bodyDiv w:val="1"/>
      <w:marLeft w:val="0"/>
      <w:marRight w:val="0"/>
      <w:marTop w:val="0"/>
      <w:marBottom w:val="0"/>
      <w:divBdr>
        <w:top w:val="none" w:sz="0" w:space="0" w:color="auto"/>
        <w:left w:val="none" w:sz="0" w:space="0" w:color="auto"/>
        <w:bottom w:val="none" w:sz="0" w:space="0" w:color="auto"/>
        <w:right w:val="none" w:sz="0" w:space="0" w:color="auto"/>
      </w:divBdr>
    </w:div>
    <w:div w:id="1093748560">
      <w:bodyDiv w:val="1"/>
      <w:marLeft w:val="0"/>
      <w:marRight w:val="0"/>
      <w:marTop w:val="0"/>
      <w:marBottom w:val="0"/>
      <w:divBdr>
        <w:top w:val="none" w:sz="0" w:space="0" w:color="auto"/>
        <w:left w:val="none" w:sz="0" w:space="0" w:color="auto"/>
        <w:bottom w:val="none" w:sz="0" w:space="0" w:color="auto"/>
        <w:right w:val="none" w:sz="0" w:space="0" w:color="auto"/>
      </w:divBdr>
    </w:div>
    <w:div w:id="1095058321">
      <w:bodyDiv w:val="1"/>
      <w:marLeft w:val="0"/>
      <w:marRight w:val="0"/>
      <w:marTop w:val="0"/>
      <w:marBottom w:val="0"/>
      <w:divBdr>
        <w:top w:val="none" w:sz="0" w:space="0" w:color="auto"/>
        <w:left w:val="none" w:sz="0" w:space="0" w:color="auto"/>
        <w:bottom w:val="none" w:sz="0" w:space="0" w:color="auto"/>
        <w:right w:val="none" w:sz="0" w:space="0" w:color="auto"/>
      </w:divBdr>
    </w:div>
    <w:div w:id="1107429055">
      <w:bodyDiv w:val="1"/>
      <w:marLeft w:val="0"/>
      <w:marRight w:val="0"/>
      <w:marTop w:val="0"/>
      <w:marBottom w:val="0"/>
      <w:divBdr>
        <w:top w:val="none" w:sz="0" w:space="0" w:color="auto"/>
        <w:left w:val="none" w:sz="0" w:space="0" w:color="auto"/>
        <w:bottom w:val="none" w:sz="0" w:space="0" w:color="auto"/>
        <w:right w:val="none" w:sz="0" w:space="0" w:color="auto"/>
      </w:divBdr>
    </w:div>
    <w:div w:id="1124621395">
      <w:bodyDiv w:val="1"/>
      <w:marLeft w:val="0"/>
      <w:marRight w:val="0"/>
      <w:marTop w:val="0"/>
      <w:marBottom w:val="0"/>
      <w:divBdr>
        <w:top w:val="none" w:sz="0" w:space="0" w:color="auto"/>
        <w:left w:val="none" w:sz="0" w:space="0" w:color="auto"/>
        <w:bottom w:val="none" w:sz="0" w:space="0" w:color="auto"/>
        <w:right w:val="none" w:sz="0" w:space="0" w:color="auto"/>
      </w:divBdr>
    </w:div>
    <w:div w:id="1130707148">
      <w:bodyDiv w:val="1"/>
      <w:marLeft w:val="0"/>
      <w:marRight w:val="0"/>
      <w:marTop w:val="0"/>
      <w:marBottom w:val="0"/>
      <w:divBdr>
        <w:top w:val="none" w:sz="0" w:space="0" w:color="auto"/>
        <w:left w:val="none" w:sz="0" w:space="0" w:color="auto"/>
        <w:bottom w:val="none" w:sz="0" w:space="0" w:color="auto"/>
        <w:right w:val="none" w:sz="0" w:space="0" w:color="auto"/>
      </w:divBdr>
    </w:div>
    <w:div w:id="1136723826">
      <w:bodyDiv w:val="1"/>
      <w:marLeft w:val="0"/>
      <w:marRight w:val="0"/>
      <w:marTop w:val="0"/>
      <w:marBottom w:val="0"/>
      <w:divBdr>
        <w:top w:val="none" w:sz="0" w:space="0" w:color="auto"/>
        <w:left w:val="none" w:sz="0" w:space="0" w:color="auto"/>
        <w:bottom w:val="none" w:sz="0" w:space="0" w:color="auto"/>
        <w:right w:val="none" w:sz="0" w:space="0" w:color="auto"/>
      </w:divBdr>
    </w:div>
    <w:div w:id="1144927501">
      <w:bodyDiv w:val="1"/>
      <w:marLeft w:val="0"/>
      <w:marRight w:val="0"/>
      <w:marTop w:val="0"/>
      <w:marBottom w:val="0"/>
      <w:divBdr>
        <w:top w:val="none" w:sz="0" w:space="0" w:color="auto"/>
        <w:left w:val="none" w:sz="0" w:space="0" w:color="auto"/>
        <w:bottom w:val="none" w:sz="0" w:space="0" w:color="auto"/>
        <w:right w:val="none" w:sz="0" w:space="0" w:color="auto"/>
      </w:divBdr>
    </w:div>
    <w:div w:id="1151025897">
      <w:bodyDiv w:val="1"/>
      <w:marLeft w:val="0"/>
      <w:marRight w:val="0"/>
      <w:marTop w:val="0"/>
      <w:marBottom w:val="0"/>
      <w:divBdr>
        <w:top w:val="none" w:sz="0" w:space="0" w:color="auto"/>
        <w:left w:val="none" w:sz="0" w:space="0" w:color="auto"/>
        <w:bottom w:val="none" w:sz="0" w:space="0" w:color="auto"/>
        <w:right w:val="none" w:sz="0" w:space="0" w:color="auto"/>
      </w:divBdr>
    </w:div>
    <w:div w:id="1160384365">
      <w:bodyDiv w:val="1"/>
      <w:marLeft w:val="0"/>
      <w:marRight w:val="0"/>
      <w:marTop w:val="0"/>
      <w:marBottom w:val="0"/>
      <w:divBdr>
        <w:top w:val="none" w:sz="0" w:space="0" w:color="auto"/>
        <w:left w:val="none" w:sz="0" w:space="0" w:color="auto"/>
        <w:bottom w:val="none" w:sz="0" w:space="0" w:color="auto"/>
        <w:right w:val="none" w:sz="0" w:space="0" w:color="auto"/>
      </w:divBdr>
    </w:div>
    <w:div w:id="1163819169">
      <w:bodyDiv w:val="1"/>
      <w:marLeft w:val="0"/>
      <w:marRight w:val="0"/>
      <w:marTop w:val="0"/>
      <w:marBottom w:val="0"/>
      <w:divBdr>
        <w:top w:val="none" w:sz="0" w:space="0" w:color="auto"/>
        <w:left w:val="none" w:sz="0" w:space="0" w:color="auto"/>
        <w:bottom w:val="none" w:sz="0" w:space="0" w:color="auto"/>
        <w:right w:val="none" w:sz="0" w:space="0" w:color="auto"/>
      </w:divBdr>
    </w:div>
    <w:div w:id="1178928299">
      <w:bodyDiv w:val="1"/>
      <w:marLeft w:val="0"/>
      <w:marRight w:val="0"/>
      <w:marTop w:val="0"/>
      <w:marBottom w:val="0"/>
      <w:divBdr>
        <w:top w:val="none" w:sz="0" w:space="0" w:color="auto"/>
        <w:left w:val="none" w:sz="0" w:space="0" w:color="auto"/>
        <w:bottom w:val="none" w:sz="0" w:space="0" w:color="auto"/>
        <w:right w:val="none" w:sz="0" w:space="0" w:color="auto"/>
      </w:divBdr>
    </w:div>
    <w:div w:id="1185247372">
      <w:bodyDiv w:val="1"/>
      <w:marLeft w:val="0"/>
      <w:marRight w:val="0"/>
      <w:marTop w:val="0"/>
      <w:marBottom w:val="0"/>
      <w:divBdr>
        <w:top w:val="none" w:sz="0" w:space="0" w:color="auto"/>
        <w:left w:val="none" w:sz="0" w:space="0" w:color="auto"/>
        <w:bottom w:val="none" w:sz="0" w:space="0" w:color="auto"/>
        <w:right w:val="none" w:sz="0" w:space="0" w:color="auto"/>
      </w:divBdr>
    </w:div>
    <w:div w:id="1198469388">
      <w:bodyDiv w:val="1"/>
      <w:marLeft w:val="0"/>
      <w:marRight w:val="0"/>
      <w:marTop w:val="0"/>
      <w:marBottom w:val="0"/>
      <w:divBdr>
        <w:top w:val="none" w:sz="0" w:space="0" w:color="auto"/>
        <w:left w:val="none" w:sz="0" w:space="0" w:color="auto"/>
        <w:bottom w:val="none" w:sz="0" w:space="0" w:color="auto"/>
        <w:right w:val="none" w:sz="0" w:space="0" w:color="auto"/>
      </w:divBdr>
    </w:div>
    <w:div w:id="1208487203">
      <w:bodyDiv w:val="1"/>
      <w:marLeft w:val="0"/>
      <w:marRight w:val="0"/>
      <w:marTop w:val="0"/>
      <w:marBottom w:val="0"/>
      <w:divBdr>
        <w:top w:val="none" w:sz="0" w:space="0" w:color="auto"/>
        <w:left w:val="none" w:sz="0" w:space="0" w:color="auto"/>
        <w:bottom w:val="none" w:sz="0" w:space="0" w:color="auto"/>
        <w:right w:val="none" w:sz="0" w:space="0" w:color="auto"/>
      </w:divBdr>
    </w:div>
    <w:div w:id="1230533495">
      <w:bodyDiv w:val="1"/>
      <w:marLeft w:val="0"/>
      <w:marRight w:val="0"/>
      <w:marTop w:val="0"/>
      <w:marBottom w:val="0"/>
      <w:divBdr>
        <w:top w:val="none" w:sz="0" w:space="0" w:color="auto"/>
        <w:left w:val="none" w:sz="0" w:space="0" w:color="auto"/>
        <w:bottom w:val="none" w:sz="0" w:space="0" w:color="auto"/>
        <w:right w:val="none" w:sz="0" w:space="0" w:color="auto"/>
      </w:divBdr>
    </w:div>
    <w:div w:id="1239708304">
      <w:bodyDiv w:val="1"/>
      <w:marLeft w:val="0"/>
      <w:marRight w:val="0"/>
      <w:marTop w:val="0"/>
      <w:marBottom w:val="0"/>
      <w:divBdr>
        <w:top w:val="none" w:sz="0" w:space="0" w:color="auto"/>
        <w:left w:val="none" w:sz="0" w:space="0" w:color="auto"/>
        <w:bottom w:val="none" w:sz="0" w:space="0" w:color="auto"/>
        <w:right w:val="none" w:sz="0" w:space="0" w:color="auto"/>
      </w:divBdr>
    </w:div>
    <w:div w:id="1245184719">
      <w:bodyDiv w:val="1"/>
      <w:marLeft w:val="0"/>
      <w:marRight w:val="0"/>
      <w:marTop w:val="0"/>
      <w:marBottom w:val="0"/>
      <w:divBdr>
        <w:top w:val="none" w:sz="0" w:space="0" w:color="auto"/>
        <w:left w:val="none" w:sz="0" w:space="0" w:color="auto"/>
        <w:bottom w:val="none" w:sz="0" w:space="0" w:color="auto"/>
        <w:right w:val="none" w:sz="0" w:space="0" w:color="auto"/>
      </w:divBdr>
    </w:div>
    <w:div w:id="1254431845">
      <w:bodyDiv w:val="1"/>
      <w:marLeft w:val="0"/>
      <w:marRight w:val="0"/>
      <w:marTop w:val="0"/>
      <w:marBottom w:val="0"/>
      <w:divBdr>
        <w:top w:val="none" w:sz="0" w:space="0" w:color="auto"/>
        <w:left w:val="none" w:sz="0" w:space="0" w:color="auto"/>
        <w:bottom w:val="none" w:sz="0" w:space="0" w:color="auto"/>
        <w:right w:val="none" w:sz="0" w:space="0" w:color="auto"/>
      </w:divBdr>
    </w:div>
    <w:div w:id="1323192993">
      <w:bodyDiv w:val="1"/>
      <w:marLeft w:val="0"/>
      <w:marRight w:val="0"/>
      <w:marTop w:val="0"/>
      <w:marBottom w:val="0"/>
      <w:divBdr>
        <w:top w:val="none" w:sz="0" w:space="0" w:color="auto"/>
        <w:left w:val="none" w:sz="0" w:space="0" w:color="auto"/>
        <w:bottom w:val="none" w:sz="0" w:space="0" w:color="auto"/>
        <w:right w:val="none" w:sz="0" w:space="0" w:color="auto"/>
      </w:divBdr>
    </w:div>
    <w:div w:id="1330601443">
      <w:bodyDiv w:val="1"/>
      <w:marLeft w:val="0"/>
      <w:marRight w:val="0"/>
      <w:marTop w:val="0"/>
      <w:marBottom w:val="0"/>
      <w:divBdr>
        <w:top w:val="none" w:sz="0" w:space="0" w:color="auto"/>
        <w:left w:val="none" w:sz="0" w:space="0" w:color="auto"/>
        <w:bottom w:val="none" w:sz="0" w:space="0" w:color="auto"/>
        <w:right w:val="none" w:sz="0" w:space="0" w:color="auto"/>
      </w:divBdr>
    </w:div>
    <w:div w:id="1332485243">
      <w:bodyDiv w:val="1"/>
      <w:marLeft w:val="0"/>
      <w:marRight w:val="0"/>
      <w:marTop w:val="0"/>
      <w:marBottom w:val="0"/>
      <w:divBdr>
        <w:top w:val="none" w:sz="0" w:space="0" w:color="auto"/>
        <w:left w:val="none" w:sz="0" w:space="0" w:color="auto"/>
        <w:bottom w:val="none" w:sz="0" w:space="0" w:color="auto"/>
        <w:right w:val="none" w:sz="0" w:space="0" w:color="auto"/>
      </w:divBdr>
    </w:div>
    <w:div w:id="1366638562">
      <w:bodyDiv w:val="1"/>
      <w:marLeft w:val="0"/>
      <w:marRight w:val="0"/>
      <w:marTop w:val="0"/>
      <w:marBottom w:val="0"/>
      <w:divBdr>
        <w:top w:val="none" w:sz="0" w:space="0" w:color="auto"/>
        <w:left w:val="none" w:sz="0" w:space="0" w:color="auto"/>
        <w:bottom w:val="none" w:sz="0" w:space="0" w:color="auto"/>
        <w:right w:val="none" w:sz="0" w:space="0" w:color="auto"/>
      </w:divBdr>
    </w:div>
    <w:div w:id="1377315999">
      <w:bodyDiv w:val="1"/>
      <w:marLeft w:val="0"/>
      <w:marRight w:val="0"/>
      <w:marTop w:val="0"/>
      <w:marBottom w:val="0"/>
      <w:divBdr>
        <w:top w:val="none" w:sz="0" w:space="0" w:color="auto"/>
        <w:left w:val="none" w:sz="0" w:space="0" w:color="auto"/>
        <w:bottom w:val="none" w:sz="0" w:space="0" w:color="auto"/>
        <w:right w:val="none" w:sz="0" w:space="0" w:color="auto"/>
      </w:divBdr>
    </w:div>
    <w:div w:id="1405689476">
      <w:bodyDiv w:val="1"/>
      <w:marLeft w:val="0"/>
      <w:marRight w:val="0"/>
      <w:marTop w:val="0"/>
      <w:marBottom w:val="0"/>
      <w:divBdr>
        <w:top w:val="none" w:sz="0" w:space="0" w:color="auto"/>
        <w:left w:val="none" w:sz="0" w:space="0" w:color="auto"/>
        <w:bottom w:val="none" w:sz="0" w:space="0" w:color="auto"/>
        <w:right w:val="none" w:sz="0" w:space="0" w:color="auto"/>
      </w:divBdr>
    </w:div>
    <w:div w:id="1453011575">
      <w:bodyDiv w:val="1"/>
      <w:marLeft w:val="0"/>
      <w:marRight w:val="0"/>
      <w:marTop w:val="0"/>
      <w:marBottom w:val="0"/>
      <w:divBdr>
        <w:top w:val="none" w:sz="0" w:space="0" w:color="auto"/>
        <w:left w:val="none" w:sz="0" w:space="0" w:color="auto"/>
        <w:bottom w:val="none" w:sz="0" w:space="0" w:color="auto"/>
        <w:right w:val="none" w:sz="0" w:space="0" w:color="auto"/>
      </w:divBdr>
    </w:div>
    <w:div w:id="1486582325">
      <w:bodyDiv w:val="1"/>
      <w:marLeft w:val="0"/>
      <w:marRight w:val="0"/>
      <w:marTop w:val="0"/>
      <w:marBottom w:val="0"/>
      <w:divBdr>
        <w:top w:val="none" w:sz="0" w:space="0" w:color="auto"/>
        <w:left w:val="none" w:sz="0" w:space="0" w:color="auto"/>
        <w:bottom w:val="none" w:sz="0" w:space="0" w:color="auto"/>
        <w:right w:val="none" w:sz="0" w:space="0" w:color="auto"/>
      </w:divBdr>
    </w:div>
    <w:div w:id="1511485360">
      <w:bodyDiv w:val="1"/>
      <w:marLeft w:val="0"/>
      <w:marRight w:val="0"/>
      <w:marTop w:val="0"/>
      <w:marBottom w:val="0"/>
      <w:divBdr>
        <w:top w:val="none" w:sz="0" w:space="0" w:color="auto"/>
        <w:left w:val="none" w:sz="0" w:space="0" w:color="auto"/>
        <w:bottom w:val="none" w:sz="0" w:space="0" w:color="auto"/>
        <w:right w:val="none" w:sz="0" w:space="0" w:color="auto"/>
      </w:divBdr>
    </w:div>
    <w:div w:id="1588612527">
      <w:bodyDiv w:val="1"/>
      <w:marLeft w:val="0"/>
      <w:marRight w:val="0"/>
      <w:marTop w:val="0"/>
      <w:marBottom w:val="0"/>
      <w:divBdr>
        <w:top w:val="none" w:sz="0" w:space="0" w:color="auto"/>
        <w:left w:val="none" w:sz="0" w:space="0" w:color="auto"/>
        <w:bottom w:val="none" w:sz="0" w:space="0" w:color="auto"/>
        <w:right w:val="none" w:sz="0" w:space="0" w:color="auto"/>
      </w:divBdr>
    </w:div>
    <w:div w:id="1592394851">
      <w:bodyDiv w:val="1"/>
      <w:marLeft w:val="0"/>
      <w:marRight w:val="0"/>
      <w:marTop w:val="0"/>
      <w:marBottom w:val="0"/>
      <w:divBdr>
        <w:top w:val="none" w:sz="0" w:space="0" w:color="auto"/>
        <w:left w:val="none" w:sz="0" w:space="0" w:color="auto"/>
        <w:bottom w:val="none" w:sz="0" w:space="0" w:color="auto"/>
        <w:right w:val="none" w:sz="0" w:space="0" w:color="auto"/>
      </w:divBdr>
    </w:div>
    <w:div w:id="1608538941">
      <w:bodyDiv w:val="1"/>
      <w:marLeft w:val="0"/>
      <w:marRight w:val="0"/>
      <w:marTop w:val="0"/>
      <w:marBottom w:val="0"/>
      <w:divBdr>
        <w:top w:val="none" w:sz="0" w:space="0" w:color="auto"/>
        <w:left w:val="none" w:sz="0" w:space="0" w:color="auto"/>
        <w:bottom w:val="none" w:sz="0" w:space="0" w:color="auto"/>
        <w:right w:val="none" w:sz="0" w:space="0" w:color="auto"/>
      </w:divBdr>
    </w:div>
    <w:div w:id="1645622757">
      <w:bodyDiv w:val="1"/>
      <w:marLeft w:val="0"/>
      <w:marRight w:val="0"/>
      <w:marTop w:val="0"/>
      <w:marBottom w:val="0"/>
      <w:divBdr>
        <w:top w:val="none" w:sz="0" w:space="0" w:color="auto"/>
        <w:left w:val="none" w:sz="0" w:space="0" w:color="auto"/>
        <w:bottom w:val="none" w:sz="0" w:space="0" w:color="auto"/>
        <w:right w:val="none" w:sz="0" w:space="0" w:color="auto"/>
      </w:divBdr>
    </w:div>
    <w:div w:id="1646474544">
      <w:bodyDiv w:val="1"/>
      <w:marLeft w:val="0"/>
      <w:marRight w:val="0"/>
      <w:marTop w:val="0"/>
      <w:marBottom w:val="0"/>
      <w:divBdr>
        <w:top w:val="none" w:sz="0" w:space="0" w:color="auto"/>
        <w:left w:val="none" w:sz="0" w:space="0" w:color="auto"/>
        <w:bottom w:val="none" w:sz="0" w:space="0" w:color="auto"/>
        <w:right w:val="none" w:sz="0" w:space="0" w:color="auto"/>
      </w:divBdr>
    </w:div>
    <w:div w:id="1680428844">
      <w:bodyDiv w:val="1"/>
      <w:marLeft w:val="0"/>
      <w:marRight w:val="0"/>
      <w:marTop w:val="0"/>
      <w:marBottom w:val="0"/>
      <w:divBdr>
        <w:top w:val="none" w:sz="0" w:space="0" w:color="auto"/>
        <w:left w:val="none" w:sz="0" w:space="0" w:color="auto"/>
        <w:bottom w:val="none" w:sz="0" w:space="0" w:color="auto"/>
        <w:right w:val="none" w:sz="0" w:space="0" w:color="auto"/>
      </w:divBdr>
    </w:div>
    <w:div w:id="1684355298">
      <w:bodyDiv w:val="1"/>
      <w:marLeft w:val="0"/>
      <w:marRight w:val="0"/>
      <w:marTop w:val="0"/>
      <w:marBottom w:val="0"/>
      <w:divBdr>
        <w:top w:val="none" w:sz="0" w:space="0" w:color="auto"/>
        <w:left w:val="none" w:sz="0" w:space="0" w:color="auto"/>
        <w:bottom w:val="none" w:sz="0" w:space="0" w:color="auto"/>
        <w:right w:val="none" w:sz="0" w:space="0" w:color="auto"/>
      </w:divBdr>
    </w:div>
    <w:div w:id="1687248489">
      <w:bodyDiv w:val="1"/>
      <w:marLeft w:val="0"/>
      <w:marRight w:val="0"/>
      <w:marTop w:val="0"/>
      <w:marBottom w:val="0"/>
      <w:divBdr>
        <w:top w:val="none" w:sz="0" w:space="0" w:color="auto"/>
        <w:left w:val="none" w:sz="0" w:space="0" w:color="auto"/>
        <w:bottom w:val="none" w:sz="0" w:space="0" w:color="auto"/>
        <w:right w:val="none" w:sz="0" w:space="0" w:color="auto"/>
      </w:divBdr>
    </w:div>
    <w:div w:id="1712804279">
      <w:bodyDiv w:val="1"/>
      <w:marLeft w:val="0"/>
      <w:marRight w:val="0"/>
      <w:marTop w:val="0"/>
      <w:marBottom w:val="0"/>
      <w:divBdr>
        <w:top w:val="none" w:sz="0" w:space="0" w:color="auto"/>
        <w:left w:val="none" w:sz="0" w:space="0" w:color="auto"/>
        <w:bottom w:val="none" w:sz="0" w:space="0" w:color="auto"/>
        <w:right w:val="none" w:sz="0" w:space="0" w:color="auto"/>
      </w:divBdr>
    </w:div>
    <w:div w:id="1745563818">
      <w:bodyDiv w:val="1"/>
      <w:marLeft w:val="0"/>
      <w:marRight w:val="0"/>
      <w:marTop w:val="0"/>
      <w:marBottom w:val="0"/>
      <w:divBdr>
        <w:top w:val="none" w:sz="0" w:space="0" w:color="auto"/>
        <w:left w:val="none" w:sz="0" w:space="0" w:color="auto"/>
        <w:bottom w:val="none" w:sz="0" w:space="0" w:color="auto"/>
        <w:right w:val="none" w:sz="0" w:space="0" w:color="auto"/>
      </w:divBdr>
    </w:div>
    <w:div w:id="1750808718">
      <w:bodyDiv w:val="1"/>
      <w:marLeft w:val="0"/>
      <w:marRight w:val="0"/>
      <w:marTop w:val="0"/>
      <w:marBottom w:val="0"/>
      <w:divBdr>
        <w:top w:val="none" w:sz="0" w:space="0" w:color="auto"/>
        <w:left w:val="none" w:sz="0" w:space="0" w:color="auto"/>
        <w:bottom w:val="none" w:sz="0" w:space="0" w:color="auto"/>
        <w:right w:val="none" w:sz="0" w:space="0" w:color="auto"/>
      </w:divBdr>
    </w:div>
    <w:div w:id="1753894266">
      <w:bodyDiv w:val="1"/>
      <w:marLeft w:val="0"/>
      <w:marRight w:val="0"/>
      <w:marTop w:val="0"/>
      <w:marBottom w:val="0"/>
      <w:divBdr>
        <w:top w:val="none" w:sz="0" w:space="0" w:color="auto"/>
        <w:left w:val="none" w:sz="0" w:space="0" w:color="auto"/>
        <w:bottom w:val="none" w:sz="0" w:space="0" w:color="auto"/>
        <w:right w:val="none" w:sz="0" w:space="0" w:color="auto"/>
      </w:divBdr>
    </w:div>
    <w:div w:id="1761832247">
      <w:bodyDiv w:val="1"/>
      <w:marLeft w:val="0"/>
      <w:marRight w:val="0"/>
      <w:marTop w:val="0"/>
      <w:marBottom w:val="0"/>
      <w:divBdr>
        <w:top w:val="none" w:sz="0" w:space="0" w:color="auto"/>
        <w:left w:val="none" w:sz="0" w:space="0" w:color="auto"/>
        <w:bottom w:val="none" w:sz="0" w:space="0" w:color="auto"/>
        <w:right w:val="none" w:sz="0" w:space="0" w:color="auto"/>
      </w:divBdr>
    </w:div>
    <w:div w:id="1774746553">
      <w:bodyDiv w:val="1"/>
      <w:marLeft w:val="0"/>
      <w:marRight w:val="0"/>
      <w:marTop w:val="0"/>
      <w:marBottom w:val="0"/>
      <w:divBdr>
        <w:top w:val="none" w:sz="0" w:space="0" w:color="auto"/>
        <w:left w:val="none" w:sz="0" w:space="0" w:color="auto"/>
        <w:bottom w:val="none" w:sz="0" w:space="0" w:color="auto"/>
        <w:right w:val="none" w:sz="0" w:space="0" w:color="auto"/>
      </w:divBdr>
    </w:div>
    <w:div w:id="1786270927">
      <w:bodyDiv w:val="1"/>
      <w:marLeft w:val="0"/>
      <w:marRight w:val="0"/>
      <w:marTop w:val="0"/>
      <w:marBottom w:val="0"/>
      <w:divBdr>
        <w:top w:val="none" w:sz="0" w:space="0" w:color="auto"/>
        <w:left w:val="none" w:sz="0" w:space="0" w:color="auto"/>
        <w:bottom w:val="none" w:sz="0" w:space="0" w:color="auto"/>
        <w:right w:val="none" w:sz="0" w:space="0" w:color="auto"/>
      </w:divBdr>
    </w:div>
    <w:div w:id="1788502748">
      <w:bodyDiv w:val="1"/>
      <w:marLeft w:val="0"/>
      <w:marRight w:val="0"/>
      <w:marTop w:val="0"/>
      <w:marBottom w:val="0"/>
      <w:divBdr>
        <w:top w:val="none" w:sz="0" w:space="0" w:color="auto"/>
        <w:left w:val="none" w:sz="0" w:space="0" w:color="auto"/>
        <w:bottom w:val="none" w:sz="0" w:space="0" w:color="auto"/>
        <w:right w:val="none" w:sz="0" w:space="0" w:color="auto"/>
      </w:divBdr>
    </w:div>
    <w:div w:id="1789275031">
      <w:bodyDiv w:val="1"/>
      <w:marLeft w:val="0"/>
      <w:marRight w:val="0"/>
      <w:marTop w:val="0"/>
      <w:marBottom w:val="0"/>
      <w:divBdr>
        <w:top w:val="none" w:sz="0" w:space="0" w:color="auto"/>
        <w:left w:val="none" w:sz="0" w:space="0" w:color="auto"/>
        <w:bottom w:val="none" w:sz="0" w:space="0" w:color="auto"/>
        <w:right w:val="none" w:sz="0" w:space="0" w:color="auto"/>
      </w:divBdr>
    </w:div>
    <w:div w:id="1793092081">
      <w:bodyDiv w:val="1"/>
      <w:marLeft w:val="0"/>
      <w:marRight w:val="0"/>
      <w:marTop w:val="0"/>
      <w:marBottom w:val="0"/>
      <w:divBdr>
        <w:top w:val="none" w:sz="0" w:space="0" w:color="auto"/>
        <w:left w:val="none" w:sz="0" w:space="0" w:color="auto"/>
        <w:bottom w:val="none" w:sz="0" w:space="0" w:color="auto"/>
        <w:right w:val="none" w:sz="0" w:space="0" w:color="auto"/>
      </w:divBdr>
    </w:div>
    <w:div w:id="1795440117">
      <w:bodyDiv w:val="1"/>
      <w:marLeft w:val="0"/>
      <w:marRight w:val="0"/>
      <w:marTop w:val="0"/>
      <w:marBottom w:val="0"/>
      <w:divBdr>
        <w:top w:val="none" w:sz="0" w:space="0" w:color="auto"/>
        <w:left w:val="none" w:sz="0" w:space="0" w:color="auto"/>
        <w:bottom w:val="none" w:sz="0" w:space="0" w:color="auto"/>
        <w:right w:val="none" w:sz="0" w:space="0" w:color="auto"/>
      </w:divBdr>
    </w:div>
    <w:div w:id="1872379853">
      <w:bodyDiv w:val="1"/>
      <w:marLeft w:val="0"/>
      <w:marRight w:val="0"/>
      <w:marTop w:val="0"/>
      <w:marBottom w:val="0"/>
      <w:divBdr>
        <w:top w:val="none" w:sz="0" w:space="0" w:color="auto"/>
        <w:left w:val="none" w:sz="0" w:space="0" w:color="auto"/>
        <w:bottom w:val="none" w:sz="0" w:space="0" w:color="auto"/>
        <w:right w:val="none" w:sz="0" w:space="0" w:color="auto"/>
      </w:divBdr>
    </w:div>
    <w:div w:id="1892184304">
      <w:bodyDiv w:val="1"/>
      <w:marLeft w:val="0"/>
      <w:marRight w:val="0"/>
      <w:marTop w:val="0"/>
      <w:marBottom w:val="0"/>
      <w:divBdr>
        <w:top w:val="none" w:sz="0" w:space="0" w:color="auto"/>
        <w:left w:val="none" w:sz="0" w:space="0" w:color="auto"/>
        <w:bottom w:val="none" w:sz="0" w:space="0" w:color="auto"/>
        <w:right w:val="none" w:sz="0" w:space="0" w:color="auto"/>
      </w:divBdr>
    </w:div>
    <w:div w:id="1893350832">
      <w:bodyDiv w:val="1"/>
      <w:marLeft w:val="0"/>
      <w:marRight w:val="0"/>
      <w:marTop w:val="0"/>
      <w:marBottom w:val="0"/>
      <w:divBdr>
        <w:top w:val="none" w:sz="0" w:space="0" w:color="auto"/>
        <w:left w:val="none" w:sz="0" w:space="0" w:color="auto"/>
        <w:bottom w:val="none" w:sz="0" w:space="0" w:color="auto"/>
        <w:right w:val="none" w:sz="0" w:space="0" w:color="auto"/>
      </w:divBdr>
    </w:div>
    <w:div w:id="1908802539">
      <w:bodyDiv w:val="1"/>
      <w:marLeft w:val="0"/>
      <w:marRight w:val="0"/>
      <w:marTop w:val="0"/>
      <w:marBottom w:val="0"/>
      <w:divBdr>
        <w:top w:val="none" w:sz="0" w:space="0" w:color="auto"/>
        <w:left w:val="none" w:sz="0" w:space="0" w:color="auto"/>
        <w:bottom w:val="none" w:sz="0" w:space="0" w:color="auto"/>
        <w:right w:val="none" w:sz="0" w:space="0" w:color="auto"/>
      </w:divBdr>
    </w:div>
    <w:div w:id="1920367739">
      <w:bodyDiv w:val="1"/>
      <w:marLeft w:val="0"/>
      <w:marRight w:val="0"/>
      <w:marTop w:val="0"/>
      <w:marBottom w:val="0"/>
      <w:divBdr>
        <w:top w:val="none" w:sz="0" w:space="0" w:color="auto"/>
        <w:left w:val="none" w:sz="0" w:space="0" w:color="auto"/>
        <w:bottom w:val="none" w:sz="0" w:space="0" w:color="auto"/>
        <w:right w:val="none" w:sz="0" w:space="0" w:color="auto"/>
      </w:divBdr>
    </w:div>
    <w:div w:id="1922060932">
      <w:bodyDiv w:val="1"/>
      <w:marLeft w:val="0"/>
      <w:marRight w:val="0"/>
      <w:marTop w:val="0"/>
      <w:marBottom w:val="0"/>
      <w:divBdr>
        <w:top w:val="none" w:sz="0" w:space="0" w:color="auto"/>
        <w:left w:val="none" w:sz="0" w:space="0" w:color="auto"/>
        <w:bottom w:val="none" w:sz="0" w:space="0" w:color="auto"/>
        <w:right w:val="none" w:sz="0" w:space="0" w:color="auto"/>
      </w:divBdr>
    </w:div>
    <w:div w:id="1943681223">
      <w:bodyDiv w:val="1"/>
      <w:marLeft w:val="0"/>
      <w:marRight w:val="0"/>
      <w:marTop w:val="0"/>
      <w:marBottom w:val="0"/>
      <w:divBdr>
        <w:top w:val="none" w:sz="0" w:space="0" w:color="auto"/>
        <w:left w:val="none" w:sz="0" w:space="0" w:color="auto"/>
        <w:bottom w:val="none" w:sz="0" w:space="0" w:color="auto"/>
        <w:right w:val="none" w:sz="0" w:space="0" w:color="auto"/>
      </w:divBdr>
    </w:div>
    <w:div w:id="1951472581">
      <w:bodyDiv w:val="1"/>
      <w:marLeft w:val="0"/>
      <w:marRight w:val="0"/>
      <w:marTop w:val="0"/>
      <w:marBottom w:val="0"/>
      <w:divBdr>
        <w:top w:val="none" w:sz="0" w:space="0" w:color="auto"/>
        <w:left w:val="none" w:sz="0" w:space="0" w:color="auto"/>
        <w:bottom w:val="none" w:sz="0" w:space="0" w:color="auto"/>
        <w:right w:val="none" w:sz="0" w:space="0" w:color="auto"/>
      </w:divBdr>
    </w:div>
    <w:div w:id="1961103278">
      <w:bodyDiv w:val="1"/>
      <w:marLeft w:val="0"/>
      <w:marRight w:val="0"/>
      <w:marTop w:val="0"/>
      <w:marBottom w:val="0"/>
      <w:divBdr>
        <w:top w:val="none" w:sz="0" w:space="0" w:color="auto"/>
        <w:left w:val="none" w:sz="0" w:space="0" w:color="auto"/>
        <w:bottom w:val="none" w:sz="0" w:space="0" w:color="auto"/>
        <w:right w:val="none" w:sz="0" w:space="0" w:color="auto"/>
      </w:divBdr>
    </w:div>
    <w:div w:id="1974552642">
      <w:bodyDiv w:val="1"/>
      <w:marLeft w:val="0"/>
      <w:marRight w:val="0"/>
      <w:marTop w:val="0"/>
      <w:marBottom w:val="0"/>
      <w:divBdr>
        <w:top w:val="none" w:sz="0" w:space="0" w:color="auto"/>
        <w:left w:val="none" w:sz="0" w:space="0" w:color="auto"/>
        <w:bottom w:val="none" w:sz="0" w:space="0" w:color="auto"/>
        <w:right w:val="none" w:sz="0" w:space="0" w:color="auto"/>
      </w:divBdr>
    </w:div>
    <w:div w:id="1980261414">
      <w:bodyDiv w:val="1"/>
      <w:marLeft w:val="0"/>
      <w:marRight w:val="0"/>
      <w:marTop w:val="0"/>
      <w:marBottom w:val="0"/>
      <w:divBdr>
        <w:top w:val="none" w:sz="0" w:space="0" w:color="auto"/>
        <w:left w:val="none" w:sz="0" w:space="0" w:color="auto"/>
        <w:bottom w:val="none" w:sz="0" w:space="0" w:color="auto"/>
        <w:right w:val="none" w:sz="0" w:space="0" w:color="auto"/>
      </w:divBdr>
    </w:div>
    <w:div w:id="2015182489">
      <w:bodyDiv w:val="1"/>
      <w:marLeft w:val="0"/>
      <w:marRight w:val="0"/>
      <w:marTop w:val="0"/>
      <w:marBottom w:val="0"/>
      <w:divBdr>
        <w:top w:val="none" w:sz="0" w:space="0" w:color="auto"/>
        <w:left w:val="none" w:sz="0" w:space="0" w:color="auto"/>
        <w:bottom w:val="none" w:sz="0" w:space="0" w:color="auto"/>
        <w:right w:val="none" w:sz="0" w:space="0" w:color="auto"/>
      </w:divBdr>
    </w:div>
    <w:div w:id="2046832513">
      <w:bodyDiv w:val="1"/>
      <w:marLeft w:val="0"/>
      <w:marRight w:val="0"/>
      <w:marTop w:val="0"/>
      <w:marBottom w:val="0"/>
      <w:divBdr>
        <w:top w:val="none" w:sz="0" w:space="0" w:color="auto"/>
        <w:left w:val="none" w:sz="0" w:space="0" w:color="auto"/>
        <w:bottom w:val="none" w:sz="0" w:space="0" w:color="auto"/>
        <w:right w:val="none" w:sz="0" w:space="0" w:color="auto"/>
      </w:divBdr>
    </w:div>
    <w:div w:id="2057125160">
      <w:bodyDiv w:val="1"/>
      <w:marLeft w:val="0"/>
      <w:marRight w:val="0"/>
      <w:marTop w:val="0"/>
      <w:marBottom w:val="0"/>
      <w:divBdr>
        <w:top w:val="none" w:sz="0" w:space="0" w:color="auto"/>
        <w:left w:val="none" w:sz="0" w:space="0" w:color="auto"/>
        <w:bottom w:val="none" w:sz="0" w:space="0" w:color="auto"/>
        <w:right w:val="none" w:sz="0" w:space="0" w:color="auto"/>
      </w:divBdr>
    </w:div>
    <w:div w:id="2077504937">
      <w:bodyDiv w:val="1"/>
      <w:marLeft w:val="0"/>
      <w:marRight w:val="0"/>
      <w:marTop w:val="0"/>
      <w:marBottom w:val="0"/>
      <w:divBdr>
        <w:top w:val="none" w:sz="0" w:space="0" w:color="auto"/>
        <w:left w:val="none" w:sz="0" w:space="0" w:color="auto"/>
        <w:bottom w:val="none" w:sz="0" w:space="0" w:color="auto"/>
        <w:right w:val="none" w:sz="0" w:space="0" w:color="auto"/>
      </w:divBdr>
    </w:div>
    <w:div w:id="2088262363">
      <w:bodyDiv w:val="1"/>
      <w:marLeft w:val="0"/>
      <w:marRight w:val="0"/>
      <w:marTop w:val="0"/>
      <w:marBottom w:val="0"/>
      <w:divBdr>
        <w:top w:val="none" w:sz="0" w:space="0" w:color="auto"/>
        <w:left w:val="none" w:sz="0" w:space="0" w:color="auto"/>
        <w:bottom w:val="none" w:sz="0" w:space="0" w:color="auto"/>
        <w:right w:val="none" w:sz="0" w:space="0" w:color="auto"/>
      </w:divBdr>
    </w:div>
    <w:div w:id="2110923503">
      <w:bodyDiv w:val="1"/>
      <w:marLeft w:val="0"/>
      <w:marRight w:val="0"/>
      <w:marTop w:val="0"/>
      <w:marBottom w:val="0"/>
      <w:divBdr>
        <w:top w:val="none" w:sz="0" w:space="0" w:color="auto"/>
        <w:left w:val="none" w:sz="0" w:space="0" w:color="auto"/>
        <w:bottom w:val="none" w:sz="0" w:space="0" w:color="auto"/>
        <w:right w:val="none" w:sz="0" w:space="0" w:color="auto"/>
      </w:divBdr>
    </w:div>
    <w:div w:id="21450046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3.xml"/><Relationship Id="rId18" Type="http://schemas.openxmlformats.org/officeDocument/2006/relationships/chart" Target="charts/chart8.xml"/><Relationship Id="rId26" Type="http://schemas.openxmlformats.org/officeDocument/2006/relationships/chart" Target="charts/chart16.xml"/><Relationship Id="rId21" Type="http://schemas.openxmlformats.org/officeDocument/2006/relationships/chart" Target="charts/chart11.xm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chart" Target="charts/chart2.xml"/><Relationship Id="rId17" Type="http://schemas.openxmlformats.org/officeDocument/2006/relationships/chart" Target="charts/chart7.xml"/><Relationship Id="rId25" Type="http://schemas.openxmlformats.org/officeDocument/2006/relationships/chart" Target="charts/chart15.xml"/><Relationship Id="rId33"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chart" Target="charts/chart6.xml"/><Relationship Id="rId20" Type="http://schemas.openxmlformats.org/officeDocument/2006/relationships/chart" Target="charts/chart10.xml"/><Relationship Id="rId29" Type="http://schemas.openxmlformats.org/officeDocument/2006/relationships/chart" Target="charts/chart1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hart" Target="charts/chart1.xml"/><Relationship Id="rId24" Type="http://schemas.openxmlformats.org/officeDocument/2006/relationships/chart" Target="charts/chart14.xml"/><Relationship Id="rId32" Type="http://schemas.openxmlformats.org/officeDocument/2006/relationships/header" Target="header1.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chart" Target="charts/chart5.xml"/><Relationship Id="rId23" Type="http://schemas.openxmlformats.org/officeDocument/2006/relationships/chart" Target="charts/chart13.xml"/><Relationship Id="rId28" Type="http://schemas.openxmlformats.org/officeDocument/2006/relationships/chart" Target="charts/chart17.xm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chart" Target="charts/chart9.xml"/><Relationship Id="rId31" Type="http://schemas.openxmlformats.org/officeDocument/2006/relationships/chart" Target="charts/chart2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hart" Target="charts/chart4.xml"/><Relationship Id="rId22" Type="http://schemas.openxmlformats.org/officeDocument/2006/relationships/chart" Target="charts/chart12.xml"/><Relationship Id="rId27" Type="http://schemas.openxmlformats.org/officeDocument/2006/relationships/hyperlink" Target="https://www.google.com/url?sa=t&amp;rct=j&amp;q=&amp;esrc=s&amp;source=web&amp;cd=&amp;ved=2ahUKEwitwfDAvaWNAxWlgP0HHTRTFB8QFnoECBgQAQ&amp;url=https%3A%2F%2Fwww.mpsv.cz%2Fcms%2Fdocuments%2F412fc2b2-76da-d818-7358-de3c0e467a1a%2FAnal%25C3%25BDza%2Bv%25C3%25BDvoje%2Bnemocensk%25C3%25A9ho%2Bpoji%25C5%25A1t%25C4%259Bn%25C3%25AD%2B2024%2B%25281%2529.pdf%3Ft%3D1738330062040&amp;usg=AOvVaw3XiriyVE4d7ozNu43caxUa&amp;opi=89978449" TargetMode="External"/><Relationship Id="rId30" Type="http://schemas.openxmlformats.org/officeDocument/2006/relationships/chart" Target="charts/chart19.xml"/><Relationship Id="rId35" Type="http://schemas.openxmlformats.org/officeDocument/2006/relationships/footer" Target="footer2.xml"/><Relationship Id="rId8" Type="http://schemas.openxmlformats.org/officeDocument/2006/relationships/webSettings" Target="webSetting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1" Type="http://schemas.openxmlformats.org/officeDocument/2006/relationships/hyperlink" Target="https://ec.europa.eu/eurostat/web/health/database"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vrz41268\Desktop\PUBLIKACE%20Pracovn&#237;%20neschopnost%202024\rok%202024\Text\grafick&#225;%20&#353;ablona%20pro%20publikaci.dotx"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tvrz41268\Desktop\PUBLIKACE%20Pracovn&#237;%20neschopnost%202024\rok%202024\Opraven&#225;%20data\data\2024_tabulky%20a%20grafy%20do%20textu.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C:\Users\tvrz41268\Desktop\PUBLIKACE%20Pracovn&#237;%20neschopnost%202024\rok%202024\Opraven&#225;%20data\data\2024_tabulky%20a%20grafy%20do%20textu.xlsx" TargetMode="External"/><Relationship Id="rId2" Type="http://schemas.microsoft.com/office/2011/relationships/chartColorStyle" Target="colors9.xml"/><Relationship Id="rId1" Type="http://schemas.microsoft.com/office/2011/relationships/chartStyle" Target="style9.xml"/></Relationships>
</file>

<file path=word/charts/_rels/chart11.xml.rels><?xml version="1.0" encoding="UTF-8" standalone="yes"?>
<Relationships xmlns="http://schemas.openxmlformats.org/package/2006/relationships"><Relationship Id="rId3" Type="http://schemas.openxmlformats.org/officeDocument/2006/relationships/oleObject" Target="file:///C:\Users\tvrz41268\Desktop\PUBLIKACE%20Pracovn&#237;%20neschopnost%202024\rok%202024\Opraven&#225;%20data\data\2024_tabulky%20a%20grafy%20do%20textu.xlsx" TargetMode="External"/><Relationship Id="rId2" Type="http://schemas.microsoft.com/office/2011/relationships/chartColorStyle" Target="colors10.xml"/><Relationship Id="rId1" Type="http://schemas.microsoft.com/office/2011/relationships/chartStyle" Target="style10.xml"/></Relationships>
</file>

<file path=word/charts/_rels/chart12.xml.rels><?xml version="1.0" encoding="UTF-8" standalone="yes"?>
<Relationships xmlns="http://schemas.openxmlformats.org/package/2006/relationships"><Relationship Id="rId3" Type="http://schemas.openxmlformats.org/officeDocument/2006/relationships/oleObject" Target="file:///C:\Users\tvrz41268\Desktop\PUBLIKACE%20Pracovn&#237;%20neschopnost%202024\rok%202024\Opraven&#225;%20data\data\2024_tabulky%20a%20grafy%20do%20textu.xlsx" TargetMode="External"/><Relationship Id="rId2" Type="http://schemas.microsoft.com/office/2011/relationships/chartColorStyle" Target="colors11.xml"/><Relationship Id="rId1" Type="http://schemas.microsoft.com/office/2011/relationships/chartStyle" Target="style11.xml"/></Relationships>
</file>

<file path=word/charts/_rels/chart13.xml.rels><?xml version="1.0" encoding="UTF-8" standalone="yes"?>
<Relationships xmlns="http://schemas.openxmlformats.org/package/2006/relationships"><Relationship Id="rId3" Type="http://schemas.openxmlformats.org/officeDocument/2006/relationships/oleObject" Target="file:///C:\Users\tvrz41268\Desktop\PUBLIKACE%20Pracovn&#237;%20neschopnost%202024\rok%202024\Opraven&#225;%20data\data\2024_tabulky%20a%20grafy%20do%20textu.xlsx" TargetMode="External"/><Relationship Id="rId2" Type="http://schemas.microsoft.com/office/2011/relationships/chartColorStyle" Target="colors12.xml"/><Relationship Id="rId1" Type="http://schemas.microsoft.com/office/2011/relationships/chartStyle" Target="style12.xml"/></Relationships>
</file>

<file path=word/charts/_rels/chart14.xml.rels><?xml version="1.0" encoding="UTF-8" standalone="yes"?>
<Relationships xmlns="http://schemas.openxmlformats.org/package/2006/relationships"><Relationship Id="rId3" Type="http://schemas.openxmlformats.org/officeDocument/2006/relationships/oleObject" Target="file:///C:\Users\tvrz41268\Desktop\PUBLIKACE%20Pracovn&#237;%20neschopnost%202024\rok%202024\Opraven&#225;%20data\data\2024_tabulky%20a%20grafy%20do%20textu.xlsx" TargetMode="External"/><Relationship Id="rId2" Type="http://schemas.microsoft.com/office/2011/relationships/chartColorStyle" Target="colors13.xml"/><Relationship Id="rId1" Type="http://schemas.microsoft.com/office/2011/relationships/chartStyle" Target="style13.xml"/></Relationships>
</file>

<file path=word/charts/_rels/chart15.xml.rels><?xml version="1.0" encoding="UTF-8" standalone="yes"?>
<Relationships xmlns="http://schemas.openxmlformats.org/package/2006/relationships"><Relationship Id="rId3" Type="http://schemas.openxmlformats.org/officeDocument/2006/relationships/oleObject" Target="file:///C:\Users\tvrz41268\Desktop\PUBLIKACE%20Pracovn&#237;%20neschopnost%202024\rok%202024\Opraven&#225;%20data\data\2024_tabulky%20a%20grafy%20do%20textu.xlsx" TargetMode="External"/><Relationship Id="rId2" Type="http://schemas.microsoft.com/office/2011/relationships/chartColorStyle" Target="colors14.xml"/><Relationship Id="rId1" Type="http://schemas.microsoft.com/office/2011/relationships/chartStyle" Target="style14.xml"/></Relationships>
</file>

<file path=word/charts/_rels/chart16.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5.xml"/><Relationship Id="rId1" Type="http://schemas.microsoft.com/office/2011/relationships/chartStyle" Target="style15.xml"/><Relationship Id="rId4" Type="http://schemas.openxmlformats.org/officeDocument/2006/relationships/oleObject" Target="file:///C:\Users\tvrz41268\Desktop\PUBLIKACE%20Pracovn&#237;%20neschopnost%202024\rok%202024\data\tabulky%20a%20grafy%20do%20textu.xlsx" TargetMode="External"/></Relationships>
</file>

<file path=word/charts/_rels/chart17.xml.rels><?xml version="1.0" encoding="UTF-8" standalone="yes"?>
<Relationships xmlns="http://schemas.openxmlformats.org/package/2006/relationships"><Relationship Id="rId3" Type="http://schemas.openxmlformats.org/officeDocument/2006/relationships/oleObject" Target="file:///C:\Users\tvrz41268\Desktop\PUBLIKACE%20Pracovn&#237;%20neschopnost%202024\rok%202024\Opraven&#225;%20data\data\2024_tabulky%20a%20grafy%20do%20textu.xlsx" TargetMode="External"/><Relationship Id="rId2" Type="http://schemas.microsoft.com/office/2011/relationships/chartColorStyle" Target="colors16.xml"/><Relationship Id="rId1" Type="http://schemas.microsoft.com/office/2011/relationships/chartStyle" Target="style16.xml"/></Relationships>
</file>

<file path=word/charts/_rels/chart18.xml.rels><?xml version="1.0" encoding="UTF-8" standalone="yes"?>
<Relationships xmlns="http://schemas.openxmlformats.org/package/2006/relationships"><Relationship Id="rId3" Type="http://schemas.openxmlformats.org/officeDocument/2006/relationships/oleObject" Target="file:///C:\Users\tvrz41268\Desktop\PUBLIKACE%20Pracovn&#237;%20neschopnost%202024\rok%202024\Opraven&#225;%20data\data\2024_tabulky%20a%20grafy%20do%20textu.xlsx" TargetMode="External"/><Relationship Id="rId2" Type="http://schemas.microsoft.com/office/2011/relationships/chartColorStyle" Target="colors17.xml"/><Relationship Id="rId1" Type="http://schemas.microsoft.com/office/2011/relationships/chartStyle" Target="style17.xml"/></Relationships>
</file>

<file path=word/charts/_rels/chart19.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18.xml"/><Relationship Id="rId1" Type="http://schemas.microsoft.com/office/2011/relationships/chartStyle" Target="style18.xml"/><Relationship Id="rId4" Type="http://schemas.openxmlformats.org/officeDocument/2006/relationships/oleObject" Target="file:///C:\Users\tvrz41268\Desktop\PUBLIKACE%20Pracovn&#237;%20neschopnost%202024\rok%202024\data\tabulky%20a%20grafy%20do%20textu.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tvrz41268\Desktop\PUBLIKACE%20Pracovn&#237;%20neschopnost%202024\rok%202024\Opraven&#225;%20data\data\2024_tabulky%20a%20grafy%20do%20textu.xlsx" TargetMode="External"/></Relationships>
</file>

<file path=word/charts/_rels/chart20.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19.xml"/><Relationship Id="rId1" Type="http://schemas.microsoft.com/office/2011/relationships/chartStyle" Target="style19.xml"/><Relationship Id="rId4" Type="http://schemas.openxmlformats.org/officeDocument/2006/relationships/oleObject" Target="file:///C:\Users\tvrz41268\Desktop\PUBLIKACE%20Pracovn&#237;%20neschopnost%202024\rok%202024\data\tabulky%20a%20grafy%20do%20textu.xlsx" TargetMode="External"/></Relationships>
</file>

<file path=word/charts/_rels/chart3.xml.rels><?xml version="1.0" encoding="UTF-8" standalone="yes"?>
<Relationships xmlns="http://schemas.openxmlformats.org/package/2006/relationships"><Relationship Id="rId3" Type="http://schemas.openxmlformats.org/officeDocument/2006/relationships/oleObject" Target="file:///C:\Users\tvrz41268\Desktop\PUBLIKACE%20Pracovn&#237;%20neschopnost%202024\rok%202024\Opraven&#225;%20data\data\2024_tabulky%20a%20grafy%20do%20textu.xlsx" TargetMode="Externa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chartUserShapes" Target="../drawings/drawing1.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tvrz41268\Desktop\PUBLIKACE%20Pracovn&#237;%20neschopnost%202024\rok%202024\Opraven&#225;%20data\data\2024_tabulky%20a%20grafy%20do%20textu.xlsx" TargetMode="External"/><Relationship Id="rId2" Type="http://schemas.microsoft.com/office/2011/relationships/chartColorStyle" Target="colors3.xml"/><Relationship Id="rId1" Type="http://schemas.microsoft.com/office/2011/relationships/chartStyle" Target="style3.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tvrz41268\Desktop\PUBLIKACE%20Pracovn&#237;%20neschopnost%202024\rok%202024\Opraven&#225;%20data\data\2024_tabulky%20a%20grafy%20do%20textu.xlsx" TargetMode="External"/><Relationship Id="rId2" Type="http://schemas.microsoft.com/office/2011/relationships/chartColorStyle" Target="colors4.xml"/><Relationship Id="rId1" Type="http://schemas.microsoft.com/office/2011/relationships/chartStyle" Target="style4.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tvrz41268\Desktop\PUBLIKACE%20Pracovn&#237;%20neschopnost%202024\rok%202024\Opraven&#225;%20data\data\2024_tabulky%20a%20grafy%20do%20textu.xlsx" TargetMode="Externa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chartUserShapes" Target="../drawings/drawing2.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tvrz41268\Desktop\PUBLIKACE%20Pracovn&#237;%20neschopnost%202024\rok%202024\Opraven&#225;%20data\data\2024_tabulky%20a%20grafy%20do%20textu.xlsx" TargetMode="Externa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chartUserShapes" Target="../drawings/drawing3.xml"/></Relationships>
</file>

<file path=word/charts/_rels/chart8.xml.rels><?xml version="1.0" encoding="UTF-8" standalone="yes"?>
<Relationships xmlns="http://schemas.openxmlformats.org/package/2006/relationships"><Relationship Id="rId3" Type="http://schemas.openxmlformats.org/officeDocument/2006/relationships/oleObject" Target="file:///C:\Users\tvrz41268\Desktop\PUBLIKACE%20Pracovn&#237;%20neschopnost%202024\rok%202024\Opraven&#225;%20data\data\2024_tabulky%20a%20grafy%20do%20textu.xlsx" TargetMode="External"/><Relationship Id="rId2" Type="http://schemas.microsoft.com/office/2011/relationships/chartColorStyle" Target="colors7.xml"/><Relationship Id="rId1" Type="http://schemas.microsoft.com/office/2011/relationships/chartStyle" Target="style7.xml"/></Relationships>
</file>

<file path=word/charts/_rels/chart9.xml.rels><?xml version="1.0" encoding="UTF-8" standalone="yes"?>
<Relationships xmlns="http://schemas.openxmlformats.org/package/2006/relationships"><Relationship Id="rId3" Type="http://schemas.openxmlformats.org/officeDocument/2006/relationships/oleObject" Target="file:///C:\Users\tvrz41268\Desktop\PUBLIKACE%20Pracovn&#237;%20neschopnost%202024\rok%202024\Opraven&#225;%20data\data\2024_tabulky%20a%20grafy%20do%20textu.xlsx" TargetMode="External"/><Relationship Id="rId2" Type="http://schemas.microsoft.com/office/2011/relationships/chartColorStyle" Target="colors8.xml"/><Relationship Id="rId1" Type="http://schemas.microsoft.com/office/2011/relationships/chartStyle" Target="style8.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percentStacked"/>
        <c:varyColors val="0"/>
        <c:ser>
          <c:idx val="4"/>
          <c:order val="0"/>
          <c:tx>
            <c:strRef>
              <c:f>'G1.1'!$A$19</c:f>
              <c:strCache>
                <c:ptCount val="1"/>
                <c:pt idx="0">
                  <c:v> 500 a více zaměstnanců</c:v>
                </c:pt>
              </c:strCache>
            </c:strRef>
          </c:tx>
          <c:spPr>
            <a:solidFill>
              <a:srgbClr val="CC9610"/>
            </a:solidFill>
            <a:ln>
              <a:noFill/>
            </a:ln>
            <a:effectLst/>
          </c:spPr>
          <c:invertIfNegative val="0"/>
          <c:dLbls>
            <c:spPr>
              <a:noFill/>
              <a:ln>
                <a:noFill/>
              </a:ln>
              <a:effectLst/>
            </c:spPr>
            <c:txPr>
              <a:bodyPr rot="0" spcFirstLastPara="1" vertOverflow="ellipsis" vert="horz" wrap="square" anchor="ctr" anchorCtr="1"/>
              <a:lstStyle/>
              <a:p>
                <a:pPr>
                  <a:defRPr sz="800" b="1" i="0" u="none" strike="noStrike" kern="1200" baseline="0">
                    <a:solidFill>
                      <a:schemeClr val="tx1"/>
                    </a:solidFill>
                    <a:latin typeface="Arial" panose="020B0604020202020204" pitchFamily="34" charset="0"/>
                    <a:ea typeface="+mn-ea"/>
                    <a:cs typeface="Arial" panose="020B0604020202020204" pitchFamily="34" charset="0"/>
                  </a:defRPr>
                </a:pPr>
                <a:endParaRPr lang="cs-CZ"/>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'G1.1'!$B$14:$D$14</c:f>
              <c:numCache>
                <c:formatCode>General</c:formatCode>
                <c:ptCount val="3"/>
                <c:pt idx="0">
                  <c:v>2014</c:v>
                </c:pt>
                <c:pt idx="1">
                  <c:v>2019</c:v>
                </c:pt>
                <c:pt idx="2">
                  <c:v>2024</c:v>
                </c:pt>
              </c:numCache>
            </c:numRef>
          </c:cat>
          <c:val>
            <c:numRef>
              <c:f>'G1.1'!$B$19:$D$19</c:f>
              <c:numCache>
                <c:formatCode>0%</c:formatCode>
                <c:ptCount val="3"/>
                <c:pt idx="0">
                  <c:v>0.32343673031056724</c:v>
                </c:pt>
                <c:pt idx="1">
                  <c:v>0.32697709201331404</c:v>
                </c:pt>
                <c:pt idx="2">
                  <c:v>0.31816709241385388</c:v>
                </c:pt>
              </c:numCache>
            </c:numRef>
          </c:val>
          <c:extLst>
            <c:ext xmlns:c16="http://schemas.microsoft.com/office/drawing/2014/chart" uri="{C3380CC4-5D6E-409C-BE32-E72D297353CC}">
              <c16:uniqueId val="{00000000-FBD3-495C-B15C-732A71EF73FF}"/>
            </c:ext>
          </c:extLst>
        </c:ser>
        <c:ser>
          <c:idx val="3"/>
          <c:order val="1"/>
          <c:tx>
            <c:strRef>
              <c:f>'G1.1'!$A$18</c:f>
              <c:strCache>
                <c:ptCount val="1"/>
                <c:pt idx="0">
                  <c:v> 250–499 zaměstnanců</c:v>
                </c:pt>
              </c:strCache>
            </c:strRef>
          </c:tx>
          <c:spPr>
            <a:solidFill>
              <a:srgbClr val="DBAF56"/>
            </a:solidFill>
            <a:ln>
              <a:noFill/>
            </a:ln>
            <a:effectLst/>
          </c:spPr>
          <c:invertIfNegative val="0"/>
          <c:dLbls>
            <c:spPr>
              <a:noFill/>
              <a:ln>
                <a:noFill/>
              </a:ln>
              <a:effectLst/>
            </c:spPr>
            <c:txPr>
              <a:bodyPr rot="0" spcFirstLastPara="1" vertOverflow="ellipsis" vert="horz" wrap="square" anchor="ctr" anchorCtr="1"/>
              <a:lstStyle/>
              <a:p>
                <a:pPr>
                  <a:defRPr sz="800" b="1" i="0" u="none" strike="noStrike" kern="1200" baseline="0">
                    <a:solidFill>
                      <a:schemeClr val="tx1"/>
                    </a:solidFill>
                    <a:latin typeface="Arial" panose="020B0604020202020204" pitchFamily="34" charset="0"/>
                    <a:ea typeface="+mn-ea"/>
                    <a:cs typeface="Arial" panose="020B0604020202020204" pitchFamily="34" charset="0"/>
                  </a:defRPr>
                </a:pPr>
                <a:endParaRPr lang="cs-CZ"/>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'G1.1'!$B$14:$D$14</c:f>
              <c:numCache>
                <c:formatCode>General</c:formatCode>
                <c:ptCount val="3"/>
                <c:pt idx="0">
                  <c:v>2014</c:v>
                </c:pt>
                <c:pt idx="1">
                  <c:v>2019</c:v>
                </c:pt>
                <c:pt idx="2">
                  <c:v>2024</c:v>
                </c:pt>
              </c:numCache>
            </c:numRef>
          </c:cat>
          <c:val>
            <c:numRef>
              <c:f>'G1.1'!$B$18:$D$18</c:f>
              <c:numCache>
                <c:formatCode>0%</c:formatCode>
                <c:ptCount val="3"/>
                <c:pt idx="0">
                  <c:v>9.231064925918285E-2</c:v>
                </c:pt>
                <c:pt idx="1">
                  <c:v>9.8963613639045059E-2</c:v>
                </c:pt>
                <c:pt idx="2">
                  <c:v>9.3321869733483595E-2</c:v>
                </c:pt>
              </c:numCache>
            </c:numRef>
          </c:val>
          <c:extLst>
            <c:ext xmlns:c16="http://schemas.microsoft.com/office/drawing/2014/chart" uri="{C3380CC4-5D6E-409C-BE32-E72D297353CC}">
              <c16:uniqueId val="{00000001-FBD3-495C-B15C-732A71EF73FF}"/>
            </c:ext>
          </c:extLst>
        </c:ser>
        <c:ser>
          <c:idx val="2"/>
          <c:order val="2"/>
          <c:tx>
            <c:strRef>
              <c:f>'G1.1'!$A$17</c:f>
              <c:strCache>
                <c:ptCount val="1"/>
                <c:pt idx="0">
                  <c:v>  50–249 zaměstnanců</c:v>
                </c:pt>
              </c:strCache>
            </c:strRef>
          </c:tx>
          <c:spPr>
            <a:solidFill>
              <a:srgbClr val="E6C483"/>
            </a:solidFill>
            <a:ln>
              <a:noFill/>
            </a:ln>
            <a:effectLst/>
          </c:spPr>
          <c:invertIfNegative val="0"/>
          <c:dLbls>
            <c:spPr>
              <a:noFill/>
              <a:ln>
                <a:noFill/>
              </a:ln>
              <a:effectLst/>
            </c:spPr>
            <c:txPr>
              <a:bodyPr rot="0" spcFirstLastPara="1" vertOverflow="ellipsis" vert="horz" wrap="square" anchor="ctr" anchorCtr="1"/>
              <a:lstStyle/>
              <a:p>
                <a:pPr>
                  <a:defRPr sz="800" b="1" i="0" u="none" strike="noStrike" kern="1200" baseline="0">
                    <a:solidFill>
                      <a:schemeClr val="tx1"/>
                    </a:solidFill>
                    <a:latin typeface="Arial" panose="020B0604020202020204" pitchFamily="34" charset="0"/>
                    <a:ea typeface="+mn-ea"/>
                    <a:cs typeface="Arial" panose="020B0604020202020204" pitchFamily="34" charset="0"/>
                  </a:defRPr>
                </a:pPr>
                <a:endParaRPr lang="cs-CZ"/>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'G1.1'!$B$14:$D$14</c:f>
              <c:numCache>
                <c:formatCode>General</c:formatCode>
                <c:ptCount val="3"/>
                <c:pt idx="0">
                  <c:v>2014</c:v>
                </c:pt>
                <c:pt idx="1">
                  <c:v>2019</c:v>
                </c:pt>
                <c:pt idx="2">
                  <c:v>2024</c:v>
                </c:pt>
              </c:numCache>
            </c:numRef>
          </c:cat>
          <c:val>
            <c:numRef>
              <c:f>'G1.1'!$B$17:$D$17</c:f>
              <c:numCache>
                <c:formatCode>0%</c:formatCode>
                <c:ptCount val="3"/>
                <c:pt idx="0">
                  <c:v>0.23395736210357529</c:v>
                </c:pt>
                <c:pt idx="1">
                  <c:v>0.23645707578665814</c:v>
                </c:pt>
                <c:pt idx="2">
                  <c:v>0.25122283782437838</c:v>
                </c:pt>
              </c:numCache>
            </c:numRef>
          </c:val>
          <c:extLst>
            <c:ext xmlns:c16="http://schemas.microsoft.com/office/drawing/2014/chart" uri="{C3380CC4-5D6E-409C-BE32-E72D297353CC}">
              <c16:uniqueId val="{00000002-FBD3-495C-B15C-732A71EF73FF}"/>
            </c:ext>
          </c:extLst>
        </c:ser>
        <c:ser>
          <c:idx val="1"/>
          <c:order val="3"/>
          <c:tx>
            <c:strRef>
              <c:f>'G1.1'!$A$16</c:f>
              <c:strCache>
                <c:ptCount val="1"/>
                <c:pt idx="0">
                  <c:v>  1–49 zaměstnanců</c:v>
                </c:pt>
              </c:strCache>
            </c:strRef>
          </c:tx>
          <c:spPr>
            <a:solidFill>
              <a:srgbClr val="85898E"/>
            </a:solidFill>
            <a:ln>
              <a:noFill/>
            </a:ln>
            <a:effectLst/>
          </c:spPr>
          <c:invertIfNegative val="0"/>
          <c:dLbls>
            <c:spPr>
              <a:noFill/>
              <a:ln>
                <a:noFill/>
              </a:ln>
              <a:effectLst/>
            </c:spPr>
            <c:txPr>
              <a:bodyPr rot="0" spcFirstLastPara="1" vertOverflow="ellipsis" vert="horz" wrap="square" anchor="ctr" anchorCtr="1"/>
              <a:lstStyle/>
              <a:p>
                <a:pPr>
                  <a:defRPr sz="800" b="1" i="0" u="none" strike="noStrike" kern="1200" baseline="0">
                    <a:solidFill>
                      <a:schemeClr val="tx1"/>
                    </a:solidFill>
                    <a:latin typeface="Arial" panose="020B0604020202020204" pitchFamily="34" charset="0"/>
                    <a:ea typeface="+mn-ea"/>
                    <a:cs typeface="Arial" panose="020B0604020202020204" pitchFamily="34" charset="0"/>
                  </a:defRPr>
                </a:pPr>
                <a:endParaRPr lang="cs-CZ"/>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'G1.1'!$B$14:$D$14</c:f>
              <c:numCache>
                <c:formatCode>General</c:formatCode>
                <c:ptCount val="3"/>
                <c:pt idx="0">
                  <c:v>2014</c:v>
                </c:pt>
                <c:pt idx="1">
                  <c:v>2019</c:v>
                </c:pt>
                <c:pt idx="2">
                  <c:v>2024</c:v>
                </c:pt>
              </c:numCache>
            </c:numRef>
          </c:cat>
          <c:val>
            <c:numRef>
              <c:f>'G1.1'!$B$16:$D$16</c:f>
              <c:numCache>
                <c:formatCode>0%</c:formatCode>
                <c:ptCount val="3"/>
                <c:pt idx="0">
                  <c:v>0.32661522915141988</c:v>
                </c:pt>
                <c:pt idx="1">
                  <c:v>0.31765235861499824</c:v>
                </c:pt>
                <c:pt idx="2">
                  <c:v>0.31726560682215693</c:v>
                </c:pt>
              </c:numCache>
            </c:numRef>
          </c:val>
          <c:extLst>
            <c:ext xmlns:c16="http://schemas.microsoft.com/office/drawing/2014/chart" uri="{C3380CC4-5D6E-409C-BE32-E72D297353CC}">
              <c16:uniqueId val="{00000003-FBD3-495C-B15C-732A71EF73FF}"/>
            </c:ext>
          </c:extLst>
        </c:ser>
        <c:ser>
          <c:idx val="0"/>
          <c:order val="4"/>
          <c:tx>
            <c:strRef>
              <c:f>'G1.1'!$A$15</c:f>
              <c:strCache>
                <c:ptCount val="1"/>
                <c:pt idx="0">
                  <c:v> OSVČ</c:v>
                </c:pt>
              </c:strCache>
            </c:strRef>
          </c:tx>
          <c:spPr>
            <a:solidFill>
              <a:srgbClr val="B8BBC0"/>
            </a:solidFill>
            <a:ln>
              <a:noFill/>
            </a:ln>
            <a:effectLst/>
          </c:spPr>
          <c:invertIfNegative val="0"/>
          <c:dLbls>
            <c:delete val="1"/>
          </c:dLbls>
          <c:cat>
            <c:numRef>
              <c:f>'G1.1'!$B$14:$D$14</c:f>
              <c:numCache>
                <c:formatCode>General</c:formatCode>
                <c:ptCount val="3"/>
                <c:pt idx="0">
                  <c:v>2014</c:v>
                </c:pt>
                <c:pt idx="1">
                  <c:v>2019</c:v>
                </c:pt>
                <c:pt idx="2">
                  <c:v>2024</c:v>
                </c:pt>
              </c:numCache>
            </c:numRef>
          </c:cat>
          <c:val>
            <c:numRef>
              <c:f>'G1.1'!$B$15:$D$15</c:f>
              <c:numCache>
                <c:formatCode>0%</c:formatCode>
                <c:ptCount val="3"/>
                <c:pt idx="0" formatCode="0.0%">
                  <c:v>2.3680029175254708E-2</c:v>
                </c:pt>
                <c:pt idx="1">
                  <c:v>1.994985994598461E-2</c:v>
                </c:pt>
                <c:pt idx="2" formatCode="0.000%">
                  <c:v>2.0022593206127284E-2</c:v>
                </c:pt>
              </c:numCache>
            </c:numRef>
          </c:val>
          <c:extLst>
            <c:ext xmlns:c16="http://schemas.microsoft.com/office/drawing/2014/chart" uri="{C3380CC4-5D6E-409C-BE32-E72D297353CC}">
              <c16:uniqueId val="{00000004-FBD3-495C-B15C-732A71EF73FF}"/>
            </c:ext>
          </c:extLst>
        </c:ser>
        <c:dLbls>
          <c:dLblPos val="ctr"/>
          <c:showLegendKey val="0"/>
          <c:showVal val="1"/>
          <c:showCatName val="0"/>
          <c:showSerName val="0"/>
          <c:showPercent val="0"/>
          <c:showBubbleSize val="0"/>
        </c:dLbls>
        <c:gapWidth val="80"/>
        <c:overlap val="100"/>
        <c:axId val="1985728400"/>
        <c:axId val="1985730064"/>
      </c:barChart>
      <c:catAx>
        <c:axId val="1985728400"/>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endParaRPr lang="cs-CZ"/>
          </a:p>
        </c:txPr>
        <c:crossAx val="1985730064"/>
        <c:crosses val="autoZero"/>
        <c:auto val="1"/>
        <c:lblAlgn val="ctr"/>
        <c:lblOffset val="100"/>
        <c:noMultiLvlLbl val="0"/>
      </c:catAx>
      <c:valAx>
        <c:axId val="1985730064"/>
        <c:scaling>
          <c:orientation val="minMax"/>
        </c:scaling>
        <c:delete val="1"/>
        <c:axPos val="l"/>
        <c:majorGridlines>
          <c:spPr>
            <a:ln w="9525" cap="flat" cmpd="sng" algn="ctr">
              <a:solidFill>
                <a:schemeClr val="tx1">
                  <a:lumMod val="15000"/>
                  <a:lumOff val="85000"/>
                </a:schemeClr>
              </a:solidFill>
              <a:round/>
            </a:ln>
            <a:effectLst/>
          </c:spPr>
        </c:majorGridlines>
        <c:numFmt formatCode="0%" sourceLinked="1"/>
        <c:majorTickMark val="out"/>
        <c:minorTickMark val="none"/>
        <c:tickLblPos val="nextTo"/>
        <c:crossAx val="1985728400"/>
        <c:crosses val="autoZero"/>
        <c:crossBetween val="between"/>
        <c:majorUnit val="0.2"/>
      </c:valAx>
      <c:spPr>
        <a:noFill/>
        <a:ln>
          <a:noFill/>
        </a:ln>
        <a:effectLst/>
      </c:spPr>
    </c:plotArea>
    <c:legend>
      <c:legendPos val="l"/>
      <c:overlay val="0"/>
      <c:spPr>
        <a:noFill/>
        <a:ln>
          <a:noFill/>
        </a:ln>
        <a:effectLst/>
      </c:spPr>
      <c:txPr>
        <a:bodyPr rot="0" spcFirstLastPara="1" vertOverflow="ellipsis" vert="horz" wrap="square" anchor="ctr" anchorCtr="1"/>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endParaRPr lang="cs-CZ"/>
        </a:p>
      </c:txPr>
    </c:legend>
    <c:plotVisOnly val="1"/>
    <c:dispBlanksAs val="gap"/>
    <c:showDLblsOverMax val="0"/>
  </c:chart>
  <c:spPr>
    <a:solidFill>
      <a:schemeClr val="bg1"/>
    </a:solidFill>
    <a:ln w="9525" cap="flat" cmpd="sng" algn="ctr">
      <a:noFill/>
      <a:round/>
    </a:ln>
    <a:effectLst/>
  </c:spPr>
  <c:txPr>
    <a:bodyPr/>
    <a:lstStyle/>
    <a:p>
      <a:pPr>
        <a:defRPr sz="800">
          <a:solidFill>
            <a:schemeClr val="tx1"/>
          </a:solidFill>
          <a:latin typeface="Arial" panose="020B0604020202020204" pitchFamily="34" charset="0"/>
          <a:cs typeface="Arial" panose="020B0604020202020204" pitchFamily="34" charset="0"/>
        </a:defRPr>
      </a:pPr>
      <a:endParaRPr lang="cs-CZ"/>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6987908496732015E-2"/>
          <c:y val="4.9886621315192746E-2"/>
          <c:w val="0.91018529411764704"/>
          <c:h val="0.7636859678254504"/>
        </c:manualLayout>
      </c:layout>
      <c:barChart>
        <c:barDir val="col"/>
        <c:grouping val="clustered"/>
        <c:varyColors val="0"/>
        <c:ser>
          <c:idx val="0"/>
          <c:order val="0"/>
          <c:tx>
            <c:strRef>
              <c:f>'G2.6'!$P$10</c:f>
              <c:strCache>
                <c:ptCount val="1"/>
                <c:pt idx="0">
                  <c:v> 1. pololetí</c:v>
                </c:pt>
              </c:strCache>
            </c:strRef>
          </c:tx>
          <c:spPr>
            <a:solidFill>
              <a:srgbClr val="CC9610"/>
            </a:solidFill>
            <a:ln>
              <a:noFill/>
            </a:ln>
            <a:effectLst/>
          </c:spPr>
          <c:invertIfNegative val="0"/>
          <c:dLbls>
            <c:numFmt formatCode="#,##0.0" sourceLinked="0"/>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cs-CZ"/>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'G2.6'!$Q$9:$Z$9</c:f>
              <c:strCache>
                <c:ptCount val="10"/>
                <c:pt idx="0">
                  <c:v>2015</c:v>
                </c:pt>
                <c:pt idx="1">
                  <c:v>2016</c:v>
                </c:pt>
                <c:pt idx="2">
                  <c:v>2017</c:v>
                </c:pt>
                <c:pt idx="3">
                  <c:v>2018</c:v>
                </c:pt>
                <c:pt idx="4">
                  <c:v>2019</c:v>
                </c:pt>
                <c:pt idx="5">
                  <c:v>2020</c:v>
                </c:pt>
                <c:pt idx="6">
                  <c:v>2021</c:v>
                </c:pt>
                <c:pt idx="7">
                  <c:v>2022*</c:v>
                </c:pt>
                <c:pt idx="8">
                  <c:v>2023</c:v>
                </c:pt>
                <c:pt idx="9">
                  <c:v>2024</c:v>
                </c:pt>
              </c:strCache>
            </c:strRef>
          </c:cat>
          <c:val>
            <c:numRef>
              <c:f>'G2.6'!$Q$10:$Z$10</c:f>
              <c:numCache>
                <c:formatCode>#,##0</c:formatCode>
                <c:ptCount val="10"/>
                <c:pt idx="0">
                  <c:v>35051963</c:v>
                </c:pt>
                <c:pt idx="1">
                  <c:v>36786872</c:v>
                </c:pt>
                <c:pt idx="2">
                  <c:v>38708732</c:v>
                </c:pt>
                <c:pt idx="3">
                  <c:v>40623841</c:v>
                </c:pt>
                <c:pt idx="4">
                  <c:v>41577938</c:v>
                </c:pt>
                <c:pt idx="5">
                  <c:v>47402024</c:v>
                </c:pt>
                <c:pt idx="6">
                  <c:v>50856089</c:v>
                </c:pt>
                <c:pt idx="7">
                  <c:v>50387135</c:v>
                </c:pt>
                <c:pt idx="8">
                  <c:v>42415167</c:v>
                </c:pt>
                <c:pt idx="9">
                  <c:v>41466316</c:v>
                </c:pt>
              </c:numCache>
            </c:numRef>
          </c:val>
          <c:extLst>
            <c:ext xmlns:c16="http://schemas.microsoft.com/office/drawing/2014/chart" uri="{C3380CC4-5D6E-409C-BE32-E72D297353CC}">
              <c16:uniqueId val="{00000000-FF68-4222-80EC-685D2C1D0248}"/>
            </c:ext>
          </c:extLst>
        </c:ser>
        <c:ser>
          <c:idx val="1"/>
          <c:order val="1"/>
          <c:tx>
            <c:strRef>
              <c:f>'G2.6'!$P$11</c:f>
              <c:strCache>
                <c:ptCount val="1"/>
                <c:pt idx="0">
                  <c:v> 2. pololetí</c:v>
                </c:pt>
              </c:strCache>
            </c:strRef>
          </c:tx>
          <c:spPr>
            <a:solidFill>
              <a:srgbClr val="E6C483"/>
            </a:solidFill>
            <a:ln>
              <a:noFill/>
            </a:ln>
            <a:effectLst/>
          </c:spPr>
          <c:invertIfNegative val="0"/>
          <c:dLbls>
            <c:numFmt formatCode="#,##0.0" sourceLinked="0"/>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cs-CZ"/>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'G2.6'!$Q$9:$Z$9</c:f>
              <c:strCache>
                <c:ptCount val="10"/>
                <c:pt idx="0">
                  <c:v>2015</c:v>
                </c:pt>
                <c:pt idx="1">
                  <c:v>2016</c:v>
                </c:pt>
                <c:pt idx="2">
                  <c:v>2017</c:v>
                </c:pt>
                <c:pt idx="3">
                  <c:v>2018</c:v>
                </c:pt>
                <c:pt idx="4">
                  <c:v>2019</c:v>
                </c:pt>
                <c:pt idx="5">
                  <c:v>2020</c:v>
                </c:pt>
                <c:pt idx="6">
                  <c:v>2021</c:v>
                </c:pt>
                <c:pt idx="7">
                  <c:v>2022*</c:v>
                </c:pt>
                <c:pt idx="8">
                  <c:v>2023</c:v>
                </c:pt>
                <c:pt idx="9">
                  <c:v>2024</c:v>
                </c:pt>
              </c:strCache>
            </c:strRef>
          </c:cat>
          <c:val>
            <c:numRef>
              <c:f>'G2.6'!$Q$11:$Z$11</c:f>
              <c:numCache>
                <c:formatCode>#,##0</c:formatCode>
                <c:ptCount val="10"/>
                <c:pt idx="0">
                  <c:v>31765440</c:v>
                </c:pt>
                <c:pt idx="1">
                  <c:v>33465090</c:v>
                </c:pt>
                <c:pt idx="2">
                  <c:v>33968745</c:v>
                </c:pt>
                <c:pt idx="3">
                  <c:v>36533814</c:v>
                </c:pt>
                <c:pt idx="4">
                  <c:v>39626934</c:v>
                </c:pt>
                <c:pt idx="5">
                  <c:v>46844167</c:v>
                </c:pt>
                <c:pt idx="6">
                  <c:v>44093478</c:v>
                </c:pt>
                <c:pt idx="7">
                  <c:v>40676458</c:v>
                </c:pt>
                <c:pt idx="8">
                  <c:v>37149301</c:v>
                </c:pt>
                <c:pt idx="9">
                  <c:v>37015799</c:v>
                </c:pt>
              </c:numCache>
            </c:numRef>
          </c:val>
          <c:extLst>
            <c:ext xmlns:c16="http://schemas.microsoft.com/office/drawing/2014/chart" uri="{C3380CC4-5D6E-409C-BE32-E72D297353CC}">
              <c16:uniqueId val="{00000001-FF68-4222-80EC-685D2C1D0248}"/>
            </c:ext>
          </c:extLst>
        </c:ser>
        <c:dLbls>
          <c:dLblPos val="inEnd"/>
          <c:showLegendKey val="0"/>
          <c:showVal val="1"/>
          <c:showCatName val="0"/>
          <c:showSerName val="0"/>
          <c:showPercent val="0"/>
          <c:showBubbleSize val="0"/>
        </c:dLbls>
        <c:gapWidth val="70"/>
        <c:axId val="103414079"/>
        <c:axId val="103411583"/>
      </c:barChart>
      <c:catAx>
        <c:axId val="103414079"/>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cs-CZ"/>
          </a:p>
        </c:txPr>
        <c:crossAx val="103411583"/>
        <c:crosses val="autoZero"/>
        <c:auto val="1"/>
        <c:lblAlgn val="ctr"/>
        <c:lblOffset val="100"/>
        <c:noMultiLvlLbl val="0"/>
      </c:catAx>
      <c:valAx>
        <c:axId val="103411583"/>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cs-CZ"/>
                  <a:t>Počet dnů (v mil.)</a:t>
                </a:r>
              </a:p>
            </c:rich>
          </c:tx>
          <c:layout>
            <c:manualLayout>
              <c:xMode val="edge"/>
              <c:yMode val="edge"/>
              <c:x val="1.6704248366013075E-3"/>
              <c:y val="0.27695609477386757"/>
            </c:manualLayout>
          </c:layout>
          <c:overlay val="0"/>
          <c:spPr>
            <a:noFill/>
            <a:ln>
              <a:noFill/>
            </a:ln>
            <a:effectLst/>
          </c:spPr>
          <c:txPr>
            <a:bodyPr rot="-54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cs-CZ"/>
            </a:p>
          </c:txPr>
        </c:title>
        <c:numFmt formatCode="#,##0"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cs-CZ"/>
          </a:p>
        </c:txPr>
        <c:crossAx val="103414079"/>
        <c:crosses val="autoZero"/>
        <c:crossBetween val="between"/>
        <c:majorUnit val="5000000"/>
        <c:dispUnits>
          <c:builtInUnit val="millions"/>
        </c:dispUnits>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cs-CZ"/>
        </a:p>
      </c:txPr>
    </c:legend>
    <c:plotVisOnly val="1"/>
    <c:dispBlanksAs val="gap"/>
    <c:showDLblsOverMax val="0"/>
  </c:chart>
  <c:spPr>
    <a:solidFill>
      <a:schemeClr val="bg1"/>
    </a:solidFill>
    <a:ln w="9525" cap="flat" cmpd="sng" algn="ctr">
      <a:noFill/>
      <a:round/>
    </a:ln>
    <a:effectLst/>
  </c:spPr>
  <c:txPr>
    <a:bodyPr/>
    <a:lstStyle/>
    <a:p>
      <a:pPr>
        <a:defRPr sz="800">
          <a:solidFill>
            <a:sysClr val="windowText" lastClr="000000"/>
          </a:solidFill>
          <a:latin typeface="Arial" panose="020B0604020202020204" pitchFamily="34" charset="0"/>
          <a:cs typeface="Arial" panose="020B0604020202020204" pitchFamily="34" charset="0"/>
        </a:defRPr>
      </a:pPr>
      <a:endParaRPr lang="cs-CZ"/>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1542014496294215E-2"/>
          <c:y val="5.5436507936507937E-2"/>
          <c:w val="0.90563126532499827"/>
          <c:h val="0.77267380952380949"/>
        </c:manualLayout>
      </c:layout>
      <c:barChart>
        <c:barDir val="col"/>
        <c:grouping val="clustered"/>
        <c:varyColors val="0"/>
        <c:ser>
          <c:idx val="0"/>
          <c:order val="0"/>
          <c:tx>
            <c:strRef>
              <c:f>'G2.7'!$A$37</c:f>
              <c:strCache>
                <c:ptCount val="1"/>
                <c:pt idx="0">
                  <c:v> 1. pololetí</c:v>
                </c:pt>
              </c:strCache>
            </c:strRef>
          </c:tx>
          <c:spPr>
            <a:solidFill>
              <a:srgbClr val="CC9610"/>
            </a:solidFill>
            <a:ln>
              <a:noFill/>
            </a:ln>
            <a:effectLst/>
          </c:spPr>
          <c:invertIfNegative val="0"/>
          <c:dLbls>
            <c:numFmt formatCode="#,##0.0" sourceLinked="0"/>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tx1"/>
                    </a:solidFill>
                    <a:latin typeface="Arial" panose="020B0604020202020204" pitchFamily="34" charset="0"/>
                    <a:ea typeface="+mn-ea"/>
                    <a:cs typeface="Arial" panose="020B0604020202020204" pitchFamily="34" charset="0"/>
                  </a:defRPr>
                </a:pPr>
                <a:endParaRPr lang="cs-CZ"/>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'G2.7'!$B$36:$K$36</c:f>
              <c:strCache>
                <c:ptCount val="10"/>
                <c:pt idx="0">
                  <c:v>2015</c:v>
                </c:pt>
                <c:pt idx="1">
                  <c:v>2016</c:v>
                </c:pt>
                <c:pt idx="2">
                  <c:v>2017</c:v>
                </c:pt>
                <c:pt idx="3">
                  <c:v>2018</c:v>
                </c:pt>
                <c:pt idx="4">
                  <c:v>2019</c:v>
                </c:pt>
                <c:pt idx="5">
                  <c:v>2020</c:v>
                </c:pt>
                <c:pt idx="6">
                  <c:v>2021</c:v>
                </c:pt>
                <c:pt idx="7">
                  <c:v>2022*</c:v>
                </c:pt>
                <c:pt idx="8">
                  <c:v>2023</c:v>
                </c:pt>
                <c:pt idx="9">
                  <c:v>2024</c:v>
                </c:pt>
              </c:strCache>
            </c:strRef>
          </c:cat>
          <c:val>
            <c:numRef>
              <c:f>'G2.7'!$B$37:$K$37</c:f>
              <c:numCache>
                <c:formatCode>General</c:formatCode>
                <c:ptCount val="10"/>
                <c:pt idx="0">
                  <c:v>40.111737833835704</c:v>
                </c:pt>
                <c:pt idx="1">
                  <c:v>41.971770756913834</c:v>
                </c:pt>
                <c:pt idx="2">
                  <c:v>40.973631424237581</c:v>
                </c:pt>
                <c:pt idx="3">
                  <c:v>39.052748911298465</c:v>
                </c:pt>
                <c:pt idx="4">
                  <c:v>42.645176179057081</c:v>
                </c:pt>
                <c:pt idx="5">
                  <c:v>44.298183197874529</c:v>
                </c:pt>
                <c:pt idx="6">
                  <c:v>36.340469789929358</c:v>
                </c:pt>
                <c:pt idx="7">
                  <c:v>24.53210826485472</c:v>
                </c:pt>
                <c:pt idx="8">
                  <c:v>31.942090268902898</c:v>
                </c:pt>
                <c:pt idx="9">
                  <c:v>32.49140903164335</c:v>
                </c:pt>
              </c:numCache>
            </c:numRef>
          </c:val>
          <c:extLst>
            <c:ext xmlns:c16="http://schemas.microsoft.com/office/drawing/2014/chart" uri="{C3380CC4-5D6E-409C-BE32-E72D297353CC}">
              <c16:uniqueId val="{00000000-77B3-4EEC-B4BE-D0F05A5F9905}"/>
            </c:ext>
          </c:extLst>
        </c:ser>
        <c:ser>
          <c:idx val="1"/>
          <c:order val="1"/>
          <c:tx>
            <c:strRef>
              <c:f>'G2.7'!$A$38</c:f>
              <c:strCache>
                <c:ptCount val="1"/>
                <c:pt idx="0">
                  <c:v> 2. pololetí</c:v>
                </c:pt>
              </c:strCache>
            </c:strRef>
          </c:tx>
          <c:spPr>
            <a:solidFill>
              <a:srgbClr val="E6C483"/>
            </a:solidFill>
            <a:ln>
              <a:noFill/>
            </a:ln>
            <a:effectLst/>
          </c:spPr>
          <c:invertIfNegative val="0"/>
          <c:dLbls>
            <c:numFmt formatCode="#,##0.0" sourceLinked="0"/>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tx1"/>
                    </a:solidFill>
                    <a:latin typeface="Arial" panose="020B0604020202020204" pitchFamily="34" charset="0"/>
                    <a:ea typeface="+mn-ea"/>
                    <a:cs typeface="Arial" panose="020B0604020202020204" pitchFamily="34" charset="0"/>
                  </a:defRPr>
                </a:pPr>
                <a:endParaRPr lang="cs-CZ"/>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'G2.7'!$B$36:$K$36</c:f>
              <c:strCache>
                <c:ptCount val="10"/>
                <c:pt idx="0">
                  <c:v>2015</c:v>
                </c:pt>
                <c:pt idx="1">
                  <c:v>2016</c:v>
                </c:pt>
                <c:pt idx="2">
                  <c:v>2017</c:v>
                </c:pt>
                <c:pt idx="3">
                  <c:v>2018</c:v>
                </c:pt>
                <c:pt idx="4">
                  <c:v>2019</c:v>
                </c:pt>
                <c:pt idx="5">
                  <c:v>2020</c:v>
                </c:pt>
                <c:pt idx="6">
                  <c:v>2021</c:v>
                </c:pt>
                <c:pt idx="7">
                  <c:v>2022*</c:v>
                </c:pt>
                <c:pt idx="8">
                  <c:v>2023</c:v>
                </c:pt>
                <c:pt idx="9">
                  <c:v>2024</c:v>
                </c:pt>
              </c:strCache>
            </c:strRef>
          </c:cat>
          <c:val>
            <c:numRef>
              <c:f>'G2.7'!$B$38:$K$38</c:f>
              <c:numCache>
                <c:formatCode>General</c:formatCode>
                <c:ptCount val="10"/>
                <c:pt idx="0">
                  <c:v>46.063573085846862</c:v>
                </c:pt>
                <c:pt idx="1">
                  <c:v>44.214525420145861</c:v>
                </c:pt>
                <c:pt idx="2">
                  <c:v>44.532236919728888</c:v>
                </c:pt>
                <c:pt idx="3">
                  <c:v>45.146669962000686</c:v>
                </c:pt>
                <c:pt idx="4">
                  <c:v>42.163534392592773</c:v>
                </c:pt>
                <c:pt idx="5">
                  <c:v>35.462026681968588</c:v>
                </c:pt>
                <c:pt idx="6">
                  <c:v>32.533172881470975</c:v>
                </c:pt>
                <c:pt idx="7">
                  <c:v>28.977883561170533</c:v>
                </c:pt>
                <c:pt idx="8">
                  <c:v>30.770843600827966</c:v>
                </c:pt>
                <c:pt idx="9">
                  <c:v>30.848092984804214</c:v>
                </c:pt>
              </c:numCache>
            </c:numRef>
          </c:val>
          <c:extLst>
            <c:ext xmlns:c16="http://schemas.microsoft.com/office/drawing/2014/chart" uri="{C3380CC4-5D6E-409C-BE32-E72D297353CC}">
              <c16:uniqueId val="{00000001-77B3-4EEC-B4BE-D0F05A5F9905}"/>
            </c:ext>
          </c:extLst>
        </c:ser>
        <c:dLbls>
          <c:showLegendKey val="0"/>
          <c:showVal val="0"/>
          <c:showCatName val="0"/>
          <c:showSerName val="0"/>
          <c:showPercent val="0"/>
          <c:showBubbleSize val="0"/>
        </c:dLbls>
        <c:gapWidth val="70"/>
        <c:axId val="1237737583"/>
        <c:axId val="1237740911"/>
      </c:barChart>
      <c:catAx>
        <c:axId val="1237737583"/>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cs-CZ"/>
          </a:p>
        </c:txPr>
        <c:crossAx val="1237740911"/>
        <c:crosses val="autoZero"/>
        <c:auto val="1"/>
        <c:lblAlgn val="ctr"/>
        <c:lblOffset val="100"/>
        <c:noMultiLvlLbl val="0"/>
      </c:catAx>
      <c:valAx>
        <c:axId val="1237740911"/>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r>
                  <a:rPr lang="cs-CZ">
                    <a:solidFill>
                      <a:schemeClr val="tx1"/>
                    </a:solidFill>
                  </a:rPr>
                  <a:t>P</a:t>
                </a:r>
                <a:r>
                  <a:rPr lang="en-US">
                    <a:solidFill>
                      <a:schemeClr val="tx1"/>
                    </a:solidFill>
                  </a:rPr>
                  <a:t>očet dnů</a:t>
                </a:r>
              </a:p>
            </c:rich>
          </c:tx>
          <c:layout>
            <c:manualLayout>
              <c:xMode val="edge"/>
              <c:yMode val="edge"/>
              <c:x val="5.1788587130147173E-3"/>
              <c:y val="0.36424349018228386"/>
            </c:manualLayout>
          </c:layout>
          <c:overlay val="0"/>
          <c:spPr>
            <a:noFill/>
            <a:ln>
              <a:noFill/>
            </a:ln>
            <a:effectLst/>
          </c:spPr>
          <c:txPr>
            <a:bodyPr rot="-5400000" spcFirstLastPara="1" vertOverflow="ellipsis" vert="horz" wrap="square" anchor="ctr" anchorCtr="1"/>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endParaRPr lang="cs-CZ"/>
            </a:p>
          </c:txPr>
        </c:title>
        <c:numFmt formatCode="General"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cs-CZ"/>
          </a:p>
        </c:txPr>
        <c:crossAx val="1237737583"/>
        <c:crosses val="autoZero"/>
        <c:crossBetween val="between"/>
      </c:valAx>
      <c:spPr>
        <a:noFill/>
        <a:ln>
          <a:noFill/>
        </a:ln>
        <a:effectLst/>
      </c:spPr>
    </c:plotArea>
    <c:legend>
      <c:legendPos val="b"/>
      <c:layout>
        <c:manualLayout>
          <c:xMode val="edge"/>
          <c:yMode val="edge"/>
          <c:x val="0.38802385620915042"/>
          <c:y val="0.91510357142857146"/>
          <c:w val="0.22395212418300653"/>
          <c:h val="7.481706349206349E-2"/>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cs-CZ"/>
        </a:p>
      </c:txPr>
    </c:legend>
    <c:plotVisOnly val="1"/>
    <c:dispBlanksAs val="gap"/>
    <c:showDLblsOverMax val="0"/>
  </c:chart>
  <c:spPr>
    <a:solidFill>
      <a:schemeClr val="bg1"/>
    </a:solidFill>
    <a:ln w="9525" cap="flat" cmpd="sng" algn="ctr">
      <a:noFill/>
      <a:round/>
    </a:ln>
    <a:effectLst/>
  </c:spPr>
  <c:txPr>
    <a:bodyPr/>
    <a:lstStyle/>
    <a:p>
      <a:pPr>
        <a:defRPr sz="800">
          <a:solidFill>
            <a:sysClr val="windowText" lastClr="000000"/>
          </a:solidFill>
          <a:latin typeface="Arial" panose="020B0604020202020204" pitchFamily="34" charset="0"/>
          <a:cs typeface="Arial" panose="020B0604020202020204" pitchFamily="34" charset="0"/>
        </a:defRPr>
      </a:pPr>
      <a:endParaRPr lang="cs-CZ"/>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9473543160015652E-2"/>
          <c:y val="5.5443548387096774E-2"/>
          <c:w val="0.90769777571515298"/>
          <c:h val="0.75248364871729756"/>
        </c:manualLayout>
      </c:layout>
      <c:barChart>
        <c:barDir val="col"/>
        <c:grouping val="clustered"/>
        <c:varyColors val="0"/>
        <c:ser>
          <c:idx val="0"/>
          <c:order val="0"/>
          <c:tx>
            <c:strRef>
              <c:f>'G2.8'!$A$3</c:f>
              <c:strCache>
                <c:ptCount val="1"/>
                <c:pt idx="0">
                  <c:v> muži</c:v>
                </c:pt>
              </c:strCache>
            </c:strRef>
          </c:tx>
          <c:spPr>
            <a:solidFill>
              <a:srgbClr val="CC9610"/>
            </a:solidFill>
            <a:ln>
              <a:noFill/>
            </a:ln>
            <a:effectLst/>
          </c:spPr>
          <c:invertIfNegative val="0"/>
          <c:dLbls>
            <c:numFmt formatCode="#,##0.0" sourceLinked="0"/>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cs-CZ"/>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'G2.8'!$B$2:$M$2</c:f>
              <c:strCache>
                <c:ptCount val="10"/>
                <c:pt idx="0">
                  <c:v>2015</c:v>
                </c:pt>
                <c:pt idx="1">
                  <c:v>2016</c:v>
                </c:pt>
                <c:pt idx="2">
                  <c:v>2017</c:v>
                </c:pt>
                <c:pt idx="3">
                  <c:v>2018</c:v>
                </c:pt>
                <c:pt idx="4">
                  <c:v>2019</c:v>
                </c:pt>
                <c:pt idx="5">
                  <c:v>2020</c:v>
                </c:pt>
                <c:pt idx="6">
                  <c:v>2021</c:v>
                </c:pt>
                <c:pt idx="7">
                  <c:v>2022*</c:v>
                </c:pt>
                <c:pt idx="8">
                  <c:v>2023</c:v>
                </c:pt>
                <c:pt idx="9">
                  <c:v>2024</c:v>
                </c:pt>
              </c:strCache>
            </c:strRef>
          </c:cat>
          <c:val>
            <c:numRef>
              <c:f>'G2.8'!$B$3:$M$3</c:f>
              <c:numCache>
                <c:formatCode>General</c:formatCode>
                <c:ptCount val="10"/>
                <c:pt idx="0">
                  <c:v>40.535215932702108</c:v>
                </c:pt>
                <c:pt idx="1">
                  <c:v>40.654897349033696</c:v>
                </c:pt>
                <c:pt idx="2">
                  <c:v>40.626409339981365</c:v>
                </c:pt>
                <c:pt idx="3">
                  <c:v>40.289645469571234</c:v>
                </c:pt>
                <c:pt idx="4">
                  <c:v>41.053973179652004</c:v>
                </c:pt>
                <c:pt idx="5">
                  <c:v>37.845603387500056</c:v>
                </c:pt>
                <c:pt idx="6" formatCode="0.0">
                  <c:v>32.954890437460811</c:v>
                </c:pt>
                <c:pt idx="7" formatCode="0.0">
                  <c:v>26.050335401474559</c:v>
                </c:pt>
                <c:pt idx="8" formatCode="0.0">
                  <c:v>31.852722200473302</c:v>
                </c:pt>
                <c:pt idx="9" formatCode="0.0">
                  <c:v>32.062956284673156</c:v>
                </c:pt>
              </c:numCache>
            </c:numRef>
          </c:val>
          <c:extLst>
            <c:ext xmlns:c16="http://schemas.microsoft.com/office/drawing/2014/chart" uri="{C3380CC4-5D6E-409C-BE32-E72D297353CC}">
              <c16:uniqueId val="{00000000-C552-4BB5-A406-8E4469CA2C25}"/>
            </c:ext>
          </c:extLst>
        </c:ser>
        <c:ser>
          <c:idx val="1"/>
          <c:order val="1"/>
          <c:tx>
            <c:strRef>
              <c:f>'G2.8'!$A$4</c:f>
              <c:strCache>
                <c:ptCount val="1"/>
                <c:pt idx="0">
                  <c:v> ženy</c:v>
                </c:pt>
              </c:strCache>
            </c:strRef>
          </c:tx>
          <c:spPr>
            <a:solidFill>
              <a:srgbClr val="E6C483"/>
            </a:solidFill>
            <a:ln>
              <a:noFill/>
            </a:ln>
            <a:effectLst/>
          </c:spPr>
          <c:invertIfNegative val="0"/>
          <c:dLbls>
            <c:numFmt formatCode="#,##0.0" sourceLinked="0"/>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cs-CZ"/>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'G2.8'!$B$2:$M$2</c:f>
              <c:strCache>
                <c:ptCount val="10"/>
                <c:pt idx="0">
                  <c:v>2015</c:v>
                </c:pt>
                <c:pt idx="1">
                  <c:v>2016</c:v>
                </c:pt>
                <c:pt idx="2">
                  <c:v>2017</c:v>
                </c:pt>
                <c:pt idx="3">
                  <c:v>2018</c:v>
                </c:pt>
                <c:pt idx="4">
                  <c:v>2019</c:v>
                </c:pt>
                <c:pt idx="5">
                  <c:v>2020</c:v>
                </c:pt>
                <c:pt idx="6">
                  <c:v>2021</c:v>
                </c:pt>
                <c:pt idx="7">
                  <c:v>2022*</c:v>
                </c:pt>
                <c:pt idx="8">
                  <c:v>2023</c:v>
                </c:pt>
                <c:pt idx="9">
                  <c:v>2024</c:v>
                </c:pt>
              </c:strCache>
            </c:strRef>
          </c:cat>
          <c:val>
            <c:numRef>
              <c:f>'G2.8'!$B$4:$M$4</c:f>
              <c:numCache>
                <c:formatCode>General</c:formatCode>
                <c:ptCount val="10"/>
                <c:pt idx="0">
                  <c:v>44.776083656899999</c:v>
                </c:pt>
                <c:pt idx="1">
                  <c:v>45.185948486599997</c:v>
                </c:pt>
                <c:pt idx="2">
                  <c:v>44.329904953400003</c:v>
                </c:pt>
                <c:pt idx="3">
                  <c:v>43.000647046799997</c:v>
                </c:pt>
                <c:pt idx="4">
                  <c:v>43.616790123456788</c:v>
                </c:pt>
                <c:pt idx="5">
                  <c:v>40.852407441899999</c:v>
                </c:pt>
                <c:pt idx="6" formatCode="0.0">
                  <c:v>35.905781411699998</c:v>
                </c:pt>
                <c:pt idx="7" formatCode="0.0">
                  <c:v>26.5805903303695</c:v>
                </c:pt>
                <c:pt idx="8" formatCode="0.0">
                  <c:v>31.005140577155053</c:v>
                </c:pt>
                <c:pt idx="9" formatCode="0.0">
                  <c:v>31.394386106030762</c:v>
                </c:pt>
              </c:numCache>
            </c:numRef>
          </c:val>
          <c:extLst>
            <c:ext xmlns:c16="http://schemas.microsoft.com/office/drawing/2014/chart" uri="{C3380CC4-5D6E-409C-BE32-E72D297353CC}">
              <c16:uniqueId val="{00000001-C552-4BB5-A406-8E4469CA2C25}"/>
            </c:ext>
          </c:extLst>
        </c:ser>
        <c:dLbls>
          <c:dLblPos val="inEnd"/>
          <c:showLegendKey val="0"/>
          <c:showVal val="1"/>
          <c:showCatName val="0"/>
          <c:showSerName val="0"/>
          <c:showPercent val="0"/>
          <c:showBubbleSize val="0"/>
        </c:dLbls>
        <c:gapWidth val="70"/>
        <c:axId val="1536008143"/>
        <c:axId val="1536029359"/>
      </c:barChart>
      <c:catAx>
        <c:axId val="1536008143"/>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cs-CZ"/>
          </a:p>
        </c:txPr>
        <c:crossAx val="1536029359"/>
        <c:crosses val="autoZero"/>
        <c:auto val="1"/>
        <c:lblAlgn val="ctr"/>
        <c:lblOffset val="100"/>
        <c:noMultiLvlLbl val="0"/>
      </c:catAx>
      <c:valAx>
        <c:axId val="1536029359"/>
        <c:scaling>
          <c:orientation val="minMax"/>
          <c:max val="5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r>
                  <a:rPr lang="cs-CZ" b="0">
                    <a:solidFill>
                      <a:schemeClr val="tx1"/>
                    </a:solidFill>
                  </a:rPr>
                  <a:t>Počet</a:t>
                </a:r>
                <a:r>
                  <a:rPr lang="en-US">
                    <a:solidFill>
                      <a:schemeClr val="tx1"/>
                    </a:solidFill>
                  </a:rPr>
                  <a:t> dnů</a:t>
                </a:r>
              </a:p>
            </c:rich>
          </c:tx>
          <c:layout>
            <c:manualLayout>
              <c:xMode val="edge"/>
              <c:yMode val="edge"/>
              <c:x val="4.4748790545625092E-3"/>
              <c:y val="0.35986791973583954"/>
            </c:manualLayout>
          </c:layout>
          <c:overlay val="0"/>
          <c:spPr>
            <a:noFill/>
            <a:ln>
              <a:noFill/>
            </a:ln>
            <a:effectLst/>
          </c:spPr>
          <c:txPr>
            <a:bodyPr rot="-5400000" spcFirstLastPara="1" vertOverflow="ellipsis" vert="horz" wrap="square" anchor="ctr" anchorCtr="1"/>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endParaRPr lang="cs-CZ"/>
            </a:p>
          </c:txPr>
        </c:title>
        <c:numFmt formatCode="General"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cs-CZ"/>
          </a:p>
        </c:txPr>
        <c:crossAx val="1536008143"/>
        <c:crosses val="autoZero"/>
        <c:crossBetween val="between"/>
      </c:valAx>
      <c:spPr>
        <a:noFill/>
        <a:ln>
          <a:noFill/>
        </a:ln>
        <a:effectLst/>
      </c:spPr>
    </c:plotArea>
    <c:legend>
      <c:legendPos val="b"/>
      <c:layout>
        <c:manualLayout>
          <c:xMode val="edge"/>
          <c:yMode val="edge"/>
          <c:x val="0.43235675492830694"/>
          <c:y val="0.90501214439928879"/>
          <c:w val="0.13528632673120902"/>
          <c:h val="7.4826565278130558E-2"/>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cs-CZ"/>
        </a:p>
      </c:txPr>
    </c:legend>
    <c:plotVisOnly val="1"/>
    <c:dispBlanksAs val="gap"/>
    <c:showDLblsOverMax val="0"/>
  </c:chart>
  <c:spPr>
    <a:solidFill>
      <a:schemeClr val="bg1"/>
    </a:solidFill>
    <a:ln w="9525" cap="flat" cmpd="sng" algn="ctr">
      <a:noFill/>
      <a:round/>
    </a:ln>
    <a:effectLst/>
  </c:spPr>
  <c:txPr>
    <a:bodyPr/>
    <a:lstStyle/>
    <a:p>
      <a:pPr>
        <a:defRPr sz="800">
          <a:solidFill>
            <a:sysClr val="windowText" lastClr="000000"/>
          </a:solidFill>
          <a:latin typeface="Arial" panose="020B0604020202020204" pitchFamily="34" charset="0"/>
          <a:cs typeface="Arial" panose="020B0604020202020204" pitchFamily="34" charset="0"/>
        </a:defRPr>
      </a:pPr>
      <a:endParaRPr lang="cs-CZ"/>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52195718954248371"/>
          <c:y val="2.3518518518518518E-2"/>
          <c:w val="0.44598153594771239"/>
          <c:h val="0.89308107226721956"/>
        </c:manualLayout>
      </c:layout>
      <c:barChart>
        <c:barDir val="bar"/>
        <c:grouping val="clustered"/>
        <c:varyColors val="0"/>
        <c:ser>
          <c:idx val="0"/>
          <c:order val="0"/>
          <c:spPr>
            <a:solidFill>
              <a:srgbClr val="E6C483"/>
            </a:solidFill>
            <a:ln>
              <a:noFill/>
            </a:ln>
            <a:effectLst/>
          </c:spPr>
          <c:invertIfNegative val="0"/>
          <c:dPt>
            <c:idx val="3"/>
            <c:invertIfNegative val="0"/>
            <c:bubble3D val="0"/>
            <c:spPr>
              <a:solidFill>
                <a:srgbClr val="E6C483"/>
              </a:solidFill>
              <a:ln>
                <a:noFill/>
              </a:ln>
              <a:effectLst/>
            </c:spPr>
            <c:extLst>
              <c:ext xmlns:c16="http://schemas.microsoft.com/office/drawing/2014/chart" uri="{C3380CC4-5D6E-409C-BE32-E72D297353CC}">
                <c16:uniqueId val="{00000001-A39E-4E0E-A09A-284DB575E308}"/>
              </c:ext>
            </c:extLst>
          </c:dPt>
          <c:dPt>
            <c:idx val="7"/>
            <c:invertIfNegative val="0"/>
            <c:bubble3D val="0"/>
            <c:spPr>
              <a:solidFill>
                <a:srgbClr val="CC9610"/>
              </a:solidFill>
              <a:ln>
                <a:noFill/>
              </a:ln>
              <a:effectLst/>
            </c:spPr>
            <c:extLst>
              <c:ext xmlns:c16="http://schemas.microsoft.com/office/drawing/2014/chart" uri="{C3380CC4-5D6E-409C-BE32-E72D297353CC}">
                <c16:uniqueId val="{00000003-A39E-4E0E-A09A-284DB575E308}"/>
              </c:ext>
            </c:extLst>
          </c:dPt>
          <c:dPt>
            <c:idx val="11"/>
            <c:invertIfNegative val="0"/>
            <c:bubble3D val="0"/>
            <c:spPr>
              <a:solidFill>
                <a:srgbClr val="E6C483"/>
              </a:solidFill>
              <a:ln>
                <a:noFill/>
              </a:ln>
              <a:effectLst/>
            </c:spPr>
            <c:extLst>
              <c:ext xmlns:c16="http://schemas.microsoft.com/office/drawing/2014/chart" uri="{C3380CC4-5D6E-409C-BE32-E72D297353CC}">
                <c16:uniqueId val="{00000005-A39E-4E0E-A09A-284DB575E308}"/>
              </c:ext>
            </c:extLst>
          </c:dPt>
          <c:dPt>
            <c:idx val="14"/>
            <c:invertIfNegative val="0"/>
            <c:bubble3D val="0"/>
            <c:spPr>
              <a:solidFill>
                <a:srgbClr val="E6C483"/>
              </a:solidFill>
              <a:ln>
                <a:noFill/>
              </a:ln>
              <a:effectLst/>
            </c:spPr>
            <c:extLst>
              <c:ext xmlns:c16="http://schemas.microsoft.com/office/drawing/2014/chart" uri="{C3380CC4-5D6E-409C-BE32-E72D297353CC}">
                <c16:uniqueId val="{00000007-A39E-4E0E-A09A-284DB575E308}"/>
              </c:ext>
            </c:extLst>
          </c:dPt>
          <c:dLbls>
            <c:numFmt formatCode="#,##0.0" sourceLinked="0"/>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cs-CZ"/>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'G2.9'!$U$2:$U$21</c:f>
              <c:strCache>
                <c:ptCount val="20"/>
                <c:pt idx="0">
                  <c:v>J – Informační a komunikační činnosti</c:v>
                </c:pt>
                <c:pt idx="1">
                  <c:v>P – Vzdělávání</c:v>
                </c:pt>
                <c:pt idx="2">
                  <c:v>K – Peněžnictví a pojišťovnictví</c:v>
                </c:pt>
                <c:pt idx="3">
                  <c:v>O – Veřejná správa a obrana; povinné sociální zabezpečení</c:v>
                </c:pt>
                <c:pt idx="4">
                  <c:v>M – Profesní, vědecké a technické činnosti</c:v>
                </c:pt>
                <c:pt idx="5">
                  <c:v>D – Výroba a rozvod elektřiny, plynu, tepla a klimatiz. vzduchu</c:v>
                </c:pt>
                <c:pt idx="6">
                  <c:v>R – Kulturní, zábavní a rekreační činnosti</c:v>
                </c:pt>
                <c:pt idx="7">
                  <c:v>CELKEM</c:v>
                </c:pt>
                <c:pt idx="8">
                  <c:v>C – Zpracovatelský průmysl</c:v>
                </c:pt>
                <c:pt idx="9">
                  <c:v>G – Velkoobchod a maloobchod; opravy a údržba motor. vozidel</c:v>
                </c:pt>
                <c:pt idx="10">
                  <c:v>Q – Zdravotní a sociální péče</c:v>
                </c:pt>
                <c:pt idx="11">
                  <c:v>H – Doprava a skladování</c:v>
                </c:pt>
                <c:pt idx="12">
                  <c:v>E – Zásobování vodou; činnosti související s odpady a sanacemi</c:v>
                </c:pt>
                <c:pt idx="13">
                  <c:v>N – Administrativní a podpůrné činnosti</c:v>
                </c:pt>
                <c:pt idx="14">
                  <c:v>S – Ostatní činnosti</c:v>
                </c:pt>
                <c:pt idx="15">
                  <c:v>L – Činnosti v oblasti nemovitostí</c:v>
                </c:pt>
                <c:pt idx="16">
                  <c:v>I – Ubytování, stravování a pohostinství</c:v>
                </c:pt>
                <c:pt idx="17">
                  <c:v>B – Těžba a dobývání</c:v>
                </c:pt>
                <c:pt idx="18">
                  <c:v>F – Stavebnictví</c:v>
                </c:pt>
                <c:pt idx="19">
                  <c:v>A – Zemědělství, lesnictví, rybářství</c:v>
                </c:pt>
              </c:strCache>
            </c:strRef>
          </c:cat>
          <c:val>
            <c:numRef>
              <c:f>'G2.9'!$V$2:$V$21</c:f>
              <c:numCache>
                <c:formatCode>0.00</c:formatCode>
                <c:ptCount val="20"/>
                <c:pt idx="0">
                  <c:v>18.134230994399999</c:v>
                </c:pt>
                <c:pt idx="1">
                  <c:v>20.936746847999999</c:v>
                </c:pt>
                <c:pt idx="2">
                  <c:v>23.750895140699999</c:v>
                </c:pt>
                <c:pt idx="3">
                  <c:v>26.0995503535</c:v>
                </c:pt>
                <c:pt idx="4">
                  <c:v>27.6135186946</c:v>
                </c:pt>
                <c:pt idx="5">
                  <c:v>28.928943502100001</c:v>
                </c:pt>
                <c:pt idx="6">
                  <c:v>29.548404356999999</c:v>
                </c:pt>
                <c:pt idx="7">
                  <c:v>31.695064781700001</c:v>
                </c:pt>
                <c:pt idx="8">
                  <c:v>32.493087925499999</c:v>
                </c:pt>
                <c:pt idx="9">
                  <c:v>32.562902825400002</c:v>
                </c:pt>
                <c:pt idx="10">
                  <c:v>32.7399783547</c:v>
                </c:pt>
                <c:pt idx="11">
                  <c:v>34.808635433500001</c:v>
                </c:pt>
                <c:pt idx="12">
                  <c:v>35.121694220999998</c:v>
                </c:pt>
                <c:pt idx="13">
                  <c:v>35.487078233299997</c:v>
                </c:pt>
                <c:pt idx="14">
                  <c:v>36.765505725200001</c:v>
                </c:pt>
                <c:pt idx="15">
                  <c:v>38.958318249999998</c:v>
                </c:pt>
                <c:pt idx="16">
                  <c:v>40.167539181099997</c:v>
                </c:pt>
                <c:pt idx="17">
                  <c:v>40.741007194200002</c:v>
                </c:pt>
                <c:pt idx="18">
                  <c:v>42.177100673799998</c:v>
                </c:pt>
                <c:pt idx="19">
                  <c:v>45.0723081071</c:v>
                </c:pt>
              </c:numCache>
            </c:numRef>
          </c:val>
          <c:extLst>
            <c:ext xmlns:c16="http://schemas.microsoft.com/office/drawing/2014/chart" uri="{C3380CC4-5D6E-409C-BE32-E72D297353CC}">
              <c16:uniqueId val="{00000008-A39E-4E0E-A09A-284DB575E308}"/>
            </c:ext>
          </c:extLst>
        </c:ser>
        <c:dLbls>
          <c:showLegendKey val="0"/>
          <c:showVal val="0"/>
          <c:showCatName val="0"/>
          <c:showSerName val="0"/>
          <c:showPercent val="0"/>
          <c:showBubbleSize val="0"/>
        </c:dLbls>
        <c:gapWidth val="70"/>
        <c:axId val="1315644767"/>
        <c:axId val="1315646431"/>
      </c:barChart>
      <c:catAx>
        <c:axId val="1315644767"/>
        <c:scaling>
          <c:orientation val="minMax"/>
        </c:scaling>
        <c:delete val="0"/>
        <c:axPos val="l"/>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cs-CZ"/>
          </a:p>
        </c:txPr>
        <c:crossAx val="1315646431"/>
        <c:crosses val="autoZero"/>
        <c:auto val="1"/>
        <c:lblAlgn val="ctr"/>
        <c:lblOffset val="100"/>
        <c:noMultiLvlLbl val="0"/>
      </c:catAx>
      <c:valAx>
        <c:axId val="1315646431"/>
        <c:scaling>
          <c:orientation val="minMax"/>
          <c:max val="50"/>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cs-CZ"/>
                  <a:t>P</a:t>
                </a:r>
                <a:r>
                  <a:rPr lang="en-US"/>
                  <a:t>očet dnů</a:t>
                </a:r>
              </a:p>
            </c:rich>
          </c:tx>
          <c:layout>
            <c:manualLayout>
              <c:xMode val="edge"/>
              <c:yMode val="edge"/>
              <c:x val="0.71470243868162342"/>
              <c:y val="0.95711937643995426"/>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cs-CZ"/>
            </a:p>
          </c:txPr>
        </c:title>
        <c:numFmt formatCode="#,##0" sourceLinked="0"/>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cs-CZ"/>
          </a:p>
        </c:txPr>
        <c:crossAx val="1315644767"/>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800">
          <a:solidFill>
            <a:sysClr val="windowText" lastClr="000000"/>
          </a:solidFill>
          <a:latin typeface="Arial" panose="020B0604020202020204" pitchFamily="34" charset="0"/>
          <a:cs typeface="Arial" panose="020B0604020202020204" pitchFamily="34" charset="0"/>
        </a:defRPr>
      </a:pPr>
      <a:endParaRPr lang="cs-CZ"/>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7002941176470575E-2"/>
          <c:y val="4.7159699892818867E-2"/>
          <c:w val="0.87824493464052289"/>
          <c:h val="0.80585934796735614"/>
        </c:manualLayout>
      </c:layout>
      <c:barChart>
        <c:barDir val="col"/>
        <c:grouping val="clustered"/>
        <c:varyColors val="0"/>
        <c:ser>
          <c:idx val="0"/>
          <c:order val="0"/>
          <c:tx>
            <c:strRef>
              <c:f>'G2.10'!$O$26</c:f>
              <c:strCache>
                <c:ptCount val="1"/>
                <c:pt idx="0">
                  <c:v> nemoc</c:v>
                </c:pt>
              </c:strCache>
            </c:strRef>
          </c:tx>
          <c:spPr>
            <a:solidFill>
              <a:srgbClr val="CC9610"/>
            </a:solidFill>
            <a:ln>
              <a:noFill/>
            </a:ln>
            <a:effectLst/>
          </c:spPr>
          <c:invertIfNegative val="0"/>
          <c:dLbls>
            <c:numFmt formatCode="#,##0" sourceLinked="0"/>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cs-CZ"/>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'G2.10'!$M$27:$N$33</c:f>
              <c:multiLvlStrCache>
                <c:ptCount val="7"/>
                <c:lvl>
                  <c:pt idx="2">
                    <c:v>1–49</c:v>
                  </c:pt>
                  <c:pt idx="3">
                    <c:v>50–99</c:v>
                  </c:pt>
                  <c:pt idx="4">
                    <c:v>100–249</c:v>
                  </c:pt>
                  <c:pt idx="5">
                    <c:v>250–499</c:v>
                  </c:pt>
                  <c:pt idx="6">
                    <c:v>500 a více</c:v>
                  </c:pt>
                </c:lvl>
                <c:lvl>
                  <c:pt idx="0">
                    <c:v>CELKEM</c:v>
                  </c:pt>
                  <c:pt idx="1">
                    <c:v>OSVČ</c:v>
                  </c:pt>
                  <c:pt idx="2">
                    <c:v>zaměstnanci (počet)</c:v>
                  </c:pt>
                </c:lvl>
              </c:multiLvlStrCache>
            </c:multiLvlStrRef>
          </c:cat>
          <c:val>
            <c:numRef>
              <c:f>'G2.10'!$O$27:$O$33</c:f>
              <c:numCache>
                <c:formatCode>0.00</c:formatCode>
                <c:ptCount val="7"/>
                <c:pt idx="0">
                  <c:v>29.5254221438</c:v>
                </c:pt>
                <c:pt idx="1">
                  <c:v>96.453573707700002</c:v>
                </c:pt>
                <c:pt idx="2">
                  <c:v>33.833019325199999</c:v>
                </c:pt>
                <c:pt idx="3">
                  <c:v>26.5635922148</c:v>
                </c:pt>
                <c:pt idx="4">
                  <c:v>28.081252654299998</c:v>
                </c:pt>
                <c:pt idx="5">
                  <c:v>28.633473747499998</c:v>
                </c:pt>
                <c:pt idx="6">
                  <c:v>27.549031897599999</c:v>
                </c:pt>
              </c:numCache>
            </c:numRef>
          </c:val>
          <c:extLst>
            <c:ext xmlns:c16="http://schemas.microsoft.com/office/drawing/2014/chart" uri="{C3380CC4-5D6E-409C-BE32-E72D297353CC}">
              <c16:uniqueId val="{00000000-D1E3-4CDF-BD8E-4C27B6191C2B}"/>
            </c:ext>
          </c:extLst>
        </c:ser>
        <c:ser>
          <c:idx val="1"/>
          <c:order val="1"/>
          <c:tx>
            <c:strRef>
              <c:f>'G2.10'!$P$26</c:f>
              <c:strCache>
                <c:ptCount val="1"/>
                <c:pt idx="0">
                  <c:v> pracovní úraz</c:v>
                </c:pt>
              </c:strCache>
            </c:strRef>
          </c:tx>
          <c:spPr>
            <a:solidFill>
              <a:srgbClr val="E6C483"/>
            </a:solidFill>
            <a:ln>
              <a:noFill/>
            </a:ln>
            <a:effectLst/>
          </c:spPr>
          <c:invertIfNegative val="0"/>
          <c:dLbls>
            <c:numFmt formatCode="#,##0" sourceLinked="0"/>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cs-CZ"/>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'G2.10'!$M$27:$N$33</c:f>
              <c:multiLvlStrCache>
                <c:ptCount val="7"/>
                <c:lvl>
                  <c:pt idx="2">
                    <c:v>1–49</c:v>
                  </c:pt>
                  <c:pt idx="3">
                    <c:v>50–99</c:v>
                  </c:pt>
                  <c:pt idx="4">
                    <c:v>100–249</c:v>
                  </c:pt>
                  <c:pt idx="5">
                    <c:v>250–499</c:v>
                  </c:pt>
                  <c:pt idx="6">
                    <c:v>500 a více</c:v>
                  </c:pt>
                </c:lvl>
                <c:lvl>
                  <c:pt idx="0">
                    <c:v>CELKEM</c:v>
                  </c:pt>
                  <c:pt idx="1">
                    <c:v>OSVČ</c:v>
                  </c:pt>
                  <c:pt idx="2">
                    <c:v>zaměstnanci (počet)</c:v>
                  </c:pt>
                </c:lvl>
              </c:multiLvlStrCache>
            </c:multiLvlStrRef>
          </c:cat>
          <c:val>
            <c:numRef>
              <c:f>'G2.10'!$P$27:$P$33</c:f>
              <c:numCache>
                <c:formatCode>0.00</c:formatCode>
                <c:ptCount val="7"/>
                <c:pt idx="0">
                  <c:v>57.049709003799997</c:v>
                </c:pt>
                <c:pt idx="1">
                  <c:v>91.593525179899999</c:v>
                </c:pt>
                <c:pt idx="2">
                  <c:v>58.217460317499999</c:v>
                </c:pt>
                <c:pt idx="3">
                  <c:v>52.539778284999997</c:v>
                </c:pt>
                <c:pt idx="4">
                  <c:v>53.402087090999999</c:v>
                </c:pt>
                <c:pt idx="5">
                  <c:v>55.851085620600003</c:v>
                </c:pt>
                <c:pt idx="6">
                  <c:v>59.954765630799997</c:v>
                </c:pt>
              </c:numCache>
            </c:numRef>
          </c:val>
          <c:extLst>
            <c:ext xmlns:c16="http://schemas.microsoft.com/office/drawing/2014/chart" uri="{C3380CC4-5D6E-409C-BE32-E72D297353CC}">
              <c16:uniqueId val="{00000001-D1E3-4CDF-BD8E-4C27B6191C2B}"/>
            </c:ext>
          </c:extLst>
        </c:ser>
        <c:ser>
          <c:idx val="2"/>
          <c:order val="2"/>
          <c:tx>
            <c:strRef>
              <c:f>'G2.10'!$Q$26</c:f>
              <c:strCache>
                <c:ptCount val="1"/>
                <c:pt idx="0">
                  <c:v> ostatní úraz</c:v>
                </c:pt>
              </c:strCache>
            </c:strRef>
          </c:tx>
          <c:spPr>
            <a:solidFill>
              <a:srgbClr val="B8BBC0"/>
            </a:solidFill>
            <a:ln>
              <a:noFill/>
            </a:ln>
            <a:effectLst/>
          </c:spPr>
          <c:invertIfNegative val="0"/>
          <c:dLbls>
            <c:numFmt formatCode="#,##0" sourceLinked="0"/>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cs-CZ"/>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'G2.10'!$M$27:$N$33</c:f>
              <c:multiLvlStrCache>
                <c:ptCount val="7"/>
                <c:lvl>
                  <c:pt idx="2">
                    <c:v>1–49</c:v>
                  </c:pt>
                  <c:pt idx="3">
                    <c:v>50–99</c:v>
                  </c:pt>
                  <c:pt idx="4">
                    <c:v>100–249</c:v>
                  </c:pt>
                  <c:pt idx="5">
                    <c:v>250–499</c:v>
                  </c:pt>
                  <c:pt idx="6">
                    <c:v>500 a více</c:v>
                  </c:pt>
                </c:lvl>
                <c:lvl>
                  <c:pt idx="0">
                    <c:v>CELKEM</c:v>
                  </c:pt>
                  <c:pt idx="1">
                    <c:v>OSVČ</c:v>
                  </c:pt>
                  <c:pt idx="2">
                    <c:v>zaměstnanci (počet)</c:v>
                  </c:pt>
                </c:lvl>
              </c:multiLvlStrCache>
            </c:multiLvlStrRef>
          </c:cat>
          <c:val>
            <c:numRef>
              <c:f>'G2.10'!$Q$27:$Q$33</c:f>
              <c:numCache>
                <c:formatCode>0.00</c:formatCode>
                <c:ptCount val="7"/>
                <c:pt idx="0">
                  <c:v>54.714411810900003</c:v>
                </c:pt>
                <c:pt idx="1">
                  <c:v>99.072195483200005</c:v>
                </c:pt>
                <c:pt idx="2">
                  <c:v>60.542401713700002</c:v>
                </c:pt>
                <c:pt idx="3">
                  <c:v>51.2787173878</c:v>
                </c:pt>
                <c:pt idx="4">
                  <c:v>52.0681273119</c:v>
                </c:pt>
                <c:pt idx="5">
                  <c:v>52.222157705299999</c:v>
                </c:pt>
                <c:pt idx="6">
                  <c:v>50.589586046299999</c:v>
                </c:pt>
              </c:numCache>
            </c:numRef>
          </c:val>
          <c:extLst>
            <c:ext xmlns:c16="http://schemas.microsoft.com/office/drawing/2014/chart" uri="{C3380CC4-5D6E-409C-BE32-E72D297353CC}">
              <c16:uniqueId val="{00000002-D1E3-4CDF-BD8E-4C27B6191C2B}"/>
            </c:ext>
          </c:extLst>
        </c:ser>
        <c:dLbls>
          <c:dLblPos val="inEnd"/>
          <c:showLegendKey val="0"/>
          <c:showVal val="1"/>
          <c:showCatName val="0"/>
          <c:showSerName val="0"/>
          <c:showPercent val="0"/>
          <c:showBubbleSize val="0"/>
        </c:dLbls>
        <c:gapWidth val="70"/>
        <c:axId val="1541395279"/>
        <c:axId val="1541399855"/>
      </c:barChart>
      <c:catAx>
        <c:axId val="1541395279"/>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cs-CZ"/>
          </a:p>
        </c:txPr>
        <c:crossAx val="1541399855"/>
        <c:crosses val="autoZero"/>
        <c:auto val="1"/>
        <c:lblAlgn val="ctr"/>
        <c:lblOffset val="100"/>
        <c:noMultiLvlLbl val="0"/>
      </c:catAx>
      <c:valAx>
        <c:axId val="1541399855"/>
        <c:scaling>
          <c:orientation val="minMax"/>
          <c:max val="11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cs-CZ"/>
                  <a:t>P</a:t>
                </a:r>
                <a:r>
                  <a:rPr lang="en-US"/>
                  <a:t>očet dnů</a:t>
                </a:r>
              </a:p>
            </c:rich>
          </c:tx>
          <c:layout>
            <c:manualLayout>
              <c:xMode val="edge"/>
              <c:yMode val="edge"/>
              <c:x val="1.0375365941143836E-2"/>
              <c:y val="0.35998210834578154"/>
            </c:manualLayout>
          </c:layout>
          <c:overlay val="0"/>
          <c:spPr>
            <a:noFill/>
            <a:ln>
              <a:noFill/>
            </a:ln>
            <a:effectLst/>
          </c:spPr>
          <c:txPr>
            <a:bodyPr rot="-54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cs-CZ"/>
            </a:p>
          </c:txPr>
        </c:title>
        <c:numFmt formatCode="0" sourceLinked="0"/>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cs-CZ"/>
          </a:p>
        </c:txPr>
        <c:crossAx val="1541395279"/>
        <c:crosses val="autoZero"/>
        <c:crossBetween val="between"/>
        <c:majorUnit val="10"/>
      </c:valAx>
      <c:spPr>
        <a:noFill/>
        <a:ln>
          <a:noFill/>
        </a:ln>
        <a:effectLst/>
      </c:spPr>
    </c:plotArea>
    <c:legend>
      <c:legendPos val="r"/>
      <c:layout>
        <c:manualLayout>
          <c:xMode val="edge"/>
          <c:yMode val="edge"/>
          <c:x val="0.55229035947712424"/>
          <c:y val="1.8677874268931815E-2"/>
          <c:w val="0.33357565359477126"/>
          <c:h val="0.13091863517060365"/>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cs-CZ"/>
        </a:p>
      </c:txPr>
    </c:legend>
    <c:plotVisOnly val="1"/>
    <c:dispBlanksAs val="gap"/>
    <c:showDLblsOverMax val="0"/>
  </c:chart>
  <c:spPr>
    <a:solidFill>
      <a:schemeClr val="bg1"/>
    </a:solidFill>
    <a:ln w="9525" cap="flat" cmpd="sng" algn="ctr">
      <a:noFill/>
      <a:round/>
    </a:ln>
    <a:effectLst/>
  </c:spPr>
  <c:txPr>
    <a:bodyPr/>
    <a:lstStyle/>
    <a:p>
      <a:pPr>
        <a:defRPr sz="800">
          <a:solidFill>
            <a:sysClr val="windowText" lastClr="000000"/>
          </a:solidFill>
          <a:latin typeface="Arial" panose="020B0604020202020204" pitchFamily="34" charset="0"/>
          <a:cs typeface="Arial" panose="020B0604020202020204" pitchFamily="34" charset="0"/>
        </a:defRPr>
      </a:pPr>
      <a:endParaRPr lang="cs-CZ"/>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5009882143026374"/>
          <c:y val="2.0578703703703703E-2"/>
          <c:w val="0.47225320377181529"/>
          <c:h val="0.93455486111111108"/>
        </c:manualLayout>
      </c:layout>
      <c:barChart>
        <c:barDir val="bar"/>
        <c:grouping val="clustered"/>
        <c:varyColors val="0"/>
        <c:ser>
          <c:idx val="0"/>
          <c:order val="0"/>
          <c:spPr>
            <a:solidFill>
              <a:srgbClr val="E6C483"/>
            </a:solidFill>
            <a:ln>
              <a:noFill/>
            </a:ln>
            <a:effectLst/>
          </c:spPr>
          <c:invertIfNegative val="0"/>
          <c:dPt>
            <c:idx val="3"/>
            <c:invertIfNegative val="0"/>
            <c:bubble3D val="0"/>
            <c:spPr>
              <a:solidFill>
                <a:srgbClr val="E6C483"/>
              </a:solidFill>
              <a:ln>
                <a:noFill/>
              </a:ln>
              <a:effectLst/>
            </c:spPr>
            <c:extLst>
              <c:ext xmlns:c16="http://schemas.microsoft.com/office/drawing/2014/chart" uri="{C3380CC4-5D6E-409C-BE32-E72D297353CC}">
                <c16:uniqueId val="{00000001-39AA-4148-9116-9DC3BC5021CB}"/>
              </c:ext>
            </c:extLst>
          </c:dPt>
          <c:dPt>
            <c:idx val="9"/>
            <c:invertIfNegative val="0"/>
            <c:bubble3D val="0"/>
            <c:spPr>
              <a:solidFill>
                <a:srgbClr val="CC9610"/>
              </a:solidFill>
              <a:ln>
                <a:noFill/>
              </a:ln>
              <a:effectLst/>
            </c:spPr>
            <c:extLst>
              <c:ext xmlns:c16="http://schemas.microsoft.com/office/drawing/2014/chart" uri="{C3380CC4-5D6E-409C-BE32-E72D297353CC}">
                <c16:uniqueId val="{00000003-39AA-4148-9116-9DC3BC5021CB}"/>
              </c:ext>
            </c:extLst>
          </c:dPt>
          <c:dPt>
            <c:idx val="15"/>
            <c:invertIfNegative val="0"/>
            <c:bubble3D val="0"/>
            <c:spPr>
              <a:solidFill>
                <a:srgbClr val="E6C483"/>
              </a:solidFill>
              <a:ln>
                <a:noFill/>
              </a:ln>
              <a:effectLst/>
            </c:spPr>
            <c:extLst>
              <c:ext xmlns:c16="http://schemas.microsoft.com/office/drawing/2014/chart" uri="{C3380CC4-5D6E-409C-BE32-E72D297353CC}">
                <c16:uniqueId val="{00000005-39AA-4148-9116-9DC3BC5021CB}"/>
              </c:ext>
            </c:extLst>
          </c:dPt>
          <c:dLbls>
            <c:numFmt formatCode="0.0%" sourceLinked="0"/>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cs-CZ"/>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'G2.11'!$S$2:$S$21</c:f>
              <c:strCache>
                <c:ptCount val="20"/>
                <c:pt idx="0">
                  <c:v>J – Informační a komunikační činnosti</c:v>
                </c:pt>
                <c:pt idx="1">
                  <c:v>K – Peněžnictví a pojišťovnictví</c:v>
                </c:pt>
                <c:pt idx="2">
                  <c:v>M – Profesní, vědecké a technické činnosti</c:v>
                </c:pt>
                <c:pt idx="3">
                  <c:v>L – Činnosti v oblasti nemovitostí</c:v>
                </c:pt>
                <c:pt idx="4">
                  <c:v>D – Výroba a rozvod elektřiny, plynu, tepla a klimatiz. vzduchu</c:v>
                </c:pt>
                <c:pt idx="5">
                  <c:v>R – Kulturní, zábavní a rekreační činnosti</c:v>
                </c:pt>
                <c:pt idx="6">
                  <c:v>P – Vzdělávání</c:v>
                </c:pt>
                <c:pt idx="7">
                  <c:v>S – Ostatní činnosti</c:v>
                </c:pt>
                <c:pt idx="8">
                  <c:v>O – Veřejná správa a obrana; povinné sociální zabezpečení</c:v>
                </c:pt>
                <c:pt idx="9">
                  <c:v>CELKEM</c:v>
                </c:pt>
                <c:pt idx="10">
                  <c:v>Q – Zdravotní a sociální péče</c:v>
                </c:pt>
                <c:pt idx="11">
                  <c:v>I – Ubytování, stravování a pohostinství</c:v>
                </c:pt>
                <c:pt idx="12">
                  <c:v>G – Velkoobchod a maloobchod; opravy a údržba motor. vozidel </c:v>
                </c:pt>
                <c:pt idx="13">
                  <c:v>F – Stavebnictví</c:v>
                </c:pt>
                <c:pt idx="14">
                  <c:v>H – Doprava a skladování</c:v>
                </c:pt>
                <c:pt idx="15">
                  <c:v>A – Zemědělství, lesnictví, rybářství</c:v>
                </c:pt>
                <c:pt idx="16">
                  <c:v>E – Zásobování vodou; činnosti související s odpady a sanacemi</c:v>
                </c:pt>
                <c:pt idx="17">
                  <c:v>N – Administrativní a podpůrné činnosti</c:v>
                </c:pt>
                <c:pt idx="18">
                  <c:v>B – Těžba a dobývání</c:v>
                </c:pt>
                <c:pt idx="19">
                  <c:v>C – Zpracovatelský průmysl</c:v>
                </c:pt>
              </c:strCache>
            </c:strRef>
          </c:cat>
          <c:val>
            <c:numRef>
              <c:f>'G2.11'!$T$2:$T$21</c:f>
              <c:numCache>
                <c:formatCode>0.00</c:formatCode>
                <c:ptCount val="20"/>
                <c:pt idx="0">
                  <c:v>1.4864915927999999E-2</c:v>
                </c:pt>
                <c:pt idx="1">
                  <c:v>2.1115022163999998E-2</c:v>
                </c:pt>
                <c:pt idx="2">
                  <c:v>2.1594027223999997E-2</c:v>
                </c:pt>
                <c:pt idx="3">
                  <c:v>2.7209080308000001E-2</c:v>
                </c:pt>
                <c:pt idx="4">
                  <c:v>3.0008367227E-2</c:v>
                </c:pt>
                <c:pt idx="5">
                  <c:v>3.1784459293E-2</c:v>
                </c:pt>
                <c:pt idx="6">
                  <c:v>3.2393906685000001E-2</c:v>
                </c:pt>
                <c:pt idx="7">
                  <c:v>3.3814268206000003E-2</c:v>
                </c:pt>
                <c:pt idx="8">
                  <c:v>3.6368447118999996E-2</c:v>
                </c:pt>
                <c:pt idx="9">
                  <c:v>4.5003338171999994E-2</c:v>
                </c:pt>
                <c:pt idx="10">
                  <c:v>4.5200878092999996E-2</c:v>
                </c:pt>
                <c:pt idx="11">
                  <c:v>4.5830678101E-2</c:v>
                </c:pt>
                <c:pt idx="12">
                  <c:v>4.6435213062000005E-2</c:v>
                </c:pt>
                <c:pt idx="13">
                  <c:v>4.7431680992E-2</c:v>
                </c:pt>
                <c:pt idx="14">
                  <c:v>4.8325994349999998E-2</c:v>
                </c:pt>
                <c:pt idx="15">
                  <c:v>5.1514670441000006E-2</c:v>
                </c:pt>
                <c:pt idx="16">
                  <c:v>5.4693145839E-2</c:v>
                </c:pt>
                <c:pt idx="17">
                  <c:v>5.5168430946000005E-2</c:v>
                </c:pt>
                <c:pt idx="18">
                  <c:v>5.9145279429000004E-2</c:v>
                </c:pt>
                <c:pt idx="19">
                  <c:v>0.06</c:v>
                </c:pt>
              </c:numCache>
            </c:numRef>
          </c:val>
          <c:extLst>
            <c:ext xmlns:c16="http://schemas.microsoft.com/office/drawing/2014/chart" uri="{C3380CC4-5D6E-409C-BE32-E72D297353CC}">
              <c16:uniqueId val="{00000006-39AA-4148-9116-9DC3BC5021CB}"/>
            </c:ext>
          </c:extLst>
        </c:ser>
        <c:dLbls>
          <c:showLegendKey val="0"/>
          <c:showVal val="0"/>
          <c:showCatName val="0"/>
          <c:showSerName val="0"/>
          <c:showPercent val="0"/>
          <c:showBubbleSize val="0"/>
        </c:dLbls>
        <c:gapWidth val="70"/>
        <c:axId val="1399942447"/>
        <c:axId val="1399957007"/>
      </c:barChart>
      <c:catAx>
        <c:axId val="1399942447"/>
        <c:scaling>
          <c:orientation val="minMax"/>
        </c:scaling>
        <c:delete val="0"/>
        <c:axPos val="l"/>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cs-CZ"/>
          </a:p>
        </c:txPr>
        <c:crossAx val="1399957007"/>
        <c:crosses val="autoZero"/>
        <c:auto val="1"/>
        <c:lblAlgn val="ctr"/>
        <c:lblOffset val="100"/>
        <c:noMultiLvlLbl val="0"/>
      </c:catAx>
      <c:valAx>
        <c:axId val="1399957007"/>
        <c:scaling>
          <c:orientation val="minMax"/>
          <c:max val="6.0000000000000012E-2"/>
        </c:scaling>
        <c:delete val="0"/>
        <c:axPos val="b"/>
        <c:majorGridlines>
          <c:spPr>
            <a:ln w="9525" cap="flat" cmpd="sng" algn="ctr">
              <a:solidFill>
                <a:schemeClr val="tx1">
                  <a:lumMod val="15000"/>
                  <a:lumOff val="85000"/>
                </a:schemeClr>
              </a:solidFill>
              <a:round/>
            </a:ln>
            <a:effectLst/>
          </c:spPr>
        </c:majorGridlines>
        <c:numFmt formatCode="0\ %" sourceLinked="0"/>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cs-CZ"/>
          </a:p>
        </c:txPr>
        <c:crossAx val="1399942447"/>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800">
          <a:solidFill>
            <a:sysClr val="windowText" lastClr="000000"/>
          </a:solidFill>
          <a:latin typeface="Arial" panose="020B0604020202020204" pitchFamily="34" charset="0"/>
          <a:cs typeface="Arial" panose="020B0604020202020204" pitchFamily="34" charset="0"/>
        </a:defRPr>
      </a:pPr>
      <a:endParaRPr lang="cs-CZ"/>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1.9879084967320274E-2"/>
          <c:y val="4.7908093278463647E-2"/>
          <c:w val="0.43937581699346395"/>
          <c:h val="0.92214677640603548"/>
        </c:manualLayout>
      </c:layout>
      <c:pieChart>
        <c:varyColors val="1"/>
        <c:ser>
          <c:idx val="0"/>
          <c:order val="0"/>
          <c:dPt>
            <c:idx val="0"/>
            <c:bubble3D val="0"/>
            <c:spPr>
              <a:solidFill>
                <a:srgbClr val="CC9610"/>
              </a:solidFill>
              <a:ln w="19050">
                <a:solidFill>
                  <a:schemeClr val="lt1"/>
                </a:solidFill>
              </a:ln>
              <a:effectLst/>
            </c:spPr>
            <c:extLst>
              <c:ext xmlns:c16="http://schemas.microsoft.com/office/drawing/2014/chart" uri="{C3380CC4-5D6E-409C-BE32-E72D297353CC}">
                <c16:uniqueId val="{00000001-7427-41E6-9212-24D0BF2D96BA}"/>
              </c:ext>
            </c:extLst>
          </c:dPt>
          <c:dPt>
            <c:idx val="1"/>
            <c:bubble3D val="0"/>
            <c:spPr>
              <a:solidFill>
                <a:srgbClr val="E6C483"/>
              </a:solidFill>
              <a:ln w="19050">
                <a:solidFill>
                  <a:schemeClr val="lt1"/>
                </a:solidFill>
              </a:ln>
              <a:effectLst/>
            </c:spPr>
            <c:extLst>
              <c:ext xmlns:c16="http://schemas.microsoft.com/office/drawing/2014/chart" uri="{C3380CC4-5D6E-409C-BE32-E72D297353CC}">
                <c16:uniqueId val="{00000003-7427-41E6-9212-24D0BF2D96BA}"/>
              </c:ext>
            </c:extLst>
          </c:dPt>
          <c:dPt>
            <c:idx val="2"/>
            <c:bubble3D val="0"/>
            <c:spPr>
              <a:solidFill>
                <a:srgbClr val="BC5B80"/>
              </a:solidFill>
              <a:ln w="19050">
                <a:solidFill>
                  <a:schemeClr val="lt1"/>
                </a:solidFill>
              </a:ln>
              <a:effectLst/>
            </c:spPr>
            <c:extLst>
              <c:ext xmlns:c16="http://schemas.microsoft.com/office/drawing/2014/chart" uri="{C3380CC4-5D6E-409C-BE32-E72D297353CC}">
                <c16:uniqueId val="{00000005-7427-41E6-9212-24D0BF2D96BA}"/>
              </c:ext>
            </c:extLst>
          </c:dPt>
          <c:dPt>
            <c:idx val="3"/>
            <c:bubble3D val="0"/>
            <c:spPr>
              <a:solidFill>
                <a:srgbClr val="D8A7B7"/>
              </a:solidFill>
              <a:ln w="19050">
                <a:solidFill>
                  <a:schemeClr val="lt1"/>
                </a:solidFill>
              </a:ln>
              <a:effectLst/>
            </c:spPr>
            <c:extLst>
              <c:ext xmlns:c16="http://schemas.microsoft.com/office/drawing/2014/chart" uri="{C3380CC4-5D6E-409C-BE32-E72D297353CC}">
                <c16:uniqueId val="{00000007-7427-41E6-9212-24D0BF2D96BA}"/>
              </c:ext>
            </c:extLst>
          </c:dPt>
          <c:dPt>
            <c:idx val="4"/>
            <c:bubble3D val="0"/>
            <c:spPr>
              <a:solidFill>
                <a:srgbClr val="BC091B"/>
              </a:solidFill>
              <a:ln w="19050">
                <a:solidFill>
                  <a:schemeClr val="lt1"/>
                </a:solidFill>
              </a:ln>
              <a:effectLst/>
            </c:spPr>
            <c:extLst>
              <c:ext xmlns:c16="http://schemas.microsoft.com/office/drawing/2014/chart" uri="{C3380CC4-5D6E-409C-BE32-E72D297353CC}">
                <c16:uniqueId val="{00000009-7427-41E6-9212-24D0BF2D96BA}"/>
              </c:ext>
            </c:extLst>
          </c:dPt>
          <c:dPt>
            <c:idx val="5"/>
            <c:bubble3D val="0"/>
            <c:spPr>
              <a:solidFill>
                <a:srgbClr val="DC8468"/>
              </a:solidFill>
              <a:ln w="19050">
                <a:solidFill>
                  <a:schemeClr val="lt1"/>
                </a:solidFill>
              </a:ln>
              <a:effectLst/>
            </c:spPr>
            <c:extLst>
              <c:ext xmlns:c16="http://schemas.microsoft.com/office/drawing/2014/chart" uri="{C3380CC4-5D6E-409C-BE32-E72D297353CC}">
                <c16:uniqueId val="{0000000B-7427-41E6-9212-24D0BF2D96BA}"/>
              </c:ext>
            </c:extLst>
          </c:dPt>
          <c:dPt>
            <c:idx val="6"/>
            <c:bubble3D val="0"/>
            <c:spPr>
              <a:solidFill>
                <a:srgbClr val="009CB5"/>
              </a:solidFill>
              <a:ln w="19050">
                <a:solidFill>
                  <a:schemeClr val="lt1"/>
                </a:solidFill>
              </a:ln>
              <a:effectLst/>
            </c:spPr>
            <c:extLst>
              <c:ext xmlns:c16="http://schemas.microsoft.com/office/drawing/2014/chart" uri="{C3380CC4-5D6E-409C-BE32-E72D297353CC}">
                <c16:uniqueId val="{0000000D-7427-41E6-9212-24D0BF2D96BA}"/>
              </c:ext>
            </c:extLst>
          </c:dPt>
          <c:dPt>
            <c:idx val="7"/>
            <c:bubble3D val="0"/>
            <c:spPr>
              <a:solidFill>
                <a:srgbClr val="9FC9D7"/>
              </a:solidFill>
              <a:ln w="19050">
                <a:solidFill>
                  <a:schemeClr val="lt1"/>
                </a:solidFill>
              </a:ln>
              <a:effectLst/>
            </c:spPr>
            <c:extLst>
              <c:ext xmlns:c16="http://schemas.microsoft.com/office/drawing/2014/chart" uri="{C3380CC4-5D6E-409C-BE32-E72D297353CC}">
                <c16:uniqueId val="{0000000F-7427-41E6-9212-24D0BF2D96BA}"/>
              </c:ext>
            </c:extLst>
          </c:dPt>
          <c:dPt>
            <c:idx val="8"/>
            <c:bubble3D val="0"/>
            <c:spPr>
              <a:solidFill>
                <a:srgbClr val="85898E"/>
              </a:solidFill>
              <a:ln w="19050">
                <a:solidFill>
                  <a:schemeClr val="lt1"/>
                </a:solidFill>
              </a:ln>
              <a:effectLst/>
            </c:spPr>
            <c:extLst>
              <c:ext xmlns:c16="http://schemas.microsoft.com/office/drawing/2014/chart" uri="{C3380CC4-5D6E-409C-BE32-E72D297353CC}">
                <c16:uniqueId val="{00000011-7427-41E6-9212-24D0BF2D96BA}"/>
              </c:ext>
            </c:extLst>
          </c:dPt>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tx1"/>
                    </a:solidFill>
                    <a:latin typeface="Arial" panose="020B0604020202020204" pitchFamily="34" charset="0"/>
                    <a:ea typeface="+mn-ea"/>
                    <a:cs typeface="Arial" panose="020B0604020202020204" pitchFamily="34" charset="0"/>
                  </a:defRPr>
                </a:pPr>
                <a:endParaRPr lang="cs-CZ"/>
              </a:p>
            </c:txPr>
            <c:dLblPos val="in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'G3.1'!$I$5:$I$13</c:f>
              <c:strCache>
                <c:ptCount val="9"/>
                <c:pt idx="0">
                  <c:v>nemoci dýchací soustavy</c:v>
                </c:pt>
                <c:pt idx="1">
                  <c:v>nemoci pohybové soustavy</c:v>
                </c:pt>
                <c:pt idx="2">
                  <c:v>nemoci ostatní</c:v>
                </c:pt>
                <c:pt idx="3">
                  <c:v>úrazy, otravy</c:v>
                </c:pt>
                <c:pt idx="4">
                  <c:v>nemoci trávicí soustavy</c:v>
                </c:pt>
                <c:pt idx="5">
                  <c:v>nemoci močové a pohlavní soustavy</c:v>
                </c:pt>
                <c:pt idx="6">
                  <c:v>nemoci duševní</c:v>
                </c:pt>
                <c:pt idx="7">
                  <c:v>nemoci oběhové soustavy</c:v>
                </c:pt>
                <c:pt idx="8">
                  <c:v>ostatní</c:v>
                </c:pt>
              </c:strCache>
            </c:strRef>
          </c:cat>
          <c:val>
            <c:numRef>
              <c:f>'G3.1'!$J$5:$J$13</c:f>
              <c:numCache>
                <c:formatCode>0.0</c:formatCode>
                <c:ptCount val="9"/>
                <c:pt idx="0">
                  <c:v>42.649425218922666</c:v>
                </c:pt>
                <c:pt idx="1">
                  <c:v>15.419292294767823</c:v>
                </c:pt>
                <c:pt idx="2">
                  <c:v>14.646621629112333</c:v>
                </c:pt>
                <c:pt idx="3">
                  <c:v>8.1726613860524289</c:v>
                </c:pt>
                <c:pt idx="4">
                  <c:v>6.5890108969639689</c:v>
                </c:pt>
                <c:pt idx="5">
                  <c:v>3.4358756845247016</c:v>
                </c:pt>
                <c:pt idx="6">
                  <c:v>2.4593001126281027</c:v>
                </c:pt>
                <c:pt idx="7">
                  <c:v>2.1754920755885259</c:v>
                </c:pt>
                <c:pt idx="8">
                  <c:v>4.4523207014394464</c:v>
                </c:pt>
              </c:numCache>
            </c:numRef>
          </c:val>
          <c:extLst>
            <c:ext xmlns:c16="http://schemas.microsoft.com/office/drawing/2014/chart" uri="{C3380CC4-5D6E-409C-BE32-E72D297353CC}">
              <c16:uniqueId val="{00000012-7427-41E6-9212-24D0BF2D96BA}"/>
            </c:ext>
          </c:extLst>
        </c:ser>
        <c:dLbls>
          <c:showLegendKey val="0"/>
          <c:showVal val="0"/>
          <c:showCatName val="0"/>
          <c:showSerName val="0"/>
          <c:showPercent val="0"/>
          <c:showBubbleSize val="0"/>
          <c:showLeaderLines val="1"/>
        </c:dLbls>
        <c:firstSliceAng val="0"/>
      </c:pieChart>
      <c:spPr>
        <a:noFill/>
        <a:ln>
          <a:noFill/>
        </a:ln>
        <a:effectLst/>
      </c:spPr>
    </c:plotArea>
    <c:legend>
      <c:legendPos val="b"/>
      <c:layout>
        <c:manualLayout>
          <c:xMode val="edge"/>
          <c:yMode val="edge"/>
          <c:x val="0.52838104575163403"/>
          <c:y val="0.133840877914952"/>
          <c:w val="0.32506781045751637"/>
          <c:h val="0.75727709190672154"/>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endParaRPr lang="cs-CZ"/>
        </a:p>
      </c:txPr>
    </c:legend>
    <c:plotVisOnly val="1"/>
    <c:dispBlanksAs val="gap"/>
    <c:showDLblsOverMax val="0"/>
  </c:chart>
  <c:spPr>
    <a:solidFill>
      <a:schemeClr val="bg1"/>
    </a:solidFill>
    <a:ln w="9525" cap="flat" cmpd="sng" algn="ctr">
      <a:noFill/>
      <a:round/>
    </a:ln>
    <a:effectLst/>
  </c:spPr>
  <c:txPr>
    <a:bodyPr/>
    <a:lstStyle/>
    <a:p>
      <a:pPr>
        <a:defRPr/>
      </a:pPr>
      <a:endParaRPr lang="cs-CZ"/>
    </a:p>
  </c:txPr>
  <c:externalData r:id="rId4">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3612773603050574E-2"/>
          <c:y val="4.8506944444444443E-2"/>
          <c:w val="0.87205333119808093"/>
          <c:h val="0.79227217876706979"/>
        </c:manualLayout>
      </c:layout>
      <c:barChart>
        <c:barDir val="col"/>
        <c:grouping val="clustered"/>
        <c:varyColors val="0"/>
        <c:ser>
          <c:idx val="0"/>
          <c:order val="0"/>
          <c:tx>
            <c:strRef>
              <c:f>'G4.1'!$A$3</c:f>
              <c:strCache>
                <c:ptCount val="1"/>
                <c:pt idx="0">
                  <c:v>nemocenské  (mld. Kč)</c:v>
                </c:pt>
              </c:strCache>
            </c:strRef>
          </c:tx>
          <c:spPr>
            <a:solidFill>
              <a:srgbClr val="CC9610"/>
            </a:solidFill>
            <a:ln>
              <a:noFill/>
            </a:ln>
            <a:effectLst/>
          </c:spPr>
          <c:invertIfNegative val="0"/>
          <c:dLbls>
            <c:numFmt formatCode="#,##0.00" sourceLinked="0"/>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cs-CZ"/>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'G4.1'!$B$2:$N$2</c:f>
              <c:numCache>
                <c:formatCode>General</c:formatCode>
                <c:ptCount val="11"/>
                <c:pt idx="0">
                  <c:v>2014</c:v>
                </c:pt>
                <c:pt idx="1">
                  <c:v>2015</c:v>
                </c:pt>
                <c:pt idx="2">
                  <c:v>2016</c:v>
                </c:pt>
                <c:pt idx="3">
                  <c:v>2017</c:v>
                </c:pt>
                <c:pt idx="4">
                  <c:v>2018</c:v>
                </c:pt>
                <c:pt idx="5">
                  <c:v>2019</c:v>
                </c:pt>
                <c:pt idx="6">
                  <c:v>2020</c:v>
                </c:pt>
                <c:pt idx="7">
                  <c:v>2021</c:v>
                </c:pt>
                <c:pt idx="8">
                  <c:v>2022</c:v>
                </c:pt>
                <c:pt idx="9">
                  <c:v>2023</c:v>
                </c:pt>
                <c:pt idx="10">
                  <c:v>2024</c:v>
                </c:pt>
              </c:numCache>
            </c:numRef>
          </c:cat>
          <c:val>
            <c:numRef>
              <c:f>'G4.1'!$B$3:$N$3</c:f>
              <c:numCache>
                <c:formatCode>General</c:formatCode>
                <c:ptCount val="11"/>
                <c:pt idx="0">
                  <c:v>13.881</c:v>
                </c:pt>
                <c:pt idx="1">
                  <c:v>15.428000000000001</c:v>
                </c:pt>
                <c:pt idx="2">
                  <c:v>16.984999999999999</c:v>
                </c:pt>
                <c:pt idx="3">
                  <c:v>18.29</c:v>
                </c:pt>
                <c:pt idx="4">
                  <c:v>22.68</c:v>
                </c:pt>
                <c:pt idx="5" formatCode="0.00">
                  <c:v>26.669625022889999</c:v>
                </c:pt>
                <c:pt idx="6" formatCode="#,##0.00">
                  <c:v>32.766449426119998</c:v>
                </c:pt>
                <c:pt idx="7" formatCode="#,##0.00">
                  <c:v>34.037351810419999</c:v>
                </c:pt>
                <c:pt idx="8" formatCode="#,##0.00">
                  <c:v>32.754035904779997</c:v>
                </c:pt>
                <c:pt idx="9" formatCode="#,##0.00">
                  <c:v>31.681192276299999</c:v>
                </c:pt>
                <c:pt idx="10">
                  <c:v>34.052961715679999</c:v>
                </c:pt>
              </c:numCache>
            </c:numRef>
          </c:val>
          <c:extLst>
            <c:ext xmlns:c16="http://schemas.microsoft.com/office/drawing/2014/chart" uri="{C3380CC4-5D6E-409C-BE32-E72D297353CC}">
              <c16:uniqueId val="{00000000-58C5-4F87-BB8D-F3F6DF32D292}"/>
            </c:ext>
          </c:extLst>
        </c:ser>
        <c:dLbls>
          <c:dLblPos val="inEnd"/>
          <c:showLegendKey val="0"/>
          <c:showVal val="1"/>
          <c:showCatName val="0"/>
          <c:showSerName val="0"/>
          <c:showPercent val="0"/>
          <c:showBubbleSize val="0"/>
        </c:dLbls>
        <c:gapWidth val="64"/>
        <c:overlap val="-27"/>
        <c:axId val="621806511"/>
        <c:axId val="621830639"/>
      </c:barChart>
      <c:lineChart>
        <c:grouping val="stacked"/>
        <c:varyColors val="0"/>
        <c:ser>
          <c:idx val="1"/>
          <c:order val="1"/>
          <c:tx>
            <c:strRef>
              <c:f>'G4.1'!$A$4</c:f>
              <c:strCache>
                <c:ptCount val="1"/>
                <c:pt idx="0">
                  <c:v>výdaje na 1 pojištěnce (Kč)</c:v>
                </c:pt>
              </c:strCache>
            </c:strRef>
          </c:tx>
          <c:spPr>
            <a:ln w="25400" cap="rnd">
              <a:noFill/>
              <a:round/>
            </a:ln>
            <a:effectLst/>
          </c:spPr>
          <c:marker>
            <c:symbol val="circle"/>
            <c:size val="5"/>
            <c:spPr>
              <a:solidFill>
                <a:srgbClr val="E6C483"/>
              </a:solidFill>
              <a:ln w="9525">
                <a:solidFill>
                  <a:schemeClr val="tx1"/>
                </a:solidFill>
              </a:ln>
              <a:effectLst/>
            </c:spPr>
          </c:marker>
          <c:dLbls>
            <c:numFmt formatCode="#,##0" sourceLinked="0"/>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cs-CZ"/>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'G4.1'!$B$2:$N$2</c:f>
              <c:numCache>
                <c:formatCode>General</c:formatCode>
                <c:ptCount val="11"/>
                <c:pt idx="0">
                  <c:v>2014</c:v>
                </c:pt>
                <c:pt idx="1">
                  <c:v>2015</c:v>
                </c:pt>
                <c:pt idx="2">
                  <c:v>2016</c:v>
                </c:pt>
                <c:pt idx="3">
                  <c:v>2017</c:v>
                </c:pt>
                <c:pt idx="4">
                  <c:v>2018</c:v>
                </c:pt>
                <c:pt idx="5">
                  <c:v>2019</c:v>
                </c:pt>
                <c:pt idx="6">
                  <c:v>2020</c:v>
                </c:pt>
                <c:pt idx="7">
                  <c:v>2021</c:v>
                </c:pt>
                <c:pt idx="8">
                  <c:v>2022</c:v>
                </c:pt>
                <c:pt idx="9">
                  <c:v>2023</c:v>
                </c:pt>
                <c:pt idx="10">
                  <c:v>2024</c:v>
                </c:pt>
              </c:numCache>
            </c:numRef>
          </c:cat>
          <c:val>
            <c:numRef>
              <c:f>'G4.1'!$B$4:$N$4</c:f>
              <c:numCache>
                <c:formatCode>General</c:formatCode>
                <c:ptCount val="11"/>
                <c:pt idx="0">
                  <c:v>3109.5033060733767</c:v>
                </c:pt>
                <c:pt idx="1">
                  <c:v>3423.1104776290813</c:v>
                </c:pt>
                <c:pt idx="2">
                  <c:v>3715.5693990274981</c:v>
                </c:pt>
                <c:pt idx="3">
                  <c:v>3914.9580434067425</c:v>
                </c:pt>
                <c:pt idx="4">
                  <c:v>4792.1527680967365</c:v>
                </c:pt>
                <c:pt idx="5">
                  <c:v>5634.9562735716163</c:v>
                </c:pt>
                <c:pt idx="6">
                  <c:v>6985.8938827470065</c:v>
                </c:pt>
                <c:pt idx="7">
                  <c:v>7229.4310119163056</c:v>
                </c:pt>
                <c:pt idx="8">
                  <c:v>6898.5647360475032</c:v>
                </c:pt>
                <c:pt idx="9">
                  <c:v>6646.1243394363264</c:v>
                </c:pt>
                <c:pt idx="10">
                  <c:v>7146.77330475092</c:v>
                </c:pt>
              </c:numCache>
            </c:numRef>
          </c:val>
          <c:smooth val="0"/>
          <c:extLst>
            <c:ext xmlns:c16="http://schemas.microsoft.com/office/drawing/2014/chart" uri="{C3380CC4-5D6E-409C-BE32-E72D297353CC}">
              <c16:uniqueId val="{00000001-58C5-4F87-BB8D-F3F6DF32D292}"/>
            </c:ext>
          </c:extLst>
        </c:ser>
        <c:dLbls>
          <c:showLegendKey val="0"/>
          <c:showVal val="1"/>
          <c:showCatName val="0"/>
          <c:showSerName val="0"/>
          <c:showPercent val="0"/>
          <c:showBubbleSize val="0"/>
        </c:dLbls>
        <c:marker val="1"/>
        <c:smooth val="0"/>
        <c:axId val="676338687"/>
        <c:axId val="676332863"/>
      </c:lineChart>
      <c:catAx>
        <c:axId val="621806511"/>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cs-CZ"/>
          </a:p>
        </c:txPr>
        <c:crossAx val="621830639"/>
        <c:crosses val="autoZero"/>
        <c:auto val="1"/>
        <c:lblAlgn val="ctr"/>
        <c:lblOffset val="100"/>
        <c:noMultiLvlLbl val="0"/>
      </c:catAx>
      <c:valAx>
        <c:axId val="621830639"/>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r>
                  <a:rPr lang="cs-CZ">
                    <a:solidFill>
                      <a:schemeClr val="tx1"/>
                    </a:solidFill>
                  </a:rPr>
                  <a:t>Nemocenské (</a:t>
                </a:r>
                <a:r>
                  <a:rPr lang="en-US">
                    <a:solidFill>
                      <a:schemeClr val="tx1"/>
                    </a:solidFill>
                  </a:rPr>
                  <a:t>mld. Kč</a:t>
                </a:r>
                <a:r>
                  <a:rPr lang="cs-CZ">
                    <a:solidFill>
                      <a:schemeClr val="tx1"/>
                    </a:solidFill>
                  </a:rPr>
                  <a:t>)</a:t>
                </a:r>
                <a:endParaRPr lang="en-US">
                  <a:solidFill>
                    <a:schemeClr val="tx1"/>
                  </a:solidFill>
                </a:endParaRPr>
              </a:p>
            </c:rich>
          </c:tx>
          <c:layout>
            <c:manualLayout>
              <c:xMode val="edge"/>
              <c:yMode val="edge"/>
              <c:x val="6.2248600578969342E-3"/>
              <c:y val="0.28660792263150126"/>
            </c:manualLayout>
          </c:layout>
          <c:overlay val="0"/>
          <c:spPr>
            <a:noFill/>
            <a:ln>
              <a:noFill/>
            </a:ln>
            <a:effectLst/>
          </c:spPr>
          <c:txPr>
            <a:bodyPr rot="-5400000" spcFirstLastPara="1" vertOverflow="ellipsis" vert="horz" wrap="square" anchor="ctr" anchorCtr="1"/>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endParaRPr lang="cs-CZ"/>
            </a:p>
          </c:txPr>
        </c:title>
        <c:numFmt formatCode="General"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cs-CZ"/>
          </a:p>
        </c:txPr>
        <c:crossAx val="621806511"/>
        <c:crosses val="autoZero"/>
        <c:crossBetween val="between"/>
      </c:valAx>
      <c:valAx>
        <c:axId val="676332863"/>
        <c:scaling>
          <c:orientation val="minMax"/>
        </c:scaling>
        <c:delete val="0"/>
        <c:axPos val="r"/>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bg1"/>
                </a:solidFill>
                <a:latin typeface="Arial" panose="020B0604020202020204" pitchFamily="34" charset="0"/>
                <a:ea typeface="+mn-ea"/>
                <a:cs typeface="Arial" panose="020B0604020202020204" pitchFamily="34" charset="0"/>
              </a:defRPr>
            </a:pPr>
            <a:endParaRPr lang="cs-CZ"/>
          </a:p>
        </c:txPr>
        <c:crossAx val="676338687"/>
        <c:crosses val="max"/>
        <c:crossBetween val="between"/>
      </c:valAx>
      <c:catAx>
        <c:axId val="676338687"/>
        <c:scaling>
          <c:orientation val="minMax"/>
        </c:scaling>
        <c:delete val="1"/>
        <c:axPos val="b"/>
        <c:numFmt formatCode="General" sourceLinked="1"/>
        <c:majorTickMark val="out"/>
        <c:minorTickMark val="none"/>
        <c:tickLblPos val="nextTo"/>
        <c:crossAx val="676332863"/>
        <c:crosses val="autoZero"/>
        <c:auto val="1"/>
        <c:lblAlgn val="ctr"/>
        <c:lblOffset val="100"/>
        <c:noMultiLvlLbl val="0"/>
      </c:catAx>
      <c:spPr>
        <a:noFill/>
        <a:ln>
          <a:noFill/>
        </a:ln>
        <a:effectLst/>
      </c:spPr>
    </c:plotArea>
    <c:legend>
      <c:legendPos val="b"/>
      <c:layout>
        <c:manualLayout>
          <c:xMode val="edge"/>
          <c:yMode val="edge"/>
          <c:x val="0.25639452275065183"/>
          <c:y val="0.93452881785587161"/>
          <c:w val="0.48306012179109553"/>
          <c:h val="6.5471182144128351E-2"/>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cs-CZ"/>
        </a:p>
      </c:txPr>
    </c:legend>
    <c:plotVisOnly val="1"/>
    <c:dispBlanksAs val="gap"/>
    <c:showDLblsOverMax val="0"/>
  </c:chart>
  <c:spPr>
    <a:solidFill>
      <a:schemeClr val="bg1"/>
    </a:solidFill>
    <a:ln w="9525" cap="flat" cmpd="sng" algn="ctr">
      <a:noFill/>
      <a:round/>
    </a:ln>
    <a:effectLst/>
  </c:spPr>
  <c:txPr>
    <a:bodyPr/>
    <a:lstStyle/>
    <a:p>
      <a:pPr>
        <a:defRPr sz="800">
          <a:solidFill>
            <a:sysClr val="windowText" lastClr="000000"/>
          </a:solidFill>
          <a:latin typeface="Arial" panose="020B0604020202020204" pitchFamily="34" charset="0"/>
          <a:cs typeface="Arial" panose="020B0604020202020204" pitchFamily="34" charset="0"/>
        </a:defRPr>
      </a:pPr>
      <a:endParaRPr lang="cs-CZ"/>
    </a:p>
  </c:txPr>
  <c:externalData r:id="rId3">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5034544517153785"/>
          <c:y val="1.2640290317748331E-2"/>
          <c:w val="0.46331421138508977"/>
          <c:h val="0.90414692871719116"/>
        </c:manualLayout>
      </c:layout>
      <c:barChart>
        <c:barDir val="bar"/>
        <c:grouping val="clustered"/>
        <c:varyColors val="0"/>
        <c:ser>
          <c:idx val="0"/>
          <c:order val="0"/>
          <c:spPr>
            <a:solidFill>
              <a:srgbClr val="E6C483"/>
            </a:solidFill>
            <a:ln>
              <a:noFill/>
            </a:ln>
            <a:effectLst/>
          </c:spPr>
          <c:invertIfNegative val="0"/>
          <c:dPt>
            <c:idx val="13"/>
            <c:invertIfNegative val="0"/>
            <c:bubble3D val="0"/>
            <c:spPr>
              <a:solidFill>
                <a:srgbClr val="CC9610"/>
              </a:solidFill>
              <a:ln>
                <a:noFill/>
              </a:ln>
              <a:effectLst/>
            </c:spPr>
            <c:extLst>
              <c:ext xmlns:c16="http://schemas.microsoft.com/office/drawing/2014/chart" uri="{C3380CC4-5D6E-409C-BE32-E72D297353CC}">
                <c16:uniqueId val="{00000001-FEE6-4E6A-933B-C540C36810A8}"/>
              </c:ext>
            </c:extLst>
          </c:dPt>
          <c:dLbls>
            <c:dLbl>
              <c:idx val="0"/>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FEE6-4E6A-933B-C540C36810A8}"/>
                </c:ext>
              </c:extLst>
            </c:dLbl>
            <c:dLbl>
              <c:idx val="1"/>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FEE6-4E6A-933B-C540C36810A8}"/>
                </c:ext>
              </c:extLst>
            </c:dLbl>
            <c:dLbl>
              <c:idx val="2"/>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FEE6-4E6A-933B-C540C36810A8}"/>
                </c:ext>
              </c:extLst>
            </c:dLbl>
            <c:numFmt formatCode="#,##0" sourceLinked="0"/>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cs-CZ"/>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'G5.1 nový'!$J$8:$J$27</c:f>
              <c:strCache>
                <c:ptCount val="20"/>
                <c:pt idx="0">
                  <c:v>K – Peněžnictví a pojišťovnictví</c:v>
                </c:pt>
                <c:pt idx="1">
                  <c:v>J – Informační a komunikační činnosti</c:v>
                </c:pt>
                <c:pt idx="2">
                  <c:v>M – Profesní, vědecké a technické činnosti</c:v>
                </c:pt>
                <c:pt idx="3">
                  <c:v>S – Ostatní činnosti</c:v>
                </c:pt>
                <c:pt idx="4">
                  <c:v>L – Činnosti v oblasti nemovitostí</c:v>
                </c:pt>
                <c:pt idx="5">
                  <c:v>D – Výroba a rozvod elektřiny, plynu, tepla a klimatiz. vzduchu</c:v>
                </c:pt>
                <c:pt idx="6">
                  <c:v>P – Vzdělávání</c:v>
                </c:pt>
                <c:pt idx="7">
                  <c:v>O – Veřejná správa a obrana; povinné sociální zabezpečení</c:v>
                </c:pt>
                <c:pt idx="8">
                  <c:v>R – Kulturní, zábavní a rekreační činnosti</c:v>
                </c:pt>
                <c:pt idx="9">
                  <c:v>Q – Zdravotní a sociální péče</c:v>
                </c:pt>
                <c:pt idx="10">
                  <c:v>I – Ubytování, stravování a pohostinství</c:v>
                </c:pt>
                <c:pt idx="11">
                  <c:v>N – Administrativní a podpůrné činnosti</c:v>
                </c:pt>
                <c:pt idx="12">
                  <c:v>G – Velkoobchod a maloobchod; opravy a údržba motor. vozidel</c:v>
                </c:pt>
                <c:pt idx="13">
                  <c:v>CELKEM</c:v>
                </c:pt>
                <c:pt idx="14">
                  <c:v>F – Stavebnictví</c:v>
                </c:pt>
                <c:pt idx="15">
                  <c:v>C – Zpracovatelský průmysl</c:v>
                </c:pt>
                <c:pt idx="16">
                  <c:v>H – Doprava a skladování</c:v>
                </c:pt>
                <c:pt idx="17">
                  <c:v>B – Těžba a dobývání</c:v>
                </c:pt>
                <c:pt idx="18">
                  <c:v>E – Zásobování vodou; činnosti související s odpady a sanacemi</c:v>
                </c:pt>
                <c:pt idx="19">
                  <c:v>A – Zemědělství, lesnictví, rybářství</c:v>
                </c:pt>
              </c:strCache>
            </c:strRef>
          </c:cat>
          <c:val>
            <c:numRef>
              <c:f>'G5.1 nový'!$K$8:$K$27</c:f>
              <c:numCache>
                <c:formatCode>General</c:formatCode>
                <c:ptCount val="20"/>
                <c:pt idx="0">
                  <c:v>83.217734284141159</c:v>
                </c:pt>
                <c:pt idx="1">
                  <c:v>88.446630256057759</c:v>
                </c:pt>
                <c:pt idx="2">
                  <c:v>191.8212082007071</c:v>
                </c:pt>
                <c:pt idx="3">
                  <c:v>329.2328162311714</c:v>
                </c:pt>
                <c:pt idx="4">
                  <c:v>404.50796365139024</c:v>
                </c:pt>
                <c:pt idx="5">
                  <c:v>428.48907536170015</c:v>
                </c:pt>
                <c:pt idx="6">
                  <c:v>448.86535482302827</c:v>
                </c:pt>
                <c:pt idx="7">
                  <c:v>452.78221285573261</c:v>
                </c:pt>
                <c:pt idx="8">
                  <c:v>657.54060592733981</c:v>
                </c:pt>
                <c:pt idx="9">
                  <c:v>724.79196656359147</c:v>
                </c:pt>
                <c:pt idx="10">
                  <c:v>797.71600803523177</c:v>
                </c:pt>
                <c:pt idx="11">
                  <c:v>810.3924578469896</c:v>
                </c:pt>
                <c:pt idx="12">
                  <c:v>824.10618756208771</c:v>
                </c:pt>
                <c:pt idx="13">
                  <c:v>897.32999428719006</c:v>
                </c:pt>
                <c:pt idx="14">
                  <c:v>1239.4423685241686</c:v>
                </c:pt>
                <c:pt idx="15">
                  <c:v>1306.7867428643096</c:v>
                </c:pt>
                <c:pt idx="16">
                  <c:v>1397.7276653984734</c:v>
                </c:pt>
                <c:pt idx="17">
                  <c:v>1883.5815942810784</c:v>
                </c:pt>
                <c:pt idx="18">
                  <c:v>2143.3902208496161</c:v>
                </c:pt>
                <c:pt idx="19">
                  <c:v>2372.4251342264611</c:v>
                </c:pt>
              </c:numCache>
            </c:numRef>
          </c:val>
          <c:extLst>
            <c:ext xmlns:c16="http://schemas.microsoft.com/office/drawing/2014/chart" uri="{C3380CC4-5D6E-409C-BE32-E72D297353CC}">
              <c16:uniqueId val="{00000005-FEE6-4E6A-933B-C540C36810A8}"/>
            </c:ext>
          </c:extLst>
        </c:ser>
        <c:dLbls>
          <c:showLegendKey val="0"/>
          <c:showVal val="0"/>
          <c:showCatName val="0"/>
          <c:showSerName val="0"/>
          <c:showPercent val="0"/>
          <c:showBubbleSize val="0"/>
        </c:dLbls>
        <c:gapWidth val="70"/>
        <c:axId val="759560607"/>
        <c:axId val="759561023"/>
      </c:barChart>
      <c:catAx>
        <c:axId val="759560607"/>
        <c:scaling>
          <c:orientation val="minMax"/>
        </c:scaling>
        <c:delete val="0"/>
        <c:axPos val="l"/>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endParaRPr lang="cs-CZ"/>
          </a:p>
        </c:txPr>
        <c:crossAx val="759561023"/>
        <c:crosses val="autoZero"/>
        <c:auto val="1"/>
        <c:lblAlgn val="ctr"/>
        <c:lblOffset val="100"/>
        <c:noMultiLvlLbl val="0"/>
      </c:catAx>
      <c:valAx>
        <c:axId val="759561023"/>
        <c:scaling>
          <c:orientation val="minMax"/>
          <c:max val="2500"/>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cs-CZ"/>
                  <a:t>P</a:t>
                </a:r>
                <a:r>
                  <a:rPr lang="en-US"/>
                  <a:t>očet pří</a:t>
                </a:r>
                <a:r>
                  <a:rPr lang="cs-CZ"/>
                  <a:t>padů na 100 tisíc</a:t>
                </a:r>
                <a:r>
                  <a:rPr lang="cs-CZ" baseline="0"/>
                  <a:t> pojištěnců</a:t>
                </a:r>
                <a:endParaRPr lang="en-US"/>
              </a:p>
            </c:rich>
          </c:tx>
          <c:layout>
            <c:manualLayout>
              <c:xMode val="edge"/>
              <c:yMode val="edge"/>
              <c:x val="0.58434347932304875"/>
              <c:y val="0.96907377884303436"/>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cs-CZ"/>
            </a:p>
          </c:txPr>
        </c:title>
        <c:numFmt formatCode="#,##0" sourceLinked="0"/>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cs-CZ"/>
          </a:p>
        </c:txPr>
        <c:crossAx val="759560607"/>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800">
          <a:solidFill>
            <a:sysClr val="windowText" lastClr="000000"/>
          </a:solidFill>
          <a:latin typeface="Arial" panose="020B0604020202020204" pitchFamily="34" charset="0"/>
          <a:cs typeface="Arial" panose="020B0604020202020204" pitchFamily="34" charset="0"/>
        </a:defRPr>
      </a:pPr>
      <a:endParaRPr lang="cs-CZ"/>
    </a:p>
  </c:txPr>
  <c:externalData r:id="rId3">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4403888888888888"/>
          <c:y val="9.3402707293881344E-3"/>
          <c:w val="0.81650702614379089"/>
          <c:h val="0.9118178613019372"/>
        </c:manualLayout>
      </c:layout>
      <c:barChart>
        <c:barDir val="bar"/>
        <c:grouping val="clustered"/>
        <c:varyColors val="0"/>
        <c:ser>
          <c:idx val="0"/>
          <c:order val="0"/>
          <c:spPr>
            <a:solidFill>
              <a:srgbClr val="E6C483"/>
            </a:solidFill>
            <a:ln>
              <a:noFill/>
            </a:ln>
            <a:effectLst/>
          </c:spPr>
          <c:invertIfNegative val="0"/>
          <c:dPt>
            <c:idx val="6"/>
            <c:invertIfNegative val="0"/>
            <c:bubble3D val="0"/>
            <c:spPr>
              <a:solidFill>
                <a:srgbClr val="E6C483"/>
              </a:solidFill>
              <a:ln>
                <a:noFill/>
              </a:ln>
              <a:effectLst/>
            </c:spPr>
            <c:extLst>
              <c:ext xmlns:c16="http://schemas.microsoft.com/office/drawing/2014/chart" uri="{C3380CC4-5D6E-409C-BE32-E72D297353CC}">
                <c16:uniqueId val="{00000001-83FB-4F33-BF53-007CBF9F43F1}"/>
              </c:ext>
            </c:extLst>
          </c:dPt>
          <c:dPt>
            <c:idx val="7"/>
            <c:invertIfNegative val="0"/>
            <c:bubble3D val="0"/>
            <c:spPr>
              <a:solidFill>
                <a:srgbClr val="E6C483"/>
              </a:solidFill>
              <a:ln>
                <a:noFill/>
              </a:ln>
              <a:effectLst/>
            </c:spPr>
            <c:extLst>
              <c:ext xmlns:c16="http://schemas.microsoft.com/office/drawing/2014/chart" uri="{C3380CC4-5D6E-409C-BE32-E72D297353CC}">
                <c16:uniqueId val="{00000003-83FB-4F33-BF53-007CBF9F43F1}"/>
              </c:ext>
            </c:extLst>
          </c:dPt>
          <c:dPt>
            <c:idx val="8"/>
            <c:invertIfNegative val="0"/>
            <c:bubble3D val="0"/>
            <c:spPr>
              <a:solidFill>
                <a:srgbClr val="E6C483"/>
              </a:solidFill>
              <a:ln>
                <a:noFill/>
              </a:ln>
              <a:effectLst/>
            </c:spPr>
            <c:extLst>
              <c:ext xmlns:c16="http://schemas.microsoft.com/office/drawing/2014/chart" uri="{C3380CC4-5D6E-409C-BE32-E72D297353CC}">
                <c16:uniqueId val="{00000005-83FB-4F33-BF53-007CBF9F43F1}"/>
              </c:ext>
            </c:extLst>
          </c:dPt>
          <c:dPt>
            <c:idx val="10"/>
            <c:invertIfNegative val="0"/>
            <c:bubble3D val="0"/>
            <c:spPr>
              <a:solidFill>
                <a:srgbClr val="E6C483"/>
              </a:solidFill>
              <a:ln>
                <a:noFill/>
              </a:ln>
              <a:effectLst/>
            </c:spPr>
            <c:extLst>
              <c:ext xmlns:c16="http://schemas.microsoft.com/office/drawing/2014/chart" uri="{C3380CC4-5D6E-409C-BE32-E72D297353CC}">
                <c16:uniqueId val="{00000007-83FB-4F33-BF53-007CBF9F43F1}"/>
              </c:ext>
            </c:extLst>
          </c:dPt>
          <c:dPt>
            <c:idx val="11"/>
            <c:invertIfNegative val="0"/>
            <c:bubble3D val="0"/>
            <c:spPr>
              <a:solidFill>
                <a:srgbClr val="E6C483"/>
              </a:solidFill>
              <a:ln>
                <a:noFill/>
              </a:ln>
              <a:effectLst/>
            </c:spPr>
            <c:extLst>
              <c:ext xmlns:c16="http://schemas.microsoft.com/office/drawing/2014/chart" uri="{C3380CC4-5D6E-409C-BE32-E72D297353CC}">
                <c16:uniqueId val="{00000009-83FB-4F33-BF53-007CBF9F43F1}"/>
              </c:ext>
            </c:extLst>
          </c:dPt>
          <c:dPt>
            <c:idx val="12"/>
            <c:invertIfNegative val="0"/>
            <c:bubble3D val="0"/>
            <c:spPr>
              <a:solidFill>
                <a:srgbClr val="CC9610"/>
              </a:solidFill>
              <a:ln>
                <a:noFill/>
              </a:ln>
              <a:effectLst/>
            </c:spPr>
            <c:extLst>
              <c:ext xmlns:c16="http://schemas.microsoft.com/office/drawing/2014/chart" uri="{C3380CC4-5D6E-409C-BE32-E72D297353CC}">
                <c16:uniqueId val="{0000000B-83FB-4F33-BF53-007CBF9F43F1}"/>
              </c:ext>
            </c:extLst>
          </c:dPt>
          <c:dPt>
            <c:idx val="16"/>
            <c:invertIfNegative val="0"/>
            <c:bubble3D val="0"/>
            <c:spPr>
              <a:solidFill>
                <a:srgbClr val="E6C483"/>
              </a:solidFill>
              <a:ln>
                <a:noFill/>
              </a:ln>
              <a:effectLst/>
            </c:spPr>
            <c:extLst>
              <c:ext xmlns:c16="http://schemas.microsoft.com/office/drawing/2014/chart" uri="{C3380CC4-5D6E-409C-BE32-E72D297353CC}">
                <c16:uniqueId val="{0000000D-83FB-4F33-BF53-007CBF9F43F1}"/>
              </c:ext>
            </c:extLst>
          </c:dPt>
          <c:dPt>
            <c:idx val="19"/>
            <c:invertIfNegative val="0"/>
            <c:bubble3D val="0"/>
            <c:spPr>
              <a:solidFill>
                <a:srgbClr val="E6C483"/>
              </a:solidFill>
              <a:ln>
                <a:noFill/>
              </a:ln>
              <a:effectLst/>
            </c:spPr>
            <c:extLst>
              <c:ext xmlns:c16="http://schemas.microsoft.com/office/drawing/2014/chart" uri="{C3380CC4-5D6E-409C-BE32-E72D297353CC}">
                <c16:uniqueId val="{0000000F-83FB-4F33-BF53-007CBF9F43F1}"/>
              </c:ext>
            </c:extLst>
          </c:dPt>
          <c:dPt>
            <c:idx val="20"/>
            <c:invertIfNegative val="0"/>
            <c:bubble3D val="0"/>
            <c:spPr>
              <a:solidFill>
                <a:srgbClr val="85898E"/>
              </a:solidFill>
              <a:ln>
                <a:noFill/>
              </a:ln>
              <a:effectLst/>
            </c:spPr>
            <c:extLst>
              <c:ext xmlns:c16="http://schemas.microsoft.com/office/drawing/2014/chart" uri="{C3380CC4-5D6E-409C-BE32-E72D297353CC}">
                <c16:uniqueId val="{00000011-83FB-4F33-BF53-007CBF9F43F1}"/>
              </c:ext>
            </c:extLst>
          </c:dPt>
          <c:dLbls>
            <c:dLbl>
              <c:idx val="0"/>
              <c:layout>
                <c:manualLayout>
                  <c:x val="-2.2425053047678144E-3"/>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83FB-4F33-BF53-007CBF9F43F1}"/>
                </c:ext>
              </c:extLst>
            </c:dLbl>
            <c:dLbl>
              <c:idx val="1"/>
              <c:layout>
                <c:manualLayout>
                  <c:x val="-4.1851492647677624E-3"/>
                  <c:y val="-9.9501338114240376E-17"/>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83FB-4F33-BF53-007CBF9F43F1}"/>
                </c:ext>
              </c:extLst>
            </c:dLbl>
            <c:numFmt formatCode="#,##0" sourceLinked="0"/>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cs-CZ"/>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'G6.1'!$D$2:$D$29</c:f>
              <c:strCache>
                <c:ptCount val="28"/>
                <c:pt idx="0">
                  <c:v>Rumunsko</c:v>
                </c:pt>
                <c:pt idx="1">
                  <c:v>Bulharsko</c:v>
                </c:pt>
                <c:pt idx="2">
                  <c:v>Řecko</c:v>
                </c:pt>
                <c:pt idx="3">
                  <c:v>Lotyšsko</c:v>
                </c:pt>
                <c:pt idx="4">
                  <c:v>Litva</c:v>
                </c:pt>
                <c:pt idx="5">
                  <c:v>Slovensko</c:v>
                </c:pt>
                <c:pt idx="6">
                  <c:v>Polsko</c:v>
                </c:pt>
                <c:pt idx="7">
                  <c:v>Kypr</c:v>
                </c:pt>
                <c:pt idx="8">
                  <c:v>Chorvatsko</c:v>
                </c:pt>
                <c:pt idx="9">
                  <c:v>Maďarsko</c:v>
                </c:pt>
                <c:pt idx="10">
                  <c:v>Irsko</c:v>
                </c:pt>
                <c:pt idx="11">
                  <c:v>Malta</c:v>
                </c:pt>
                <c:pt idx="12">
                  <c:v>Česko</c:v>
                </c:pt>
                <c:pt idx="13">
                  <c:v>Švédsko</c:v>
                </c:pt>
                <c:pt idx="14">
                  <c:v>Estonsko</c:v>
                </c:pt>
                <c:pt idx="15">
                  <c:v>Nizozemsko</c:v>
                </c:pt>
                <c:pt idx="16">
                  <c:v>Itálie</c:v>
                </c:pt>
                <c:pt idx="17">
                  <c:v>Slovinsko</c:v>
                </c:pt>
                <c:pt idx="18">
                  <c:v>Rakousko</c:v>
                </c:pt>
                <c:pt idx="19">
                  <c:v>Belgie</c:v>
                </c:pt>
                <c:pt idx="20">
                  <c:v>EU27</c:v>
                </c:pt>
                <c:pt idx="21">
                  <c:v>Finsko</c:v>
                </c:pt>
                <c:pt idx="22">
                  <c:v>Lucembursko</c:v>
                </c:pt>
                <c:pt idx="23">
                  <c:v>Dánsko</c:v>
                </c:pt>
                <c:pt idx="24">
                  <c:v>Německo</c:v>
                </c:pt>
                <c:pt idx="25">
                  <c:v>Španělsko</c:v>
                </c:pt>
                <c:pt idx="26">
                  <c:v>Francie</c:v>
                </c:pt>
                <c:pt idx="27">
                  <c:v>Portugalsko</c:v>
                </c:pt>
              </c:strCache>
            </c:strRef>
          </c:cat>
          <c:val>
            <c:numRef>
              <c:f>'G6.1'!$E$2:$E$29</c:f>
              <c:numCache>
                <c:formatCode>#\ ##0.0</c:formatCode>
                <c:ptCount val="28"/>
                <c:pt idx="0">
                  <c:v>57.59</c:v>
                </c:pt>
                <c:pt idx="1">
                  <c:v>81.47</c:v>
                </c:pt>
                <c:pt idx="2">
                  <c:v>177.63</c:v>
                </c:pt>
                <c:pt idx="3">
                  <c:v>291.01</c:v>
                </c:pt>
                <c:pt idx="4">
                  <c:v>406.06</c:v>
                </c:pt>
                <c:pt idx="5">
                  <c:v>428.4</c:v>
                </c:pt>
                <c:pt idx="6">
                  <c:v>446.65</c:v>
                </c:pt>
                <c:pt idx="7">
                  <c:v>481.9</c:v>
                </c:pt>
                <c:pt idx="8">
                  <c:v>616.44000000000005</c:v>
                </c:pt>
                <c:pt idx="9">
                  <c:v>644.91999999999996</c:v>
                </c:pt>
                <c:pt idx="10">
                  <c:v>752.12</c:v>
                </c:pt>
                <c:pt idx="11">
                  <c:v>758.96</c:v>
                </c:pt>
                <c:pt idx="12">
                  <c:v>762.92</c:v>
                </c:pt>
                <c:pt idx="13">
                  <c:v>885.13</c:v>
                </c:pt>
                <c:pt idx="14">
                  <c:v>998.99</c:v>
                </c:pt>
                <c:pt idx="15">
                  <c:v>1208.67</c:v>
                </c:pt>
                <c:pt idx="16">
                  <c:v>1280.4100000000001</c:v>
                </c:pt>
                <c:pt idx="17">
                  <c:v>1288.26</c:v>
                </c:pt>
                <c:pt idx="18">
                  <c:v>1527.35</c:v>
                </c:pt>
                <c:pt idx="19">
                  <c:v>1545.51</c:v>
                </c:pt>
                <c:pt idx="20">
                  <c:v>1550.69</c:v>
                </c:pt>
                <c:pt idx="21">
                  <c:v>1563.26</c:v>
                </c:pt>
                <c:pt idx="22">
                  <c:v>1739.76</c:v>
                </c:pt>
                <c:pt idx="23">
                  <c:v>1740.2</c:v>
                </c:pt>
                <c:pt idx="24">
                  <c:v>1747.83</c:v>
                </c:pt>
                <c:pt idx="25">
                  <c:v>2706.53</c:v>
                </c:pt>
                <c:pt idx="26">
                  <c:v>2732.82</c:v>
                </c:pt>
                <c:pt idx="27">
                  <c:v>3160.28</c:v>
                </c:pt>
              </c:numCache>
            </c:numRef>
          </c:val>
          <c:extLst>
            <c:ext xmlns:c16="http://schemas.microsoft.com/office/drawing/2014/chart" uri="{C3380CC4-5D6E-409C-BE32-E72D297353CC}">
              <c16:uniqueId val="{00000012-83FB-4F33-BF53-007CBF9F43F1}"/>
            </c:ext>
          </c:extLst>
        </c:ser>
        <c:dLbls>
          <c:showLegendKey val="0"/>
          <c:showVal val="0"/>
          <c:showCatName val="0"/>
          <c:showSerName val="0"/>
          <c:showPercent val="0"/>
          <c:showBubbleSize val="0"/>
        </c:dLbls>
        <c:gapWidth val="70"/>
        <c:axId val="876653215"/>
        <c:axId val="876650303"/>
      </c:barChart>
      <c:catAx>
        <c:axId val="876653215"/>
        <c:scaling>
          <c:orientation val="minMax"/>
        </c:scaling>
        <c:delete val="0"/>
        <c:axPos val="l"/>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cs-CZ"/>
          </a:p>
        </c:txPr>
        <c:crossAx val="876650303"/>
        <c:crosses val="autoZero"/>
        <c:auto val="1"/>
        <c:lblAlgn val="ctr"/>
        <c:lblOffset val="100"/>
        <c:noMultiLvlLbl val="0"/>
      </c:catAx>
      <c:valAx>
        <c:axId val="876650303"/>
        <c:scaling>
          <c:orientation val="minMax"/>
          <c:max val="3500"/>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cs-CZ"/>
                  <a:t>P</a:t>
                </a:r>
                <a:r>
                  <a:rPr lang="en-US"/>
                  <a:t>očet případů</a:t>
                </a:r>
                <a:r>
                  <a:rPr lang="cs-CZ"/>
                  <a:t> na 100 tisíc zaměstnaných osob</a:t>
                </a:r>
                <a:r>
                  <a:rPr lang="en-US"/>
                  <a:t> </a:t>
                </a:r>
              </a:p>
            </c:rich>
          </c:tx>
          <c:layout>
            <c:manualLayout>
              <c:xMode val="edge"/>
              <c:yMode val="edge"/>
              <c:x val="0.39544330065359479"/>
              <c:y val="0.96456329365079385"/>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cs-CZ"/>
            </a:p>
          </c:txPr>
        </c:title>
        <c:numFmt formatCode="#,##0" sourceLinked="0"/>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cs-CZ"/>
          </a:p>
        </c:txPr>
        <c:crossAx val="876653215"/>
        <c:crosses val="autoZero"/>
        <c:crossBetween val="between"/>
        <c:majorUnit val="500"/>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800">
          <a:solidFill>
            <a:sysClr val="windowText" lastClr="000000"/>
          </a:solidFill>
          <a:latin typeface="Arial" panose="020B0604020202020204" pitchFamily="34" charset="0"/>
          <a:cs typeface="Arial" panose="020B0604020202020204" pitchFamily="34" charset="0"/>
        </a:defRPr>
      </a:pPr>
      <a:endParaRPr lang="cs-CZ"/>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2180214172775622"/>
          <c:y val="5.1671844947477438E-2"/>
          <c:w val="0.72799662210723004"/>
          <c:h val="0.85315024411895246"/>
        </c:manualLayout>
      </c:layout>
      <c:barChart>
        <c:barDir val="col"/>
        <c:grouping val="stacked"/>
        <c:varyColors val="0"/>
        <c:ser>
          <c:idx val="4"/>
          <c:order val="0"/>
          <c:tx>
            <c:strRef>
              <c:f>'G1.1'!$A$10</c:f>
              <c:strCache>
                <c:ptCount val="1"/>
                <c:pt idx="0">
                  <c:v> 500 a více zaměstnanců</c:v>
                </c:pt>
              </c:strCache>
            </c:strRef>
          </c:tx>
          <c:spPr>
            <a:solidFill>
              <a:srgbClr val="CC9610"/>
            </a:solidFill>
            <a:ln>
              <a:noFill/>
            </a:ln>
            <a:effectLst/>
          </c:spPr>
          <c:invertIfNegative val="0"/>
          <c:dLbls>
            <c:spPr>
              <a:noFill/>
              <a:ln>
                <a:noFill/>
              </a:ln>
              <a:effectLst/>
            </c:spPr>
            <c:txPr>
              <a:bodyPr rot="0" spcFirstLastPara="1" vertOverflow="ellipsis" vert="horz" wrap="square" lIns="0" tIns="19050" rIns="72000" bIns="19050" anchor="ctr" anchorCtr="1">
                <a:spAutoFit/>
              </a:bodyPr>
              <a:lstStyle/>
              <a:p>
                <a:pPr>
                  <a:defRPr sz="800" b="1" i="0" u="none" strike="noStrike" kern="1200" baseline="0">
                    <a:solidFill>
                      <a:schemeClr val="tx1"/>
                    </a:solidFill>
                    <a:latin typeface="Arial" panose="020B0604020202020204" pitchFamily="34" charset="0"/>
                    <a:ea typeface="+mn-ea"/>
                    <a:cs typeface="Arial" panose="020B0604020202020204" pitchFamily="34" charset="0"/>
                  </a:defRPr>
                </a:pPr>
                <a:endParaRPr lang="cs-CZ"/>
              </a:p>
            </c:txPr>
            <c:dLblPos val="ct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1"/>
                <c15:leaderLines>
                  <c:spPr>
                    <a:ln w="9525" cap="flat" cmpd="sng" algn="ctr">
                      <a:solidFill>
                        <a:schemeClr val="tx1">
                          <a:lumMod val="35000"/>
                          <a:lumOff val="65000"/>
                        </a:schemeClr>
                      </a:solidFill>
                      <a:round/>
                    </a:ln>
                    <a:effectLst/>
                  </c:spPr>
                </c15:leaderLines>
              </c:ext>
            </c:extLst>
          </c:dLbls>
          <c:cat>
            <c:numRef>
              <c:f>'G1.1'!$B$5:$D$5</c:f>
              <c:numCache>
                <c:formatCode>General</c:formatCode>
                <c:ptCount val="3"/>
                <c:pt idx="0">
                  <c:v>2014</c:v>
                </c:pt>
                <c:pt idx="1">
                  <c:v>2019</c:v>
                </c:pt>
                <c:pt idx="2">
                  <c:v>2024</c:v>
                </c:pt>
              </c:numCache>
            </c:numRef>
          </c:cat>
          <c:val>
            <c:numRef>
              <c:f>'G1.1'!$B$10:$D$10</c:f>
              <c:numCache>
                <c:formatCode>#\ ###\ ###\ ##0</c:formatCode>
                <c:ptCount val="3"/>
                <c:pt idx="0">
                  <c:v>1443.84</c:v>
                </c:pt>
                <c:pt idx="1">
                  <c:v>1547.5464248000001</c:v>
                </c:pt>
                <c:pt idx="2">
                  <c:v>1516.0032864000002</c:v>
                </c:pt>
              </c:numCache>
            </c:numRef>
          </c:val>
          <c:extLst>
            <c:ext xmlns:c16="http://schemas.microsoft.com/office/drawing/2014/chart" uri="{C3380CC4-5D6E-409C-BE32-E72D297353CC}">
              <c16:uniqueId val="{00000000-C5CD-4EC4-9700-11E2147EFAC9}"/>
            </c:ext>
          </c:extLst>
        </c:ser>
        <c:ser>
          <c:idx val="3"/>
          <c:order val="1"/>
          <c:tx>
            <c:strRef>
              <c:f>'G1.1'!$A$9</c:f>
              <c:strCache>
                <c:ptCount val="1"/>
                <c:pt idx="0">
                  <c:v> 250–499 zaměstnanců</c:v>
                </c:pt>
              </c:strCache>
            </c:strRef>
          </c:tx>
          <c:spPr>
            <a:solidFill>
              <a:srgbClr val="DBAF56"/>
            </a:solidFill>
            <a:ln>
              <a:noFill/>
            </a:ln>
            <a:effectLst/>
          </c:spPr>
          <c:invertIfNegative val="0"/>
          <c:dLbls>
            <c:spPr>
              <a:noFill/>
              <a:ln>
                <a:noFill/>
              </a:ln>
              <a:effectLst/>
            </c:spPr>
            <c:txPr>
              <a:bodyPr rot="0" spcFirstLastPara="1" vertOverflow="ellipsis" vert="horz" wrap="square" lIns="0" tIns="19050" rIns="72000" bIns="19050" anchor="ctr" anchorCtr="1">
                <a:spAutoFit/>
              </a:bodyPr>
              <a:lstStyle/>
              <a:p>
                <a:pPr>
                  <a:defRPr sz="800" b="1" i="0" u="none" strike="noStrike" kern="1200" baseline="0">
                    <a:solidFill>
                      <a:schemeClr val="tx1"/>
                    </a:solidFill>
                    <a:latin typeface="Arial" panose="020B0604020202020204" pitchFamily="34" charset="0"/>
                    <a:ea typeface="+mn-ea"/>
                    <a:cs typeface="Arial" panose="020B0604020202020204" pitchFamily="34" charset="0"/>
                  </a:defRPr>
                </a:pPr>
                <a:endParaRPr lang="cs-CZ"/>
              </a:p>
            </c:txPr>
            <c:dLblPos val="ct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1"/>
                <c15:leaderLines>
                  <c:spPr>
                    <a:ln w="9525" cap="flat" cmpd="sng" algn="ctr">
                      <a:solidFill>
                        <a:schemeClr val="tx1">
                          <a:lumMod val="35000"/>
                          <a:lumOff val="65000"/>
                        </a:schemeClr>
                      </a:solidFill>
                      <a:round/>
                    </a:ln>
                    <a:effectLst/>
                  </c:spPr>
                </c15:leaderLines>
              </c:ext>
            </c:extLst>
          </c:dLbls>
          <c:cat>
            <c:numRef>
              <c:f>'G1.1'!$B$5:$D$5</c:f>
              <c:numCache>
                <c:formatCode>General</c:formatCode>
                <c:ptCount val="3"/>
                <c:pt idx="0">
                  <c:v>2014</c:v>
                </c:pt>
                <c:pt idx="1">
                  <c:v>2019</c:v>
                </c:pt>
                <c:pt idx="2">
                  <c:v>2024</c:v>
                </c:pt>
              </c:numCache>
            </c:numRef>
          </c:cat>
          <c:val>
            <c:numRef>
              <c:f>'G1.1'!$B$9:$D$9</c:f>
              <c:numCache>
                <c:formatCode>#\ ###\ ###\ ##0</c:formatCode>
                <c:ptCount val="3"/>
                <c:pt idx="0">
                  <c:v>412.08</c:v>
                </c:pt>
                <c:pt idx="1">
                  <c:v>468.38384159999998</c:v>
                </c:pt>
                <c:pt idx="2">
                  <c:v>444.66025739999998</c:v>
                </c:pt>
              </c:numCache>
            </c:numRef>
          </c:val>
          <c:extLst>
            <c:ext xmlns:c16="http://schemas.microsoft.com/office/drawing/2014/chart" uri="{C3380CC4-5D6E-409C-BE32-E72D297353CC}">
              <c16:uniqueId val="{00000001-C5CD-4EC4-9700-11E2147EFAC9}"/>
            </c:ext>
          </c:extLst>
        </c:ser>
        <c:ser>
          <c:idx val="2"/>
          <c:order val="2"/>
          <c:tx>
            <c:strRef>
              <c:f>'G1.1'!$A$8</c:f>
              <c:strCache>
                <c:ptCount val="1"/>
                <c:pt idx="0">
                  <c:v> 50–249 zaměstnanců</c:v>
                </c:pt>
              </c:strCache>
            </c:strRef>
          </c:tx>
          <c:spPr>
            <a:solidFill>
              <a:srgbClr val="E6C483"/>
            </a:solidFill>
            <a:ln>
              <a:noFill/>
            </a:ln>
            <a:effectLst/>
          </c:spPr>
          <c:invertIfNegative val="0"/>
          <c:dLbls>
            <c:spPr>
              <a:noFill/>
              <a:ln>
                <a:noFill/>
              </a:ln>
              <a:effectLst/>
            </c:spPr>
            <c:txPr>
              <a:bodyPr rot="0" spcFirstLastPara="1" vertOverflow="ellipsis" vert="horz" wrap="square" lIns="0" tIns="19050" rIns="72000" bIns="19050" anchor="ctr" anchorCtr="1">
                <a:spAutoFit/>
              </a:bodyPr>
              <a:lstStyle/>
              <a:p>
                <a:pPr>
                  <a:defRPr sz="800" b="1" i="0" u="none" strike="noStrike" kern="1200" baseline="0">
                    <a:solidFill>
                      <a:schemeClr val="tx1"/>
                    </a:solidFill>
                    <a:latin typeface="Arial" panose="020B0604020202020204" pitchFamily="34" charset="0"/>
                    <a:ea typeface="+mn-ea"/>
                    <a:cs typeface="Arial" panose="020B0604020202020204" pitchFamily="34" charset="0"/>
                  </a:defRPr>
                </a:pPr>
                <a:endParaRPr lang="cs-CZ"/>
              </a:p>
            </c:txPr>
            <c:dLblPos val="ct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1"/>
                <c15:leaderLines>
                  <c:spPr>
                    <a:ln w="9525" cap="flat" cmpd="sng" algn="ctr">
                      <a:solidFill>
                        <a:schemeClr val="tx1">
                          <a:lumMod val="35000"/>
                          <a:lumOff val="65000"/>
                        </a:schemeClr>
                      </a:solidFill>
                      <a:round/>
                    </a:ln>
                    <a:effectLst/>
                  </c:spPr>
                </c15:leaderLines>
              </c:ext>
            </c:extLst>
          </c:dLbls>
          <c:cat>
            <c:numRef>
              <c:f>'G1.1'!$B$5:$D$5</c:f>
              <c:numCache>
                <c:formatCode>General</c:formatCode>
                <c:ptCount val="3"/>
                <c:pt idx="0">
                  <c:v>2014</c:v>
                </c:pt>
                <c:pt idx="1">
                  <c:v>2019</c:v>
                </c:pt>
                <c:pt idx="2">
                  <c:v>2024</c:v>
                </c:pt>
              </c:numCache>
            </c:numRef>
          </c:cat>
          <c:val>
            <c:numRef>
              <c:f>'G1.1'!$B$8:$D$8</c:f>
              <c:numCache>
                <c:formatCode>#\ ###\ ###\ ##0</c:formatCode>
                <c:ptCount val="3"/>
                <c:pt idx="0">
                  <c:v>1044.3989999999999</c:v>
                </c:pt>
                <c:pt idx="1">
                  <c:v>1119.1251961999999</c:v>
                </c:pt>
                <c:pt idx="2">
                  <c:v>1197.0271496999999</c:v>
                </c:pt>
              </c:numCache>
            </c:numRef>
          </c:val>
          <c:extLst>
            <c:ext xmlns:c16="http://schemas.microsoft.com/office/drawing/2014/chart" uri="{C3380CC4-5D6E-409C-BE32-E72D297353CC}">
              <c16:uniqueId val="{00000002-C5CD-4EC4-9700-11E2147EFAC9}"/>
            </c:ext>
          </c:extLst>
        </c:ser>
        <c:ser>
          <c:idx val="1"/>
          <c:order val="3"/>
          <c:tx>
            <c:strRef>
              <c:f>'G1.1'!$A$7</c:f>
              <c:strCache>
                <c:ptCount val="1"/>
                <c:pt idx="0">
                  <c:v> 1–49 zaměstnanců</c:v>
                </c:pt>
              </c:strCache>
            </c:strRef>
          </c:tx>
          <c:spPr>
            <a:solidFill>
              <a:srgbClr val="85898E"/>
            </a:solidFill>
            <a:ln>
              <a:noFill/>
            </a:ln>
            <a:effectLst/>
          </c:spPr>
          <c:invertIfNegative val="0"/>
          <c:dLbls>
            <c:spPr>
              <a:noFill/>
              <a:ln>
                <a:noFill/>
              </a:ln>
              <a:effectLst/>
            </c:spPr>
            <c:txPr>
              <a:bodyPr rot="0" spcFirstLastPara="1" vertOverflow="ellipsis" vert="horz" wrap="square" lIns="0" tIns="19050" rIns="72000" bIns="19050" anchor="ctr" anchorCtr="1">
                <a:spAutoFit/>
              </a:bodyPr>
              <a:lstStyle/>
              <a:p>
                <a:pPr>
                  <a:defRPr sz="800" b="1" i="0" u="none" strike="noStrike" kern="1200" baseline="0">
                    <a:solidFill>
                      <a:schemeClr val="tx1"/>
                    </a:solidFill>
                    <a:latin typeface="Arial" panose="020B0604020202020204" pitchFamily="34" charset="0"/>
                    <a:ea typeface="+mn-ea"/>
                    <a:cs typeface="Arial" panose="020B0604020202020204" pitchFamily="34" charset="0"/>
                  </a:defRPr>
                </a:pPr>
                <a:endParaRPr lang="cs-CZ"/>
              </a:p>
            </c:txPr>
            <c:dLblPos val="ct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1"/>
                <c15:leaderLines>
                  <c:spPr>
                    <a:ln w="9525" cap="flat" cmpd="sng" algn="ctr">
                      <a:solidFill>
                        <a:schemeClr val="tx1">
                          <a:lumMod val="35000"/>
                          <a:lumOff val="65000"/>
                        </a:schemeClr>
                      </a:solidFill>
                      <a:round/>
                    </a:ln>
                    <a:effectLst/>
                  </c:spPr>
                </c15:leaderLines>
              </c:ext>
            </c:extLst>
          </c:dLbls>
          <c:cat>
            <c:numRef>
              <c:f>'G1.1'!$B$5:$D$5</c:f>
              <c:numCache>
                <c:formatCode>General</c:formatCode>
                <c:ptCount val="3"/>
                <c:pt idx="0">
                  <c:v>2014</c:v>
                </c:pt>
                <c:pt idx="1">
                  <c:v>2019</c:v>
                </c:pt>
                <c:pt idx="2">
                  <c:v>2024</c:v>
                </c:pt>
              </c:numCache>
            </c:numRef>
          </c:cat>
          <c:val>
            <c:numRef>
              <c:f>'G1.1'!$B$7:$D$7</c:f>
              <c:numCache>
                <c:formatCode>#\ ###\ ###\ ##0</c:formatCode>
                <c:ptCount val="3"/>
                <c:pt idx="0">
                  <c:v>1458.029</c:v>
                </c:pt>
                <c:pt idx="1">
                  <c:v>1503.4134925999999</c:v>
                </c:pt>
                <c:pt idx="2">
                  <c:v>1511.7078858</c:v>
                </c:pt>
              </c:numCache>
            </c:numRef>
          </c:val>
          <c:extLst>
            <c:ext xmlns:c16="http://schemas.microsoft.com/office/drawing/2014/chart" uri="{C3380CC4-5D6E-409C-BE32-E72D297353CC}">
              <c16:uniqueId val="{00000003-C5CD-4EC4-9700-11E2147EFAC9}"/>
            </c:ext>
          </c:extLst>
        </c:ser>
        <c:ser>
          <c:idx val="0"/>
          <c:order val="4"/>
          <c:tx>
            <c:strRef>
              <c:f>'G1.1'!$A$6</c:f>
              <c:strCache>
                <c:ptCount val="1"/>
                <c:pt idx="0">
                  <c:v> OSVČ</c:v>
                </c:pt>
              </c:strCache>
            </c:strRef>
          </c:tx>
          <c:spPr>
            <a:solidFill>
              <a:srgbClr val="B8BBC0"/>
            </a:solidFill>
            <a:ln>
              <a:noFill/>
            </a:ln>
            <a:effectLst/>
          </c:spPr>
          <c:invertIfNegative val="0"/>
          <c:dLbls>
            <c:delete val="1"/>
          </c:dLbls>
          <c:cat>
            <c:numRef>
              <c:f>'G1.1'!$B$5:$D$5</c:f>
              <c:numCache>
                <c:formatCode>General</c:formatCode>
                <c:ptCount val="3"/>
                <c:pt idx="0">
                  <c:v>2014</c:v>
                </c:pt>
                <c:pt idx="1">
                  <c:v>2019</c:v>
                </c:pt>
                <c:pt idx="2">
                  <c:v>2024</c:v>
                </c:pt>
              </c:numCache>
            </c:numRef>
          </c:cat>
          <c:val>
            <c:numRef>
              <c:f>'G1.1'!$B$6:$D$6</c:f>
              <c:numCache>
                <c:formatCode>#\ ###\ ###\ ##0</c:formatCode>
                <c:ptCount val="3"/>
                <c:pt idx="0">
                  <c:v>105.709</c:v>
                </c:pt>
                <c:pt idx="1">
                  <c:v>94.4204814</c:v>
                </c:pt>
                <c:pt idx="2">
                  <c:v>95.403697700000009</c:v>
                </c:pt>
              </c:numCache>
            </c:numRef>
          </c:val>
          <c:extLst>
            <c:ext xmlns:c16="http://schemas.microsoft.com/office/drawing/2014/chart" uri="{C3380CC4-5D6E-409C-BE32-E72D297353CC}">
              <c16:uniqueId val="{00000004-C5CD-4EC4-9700-11E2147EFAC9}"/>
            </c:ext>
          </c:extLst>
        </c:ser>
        <c:dLbls>
          <c:dLblPos val="ctr"/>
          <c:showLegendKey val="0"/>
          <c:showVal val="1"/>
          <c:showCatName val="0"/>
          <c:showSerName val="0"/>
          <c:showPercent val="0"/>
          <c:showBubbleSize val="0"/>
        </c:dLbls>
        <c:gapWidth val="112"/>
        <c:overlap val="100"/>
        <c:axId val="2028034928"/>
        <c:axId val="2028039504"/>
      </c:barChart>
      <c:catAx>
        <c:axId val="2028034928"/>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endParaRPr lang="cs-CZ"/>
          </a:p>
        </c:txPr>
        <c:crossAx val="2028039504"/>
        <c:crosses val="autoZero"/>
        <c:auto val="1"/>
        <c:lblAlgn val="ctr"/>
        <c:lblOffset val="100"/>
        <c:noMultiLvlLbl val="0"/>
      </c:catAx>
      <c:valAx>
        <c:axId val="2028039504"/>
        <c:scaling>
          <c:orientation val="minMax"/>
          <c:max val="5000"/>
        </c:scaling>
        <c:delete val="0"/>
        <c:axPos val="l"/>
        <c:majorGridlines>
          <c:spPr>
            <a:ln w="9525" cap="flat" cmpd="sng" algn="ctr">
              <a:solidFill>
                <a:schemeClr val="tx1">
                  <a:lumMod val="15000"/>
                  <a:lumOff val="85000"/>
                </a:schemeClr>
              </a:solidFill>
              <a:round/>
            </a:ln>
            <a:effectLst/>
          </c:spPr>
        </c:majorGridlines>
        <c:title>
          <c:tx>
            <c:rich>
              <a:bodyPr/>
              <a:lstStyle/>
              <a:p>
                <a:pPr>
                  <a:defRPr b="0">
                    <a:solidFill>
                      <a:schemeClr val="tx1"/>
                    </a:solidFill>
                  </a:defRPr>
                </a:pPr>
                <a:r>
                  <a:rPr lang="cs-CZ" b="0">
                    <a:solidFill>
                      <a:schemeClr val="tx1"/>
                    </a:solidFill>
                  </a:rPr>
                  <a:t>Počet pojištěných osob</a:t>
                </a:r>
                <a:r>
                  <a:rPr lang="cs-CZ" b="0" baseline="0">
                    <a:solidFill>
                      <a:schemeClr val="tx1"/>
                    </a:solidFill>
                  </a:rPr>
                  <a:t> (v tis.)</a:t>
                </a:r>
                <a:endParaRPr lang="cs-CZ" b="0">
                  <a:solidFill>
                    <a:schemeClr val="tx1"/>
                  </a:solidFill>
                </a:endParaRPr>
              </a:p>
            </c:rich>
          </c:tx>
          <c:layout>
            <c:manualLayout>
              <c:xMode val="edge"/>
              <c:yMode val="edge"/>
              <c:x val="1.8255066359516563E-2"/>
              <c:y val="0.24327027831880424"/>
            </c:manualLayout>
          </c:layout>
          <c:overlay val="0"/>
        </c:title>
        <c:numFmt formatCode="#,##0" sourceLinked="0"/>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endParaRPr lang="cs-CZ"/>
          </a:p>
        </c:txPr>
        <c:crossAx val="2028034928"/>
        <c:crosses val="autoZero"/>
        <c:crossBetween val="between"/>
        <c:majorUnit val="1000"/>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800">
          <a:solidFill>
            <a:schemeClr val="tx1"/>
          </a:solidFill>
          <a:latin typeface="Arial" panose="020B0604020202020204" pitchFamily="34" charset="0"/>
          <a:cs typeface="Arial" panose="020B0604020202020204" pitchFamily="34" charset="0"/>
        </a:defRPr>
      </a:pPr>
      <a:endParaRPr lang="cs-CZ"/>
    </a:p>
  </c:txPr>
  <c:externalData r:id="rId1">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4403888888888888"/>
          <c:y val="1.3711309523809521E-2"/>
          <c:w val="0.81650702614379089"/>
          <c:h val="0.90755328582570327"/>
        </c:manualLayout>
      </c:layout>
      <c:barChart>
        <c:barDir val="bar"/>
        <c:grouping val="clustered"/>
        <c:varyColors val="0"/>
        <c:ser>
          <c:idx val="0"/>
          <c:order val="0"/>
          <c:spPr>
            <a:solidFill>
              <a:srgbClr val="E6C483"/>
            </a:solidFill>
            <a:ln>
              <a:noFill/>
            </a:ln>
            <a:effectLst/>
          </c:spPr>
          <c:invertIfNegative val="0"/>
          <c:dPt>
            <c:idx val="6"/>
            <c:invertIfNegative val="0"/>
            <c:bubble3D val="0"/>
            <c:spPr>
              <a:solidFill>
                <a:srgbClr val="E6C483"/>
              </a:solidFill>
              <a:ln>
                <a:noFill/>
              </a:ln>
              <a:effectLst/>
            </c:spPr>
            <c:extLst>
              <c:ext xmlns:c16="http://schemas.microsoft.com/office/drawing/2014/chart" uri="{C3380CC4-5D6E-409C-BE32-E72D297353CC}">
                <c16:uniqueId val="{00000001-135E-45C9-9B7C-0C0A3498FC45}"/>
              </c:ext>
            </c:extLst>
          </c:dPt>
          <c:dPt>
            <c:idx val="7"/>
            <c:invertIfNegative val="0"/>
            <c:bubble3D val="0"/>
            <c:spPr>
              <a:solidFill>
                <a:srgbClr val="E6C483"/>
              </a:solidFill>
              <a:ln>
                <a:noFill/>
              </a:ln>
              <a:effectLst/>
            </c:spPr>
            <c:extLst>
              <c:ext xmlns:c16="http://schemas.microsoft.com/office/drawing/2014/chart" uri="{C3380CC4-5D6E-409C-BE32-E72D297353CC}">
                <c16:uniqueId val="{00000003-135E-45C9-9B7C-0C0A3498FC45}"/>
              </c:ext>
            </c:extLst>
          </c:dPt>
          <c:dPt>
            <c:idx val="8"/>
            <c:invertIfNegative val="0"/>
            <c:bubble3D val="0"/>
            <c:spPr>
              <a:solidFill>
                <a:srgbClr val="E6C483"/>
              </a:solidFill>
              <a:ln>
                <a:noFill/>
              </a:ln>
              <a:effectLst/>
            </c:spPr>
            <c:extLst>
              <c:ext xmlns:c16="http://schemas.microsoft.com/office/drawing/2014/chart" uri="{C3380CC4-5D6E-409C-BE32-E72D297353CC}">
                <c16:uniqueId val="{00000005-135E-45C9-9B7C-0C0A3498FC45}"/>
              </c:ext>
            </c:extLst>
          </c:dPt>
          <c:dPt>
            <c:idx val="10"/>
            <c:invertIfNegative val="0"/>
            <c:bubble3D val="0"/>
            <c:spPr>
              <a:solidFill>
                <a:srgbClr val="85898E"/>
              </a:solidFill>
              <a:ln>
                <a:noFill/>
              </a:ln>
              <a:effectLst/>
            </c:spPr>
            <c:extLst>
              <c:ext xmlns:c16="http://schemas.microsoft.com/office/drawing/2014/chart" uri="{C3380CC4-5D6E-409C-BE32-E72D297353CC}">
                <c16:uniqueId val="{00000007-135E-45C9-9B7C-0C0A3498FC45}"/>
              </c:ext>
            </c:extLst>
          </c:dPt>
          <c:dPt>
            <c:idx val="11"/>
            <c:invertIfNegative val="0"/>
            <c:bubble3D val="0"/>
            <c:spPr>
              <a:solidFill>
                <a:srgbClr val="CC9610"/>
              </a:solidFill>
              <a:ln>
                <a:noFill/>
              </a:ln>
              <a:effectLst/>
            </c:spPr>
            <c:extLst>
              <c:ext xmlns:c16="http://schemas.microsoft.com/office/drawing/2014/chart" uri="{C3380CC4-5D6E-409C-BE32-E72D297353CC}">
                <c16:uniqueId val="{00000009-135E-45C9-9B7C-0C0A3498FC45}"/>
              </c:ext>
            </c:extLst>
          </c:dPt>
          <c:dPt>
            <c:idx val="12"/>
            <c:invertIfNegative val="0"/>
            <c:bubble3D val="0"/>
            <c:spPr>
              <a:solidFill>
                <a:srgbClr val="E6C483"/>
              </a:solidFill>
              <a:ln>
                <a:noFill/>
              </a:ln>
              <a:effectLst/>
            </c:spPr>
            <c:extLst>
              <c:ext xmlns:c16="http://schemas.microsoft.com/office/drawing/2014/chart" uri="{C3380CC4-5D6E-409C-BE32-E72D297353CC}">
                <c16:uniqueId val="{0000000B-135E-45C9-9B7C-0C0A3498FC45}"/>
              </c:ext>
            </c:extLst>
          </c:dPt>
          <c:dPt>
            <c:idx val="16"/>
            <c:invertIfNegative val="0"/>
            <c:bubble3D val="0"/>
            <c:spPr>
              <a:solidFill>
                <a:srgbClr val="E6C483"/>
              </a:solidFill>
              <a:ln>
                <a:noFill/>
              </a:ln>
              <a:effectLst/>
            </c:spPr>
            <c:extLst>
              <c:ext xmlns:c16="http://schemas.microsoft.com/office/drawing/2014/chart" uri="{C3380CC4-5D6E-409C-BE32-E72D297353CC}">
                <c16:uniqueId val="{0000000D-135E-45C9-9B7C-0C0A3498FC45}"/>
              </c:ext>
            </c:extLst>
          </c:dPt>
          <c:dPt>
            <c:idx val="19"/>
            <c:invertIfNegative val="0"/>
            <c:bubble3D val="0"/>
            <c:spPr>
              <a:solidFill>
                <a:srgbClr val="E6C483"/>
              </a:solidFill>
              <a:ln>
                <a:noFill/>
              </a:ln>
              <a:effectLst/>
            </c:spPr>
            <c:extLst>
              <c:ext xmlns:c16="http://schemas.microsoft.com/office/drawing/2014/chart" uri="{C3380CC4-5D6E-409C-BE32-E72D297353CC}">
                <c16:uniqueId val="{0000000F-135E-45C9-9B7C-0C0A3498FC45}"/>
              </c:ext>
            </c:extLst>
          </c:dPt>
          <c:dPt>
            <c:idx val="20"/>
            <c:invertIfNegative val="0"/>
            <c:bubble3D val="0"/>
            <c:spPr>
              <a:solidFill>
                <a:srgbClr val="E6C483"/>
              </a:solidFill>
              <a:ln>
                <a:noFill/>
              </a:ln>
              <a:effectLst/>
            </c:spPr>
            <c:extLst>
              <c:ext xmlns:c16="http://schemas.microsoft.com/office/drawing/2014/chart" uri="{C3380CC4-5D6E-409C-BE32-E72D297353CC}">
                <c16:uniqueId val="{00000011-135E-45C9-9B7C-0C0A3498FC45}"/>
              </c:ext>
            </c:extLst>
          </c:dPt>
          <c:dLbls>
            <c:numFmt formatCode="#,##0.00" sourceLinked="0"/>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cs-CZ"/>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'G6.2'!$D$2:$D$29</c:f>
              <c:strCache>
                <c:ptCount val="28"/>
                <c:pt idx="0">
                  <c:v>Nizozemsko</c:v>
                </c:pt>
                <c:pt idx="1">
                  <c:v>Německo</c:v>
                </c:pt>
                <c:pt idx="2">
                  <c:v>Švédsko</c:v>
                </c:pt>
                <c:pt idx="3">
                  <c:v>Řecko</c:v>
                </c:pt>
                <c:pt idx="4">
                  <c:v>Irsko</c:v>
                </c:pt>
                <c:pt idx="5">
                  <c:v>Finsko</c:v>
                </c:pt>
                <c:pt idx="6">
                  <c:v>Polsko</c:v>
                </c:pt>
                <c:pt idx="7">
                  <c:v>Dánsko</c:v>
                </c:pt>
                <c:pt idx="8">
                  <c:v>Belgie</c:v>
                </c:pt>
                <c:pt idx="9">
                  <c:v>Slovensko</c:v>
                </c:pt>
                <c:pt idx="10">
                  <c:v>EU27</c:v>
                </c:pt>
                <c:pt idx="11">
                  <c:v>Česko</c:v>
                </c:pt>
                <c:pt idx="12">
                  <c:v>Maďarsko</c:v>
                </c:pt>
                <c:pt idx="13">
                  <c:v>Slovinsko</c:v>
                </c:pt>
                <c:pt idx="14">
                  <c:v>Itálie</c:v>
                </c:pt>
                <c:pt idx="15">
                  <c:v>Rumunsko</c:v>
                </c:pt>
                <c:pt idx="16">
                  <c:v>Španělsko</c:v>
                </c:pt>
                <c:pt idx="17">
                  <c:v>Kypr</c:v>
                </c:pt>
                <c:pt idx="18">
                  <c:v>Estonsko</c:v>
                </c:pt>
                <c:pt idx="19">
                  <c:v>Chorvatsko</c:v>
                </c:pt>
                <c:pt idx="20">
                  <c:v>Litva</c:v>
                </c:pt>
                <c:pt idx="21">
                  <c:v>Rakousko</c:v>
                </c:pt>
                <c:pt idx="22">
                  <c:v>Portugalsko</c:v>
                </c:pt>
                <c:pt idx="23">
                  <c:v>Lucembursko</c:v>
                </c:pt>
                <c:pt idx="24">
                  <c:v>Bulharsko</c:v>
                </c:pt>
                <c:pt idx="25">
                  <c:v>Lotyšsko</c:v>
                </c:pt>
                <c:pt idx="26">
                  <c:v>Francie</c:v>
                </c:pt>
                <c:pt idx="27">
                  <c:v>Malta</c:v>
                </c:pt>
              </c:strCache>
            </c:strRef>
          </c:cat>
          <c:val>
            <c:numRef>
              <c:f>'G6.2'!$E$2:$E$29</c:f>
              <c:numCache>
                <c:formatCode>#\ ##0.0</c:formatCode>
                <c:ptCount val="28"/>
                <c:pt idx="0">
                  <c:v>0.43</c:v>
                </c:pt>
                <c:pt idx="1">
                  <c:v>0.95</c:v>
                </c:pt>
                <c:pt idx="2">
                  <c:v>0.99</c:v>
                </c:pt>
                <c:pt idx="3">
                  <c:v>1.1399999999999999</c:v>
                </c:pt>
                <c:pt idx="4">
                  <c:v>1.2</c:v>
                </c:pt>
                <c:pt idx="5">
                  <c:v>1.3</c:v>
                </c:pt>
                <c:pt idx="6">
                  <c:v>1.33</c:v>
                </c:pt>
                <c:pt idx="7">
                  <c:v>1.72</c:v>
                </c:pt>
                <c:pt idx="8">
                  <c:v>1.84</c:v>
                </c:pt>
                <c:pt idx="9">
                  <c:v>2.02</c:v>
                </c:pt>
                <c:pt idx="10">
                  <c:v>2.1</c:v>
                </c:pt>
                <c:pt idx="11">
                  <c:v>2.15</c:v>
                </c:pt>
                <c:pt idx="12">
                  <c:v>2.29</c:v>
                </c:pt>
                <c:pt idx="13">
                  <c:v>2.37</c:v>
                </c:pt>
                <c:pt idx="14">
                  <c:v>2.52</c:v>
                </c:pt>
                <c:pt idx="15">
                  <c:v>2.79</c:v>
                </c:pt>
                <c:pt idx="16">
                  <c:v>2.79</c:v>
                </c:pt>
                <c:pt idx="17">
                  <c:v>3.04</c:v>
                </c:pt>
                <c:pt idx="18">
                  <c:v>3.14</c:v>
                </c:pt>
                <c:pt idx="19">
                  <c:v>3.23</c:v>
                </c:pt>
                <c:pt idx="20">
                  <c:v>3.36</c:v>
                </c:pt>
                <c:pt idx="21">
                  <c:v>3.57</c:v>
                </c:pt>
                <c:pt idx="22">
                  <c:v>3.93</c:v>
                </c:pt>
                <c:pt idx="23">
                  <c:v>4.03</c:v>
                </c:pt>
                <c:pt idx="24">
                  <c:v>4.24</c:v>
                </c:pt>
                <c:pt idx="25">
                  <c:v>4.37</c:v>
                </c:pt>
                <c:pt idx="26">
                  <c:v>4.38</c:v>
                </c:pt>
                <c:pt idx="27">
                  <c:v>7.64</c:v>
                </c:pt>
              </c:numCache>
            </c:numRef>
          </c:val>
          <c:extLst>
            <c:ext xmlns:c16="http://schemas.microsoft.com/office/drawing/2014/chart" uri="{C3380CC4-5D6E-409C-BE32-E72D297353CC}">
              <c16:uniqueId val="{00000012-135E-45C9-9B7C-0C0A3498FC45}"/>
            </c:ext>
          </c:extLst>
        </c:ser>
        <c:dLbls>
          <c:showLegendKey val="0"/>
          <c:showVal val="0"/>
          <c:showCatName val="0"/>
          <c:showSerName val="0"/>
          <c:showPercent val="0"/>
          <c:showBubbleSize val="0"/>
        </c:dLbls>
        <c:gapWidth val="70"/>
        <c:axId val="876653215"/>
        <c:axId val="876650303"/>
      </c:barChart>
      <c:catAx>
        <c:axId val="876653215"/>
        <c:scaling>
          <c:orientation val="minMax"/>
        </c:scaling>
        <c:delete val="0"/>
        <c:axPos val="l"/>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cs-CZ"/>
          </a:p>
        </c:txPr>
        <c:crossAx val="876650303"/>
        <c:crosses val="autoZero"/>
        <c:auto val="1"/>
        <c:lblAlgn val="ctr"/>
        <c:lblOffset val="100"/>
        <c:noMultiLvlLbl val="0"/>
      </c:catAx>
      <c:valAx>
        <c:axId val="876650303"/>
        <c:scaling>
          <c:orientation val="minMax"/>
          <c:max val="8"/>
          <c:min val="0"/>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cs-CZ"/>
                  <a:t>P</a:t>
                </a:r>
                <a:r>
                  <a:rPr lang="en-US"/>
                  <a:t>očet případů</a:t>
                </a:r>
                <a:r>
                  <a:rPr lang="cs-CZ"/>
                  <a:t> na 100 tisíc zaměstnaných osob</a:t>
                </a:r>
                <a:r>
                  <a:rPr lang="en-US"/>
                  <a:t> </a:t>
                </a:r>
              </a:p>
            </c:rich>
          </c:tx>
          <c:layout>
            <c:manualLayout>
              <c:xMode val="edge"/>
              <c:yMode val="edge"/>
              <c:x val="0.39544330065359479"/>
              <c:y val="0.96456329365079385"/>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cs-CZ"/>
            </a:p>
          </c:txPr>
        </c:title>
        <c:numFmt formatCode="#,##0" sourceLinked="0"/>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cs-CZ"/>
          </a:p>
        </c:txPr>
        <c:crossAx val="876653215"/>
        <c:crosses val="autoZero"/>
        <c:crossBetween val="between"/>
        <c:majorUnit val="2"/>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800">
          <a:solidFill>
            <a:sysClr val="windowText" lastClr="000000"/>
          </a:solidFill>
          <a:latin typeface="Arial" panose="020B0604020202020204" pitchFamily="34" charset="0"/>
          <a:cs typeface="Arial" panose="020B0604020202020204" pitchFamily="34" charset="0"/>
        </a:defRPr>
      </a:pPr>
      <a:endParaRPr lang="cs-CZ"/>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50309004256070144"/>
          <c:y val="5.7892658730158732E-2"/>
          <c:w val="0.46367862053976677"/>
          <c:h val="0.87039880952380955"/>
        </c:manualLayout>
      </c:layout>
      <c:barChart>
        <c:barDir val="bar"/>
        <c:grouping val="clustered"/>
        <c:varyColors val="0"/>
        <c:ser>
          <c:idx val="0"/>
          <c:order val="0"/>
          <c:tx>
            <c:strRef>
              <c:f>'G1.2'!$T$27</c:f>
              <c:strCache>
                <c:ptCount val="1"/>
                <c:pt idx="0">
                  <c:v> 2014</c:v>
                </c:pt>
              </c:strCache>
            </c:strRef>
          </c:tx>
          <c:spPr>
            <a:solidFill>
              <a:srgbClr val="E6C483"/>
            </a:solidFill>
            <a:ln>
              <a:noFill/>
            </a:ln>
            <a:effectLst/>
          </c:spPr>
          <c:invertIfNegative val="0"/>
          <c:dLbls>
            <c:dLbl>
              <c:idx val="0"/>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5CA-497F-9794-2496510CB450}"/>
                </c:ext>
              </c:extLst>
            </c:dLbl>
            <c:dLbl>
              <c:idx val="1"/>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5CA-497F-9794-2496510CB450}"/>
                </c:ext>
              </c:extLst>
            </c:dLbl>
            <c:dLbl>
              <c:idx val="2"/>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F5CA-497F-9794-2496510CB450}"/>
                </c:ext>
              </c:extLst>
            </c:dLbl>
            <c:dLbl>
              <c:idx val="3"/>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F5CA-497F-9794-2496510CB450}"/>
                </c:ext>
              </c:extLst>
            </c:dLbl>
            <c:dLbl>
              <c:idx val="4"/>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F5CA-497F-9794-2496510CB450}"/>
                </c:ext>
              </c:extLst>
            </c:dLbl>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tx1"/>
                    </a:solidFill>
                    <a:latin typeface="Arial" panose="020B0604020202020204" pitchFamily="34" charset="0"/>
                    <a:ea typeface="+mn-ea"/>
                    <a:cs typeface="Arial" panose="020B0604020202020204" pitchFamily="34" charset="0"/>
                  </a:defRPr>
                </a:pPr>
                <a:endParaRPr lang="cs-CZ"/>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'G1.2'!$R$28:$R$47</c:f>
              <c:strCache>
                <c:ptCount val="19"/>
                <c:pt idx="0">
                  <c:v>B – Těžba a dobývání</c:v>
                </c:pt>
                <c:pt idx="1">
                  <c:v>D – Výroba a rozvod elektřiny, plynu, tepla a klimatiz. vzduchu</c:v>
                </c:pt>
                <c:pt idx="2">
                  <c:v>E – Zásobování vodou; činnosti související s odpady a sanacemi</c:v>
                </c:pt>
                <c:pt idx="3">
                  <c:v>S – Ostatní činnosti</c:v>
                </c:pt>
                <c:pt idx="4">
                  <c:v>R – Kulturní, zábavní a rekreační činnosti</c:v>
                </c:pt>
                <c:pt idx="5">
                  <c:v>L – Činnosti v oblasti nemovitostí</c:v>
                </c:pt>
                <c:pt idx="6">
                  <c:v>K – Peněžnictví a pojišťovnictví</c:v>
                </c:pt>
                <c:pt idx="7">
                  <c:v>A – Zemědělství, lesnictví, rybářství</c:v>
                </c:pt>
                <c:pt idx="8">
                  <c:v>I – Ubytování, stravování a pohostinství</c:v>
                </c:pt>
                <c:pt idx="9">
                  <c:v>J – Informační a komunikační činnosti</c:v>
                </c:pt>
                <c:pt idx="10">
                  <c:v>M – Profesní, vědecké a technické činnosti</c:v>
                </c:pt>
                <c:pt idx="11">
                  <c:v>F – Stavebnictví</c:v>
                </c:pt>
                <c:pt idx="12">
                  <c:v>N – Administrativní a podpůrné činnosti</c:v>
                </c:pt>
                <c:pt idx="13">
                  <c:v>O – Veřejná správa a obrana; povinné sociální zabezpečení</c:v>
                </c:pt>
                <c:pt idx="14">
                  <c:v>H – Doprava a skladování</c:v>
                </c:pt>
                <c:pt idx="15">
                  <c:v>Q – Zdravotní a sociální péče</c:v>
                </c:pt>
                <c:pt idx="16">
                  <c:v>P – Vzdělávání</c:v>
                </c:pt>
                <c:pt idx="17">
                  <c:v>G – Velkoobchod a maloobchod; opravy a údržba motor. vozidel</c:v>
                </c:pt>
                <c:pt idx="18">
                  <c:v>C – Zpracovatelský průmysl</c:v>
                </c:pt>
              </c:strCache>
            </c:strRef>
          </c:cat>
          <c:val>
            <c:numRef>
              <c:f>'G1.2'!$T$28:$T$47</c:f>
              <c:numCache>
                <c:formatCode>#,##0</c:formatCode>
                <c:ptCount val="19"/>
                <c:pt idx="0">
                  <c:v>31.948</c:v>
                </c:pt>
                <c:pt idx="1">
                  <c:v>32.6</c:v>
                </c:pt>
                <c:pt idx="2">
                  <c:v>57.606999999999999</c:v>
                </c:pt>
                <c:pt idx="3">
                  <c:v>64.382999999999996</c:v>
                </c:pt>
                <c:pt idx="4">
                  <c:v>63.866999999999997</c:v>
                </c:pt>
                <c:pt idx="5">
                  <c:v>91.222999999999999</c:v>
                </c:pt>
                <c:pt idx="6">
                  <c:v>74.742000000000004</c:v>
                </c:pt>
                <c:pt idx="7">
                  <c:v>112.878</c:v>
                </c:pt>
                <c:pt idx="8">
                  <c:v>134.738</c:v>
                </c:pt>
                <c:pt idx="9">
                  <c:v>115.919</c:v>
                </c:pt>
                <c:pt idx="10">
                  <c:v>201.078</c:v>
                </c:pt>
                <c:pt idx="11">
                  <c:v>240.12899999999999</c:v>
                </c:pt>
                <c:pt idx="12">
                  <c:v>260.35199999999998</c:v>
                </c:pt>
                <c:pt idx="13">
                  <c:v>244.459</c:v>
                </c:pt>
                <c:pt idx="14">
                  <c:v>276.96699999999998</c:v>
                </c:pt>
                <c:pt idx="15">
                  <c:v>333.642</c:v>
                </c:pt>
                <c:pt idx="16">
                  <c:v>340.40699999999998</c:v>
                </c:pt>
                <c:pt idx="17">
                  <c:v>603.71100000000001</c:v>
                </c:pt>
                <c:pt idx="18">
                  <c:v>1160.604</c:v>
                </c:pt>
              </c:numCache>
            </c:numRef>
          </c:val>
          <c:extLst>
            <c:ext xmlns:c16="http://schemas.microsoft.com/office/drawing/2014/chart" uri="{C3380CC4-5D6E-409C-BE32-E72D297353CC}">
              <c16:uniqueId val="{00000005-F5CA-497F-9794-2496510CB450}"/>
            </c:ext>
          </c:extLst>
        </c:ser>
        <c:ser>
          <c:idx val="1"/>
          <c:order val="1"/>
          <c:tx>
            <c:strRef>
              <c:f>'G1.2'!$S$27</c:f>
              <c:strCache>
                <c:ptCount val="1"/>
                <c:pt idx="0">
                  <c:v> 2024</c:v>
                </c:pt>
              </c:strCache>
            </c:strRef>
          </c:tx>
          <c:spPr>
            <a:solidFill>
              <a:srgbClr val="CC9610"/>
            </a:solidFill>
            <a:ln>
              <a:noFill/>
            </a:ln>
            <a:effectLst/>
          </c:spPr>
          <c:invertIfNegative val="0"/>
          <c:dLbls>
            <c:dLbl>
              <c:idx val="0"/>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F5CA-497F-9794-2496510CB450}"/>
                </c:ext>
              </c:extLst>
            </c:dLbl>
            <c:dLbl>
              <c:idx val="1"/>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F5CA-497F-9794-2496510CB450}"/>
                </c:ext>
              </c:extLst>
            </c:dLbl>
            <c:dLbl>
              <c:idx val="2"/>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F5CA-497F-9794-2496510CB450}"/>
                </c:ext>
              </c:extLst>
            </c:dLbl>
            <c:dLbl>
              <c:idx val="3"/>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F5CA-497F-9794-2496510CB450}"/>
                </c:ext>
              </c:extLst>
            </c:dLbl>
            <c:dLbl>
              <c:idx val="4"/>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F5CA-497F-9794-2496510CB450}"/>
                </c:ext>
              </c:extLst>
            </c:dLbl>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tx1"/>
                    </a:solidFill>
                    <a:latin typeface="Arial" panose="020B0604020202020204" pitchFamily="34" charset="0"/>
                    <a:ea typeface="+mn-ea"/>
                    <a:cs typeface="Arial" panose="020B0604020202020204" pitchFamily="34" charset="0"/>
                  </a:defRPr>
                </a:pPr>
                <a:endParaRPr lang="cs-CZ"/>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'G1.2'!$R$28:$R$47</c:f>
              <c:strCache>
                <c:ptCount val="19"/>
                <c:pt idx="0">
                  <c:v>B – Těžba a dobývání</c:v>
                </c:pt>
                <c:pt idx="1">
                  <c:v>D – Výroba a rozvod elektřiny, plynu, tepla a klimatiz. vzduchu</c:v>
                </c:pt>
                <c:pt idx="2">
                  <c:v>E – Zásobování vodou; činnosti související s odpady a sanacemi</c:v>
                </c:pt>
                <c:pt idx="3">
                  <c:v>S – Ostatní činnosti</c:v>
                </c:pt>
                <c:pt idx="4">
                  <c:v>R – Kulturní, zábavní a rekreační činnosti</c:v>
                </c:pt>
                <c:pt idx="5">
                  <c:v>L – Činnosti v oblasti nemovitostí</c:v>
                </c:pt>
                <c:pt idx="6">
                  <c:v>K – Peněžnictví a pojišťovnictví</c:v>
                </c:pt>
                <c:pt idx="7">
                  <c:v>A – Zemědělství, lesnictví, rybářství</c:v>
                </c:pt>
                <c:pt idx="8">
                  <c:v>I – Ubytování, stravování a pohostinství</c:v>
                </c:pt>
                <c:pt idx="9">
                  <c:v>J – Informační a komunikační činnosti</c:v>
                </c:pt>
                <c:pt idx="10">
                  <c:v>M – Profesní, vědecké a technické činnosti</c:v>
                </c:pt>
                <c:pt idx="11">
                  <c:v>F – Stavebnictví</c:v>
                </c:pt>
                <c:pt idx="12">
                  <c:v>N – Administrativní a podpůrné činnosti</c:v>
                </c:pt>
                <c:pt idx="13">
                  <c:v>O – Veřejná správa a obrana; povinné sociální zabezpečení</c:v>
                </c:pt>
                <c:pt idx="14">
                  <c:v>H – Doprava a skladování</c:v>
                </c:pt>
                <c:pt idx="15">
                  <c:v>Q – Zdravotní a sociální péče</c:v>
                </c:pt>
                <c:pt idx="16">
                  <c:v>P – Vzdělávání</c:v>
                </c:pt>
                <c:pt idx="17">
                  <c:v>G – Velkoobchod a maloobchod; opravy a údržba motor. vozidel</c:v>
                </c:pt>
                <c:pt idx="18">
                  <c:v>C – Zpracovatelský průmysl</c:v>
                </c:pt>
              </c:strCache>
            </c:strRef>
          </c:cat>
          <c:val>
            <c:numRef>
              <c:f>'G1.2'!$S$28:$S$47</c:f>
              <c:numCache>
                <c:formatCode>#,##0</c:formatCode>
                <c:ptCount val="19"/>
                <c:pt idx="0">
                  <c:v>18.050717899999999</c:v>
                </c:pt>
                <c:pt idx="1">
                  <c:v>39.4409122</c:v>
                </c:pt>
                <c:pt idx="2">
                  <c:v>59.111961399999998</c:v>
                </c:pt>
                <c:pt idx="3">
                  <c:v>62.265968000000001</c:v>
                </c:pt>
                <c:pt idx="4">
                  <c:v>66.459773900000002</c:v>
                </c:pt>
                <c:pt idx="5">
                  <c:v>75.647460000000009</c:v>
                </c:pt>
                <c:pt idx="6">
                  <c:v>90.125020399999997</c:v>
                </c:pt>
                <c:pt idx="7">
                  <c:v>106.3890263</c:v>
                </c:pt>
                <c:pt idx="8">
                  <c:v>145.91659039999999</c:v>
                </c:pt>
                <c:pt idx="9">
                  <c:v>159.41817069999999</c:v>
                </c:pt>
                <c:pt idx="10">
                  <c:v>231.4655424</c:v>
                </c:pt>
                <c:pt idx="11">
                  <c:v>245.1909082</c:v>
                </c:pt>
                <c:pt idx="12">
                  <c:v>250.12572370000001</c:v>
                </c:pt>
                <c:pt idx="13">
                  <c:v>255.9729528</c:v>
                </c:pt>
                <c:pt idx="14">
                  <c:v>295.26495770000002</c:v>
                </c:pt>
                <c:pt idx="15">
                  <c:v>450.33611719999999</c:v>
                </c:pt>
                <c:pt idx="16">
                  <c:v>456.0387604</c:v>
                </c:pt>
                <c:pt idx="17">
                  <c:v>610.47958089999997</c:v>
                </c:pt>
                <c:pt idx="18">
                  <c:v>1147.0884658</c:v>
                </c:pt>
              </c:numCache>
            </c:numRef>
          </c:val>
          <c:extLst>
            <c:ext xmlns:c16="http://schemas.microsoft.com/office/drawing/2014/chart" uri="{C3380CC4-5D6E-409C-BE32-E72D297353CC}">
              <c16:uniqueId val="{0000000B-F5CA-497F-9794-2496510CB450}"/>
            </c:ext>
          </c:extLst>
        </c:ser>
        <c:dLbls>
          <c:dLblPos val="inEnd"/>
          <c:showLegendKey val="0"/>
          <c:showVal val="1"/>
          <c:showCatName val="0"/>
          <c:showSerName val="0"/>
          <c:showPercent val="0"/>
          <c:showBubbleSize val="0"/>
        </c:dLbls>
        <c:gapWidth val="71"/>
        <c:axId val="1399933295"/>
        <c:axId val="1399945775"/>
      </c:barChart>
      <c:catAx>
        <c:axId val="1399933295"/>
        <c:scaling>
          <c:orientation val="minMax"/>
        </c:scaling>
        <c:delete val="0"/>
        <c:axPos val="l"/>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cs-CZ"/>
          </a:p>
        </c:txPr>
        <c:crossAx val="1399945775"/>
        <c:crosses val="autoZero"/>
        <c:auto val="1"/>
        <c:lblAlgn val="r"/>
        <c:lblOffset val="100"/>
        <c:noMultiLvlLbl val="0"/>
      </c:catAx>
      <c:valAx>
        <c:axId val="1399945775"/>
        <c:scaling>
          <c:orientation val="minMax"/>
          <c:max val="800"/>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cs-CZ"/>
                  <a:t>Počet pojištěných osob (v tis.)</a:t>
                </a:r>
                <a:endParaRPr lang="en-US"/>
              </a:p>
            </c:rich>
          </c:tx>
          <c:layout>
            <c:manualLayout>
              <c:xMode val="edge"/>
              <c:yMode val="edge"/>
              <c:x val="0.62847777777777769"/>
              <c:y val="0.96758928571428571"/>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cs-CZ"/>
            </a:p>
          </c:txPr>
        </c:title>
        <c:numFmt formatCode="#,##0"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cs-CZ"/>
          </a:p>
        </c:txPr>
        <c:crossAx val="1399933295"/>
        <c:crosses val="autoZero"/>
        <c:crossBetween val="between"/>
        <c:majorUnit val="200"/>
      </c:valAx>
      <c:spPr>
        <a:noFill/>
        <a:ln>
          <a:noFill/>
        </a:ln>
        <a:effectLst/>
      </c:spPr>
    </c:plotArea>
    <c:legend>
      <c:legendPos val="b"/>
      <c:layout>
        <c:manualLayout>
          <c:xMode val="edge"/>
          <c:yMode val="edge"/>
          <c:x val="0.6278075233332161"/>
          <c:y val="1.1891678463966729E-2"/>
          <c:w val="0.23475163398692811"/>
          <c:h val="4.078670634920635E-2"/>
        </c:manualLayout>
      </c:layout>
      <c:overlay val="0"/>
      <c:spPr>
        <a:solidFill>
          <a:schemeClr val="bg1"/>
        </a:solid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cs-CZ"/>
        </a:p>
      </c:txPr>
    </c:legend>
    <c:plotVisOnly val="1"/>
    <c:dispBlanksAs val="gap"/>
    <c:showDLblsOverMax val="0"/>
  </c:chart>
  <c:spPr>
    <a:solidFill>
      <a:schemeClr val="bg1"/>
    </a:solidFill>
    <a:ln w="9525" cap="flat" cmpd="sng" algn="ctr">
      <a:noFill/>
      <a:round/>
    </a:ln>
    <a:effectLst/>
  </c:spPr>
  <c:txPr>
    <a:bodyPr/>
    <a:lstStyle/>
    <a:p>
      <a:pPr>
        <a:defRPr sz="800">
          <a:solidFill>
            <a:sysClr val="windowText" lastClr="000000"/>
          </a:solidFill>
          <a:latin typeface="Arial" panose="020B0604020202020204" pitchFamily="34" charset="0"/>
          <a:cs typeface="Arial" panose="020B0604020202020204" pitchFamily="34" charset="0"/>
        </a:defRPr>
      </a:pPr>
      <a:endParaRPr lang="cs-CZ"/>
    </a:p>
  </c:txPr>
  <c:externalData r:id="rId3">
    <c:autoUpdate val="0"/>
  </c:externalData>
  <c:userShapes r:id="rId4"/>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'G2.1+2.2'!$A$29</c:f>
              <c:strCache>
                <c:ptCount val="1"/>
                <c:pt idx="0">
                  <c:v> 1. pololetí</c:v>
                </c:pt>
              </c:strCache>
            </c:strRef>
          </c:tx>
          <c:spPr>
            <a:solidFill>
              <a:srgbClr val="CC9610"/>
            </a:solidFill>
            <a:ln>
              <a:noFill/>
            </a:ln>
            <a:effectLst/>
          </c:spPr>
          <c:invertIfNegative val="0"/>
          <c:dLbls>
            <c:spPr>
              <a:noFill/>
              <a:ln>
                <a:noFill/>
              </a:ln>
              <a:effectLst/>
            </c:spPr>
            <c:txPr>
              <a:bodyPr rot="-5400000" spcFirstLastPara="1" vertOverflow="ellipsis" wrap="square" lIns="38100" tIns="19050" rIns="38100" bIns="19050" anchor="ctr" anchorCtr="1">
                <a:spAutoFit/>
              </a:bodyPr>
              <a:lstStyle/>
              <a:p>
                <a:pPr>
                  <a:defRPr sz="800" b="1" i="0" u="none" strike="noStrike" kern="1200" baseline="0">
                    <a:solidFill>
                      <a:schemeClr val="tx1"/>
                    </a:solidFill>
                    <a:latin typeface="Arial" panose="020B0604020202020204" pitchFamily="34" charset="0"/>
                    <a:ea typeface="+mn-ea"/>
                    <a:cs typeface="Arial" panose="020B0604020202020204" pitchFamily="34" charset="0"/>
                  </a:defRPr>
                </a:pPr>
                <a:endParaRPr lang="cs-CZ"/>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'G2.1+2.2'!$B$28:$K$28</c:f>
              <c:strCache>
                <c:ptCount val="10"/>
                <c:pt idx="0">
                  <c:v>2015</c:v>
                </c:pt>
                <c:pt idx="1">
                  <c:v>2016</c:v>
                </c:pt>
                <c:pt idx="2">
                  <c:v>2017</c:v>
                </c:pt>
                <c:pt idx="3">
                  <c:v>2018</c:v>
                </c:pt>
                <c:pt idx="4">
                  <c:v>2019</c:v>
                </c:pt>
                <c:pt idx="5">
                  <c:v>2020</c:v>
                </c:pt>
                <c:pt idx="6">
                  <c:v>2021</c:v>
                </c:pt>
                <c:pt idx="7">
                  <c:v>2022*</c:v>
                </c:pt>
                <c:pt idx="8">
                  <c:v>2023</c:v>
                </c:pt>
                <c:pt idx="9">
                  <c:v>2024</c:v>
                </c:pt>
              </c:strCache>
            </c:strRef>
          </c:cat>
          <c:val>
            <c:numRef>
              <c:f>'G2.1+2.2'!$B$29:$K$29</c:f>
              <c:numCache>
                <c:formatCode>#,##0</c:formatCode>
                <c:ptCount val="10"/>
                <c:pt idx="0">
                  <c:v>873.85799999999995</c:v>
                </c:pt>
                <c:pt idx="1">
                  <c:v>876.46699999999998</c:v>
                </c:pt>
                <c:pt idx="2">
                  <c:v>944.72299999999996</c:v>
                </c:pt>
                <c:pt idx="3">
                  <c:v>1040.23</c:v>
                </c:pt>
                <c:pt idx="4">
                  <c:v>974.97400000000005</c:v>
                </c:pt>
                <c:pt idx="5" formatCode="###\ ###\ ##0">
                  <c:v>1070.067</c:v>
                </c:pt>
                <c:pt idx="6" formatCode="###\ ###\ ##0">
                  <c:v>1399.434</c:v>
                </c:pt>
                <c:pt idx="7" formatCode="###\ ###\ ##0">
                  <c:v>2053.9259999999999</c:v>
                </c:pt>
                <c:pt idx="8">
                  <c:v>1327.877</c:v>
                </c:pt>
                <c:pt idx="9">
                  <c:v>1276.2239999999999</c:v>
                </c:pt>
              </c:numCache>
            </c:numRef>
          </c:val>
          <c:extLst>
            <c:ext xmlns:c16="http://schemas.microsoft.com/office/drawing/2014/chart" uri="{C3380CC4-5D6E-409C-BE32-E72D297353CC}">
              <c16:uniqueId val="{00000000-A41F-4FCB-B421-E28BB3896D1A}"/>
            </c:ext>
          </c:extLst>
        </c:ser>
        <c:ser>
          <c:idx val="1"/>
          <c:order val="1"/>
          <c:tx>
            <c:strRef>
              <c:f>'G2.1+2.2'!$A$30</c:f>
              <c:strCache>
                <c:ptCount val="1"/>
                <c:pt idx="0">
                  <c:v> 2. pololetí</c:v>
                </c:pt>
              </c:strCache>
            </c:strRef>
          </c:tx>
          <c:spPr>
            <a:solidFill>
              <a:srgbClr val="E6C483"/>
            </a:solidFill>
            <a:ln>
              <a:noFill/>
            </a:ln>
            <a:effectLst/>
          </c:spPr>
          <c:invertIfNegative val="0"/>
          <c:dLbls>
            <c:spPr>
              <a:noFill/>
              <a:ln>
                <a:noFill/>
              </a:ln>
              <a:effectLst/>
            </c:spPr>
            <c:txPr>
              <a:bodyPr rot="-5400000" spcFirstLastPara="1" vertOverflow="ellipsis" wrap="square" lIns="38100" tIns="19050" rIns="38100" bIns="19050" anchor="ctr" anchorCtr="1">
                <a:spAutoFit/>
              </a:bodyPr>
              <a:lstStyle/>
              <a:p>
                <a:pPr>
                  <a:defRPr sz="800" b="1" i="0" u="none" strike="noStrike" kern="1200" baseline="0">
                    <a:solidFill>
                      <a:schemeClr val="tx1"/>
                    </a:solidFill>
                    <a:latin typeface="Arial" panose="020B0604020202020204" pitchFamily="34" charset="0"/>
                    <a:ea typeface="+mn-ea"/>
                    <a:cs typeface="Arial" panose="020B0604020202020204" pitchFamily="34" charset="0"/>
                  </a:defRPr>
                </a:pPr>
                <a:endParaRPr lang="cs-CZ"/>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'G2.1+2.2'!$B$28:$K$28</c:f>
              <c:strCache>
                <c:ptCount val="10"/>
                <c:pt idx="0">
                  <c:v>2015</c:v>
                </c:pt>
                <c:pt idx="1">
                  <c:v>2016</c:v>
                </c:pt>
                <c:pt idx="2">
                  <c:v>2017</c:v>
                </c:pt>
                <c:pt idx="3">
                  <c:v>2018</c:v>
                </c:pt>
                <c:pt idx="4">
                  <c:v>2019</c:v>
                </c:pt>
                <c:pt idx="5">
                  <c:v>2020</c:v>
                </c:pt>
                <c:pt idx="6">
                  <c:v>2021</c:v>
                </c:pt>
                <c:pt idx="7">
                  <c:v>2022*</c:v>
                </c:pt>
                <c:pt idx="8">
                  <c:v>2023</c:v>
                </c:pt>
                <c:pt idx="9">
                  <c:v>2024</c:v>
                </c:pt>
              </c:strCache>
            </c:strRef>
          </c:cat>
          <c:val>
            <c:numRef>
              <c:f>'G2.1+2.2'!$B$30:$K$30</c:f>
              <c:numCache>
                <c:formatCode>###\ ###\ ##0</c:formatCode>
                <c:ptCount val="10"/>
                <c:pt idx="0">
                  <c:v>689.60000000000014</c:v>
                </c:pt>
                <c:pt idx="1">
                  <c:v>756.88</c:v>
                </c:pt>
                <c:pt idx="2">
                  <c:v>762.79</c:v>
                </c:pt>
                <c:pt idx="3">
                  <c:v>809.22499999999991</c:v>
                </c:pt>
                <c:pt idx="4">
                  <c:v>939.83900000000006</c:v>
                </c:pt>
                <c:pt idx="5">
                  <c:v>1320.9670000000001</c:v>
                </c:pt>
                <c:pt idx="6">
                  <c:v>1355.3390000000002</c:v>
                </c:pt>
                <c:pt idx="7">
                  <c:v>1403.7069999999999</c:v>
                </c:pt>
                <c:pt idx="8">
                  <c:v>1207.2890000000002</c:v>
                </c:pt>
                <c:pt idx="9">
                  <c:v>1199.9379999999999</c:v>
                </c:pt>
              </c:numCache>
            </c:numRef>
          </c:val>
          <c:extLst>
            <c:ext xmlns:c16="http://schemas.microsoft.com/office/drawing/2014/chart" uri="{C3380CC4-5D6E-409C-BE32-E72D297353CC}">
              <c16:uniqueId val="{00000001-A41F-4FCB-B421-E28BB3896D1A}"/>
            </c:ext>
          </c:extLst>
        </c:ser>
        <c:dLbls>
          <c:showLegendKey val="0"/>
          <c:showVal val="0"/>
          <c:showCatName val="0"/>
          <c:showSerName val="0"/>
          <c:showPercent val="0"/>
          <c:showBubbleSize val="0"/>
        </c:dLbls>
        <c:gapWidth val="50"/>
        <c:axId val="170191583"/>
        <c:axId val="170190335"/>
      </c:barChart>
      <c:catAx>
        <c:axId val="170191583"/>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cs-CZ"/>
          </a:p>
        </c:txPr>
        <c:crossAx val="170190335"/>
        <c:crosses val="autoZero"/>
        <c:auto val="1"/>
        <c:lblAlgn val="ctr"/>
        <c:lblOffset val="100"/>
        <c:noMultiLvlLbl val="0"/>
      </c:catAx>
      <c:valAx>
        <c:axId val="170190335"/>
        <c:scaling>
          <c:orientation val="minMax"/>
          <c:max val="21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cs-CZ"/>
                  <a:t>Počet případů (v tis.)</a:t>
                </a:r>
              </a:p>
            </c:rich>
          </c:tx>
          <c:layout>
            <c:manualLayout>
              <c:xMode val="edge"/>
              <c:yMode val="edge"/>
              <c:x val="1.7316017316017316E-2"/>
              <c:y val="0.28056422587895075"/>
            </c:manualLayout>
          </c:layout>
          <c:overlay val="0"/>
          <c:spPr>
            <a:noFill/>
            <a:ln>
              <a:noFill/>
            </a:ln>
            <a:effectLst/>
          </c:spPr>
          <c:txPr>
            <a:bodyPr rot="-54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cs-CZ"/>
            </a:p>
          </c:txPr>
        </c:title>
        <c:numFmt formatCode="#,##0"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cs-CZ"/>
          </a:p>
        </c:txPr>
        <c:crossAx val="170191583"/>
        <c:crosses val="autoZero"/>
        <c:crossBetween val="between"/>
        <c:majorUnit val="300"/>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cs-CZ"/>
        </a:p>
      </c:txPr>
    </c:legend>
    <c:plotVisOnly val="1"/>
    <c:dispBlanksAs val="gap"/>
    <c:showDLblsOverMax val="0"/>
  </c:chart>
  <c:spPr>
    <a:solidFill>
      <a:schemeClr val="bg1"/>
    </a:solidFill>
    <a:ln w="9525" cap="flat" cmpd="sng" algn="ctr">
      <a:noFill/>
      <a:round/>
    </a:ln>
    <a:effectLst/>
  </c:spPr>
  <c:txPr>
    <a:bodyPr/>
    <a:lstStyle/>
    <a:p>
      <a:pPr>
        <a:defRPr sz="800">
          <a:solidFill>
            <a:sysClr val="windowText" lastClr="000000"/>
          </a:solidFill>
          <a:latin typeface="Arial" panose="020B0604020202020204" pitchFamily="34" charset="0"/>
          <a:cs typeface="Arial" panose="020B0604020202020204" pitchFamily="34" charset="0"/>
        </a:defRPr>
      </a:pPr>
      <a:endParaRPr lang="cs-CZ"/>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'G2.1+2.2'!$A$4</c:f>
              <c:strCache>
                <c:ptCount val="1"/>
                <c:pt idx="0">
                  <c:v> 1. pololetí</c:v>
                </c:pt>
              </c:strCache>
            </c:strRef>
          </c:tx>
          <c:spPr>
            <a:solidFill>
              <a:srgbClr val="CC9610"/>
            </a:solidFill>
            <a:ln>
              <a:noFill/>
            </a:ln>
            <a:effectLst/>
          </c:spPr>
          <c:invertIfNegative val="0"/>
          <c:dLbls>
            <c:spPr>
              <a:noFill/>
              <a:ln>
                <a:noFill/>
              </a:ln>
              <a:effectLst/>
            </c:spPr>
            <c:txPr>
              <a:bodyPr rot="-5400000" spcFirstLastPara="1" vertOverflow="ellipsis" wrap="square" lIns="38100" tIns="19050" rIns="38100" bIns="19050" anchor="ctr" anchorCtr="1">
                <a:spAutoFit/>
              </a:bodyPr>
              <a:lstStyle/>
              <a:p>
                <a:pPr>
                  <a:defRPr sz="800" b="1" i="0" u="none" strike="noStrike" kern="1200" baseline="0">
                    <a:solidFill>
                      <a:schemeClr val="tx1"/>
                    </a:solidFill>
                    <a:latin typeface="Arial" panose="020B0604020202020204" pitchFamily="34" charset="0"/>
                    <a:ea typeface="+mn-ea"/>
                    <a:cs typeface="Arial" panose="020B0604020202020204" pitchFamily="34" charset="0"/>
                  </a:defRPr>
                </a:pPr>
                <a:endParaRPr lang="cs-CZ"/>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'G2.1+2.2'!$B$3:$K$3</c:f>
              <c:strCache>
                <c:ptCount val="10"/>
                <c:pt idx="0">
                  <c:v>2015</c:v>
                </c:pt>
                <c:pt idx="1">
                  <c:v>2016</c:v>
                </c:pt>
                <c:pt idx="2">
                  <c:v>2017</c:v>
                </c:pt>
                <c:pt idx="3">
                  <c:v>2018</c:v>
                </c:pt>
                <c:pt idx="4">
                  <c:v>2019</c:v>
                </c:pt>
                <c:pt idx="5">
                  <c:v>2020</c:v>
                </c:pt>
                <c:pt idx="6">
                  <c:v>2021</c:v>
                </c:pt>
                <c:pt idx="7">
                  <c:v>2022*</c:v>
                </c:pt>
                <c:pt idx="8">
                  <c:v>2023</c:v>
                </c:pt>
                <c:pt idx="9">
                  <c:v>2024</c:v>
                </c:pt>
              </c:strCache>
            </c:strRef>
          </c:cat>
          <c:val>
            <c:numRef>
              <c:f>'G2.1+2.2'!$B$4:$K$4</c:f>
              <c:numCache>
                <c:formatCode>_-* #\ ##0_-;\-* #\ ##0_-;_-* "-"??_-;_-@_-</c:formatCode>
                <c:ptCount val="10"/>
                <c:pt idx="0">
                  <c:v>783.80700000000002</c:v>
                </c:pt>
                <c:pt idx="1">
                  <c:v>777.09199999999998</c:v>
                </c:pt>
                <c:pt idx="2">
                  <c:v>841.59900000000005</c:v>
                </c:pt>
                <c:pt idx="3">
                  <c:v>937.75099999999998</c:v>
                </c:pt>
                <c:pt idx="4">
                  <c:v>872.71400000000006</c:v>
                </c:pt>
                <c:pt idx="5" formatCode="#,##0">
                  <c:v>976.90099999999995</c:v>
                </c:pt>
                <c:pt idx="6" formatCode="#,##0">
                  <c:v>1300.2139999999999</c:v>
                </c:pt>
                <c:pt idx="7" formatCode="#,##0">
                  <c:v>1942.4169999999999</c:v>
                </c:pt>
                <c:pt idx="8" formatCode="#,##0">
                  <c:v>1220.8140000000001</c:v>
                </c:pt>
                <c:pt idx="9" formatCode="#,##0">
                  <c:v>1168.74</c:v>
                </c:pt>
              </c:numCache>
            </c:numRef>
          </c:val>
          <c:extLst>
            <c:ext xmlns:c16="http://schemas.microsoft.com/office/drawing/2014/chart" uri="{C3380CC4-5D6E-409C-BE32-E72D297353CC}">
              <c16:uniqueId val="{00000000-72AF-48CB-AB8C-CD12EBC3FA3D}"/>
            </c:ext>
          </c:extLst>
        </c:ser>
        <c:ser>
          <c:idx val="1"/>
          <c:order val="1"/>
          <c:tx>
            <c:strRef>
              <c:f>'G2.1+2.2'!$A$5</c:f>
              <c:strCache>
                <c:ptCount val="1"/>
                <c:pt idx="0">
                  <c:v> 2. pololetí</c:v>
                </c:pt>
              </c:strCache>
            </c:strRef>
          </c:tx>
          <c:spPr>
            <a:solidFill>
              <a:srgbClr val="E6C483"/>
            </a:solidFill>
            <a:ln>
              <a:noFill/>
            </a:ln>
            <a:effectLst/>
          </c:spPr>
          <c:invertIfNegative val="0"/>
          <c:dLbls>
            <c:spPr>
              <a:noFill/>
              <a:ln>
                <a:noFill/>
              </a:ln>
              <a:effectLst/>
            </c:spPr>
            <c:txPr>
              <a:bodyPr rot="-5400000" spcFirstLastPara="1" vertOverflow="ellipsis" wrap="square" lIns="38100" tIns="19050" rIns="38100" bIns="19050" anchor="ctr" anchorCtr="1">
                <a:spAutoFit/>
              </a:bodyPr>
              <a:lstStyle/>
              <a:p>
                <a:pPr>
                  <a:defRPr sz="800" b="1" i="0" u="none" strike="noStrike" kern="1200" baseline="0">
                    <a:solidFill>
                      <a:schemeClr val="tx1"/>
                    </a:solidFill>
                    <a:latin typeface="Arial" panose="020B0604020202020204" pitchFamily="34" charset="0"/>
                    <a:ea typeface="+mn-ea"/>
                    <a:cs typeface="Arial" panose="020B0604020202020204" pitchFamily="34" charset="0"/>
                  </a:defRPr>
                </a:pPr>
                <a:endParaRPr lang="cs-CZ"/>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'G2.1+2.2'!$B$3:$K$3</c:f>
              <c:strCache>
                <c:ptCount val="10"/>
                <c:pt idx="0">
                  <c:v>2015</c:v>
                </c:pt>
                <c:pt idx="1">
                  <c:v>2016</c:v>
                </c:pt>
                <c:pt idx="2">
                  <c:v>2017</c:v>
                </c:pt>
                <c:pt idx="3">
                  <c:v>2018</c:v>
                </c:pt>
                <c:pt idx="4">
                  <c:v>2019</c:v>
                </c:pt>
                <c:pt idx="5">
                  <c:v>2020</c:v>
                </c:pt>
                <c:pt idx="6">
                  <c:v>2021</c:v>
                </c:pt>
                <c:pt idx="7">
                  <c:v>2022*</c:v>
                </c:pt>
                <c:pt idx="8">
                  <c:v>2023</c:v>
                </c:pt>
                <c:pt idx="9">
                  <c:v>2024</c:v>
                </c:pt>
              </c:strCache>
            </c:strRef>
          </c:cat>
          <c:val>
            <c:numRef>
              <c:f>'G2.1+2.2'!$B$5:$K$5</c:f>
              <c:numCache>
                <c:formatCode>_-* #\ ##0_-;\-* #\ ##0_-;_-* "-"??_-;_-@_-</c:formatCode>
                <c:ptCount val="10"/>
                <c:pt idx="0">
                  <c:v>600.048</c:v>
                </c:pt>
                <c:pt idx="1">
                  <c:v>663.84400000000005</c:v>
                </c:pt>
                <c:pt idx="2">
                  <c:v>669.27800000000002</c:v>
                </c:pt>
                <c:pt idx="3">
                  <c:v>712.51800000000003</c:v>
                </c:pt>
                <c:pt idx="4">
                  <c:v>838.52499999999998</c:v>
                </c:pt>
                <c:pt idx="5" formatCode="#,##0">
                  <c:v>1225.809</c:v>
                </c:pt>
                <c:pt idx="6" formatCode="#,##0">
                  <c:v>1249.5350000000001</c:v>
                </c:pt>
                <c:pt idx="7" formatCode="#,##0">
                  <c:v>1297.9160000000002</c:v>
                </c:pt>
                <c:pt idx="8" formatCode="#,##0">
                  <c:v>1102.4289999999999</c:v>
                </c:pt>
                <c:pt idx="9" formatCode="#,##0">
                  <c:v>1098.2009999999998</c:v>
                </c:pt>
              </c:numCache>
            </c:numRef>
          </c:val>
          <c:extLst>
            <c:ext xmlns:c16="http://schemas.microsoft.com/office/drawing/2014/chart" uri="{C3380CC4-5D6E-409C-BE32-E72D297353CC}">
              <c16:uniqueId val="{00000001-72AF-48CB-AB8C-CD12EBC3FA3D}"/>
            </c:ext>
          </c:extLst>
        </c:ser>
        <c:dLbls>
          <c:showLegendKey val="0"/>
          <c:showVal val="0"/>
          <c:showCatName val="0"/>
          <c:showSerName val="0"/>
          <c:showPercent val="0"/>
          <c:showBubbleSize val="0"/>
        </c:dLbls>
        <c:gapWidth val="57"/>
        <c:axId val="1315640191"/>
        <c:axId val="1315654751"/>
      </c:barChart>
      <c:catAx>
        <c:axId val="1315640191"/>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cs-CZ"/>
          </a:p>
        </c:txPr>
        <c:crossAx val="1315654751"/>
        <c:crosses val="autoZero"/>
        <c:auto val="1"/>
        <c:lblAlgn val="ctr"/>
        <c:lblOffset val="100"/>
        <c:noMultiLvlLbl val="0"/>
      </c:catAx>
      <c:valAx>
        <c:axId val="1315654751"/>
        <c:scaling>
          <c:orientation val="minMax"/>
          <c:max val="2000"/>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cs-CZ"/>
                  <a:t>Počet případů (v tis.)</a:t>
                </a:r>
              </a:p>
            </c:rich>
          </c:tx>
          <c:layout>
            <c:manualLayout>
              <c:xMode val="edge"/>
              <c:yMode val="edge"/>
              <c:x val="1.9017432646592711E-2"/>
              <c:y val="0.26204042676483619"/>
            </c:manualLayout>
          </c:layout>
          <c:overlay val="0"/>
          <c:spPr>
            <a:noFill/>
            <a:ln>
              <a:noFill/>
            </a:ln>
            <a:effectLst/>
          </c:spPr>
          <c:txPr>
            <a:bodyPr rot="-54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cs-CZ"/>
            </a:p>
          </c:txPr>
        </c:title>
        <c:numFmt formatCode="#,##0" sourceLinked="0"/>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cs-CZ"/>
          </a:p>
        </c:txPr>
        <c:crossAx val="1315640191"/>
        <c:crosses val="autoZero"/>
        <c:crossBetween val="between"/>
        <c:majorUnit val="200"/>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cs-CZ"/>
        </a:p>
      </c:txPr>
    </c:legend>
    <c:plotVisOnly val="1"/>
    <c:dispBlanksAs val="gap"/>
    <c:showDLblsOverMax val="0"/>
  </c:chart>
  <c:spPr>
    <a:solidFill>
      <a:schemeClr val="bg1"/>
    </a:solidFill>
    <a:ln w="9525" cap="flat" cmpd="sng" algn="ctr">
      <a:noFill/>
      <a:round/>
    </a:ln>
    <a:effectLst/>
  </c:spPr>
  <c:txPr>
    <a:bodyPr/>
    <a:lstStyle/>
    <a:p>
      <a:pPr>
        <a:defRPr sz="800">
          <a:solidFill>
            <a:sysClr val="windowText" lastClr="000000"/>
          </a:solidFill>
          <a:latin typeface="Arial" panose="020B0604020202020204" pitchFamily="34" charset="0"/>
          <a:cs typeface="Arial" panose="020B0604020202020204" pitchFamily="34" charset="0"/>
        </a:defRPr>
      </a:pPr>
      <a:endParaRPr lang="cs-CZ"/>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6499059492563435"/>
          <c:y val="4.6289308176100628E-2"/>
          <c:w val="0.6012777777777778"/>
          <c:h val="0.90758909853249481"/>
        </c:manualLayout>
      </c:layout>
      <c:doughnutChart>
        <c:varyColors val="1"/>
        <c:ser>
          <c:idx val="0"/>
          <c:order val="0"/>
          <c:tx>
            <c:strRef>
              <c:f>'G2.3'!$A$11</c:f>
              <c:strCache>
                <c:ptCount val="1"/>
                <c:pt idx="0">
                  <c:v>ženy</c:v>
                </c:pt>
              </c:strCache>
            </c:strRef>
          </c:tx>
          <c:dPt>
            <c:idx val="0"/>
            <c:bubble3D val="0"/>
            <c:spPr>
              <a:solidFill>
                <a:srgbClr val="CC9610"/>
              </a:solidFill>
              <a:ln w="19050">
                <a:solidFill>
                  <a:schemeClr val="lt1"/>
                </a:solidFill>
              </a:ln>
              <a:effectLst/>
            </c:spPr>
            <c:extLst>
              <c:ext xmlns:c16="http://schemas.microsoft.com/office/drawing/2014/chart" uri="{C3380CC4-5D6E-409C-BE32-E72D297353CC}">
                <c16:uniqueId val="{00000001-60A7-445C-B7E0-916C5259926F}"/>
              </c:ext>
            </c:extLst>
          </c:dPt>
          <c:dPt>
            <c:idx val="1"/>
            <c:bubble3D val="0"/>
            <c:spPr>
              <a:solidFill>
                <a:srgbClr val="E6C483"/>
              </a:solidFill>
              <a:ln w="19050">
                <a:solidFill>
                  <a:schemeClr val="lt1"/>
                </a:solidFill>
              </a:ln>
              <a:effectLst/>
            </c:spPr>
            <c:extLst>
              <c:ext xmlns:c16="http://schemas.microsoft.com/office/drawing/2014/chart" uri="{C3380CC4-5D6E-409C-BE32-E72D297353CC}">
                <c16:uniqueId val="{00000003-60A7-445C-B7E0-916C5259926F}"/>
              </c:ext>
            </c:extLst>
          </c:dPt>
          <c:dPt>
            <c:idx val="2"/>
            <c:bubble3D val="0"/>
            <c:spPr>
              <a:solidFill>
                <a:srgbClr val="B8BBC0"/>
              </a:solidFill>
              <a:ln w="19050">
                <a:solidFill>
                  <a:schemeClr val="lt1"/>
                </a:solidFill>
              </a:ln>
              <a:effectLst/>
            </c:spPr>
            <c:extLst>
              <c:ext xmlns:c16="http://schemas.microsoft.com/office/drawing/2014/chart" uri="{C3380CC4-5D6E-409C-BE32-E72D297353CC}">
                <c16:uniqueId val="{00000005-60A7-445C-B7E0-916C5259926F}"/>
              </c:ext>
            </c:extLst>
          </c:dPt>
          <c:dLbls>
            <c:dLbl>
              <c:idx val="0"/>
              <c:layout>
                <c:manualLayout>
                  <c:x val="-2.8223672605397907E-2"/>
                  <c:y val="0"/>
                </c:manualLayout>
              </c:layout>
              <c:tx>
                <c:rich>
                  <a:bodyPr/>
                  <a:lstStyle/>
                  <a:p>
                    <a:r>
                      <a:rPr lang="en-US"/>
                      <a:t>1 280</a:t>
                    </a:r>
                    <a:r>
                      <a:rPr lang="en-US" baseline="0"/>
                      <a:t> tis.</a:t>
                    </a:r>
                    <a:br>
                      <a:rPr lang="en-US" baseline="0"/>
                    </a:br>
                    <a:r>
                      <a:rPr lang="en-US" baseline="0"/>
                      <a:t>94 %</a:t>
                    </a:r>
                    <a:endParaRPr lang="en-US"/>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0A7-445C-B7E0-916C5259926F}"/>
                </c:ext>
              </c:extLst>
            </c:dLbl>
            <c:dLbl>
              <c:idx val="1"/>
              <c:layout>
                <c:manualLayout>
                  <c:x val="-0.11122266005336386"/>
                  <c:y val="-0.1345226377952756"/>
                </c:manualLayout>
              </c:layout>
              <c:tx>
                <c:rich>
                  <a:bodyPr rot="0" spcFirstLastPara="1" vertOverflow="ellipsis" vert="horz" wrap="square" lIns="38100" tIns="19050" rIns="38100" bIns="19050" anchor="ctr" anchorCtr="0">
                    <a:noAutofit/>
                  </a:bodyPr>
                  <a:lstStyle/>
                  <a:p>
                    <a:pPr algn="ct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a:t>15 tis.</a:t>
                    </a:r>
                    <a:br>
                      <a:rPr lang="en-US"/>
                    </a:br>
                    <a:r>
                      <a:rPr lang="en-US"/>
                      <a:t>1 %</a:t>
                    </a:r>
                  </a:p>
                </c:rich>
              </c:tx>
              <c:spPr>
                <a:noFill/>
                <a:ln>
                  <a:noFill/>
                </a:ln>
                <a:effectLst/>
              </c:spPr>
              <c:txPr>
                <a:bodyPr rot="0" spcFirstLastPara="1" vertOverflow="ellipsis" vert="horz" wrap="square" lIns="38100" tIns="19050" rIns="38100" bIns="19050" anchor="ctr" anchorCtr="0">
                  <a:noAutofit/>
                </a:bodyPr>
                <a:lstStyle/>
                <a:p>
                  <a:pPr algn="ct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cs-CZ"/>
                </a:p>
              </c:txPr>
              <c:showLegendKey val="0"/>
              <c:showVal val="1"/>
              <c:showCatName val="0"/>
              <c:showSerName val="0"/>
              <c:showPercent val="0"/>
              <c:showBubbleSize val="0"/>
              <c:extLst>
                <c:ext xmlns:c15="http://schemas.microsoft.com/office/drawing/2012/chart" uri="{CE6537A1-D6FC-4f65-9D91-7224C49458BB}">
                  <c15:layout>
                    <c:manualLayout>
                      <c:w val="0.11333333333333333"/>
                      <c:h val="0.12046025641025639"/>
                    </c:manualLayout>
                  </c15:layout>
                </c:ext>
                <c:ext xmlns:c16="http://schemas.microsoft.com/office/drawing/2014/chart" uri="{C3380CC4-5D6E-409C-BE32-E72D297353CC}">
                  <c16:uniqueId val="{00000003-60A7-445C-B7E0-916C5259926F}"/>
                </c:ext>
              </c:extLst>
            </c:dLbl>
            <c:dLbl>
              <c:idx val="2"/>
              <c:layout>
                <c:manualLayout>
                  <c:x val="1.2347856764861527E-2"/>
                  <c:y val="-5.0205184785369568E-2"/>
                </c:manualLayout>
              </c:layout>
              <c:tx>
                <c:rich>
                  <a:bodyPr rot="0" spcFirstLastPara="1" vertOverflow="ellipsis" vert="horz" wrap="square" lIns="38100" tIns="19050" rIns="38100" bIns="19050" anchor="ctr" anchorCtr="0">
                    <a:noAutofit/>
                  </a:bodyPr>
                  <a:lstStyle/>
                  <a:p>
                    <a:pPr algn="l">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a:t>68</a:t>
                    </a:r>
                    <a:r>
                      <a:rPr lang="en-US" baseline="0"/>
                      <a:t> tis.</a:t>
                    </a:r>
                    <a:br>
                      <a:rPr lang="en-US" baseline="0"/>
                    </a:br>
                    <a:r>
                      <a:rPr lang="en-US" baseline="0"/>
                      <a:t>5 %</a:t>
                    </a:r>
                    <a:endParaRPr lang="en-US"/>
                  </a:p>
                </c:rich>
              </c:tx>
              <c:spPr>
                <a:noFill/>
                <a:ln>
                  <a:noFill/>
                </a:ln>
                <a:effectLst/>
              </c:spPr>
              <c:txPr>
                <a:bodyPr rot="0" spcFirstLastPara="1" vertOverflow="ellipsis" vert="horz" wrap="square" lIns="38100" tIns="19050" rIns="38100" bIns="19050" anchor="ctr" anchorCtr="0">
                  <a:noAutofit/>
                </a:bodyPr>
                <a:lstStyle/>
                <a:p>
                  <a:pPr algn="l">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cs-CZ"/>
                </a:p>
              </c:txPr>
              <c:showLegendKey val="0"/>
              <c:showVal val="1"/>
              <c:showCatName val="0"/>
              <c:showSerName val="0"/>
              <c:showPercent val="0"/>
              <c:showBubbleSize val="0"/>
              <c:extLst>
                <c:ext xmlns:c15="http://schemas.microsoft.com/office/drawing/2012/chart" uri="{CE6537A1-D6FC-4f65-9D91-7224C49458BB}">
                  <c15:layout>
                    <c:manualLayout>
                      <c:w val="0.11700156813614035"/>
                      <c:h val="0.17153448056896117"/>
                    </c:manualLayout>
                  </c15:layout>
                </c:ext>
                <c:ext xmlns:c16="http://schemas.microsoft.com/office/drawing/2014/chart" uri="{C3380CC4-5D6E-409C-BE32-E72D297353CC}">
                  <c16:uniqueId val="{00000005-60A7-445C-B7E0-916C5259926F}"/>
                </c:ext>
              </c:extLst>
            </c:dLbl>
            <c:spPr>
              <a:noFill/>
              <a:ln>
                <a:noFill/>
              </a:ln>
              <a:effectLst/>
            </c:spPr>
            <c:txPr>
              <a:bodyPr rot="0" spcFirstLastPara="1" vertOverflow="ellipsis" vert="horz" wrap="square" lIns="38100" tIns="19050" rIns="38100" bIns="19050" anchor="ctr" anchorCtr="0">
                <a:spAutoFit/>
              </a:bodyPr>
              <a:lstStyle/>
              <a:p>
                <a:pPr algn="ct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cs-CZ"/>
              </a:p>
            </c:txPr>
            <c:showLegendKey val="0"/>
            <c:showVal val="1"/>
            <c:showCatName val="0"/>
            <c:showSerName val="0"/>
            <c:showPercent val="0"/>
            <c:showBubbleSize val="0"/>
            <c:showLeaderLines val="1"/>
            <c:leaderLines>
              <c:spPr>
                <a:ln w="9525" cap="flat" cmpd="sng" algn="ctr">
                  <a:solidFill>
                    <a:schemeClr val="tx1"/>
                  </a:solidFill>
                  <a:round/>
                </a:ln>
                <a:effectLst/>
              </c:spPr>
            </c:leaderLines>
            <c:extLst>
              <c:ext xmlns:c15="http://schemas.microsoft.com/office/drawing/2012/chart" uri="{CE6537A1-D6FC-4f65-9D91-7224C49458BB}"/>
            </c:extLst>
          </c:dLbls>
          <c:cat>
            <c:strRef>
              <c:f>'G2.3'!$B$10:$D$10</c:f>
              <c:strCache>
                <c:ptCount val="3"/>
                <c:pt idx="0">
                  <c:v> nemoc</c:v>
                </c:pt>
                <c:pt idx="1">
                  <c:v>pracovní úraz</c:v>
                </c:pt>
                <c:pt idx="2">
                  <c:v>ostatní úraz</c:v>
                </c:pt>
              </c:strCache>
            </c:strRef>
          </c:cat>
          <c:val>
            <c:numRef>
              <c:f>'G2.3'!$B$11:$D$11</c:f>
              <c:numCache>
                <c:formatCode>#\ ##0.0</c:formatCode>
                <c:ptCount val="3"/>
                <c:pt idx="0">
                  <c:v>1279.598</c:v>
                </c:pt>
                <c:pt idx="1">
                  <c:v>15.118</c:v>
                </c:pt>
                <c:pt idx="2">
                  <c:v>67.831999999999994</c:v>
                </c:pt>
              </c:numCache>
            </c:numRef>
          </c:val>
          <c:extLst>
            <c:ext xmlns:c16="http://schemas.microsoft.com/office/drawing/2014/chart" uri="{C3380CC4-5D6E-409C-BE32-E72D297353CC}">
              <c16:uniqueId val="{00000006-60A7-445C-B7E0-916C5259926F}"/>
            </c:ext>
          </c:extLst>
        </c:ser>
        <c:dLbls>
          <c:showLegendKey val="0"/>
          <c:showVal val="0"/>
          <c:showCatName val="0"/>
          <c:showSerName val="0"/>
          <c:showPercent val="0"/>
          <c:showBubbleSize val="0"/>
          <c:showLeaderLines val="1"/>
        </c:dLbls>
        <c:firstSliceAng val="0"/>
        <c:holeSize val="50"/>
      </c:doughnutChart>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800">
          <a:solidFill>
            <a:sysClr val="windowText" lastClr="000000"/>
          </a:solidFill>
          <a:latin typeface="Arial" panose="020B0604020202020204" pitchFamily="34" charset="0"/>
          <a:cs typeface="Arial" panose="020B0604020202020204" pitchFamily="34" charset="0"/>
        </a:defRPr>
      </a:pPr>
      <a:endParaRPr lang="cs-CZ"/>
    </a:p>
  </c:txPr>
  <c:externalData r:id="rId3">
    <c:autoUpdate val="0"/>
  </c:externalData>
  <c:userShapes r:id="rId4"/>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3.4435039370078725E-2"/>
          <c:y val="4.6289308176100628E-2"/>
          <c:w val="0.6012777777777778"/>
          <c:h val="0.90758909853249481"/>
        </c:manualLayout>
      </c:layout>
      <c:doughnutChart>
        <c:varyColors val="1"/>
        <c:ser>
          <c:idx val="0"/>
          <c:order val="0"/>
          <c:tx>
            <c:strRef>
              <c:f>'G2.3'!$A$15</c:f>
              <c:strCache>
                <c:ptCount val="1"/>
                <c:pt idx="0">
                  <c:v>muži</c:v>
                </c:pt>
              </c:strCache>
            </c:strRef>
          </c:tx>
          <c:dPt>
            <c:idx val="0"/>
            <c:bubble3D val="0"/>
            <c:spPr>
              <a:solidFill>
                <a:srgbClr val="CC9610"/>
              </a:solidFill>
              <a:ln w="19050">
                <a:solidFill>
                  <a:schemeClr val="lt1"/>
                </a:solidFill>
              </a:ln>
              <a:effectLst/>
            </c:spPr>
            <c:extLst>
              <c:ext xmlns:c16="http://schemas.microsoft.com/office/drawing/2014/chart" uri="{C3380CC4-5D6E-409C-BE32-E72D297353CC}">
                <c16:uniqueId val="{00000001-64CB-4274-AB04-684DC28E23E2}"/>
              </c:ext>
            </c:extLst>
          </c:dPt>
          <c:dPt>
            <c:idx val="1"/>
            <c:bubble3D val="0"/>
            <c:spPr>
              <a:solidFill>
                <a:srgbClr val="E6C483"/>
              </a:solidFill>
              <a:ln w="19050">
                <a:solidFill>
                  <a:schemeClr val="lt1"/>
                </a:solidFill>
              </a:ln>
              <a:effectLst/>
            </c:spPr>
            <c:extLst>
              <c:ext xmlns:c16="http://schemas.microsoft.com/office/drawing/2014/chart" uri="{C3380CC4-5D6E-409C-BE32-E72D297353CC}">
                <c16:uniqueId val="{00000003-64CB-4274-AB04-684DC28E23E2}"/>
              </c:ext>
            </c:extLst>
          </c:dPt>
          <c:dPt>
            <c:idx val="2"/>
            <c:bubble3D val="0"/>
            <c:spPr>
              <a:solidFill>
                <a:srgbClr val="B8BBC0"/>
              </a:solidFill>
              <a:ln w="19050">
                <a:solidFill>
                  <a:schemeClr val="lt1"/>
                </a:solidFill>
              </a:ln>
              <a:effectLst/>
            </c:spPr>
            <c:extLst>
              <c:ext xmlns:c16="http://schemas.microsoft.com/office/drawing/2014/chart" uri="{C3380CC4-5D6E-409C-BE32-E72D297353CC}">
                <c16:uniqueId val="{00000005-64CB-4274-AB04-684DC28E23E2}"/>
              </c:ext>
            </c:extLst>
          </c:dPt>
          <c:dLbls>
            <c:dLbl>
              <c:idx val="0"/>
              <c:layout>
                <c:manualLayout>
                  <c:x val="-7.7615099664843881E-2"/>
                  <c:y val="1.008064516129023E-2"/>
                </c:manualLayout>
              </c:layout>
              <c:tx>
                <c:rich>
                  <a:bodyPr/>
                  <a:lstStyle/>
                  <a:p>
                    <a:r>
                      <a:rPr lang="en-US" baseline="0"/>
                      <a:t>987 tis.</a:t>
                    </a:r>
                    <a:br>
                      <a:rPr lang="en-US" baseline="0"/>
                    </a:br>
                    <a:r>
                      <a:rPr lang="en-US" baseline="0"/>
                      <a:t>88,7 %</a:t>
                    </a:r>
                    <a:endParaRPr lang="en-US"/>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4CB-4274-AB04-684DC28E23E2}"/>
                </c:ext>
              </c:extLst>
            </c:dLbl>
            <c:dLbl>
              <c:idx val="1"/>
              <c:layout>
                <c:manualLayout>
                  <c:x val="-0.12852799379968138"/>
                  <c:y val="-0.16102401892303786"/>
                </c:manualLayout>
              </c:layout>
              <c:tx>
                <c:rich>
                  <a:bodyPr/>
                  <a:lstStyle/>
                  <a:p>
                    <a:r>
                      <a:rPr lang="en-US"/>
                      <a:t>29 tis.</a:t>
                    </a:r>
                    <a:br>
                      <a:rPr lang="en-US"/>
                    </a:br>
                    <a:r>
                      <a:rPr lang="en-US"/>
                      <a:t>2,6 %</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64CB-4274-AB04-684DC28E23E2}"/>
                </c:ext>
              </c:extLst>
            </c:dLbl>
            <c:dLbl>
              <c:idx val="2"/>
              <c:tx>
                <c:rich>
                  <a:bodyPr/>
                  <a:lstStyle/>
                  <a:p>
                    <a:r>
                      <a:rPr lang="en-US"/>
                      <a:t>98</a:t>
                    </a:r>
                    <a:r>
                      <a:rPr lang="en-US" baseline="0"/>
                      <a:t> tis.</a:t>
                    </a:r>
                    <a:br>
                      <a:rPr lang="en-US" baseline="0"/>
                    </a:br>
                    <a:r>
                      <a:rPr lang="en-US" baseline="0"/>
                      <a:t>8,8 %</a:t>
                    </a:r>
                    <a:endParaRPr lang="en-US"/>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64CB-4274-AB04-684DC28E23E2}"/>
                </c:ext>
              </c:extLst>
            </c:dLbl>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cs-CZ"/>
              </a:p>
            </c:txPr>
            <c:showLegendKey val="0"/>
            <c:showVal val="1"/>
            <c:showCatName val="0"/>
            <c:showSerName val="0"/>
            <c:showPercent val="0"/>
            <c:showBubbleSize val="0"/>
            <c:showLeaderLines val="1"/>
            <c:leaderLines>
              <c:spPr>
                <a:ln w="9525" cap="flat" cmpd="sng" algn="ctr">
                  <a:solidFill>
                    <a:schemeClr val="tx1"/>
                  </a:solidFill>
                  <a:round/>
                </a:ln>
                <a:effectLst/>
              </c:spPr>
            </c:leaderLines>
            <c:extLst>
              <c:ext xmlns:c15="http://schemas.microsoft.com/office/drawing/2012/chart" uri="{CE6537A1-D6FC-4f65-9D91-7224C49458BB}"/>
            </c:extLst>
          </c:dLbls>
          <c:cat>
            <c:strRef>
              <c:f>'G2.3'!$B$14:$D$14</c:f>
              <c:strCache>
                <c:ptCount val="3"/>
                <c:pt idx="0">
                  <c:v> nemoc</c:v>
                </c:pt>
                <c:pt idx="1">
                  <c:v> pracovní úraz</c:v>
                </c:pt>
                <c:pt idx="2">
                  <c:v> ostatní úraz</c:v>
                </c:pt>
              </c:strCache>
            </c:strRef>
          </c:cat>
          <c:val>
            <c:numRef>
              <c:f>'G2.3'!$B$15:$D$15</c:f>
              <c:numCache>
                <c:formatCode>#\ ##0.0</c:formatCode>
                <c:ptCount val="3"/>
                <c:pt idx="0">
                  <c:v>987.34299999999985</c:v>
                </c:pt>
                <c:pt idx="1">
                  <c:v>28.696999999999996</c:v>
                </c:pt>
                <c:pt idx="2">
                  <c:v>97.574000000000012</c:v>
                </c:pt>
              </c:numCache>
            </c:numRef>
          </c:val>
          <c:extLst>
            <c:ext xmlns:c16="http://schemas.microsoft.com/office/drawing/2014/chart" uri="{C3380CC4-5D6E-409C-BE32-E72D297353CC}">
              <c16:uniqueId val="{00000006-64CB-4274-AB04-684DC28E23E2}"/>
            </c:ext>
          </c:extLst>
        </c:ser>
        <c:dLbls>
          <c:showLegendKey val="0"/>
          <c:showVal val="0"/>
          <c:showCatName val="0"/>
          <c:showSerName val="0"/>
          <c:showPercent val="0"/>
          <c:showBubbleSize val="0"/>
          <c:showLeaderLines val="1"/>
        </c:dLbls>
        <c:firstSliceAng val="0"/>
        <c:holeSize val="50"/>
      </c:doughnutChart>
      <c:spPr>
        <a:noFill/>
        <a:ln>
          <a:noFill/>
        </a:ln>
        <a:effectLst/>
      </c:spPr>
    </c:plotArea>
    <c:legend>
      <c:legendPos val="r"/>
      <c:layout>
        <c:manualLayout>
          <c:xMode val="edge"/>
          <c:yMode val="edge"/>
          <c:x val="0.73500999356911401"/>
          <c:y val="0.39413655702311406"/>
          <c:w val="0.22707414698162731"/>
          <c:h val="0.21189422076957362"/>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cs-CZ"/>
        </a:p>
      </c:txPr>
    </c:legend>
    <c:plotVisOnly val="1"/>
    <c:dispBlanksAs val="gap"/>
    <c:showDLblsOverMax val="0"/>
  </c:chart>
  <c:spPr>
    <a:solidFill>
      <a:schemeClr val="bg1"/>
    </a:solidFill>
    <a:ln w="9525" cap="flat" cmpd="sng" algn="ctr">
      <a:noFill/>
      <a:round/>
    </a:ln>
    <a:effectLst/>
  </c:spPr>
  <c:txPr>
    <a:bodyPr/>
    <a:lstStyle/>
    <a:p>
      <a:pPr>
        <a:defRPr sz="800">
          <a:solidFill>
            <a:sysClr val="windowText" lastClr="000000"/>
          </a:solidFill>
          <a:latin typeface="Arial" panose="020B0604020202020204" pitchFamily="34" charset="0"/>
          <a:cs typeface="Arial" panose="020B0604020202020204" pitchFamily="34" charset="0"/>
        </a:defRPr>
      </a:pPr>
      <a:endParaRPr lang="cs-CZ"/>
    </a:p>
  </c:txPr>
  <c:externalData r:id="rId3">
    <c:autoUpdate val="0"/>
  </c:externalData>
  <c:userShapes r:id="rId4"/>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2335228173257757E-2"/>
          <c:y val="4.6858344240113294E-2"/>
          <c:w val="0.90787172821492357"/>
          <c:h val="0.77803098352880562"/>
        </c:manualLayout>
      </c:layout>
      <c:barChart>
        <c:barDir val="col"/>
        <c:grouping val="stacked"/>
        <c:varyColors val="0"/>
        <c:ser>
          <c:idx val="0"/>
          <c:order val="0"/>
          <c:tx>
            <c:strRef>
              <c:f>'G2.4'!$A$3</c:f>
              <c:strCache>
                <c:ptCount val="1"/>
                <c:pt idx="0">
                  <c:v> nemoc</c:v>
                </c:pt>
              </c:strCache>
            </c:strRef>
          </c:tx>
          <c:spPr>
            <a:solidFill>
              <a:srgbClr val="CC9610"/>
            </a:solidFill>
            <a:ln>
              <a:noFill/>
            </a:ln>
            <a:effectLst/>
          </c:spPr>
          <c:invertIfNegative val="0"/>
          <c:dLbls>
            <c:numFmt formatCode="#,##0.0" sourceLinked="0"/>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bg1"/>
                    </a:solidFill>
                    <a:latin typeface="Arial" panose="020B0604020202020204" pitchFamily="34" charset="0"/>
                    <a:ea typeface="+mn-ea"/>
                    <a:cs typeface="Arial" panose="020B0604020202020204" pitchFamily="34" charset="0"/>
                  </a:defRPr>
                </a:pPr>
                <a:endParaRPr lang="cs-CZ"/>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'G2.4'!$B$2:$O$2</c:f>
              <c:strCache>
                <c:ptCount val="11"/>
                <c:pt idx="0">
                  <c:v>2014</c:v>
                </c:pt>
                <c:pt idx="1">
                  <c:v>2015</c:v>
                </c:pt>
                <c:pt idx="2">
                  <c:v>2016</c:v>
                </c:pt>
                <c:pt idx="3">
                  <c:v>2017</c:v>
                </c:pt>
                <c:pt idx="4">
                  <c:v>2018</c:v>
                </c:pt>
                <c:pt idx="5">
                  <c:v>2019</c:v>
                </c:pt>
                <c:pt idx="6">
                  <c:v>2020</c:v>
                </c:pt>
                <c:pt idx="7">
                  <c:v>2021</c:v>
                </c:pt>
                <c:pt idx="8">
                  <c:v>2022*</c:v>
                </c:pt>
                <c:pt idx="9">
                  <c:v>2023</c:v>
                </c:pt>
                <c:pt idx="10">
                  <c:v>2024</c:v>
                </c:pt>
              </c:strCache>
            </c:strRef>
          </c:cat>
          <c:val>
            <c:numRef>
              <c:f>'G2.4'!$B$3:$O$3</c:f>
              <c:numCache>
                <c:formatCode>General</c:formatCode>
                <c:ptCount val="11"/>
                <c:pt idx="0">
                  <c:v>25.68</c:v>
                </c:pt>
                <c:pt idx="1">
                  <c:v>30.704494485000001</c:v>
                </c:pt>
                <c:pt idx="2">
                  <c:v>31.521328864000001</c:v>
                </c:pt>
                <c:pt idx="3">
                  <c:v>32.340186242500003</c:v>
                </c:pt>
                <c:pt idx="4">
                  <c:v>34.869229084899999</c:v>
                </c:pt>
                <c:pt idx="5">
                  <c:v>36.156327396257865</c:v>
                </c:pt>
                <c:pt idx="6">
                  <c:v>46.962361146799999</c:v>
                </c:pt>
                <c:pt idx="7" formatCode="0.00">
                  <c:v>54.155900834699999</c:v>
                </c:pt>
                <c:pt idx="8" formatCode="0.00">
                  <c:v>68.247000253099998</c:v>
                </c:pt>
                <c:pt idx="9" formatCode="0.00">
                  <c:v>48.737313021799999</c:v>
                </c:pt>
                <c:pt idx="10" formatCode="0.00">
                  <c:v>47.576811548800002</c:v>
                </c:pt>
              </c:numCache>
            </c:numRef>
          </c:val>
          <c:extLst>
            <c:ext xmlns:c16="http://schemas.microsoft.com/office/drawing/2014/chart" uri="{C3380CC4-5D6E-409C-BE32-E72D297353CC}">
              <c16:uniqueId val="{00000000-6889-41FB-BD57-C7898479FA43}"/>
            </c:ext>
          </c:extLst>
        </c:ser>
        <c:ser>
          <c:idx val="1"/>
          <c:order val="1"/>
          <c:tx>
            <c:strRef>
              <c:f>'G2.4'!$A$4</c:f>
              <c:strCache>
                <c:ptCount val="1"/>
                <c:pt idx="0">
                  <c:v> pracovní úrazy</c:v>
                </c:pt>
              </c:strCache>
            </c:strRef>
          </c:tx>
          <c:spPr>
            <a:solidFill>
              <a:srgbClr val="E6C483"/>
            </a:solidFill>
            <a:ln>
              <a:noFill/>
            </a:ln>
            <a:effectLst/>
          </c:spPr>
          <c:invertIfNegative val="0"/>
          <c:cat>
            <c:strRef>
              <c:f>'G2.4'!$B$2:$O$2</c:f>
              <c:strCache>
                <c:ptCount val="11"/>
                <c:pt idx="0">
                  <c:v>2014</c:v>
                </c:pt>
                <c:pt idx="1">
                  <c:v>2015</c:v>
                </c:pt>
                <c:pt idx="2">
                  <c:v>2016</c:v>
                </c:pt>
                <c:pt idx="3">
                  <c:v>2017</c:v>
                </c:pt>
                <c:pt idx="4">
                  <c:v>2018</c:v>
                </c:pt>
                <c:pt idx="5">
                  <c:v>2019</c:v>
                </c:pt>
                <c:pt idx="6">
                  <c:v>2020</c:v>
                </c:pt>
                <c:pt idx="7">
                  <c:v>2021</c:v>
                </c:pt>
                <c:pt idx="8">
                  <c:v>2022*</c:v>
                </c:pt>
                <c:pt idx="9">
                  <c:v>2023</c:v>
                </c:pt>
                <c:pt idx="10">
                  <c:v>2024</c:v>
                </c:pt>
              </c:strCache>
            </c:strRef>
          </c:cat>
          <c:val>
            <c:numRef>
              <c:f>'G2.4'!$B$4:$O$4</c:f>
              <c:numCache>
                <c:formatCode>General</c:formatCode>
                <c:ptCount val="11"/>
                <c:pt idx="0">
                  <c:v>1.01</c:v>
                </c:pt>
                <c:pt idx="1">
                  <c:v>1.0279761491999999</c:v>
                </c:pt>
                <c:pt idx="2">
                  <c:v>1.0364437007</c:v>
                </c:pt>
                <c:pt idx="3">
                  <c:v>1.016540582</c:v>
                </c:pt>
                <c:pt idx="4">
                  <c:v>0.97666524430000001</c:v>
                </c:pt>
                <c:pt idx="5">
                  <c:v>0.94132771527418446</c:v>
                </c:pt>
                <c:pt idx="6">
                  <c:v>0.88176352420000004</c:v>
                </c:pt>
                <c:pt idx="7" formatCode="0.00">
                  <c:v>0.95436338720000002</c:v>
                </c:pt>
                <c:pt idx="8" formatCode="0.00">
                  <c:v>0.93952139710000004</c:v>
                </c:pt>
                <c:pt idx="9" formatCode="0.00">
                  <c:v>0.91204554189999998</c:v>
                </c:pt>
                <c:pt idx="10" formatCode="0.00">
                  <c:v>0.91955547059999998</c:v>
                </c:pt>
              </c:numCache>
            </c:numRef>
          </c:val>
          <c:extLst>
            <c:ext xmlns:c16="http://schemas.microsoft.com/office/drawing/2014/chart" uri="{C3380CC4-5D6E-409C-BE32-E72D297353CC}">
              <c16:uniqueId val="{00000001-6889-41FB-BD57-C7898479FA43}"/>
            </c:ext>
          </c:extLst>
        </c:ser>
        <c:ser>
          <c:idx val="2"/>
          <c:order val="2"/>
          <c:tx>
            <c:strRef>
              <c:f>'G2.4'!$A$5</c:f>
              <c:strCache>
                <c:ptCount val="1"/>
                <c:pt idx="0">
                  <c:v> ostatní úrazy</c:v>
                </c:pt>
              </c:strCache>
            </c:strRef>
          </c:tx>
          <c:spPr>
            <a:solidFill>
              <a:srgbClr val="B8BBC0"/>
            </a:solidFill>
            <a:ln>
              <a:noFill/>
            </a:ln>
            <a:effectLst/>
          </c:spPr>
          <c:invertIfNegative val="0"/>
          <c:cat>
            <c:strRef>
              <c:f>'G2.4'!$B$2:$O$2</c:f>
              <c:strCache>
                <c:ptCount val="11"/>
                <c:pt idx="0">
                  <c:v>2014</c:v>
                </c:pt>
                <c:pt idx="1">
                  <c:v>2015</c:v>
                </c:pt>
                <c:pt idx="2">
                  <c:v>2016</c:v>
                </c:pt>
                <c:pt idx="3">
                  <c:v>2017</c:v>
                </c:pt>
                <c:pt idx="4">
                  <c:v>2018</c:v>
                </c:pt>
                <c:pt idx="5">
                  <c:v>2019</c:v>
                </c:pt>
                <c:pt idx="6">
                  <c:v>2020</c:v>
                </c:pt>
                <c:pt idx="7">
                  <c:v>2021</c:v>
                </c:pt>
                <c:pt idx="8">
                  <c:v>2022*</c:v>
                </c:pt>
                <c:pt idx="9">
                  <c:v>2023</c:v>
                </c:pt>
                <c:pt idx="10">
                  <c:v>2024</c:v>
                </c:pt>
              </c:strCache>
            </c:strRef>
          </c:cat>
          <c:val>
            <c:numRef>
              <c:f>'G2.4'!$B$5:$O$5</c:f>
              <c:numCache>
                <c:formatCode>General</c:formatCode>
                <c:ptCount val="11"/>
                <c:pt idx="0">
                  <c:v>2.76</c:v>
                </c:pt>
                <c:pt idx="1">
                  <c:v>2.9569928851</c:v>
                </c:pt>
                <c:pt idx="2">
                  <c:v>3.1726609424999999</c:v>
                </c:pt>
                <c:pt idx="3">
                  <c:v>3.1924353055000001</c:v>
                </c:pt>
                <c:pt idx="4">
                  <c:v>3.2320196819999998</c:v>
                </c:pt>
                <c:pt idx="5">
                  <c:v>3.3599348163568723</c:v>
                </c:pt>
                <c:pt idx="6">
                  <c:v>3.1333540811999998</c:v>
                </c:pt>
                <c:pt idx="7" formatCode="0.00">
                  <c:v>3.4002846242999998</c:v>
                </c:pt>
                <c:pt idx="8" formatCode="0.00">
                  <c:v>3.6371912911000002</c:v>
                </c:pt>
                <c:pt idx="9" formatCode="0.00">
                  <c:v>3.5337044668000002</c:v>
                </c:pt>
                <c:pt idx="10" formatCode="0.00">
                  <c:v>3.4714137205000002</c:v>
                </c:pt>
              </c:numCache>
            </c:numRef>
          </c:val>
          <c:extLst>
            <c:ext xmlns:c16="http://schemas.microsoft.com/office/drawing/2014/chart" uri="{C3380CC4-5D6E-409C-BE32-E72D297353CC}">
              <c16:uniqueId val="{00000002-6889-41FB-BD57-C7898479FA43}"/>
            </c:ext>
          </c:extLst>
        </c:ser>
        <c:dLbls>
          <c:showLegendKey val="0"/>
          <c:showVal val="0"/>
          <c:showCatName val="0"/>
          <c:showSerName val="0"/>
          <c:showPercent val="0"/>
          <c:showBubbleSize val="0"/>
        </c:dLbls>
        <c:gapWidth val="64"/>
        <c:overlap val="100"/>
        <c:axId val="1098100367"/>
        <c:axId val="1098102031"/>
      </c:barChart>
      <c:lineChart>
        <c:grouping val="stacked"/>
        <c:varyColors val="0"/>
        <c:ser>
          <c:idx val="3"/>
          <c:order val="3"/>
          <c:tx>
            <c:strRef>
              <c:f>'G2.4'!$A$6</c:f>
              <c:strCache>
                <c:ptCount val="1"/>
                <c:pt idx="0">
                  <c:v>celkem</c:v>
                </c:pt>
              </c:strCache>
            </c:strRef>
          </c:tx>
          <c:spPr>
            <a:ln w="28575" cap="rnd">
              <a:noFill/>
              <a:round/>
            </a:ln>
            <a:effectLst/>
          </c:spPr>
          <c:marker>
            <c:symbol val="circle"/>
            <c:size val="5"/>
            <c:spPr>
              <a:solidFill>
                <a:srgbClr val="CC9610"/>
              </a:solidFill>
              <a:ln w="9525">
                <a:solidFill>
                  <a:schemeClr val="tx1"/>
                </a:solidFill>
              </a:ln>
              <a:effectLst/>
            </c:spPr>
          </c:marker>
          <c:dLbls>
            <c:dLbl>
              <c:idx val="8"/>
              <c:layout>
                <c:manualLayout>
                  <c:x val="-3.3798628460506561E-2"/>
                  <c:y val="-4.985876412590275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6889-41FB-BD57-C7898479FA43}"/>
                </c:ext>
              </c:extLst>
            </c:dLbl>
            <c:numFmt formatCode="#,##0.0" sourceLinked="0"/>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cs-CZ"/>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'G2.4'!$B$2:$O$2</c:f>
              <c:strCache>
                <c:ptCount val="11"/>
                <c:pt idx="0">
                  <c:v>2014</c:v>
                </c:pt>
                <c:pt idx="1">
                  <c:v>2015</c:v>
                </c:pt>
                <c:pt idx="2">
                  <c:v>2016</c:v>
                </c:pt>
                <c:pt idx="3">
                  <c:v>2017</c:v>
                </c:pt>
                <c:pt idx="4">
                  <c:v>2018</c:v>
                </c:pt>
                <c:pt idx="5">
                  <c:v>2019</c:v>
                </c:pt>
                <c:pt idx="6">
                  <c:v>2020</c:v>
                </c:pt>
                <c:pt idx="7">
                  <c:v>2021</c:v>
                </c:pt>
                <c:pt idx="8">
                  <c:v>2022*</c:v>
                </c:pt>
                <c:pt idx="9">
                  <c:v>2023</c:v>
                </c:pt>
                <c:pt idx="10">
                  <c:v>2024</c:v>
                </c:pt>
              </c:strCache>
            </c:strRef>
          </c:cat>
          <c:val>
            <c:numRef>
              <c:f>'G2.4'!$B$6:$O$6</c:f>
              <c:numCache>
                <c:formatCode>0.0</c:formatCode>
                <c:ptCount val="11"/>
                <c:pt idx="0">
                  <c:v>29.450000000000003</c:v>
                </c:pt>
                <c:pt idx="1">
                  <c:v>34.689463519300006</c:v>
                </c:pt>
                <c:pt idx="2">
                  <c:v>35.730433507200004</c:v>
                </c:pt>
                <c:pt idx="3">
                  <c:v>36.549162129999999</c:v>
                </c:pt>
                <c:pt idx="4">
                  <c:v>39.077914011200001</c:v>
                </c:pt>
                <c:pt idx="5">
                  <c:v>40.457589927888918</c:v>
                </c:pt>
                <c:pt idx="6">
                  <c:v>50.977478752199993</c:v>
                </c:pt>
                <c:pt idx="7">
                  <c:v>58.510548846200003</c:v>
                </c:pt>
                <c:pt idx="8">
                  <c:v>72.823712941300002</c:v>
                </c:pt>
                <c:pt idx="9" formatCode="0.00">
                  <c:v>53.183063030500001</c:v>
                </c:pt>
                <c:pt idx="10" formatCode="0.00">
                  <c:v>51.9677807399</c:v>
                </c:pt>
              </c:numCache>
            </c:numRef>
          </c:val>
          <c:smooth val="0"/>
          <c:extLst>
            <c:ext xmlns:c16="http://schemas.microsoft.com/office/drawing/2014/chart" uri="{C3380CC4-5D6E-409C-BE32-E72D297353CC}">
              <c16:uniqueId val="{00000003-6889-41FB-BD57-C7898479FA43}"/>
            </c:ext>
          </c:extLst>
        </c:ser>
        <c:dLbls>
          <c:showLegendKey val="0"/>
          <c:showVal val="0"/>
          <c:showCatName val="0"/>
          <c:showSerName val="0"/>
          <c:showPercent val="0"/>
          <c:showBubbleSize val="0"/>
        </c:dLbls>
        <c:marker val="1"/>
        <c:smooth val="0"/>
        <c:axId val="1557793183"/>
        <c:axId val="1557807743"/>
      </c:lineChart>
      <c:catAx>
        <c:axId val="1098100367"/>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cs-CZ"/>
          </a:p>
        </c:txPr>
        <c:crossAx val="1098102031"/>
        <c:crosses val="autoZero"/>
        <c:auto val="1"/>
        <c:lblAlgn val="ctr"/>
        <c:lblOffset val="100"/>
        <c:noMultiLvlLbl val="0"/>
      </c:catAx>
      <c:valAx>
        <c:axId val="1098102031"/>
        <c:scaling>
          <c:orientation val="minMax"/>
          <c:max val="8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cs-CZ"/>
                  <a:t>Počet případů na 100 pojištěnců</a:t>
                </a:r>
              </a:p>
            </c:rich>
          </c:tx>
          <c:layout>
            <c:manualLayout>
              <c:xMode val="edge"/>
              <c:yMode val="edge"/>
              <c:x val="3.2477924065159878E-3"/>
              <c:y val="0.17863192418407114"/>
            </c:manualLayout>
          </c:layout>
          <c:overlay val="0"/>
          <c:spPr>
            <a:noFill/>
            <a:ln>
              <a:noFill/>
            </a:ln>
            <a:effectLst/>
          </c:spPr>
          <c:txPr>
            <a:bodyPr rot="-54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cs-CZ"/>
            </a:p>
          </c:txPr>
        </c:title>
        <c:numFmt formatCode="General"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cs-CZ"/>
          </a:p>
        </c:txPr>
        <c:crossAx val="1098100367"/>
        <c:crosses val="autoZero"/>
        <c:crossBetween val="between"/>
        <c:majorUnit val="10"/>
        <c:minorUnit val="5"/>
      </c:valAx>
      <c:valAx>
        <c:axId val="1557807743"/>
        <c:scaling>
          <c:orientation val="minMax"/>
        </c:scaling>
        <c:delete val="1"/>
        <c:axPos val="r"/>
        <c:numFmt formatCode="0.0" sourceLinked="1"/>
        <c:majorTickMark val="out"/>
        <c:minorTickMark val="none"/>
        <c:tickLblPos val="nextTo"/>
        <c:crossAx val="1557793183"/>
        <c:crosses val="max"/>
        <c:crossBetween val="between"/>
      </c:valAx>
      <c:catAx>
        <c:axId val="1557793183"/>
        <c:scaling>
          <c:orientation val="minMax"/>
        </c:scaling>
        <c:delete val="1"/>
        <c:axPos val="b"/>
        <c:numFmt formatCode="General" sourceLinked="1"/>
        <c:majorTickMark val="out"/>
        <c:minorTickMark val="none"/>
        <c:tickLblPos val="nextTo"/>
        <c:crossAx val="1557807743"/>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cs-CZ"/>
        </a:p>
      </c:txPr>
    </c:legend>
    <c:plotVisOnly val="1"/>
    <c:dispBlanksAs val="gap"/>
    <c:showDLblsOverMax val="0"/>
  </c:chart>
  <c:spPr>
    <a:solidFill>
      <a:schemeClr val="bg1"/>
    </a:solidFill>
    <a:ln w="9525" cap="flat" cmpd="sng" algn="ctr">
      <a:noFill/>
      <a:round/>
    </a:ln>
    <a:effectLst/>
  </c:spPr>
  <c:txPr>
    <a:bodyPr/>
    <a:lstStyle/>
    <a:p>
      <a:pPr>
        <a:defRPr sz="800">
          <a:solidFill>
            <a:sysClr val="windowText" lastClr="000000"/>
          </a:solidFill>
          <a:latin typeface="Arial" panose="020B0604020202020204" pitchFamily="34" charset="0"/>
          <a:cs typeface="Arial" panose="020B0604020202020204" pitchFamily="34" charset="0"/>
        </a:defRPr>
      </a:pPr>
      <a:endParaRPr lang="cs-CZ"/>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49350996732026142"/>
          <c:y val="5.294053208137714E-2"/>
          <c:w val="0.46910326797385621"/>
          <c:h val="0.84433470266040689"/>
        </c:manualLayout>
      </c:layout>
      <c:barChart>
        <c:barDir val="bar"/>
        <c:grouping val="clustered"/>
        <c:varyColors val="0"/>
        <c:ser>
          <c:idx val="1"/>
          <c:order val="0"/>
          <c:tx>
            <c:strRef>
              <c:f>'G2.5'!$O$31</c:f>
              <c:strCache>
                <c:ptCount val="1"/>
                <c:pt idx="0">
                  <c:v>2019</c:v>
                </c:pt>
              </c:strCache>
            </c:strRef>
          </c:tx>
          <c:spPr>
            <a:solidFill>
              <a:srgbClr val="E6C483"/>
            </a:solidFill>
            <a:ln>
              <a:noFill/>
            </a:ln>
            <a:effectLst/>
          </c:spPr>
          <c:invertIfNegative val="0"/>
          <c:dPt>
            <c:idx val="14"/>
            <c:invertIfNegative val="0"/>
            <c:bubble3D val="0"/>
            <c:spPr>
              <a:solidFill>
                <a:srgbClr val="E6C483"/>
              </a:solidFill>
              <a:ln w="15875">
                <a:solidFill>
                  <a:srgbClr val="BC5B80"/>
                </a:solidFill>
              </a:ln>
              <a:effectLst/>
            </c:spPr>
            <c:extLst>
              <c:ext xmlns:c16="http://schemas.microsoft.com/office/drawing/2014/chart" uri="{C3380CC4-5D6E-409C-BE32-E72D297353CC}">
                <c16:uniqueId val="{00000001-5878-4422-9D69-9B42C61F633C}"/>
              </c:ext>
            </c:extLst>
          </c:dPt>
          <c:dPt>
            <c:idx val="17"/>
            <c:invertIfNegative val="0"/>
            <c:bubble3D val="0"/>
            <c:spPr>
              <a:solidFill>
                <a:srgbClr val="E6C483"/>
              </a:solidFill>
              <a:ln w="19050">
                <a:noFill/>
              </a:ln>
              <a:effectLst/>
            </c:spPr>
            <c:extLst>
              <c:ext xmlns:c16="http://schemas.microsoft.com/office/drawing/2014/chart" uri="{C3380CC4-5D6E-409C-BE32-E72D297353CC}">
                <c16:uniqueId val="{00000003-5878-4422-9D69-9B42C61F633C}"/>
              </c:ext>
            </c:extLst>
          </c:dPt>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cs-CZ"/>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'G2.5'!$N$32:$N$51</c:f>
              <c:strCache>
                <c:ptCount val="20"/>
                <c:pt idx="0">
                  <c:v>L – Činnosti v oblasti nemovitostí</c:v>
                </c:pt>
                <c:pt idx="1">
                  <c:v>M – Profesní, vědecké a technické činnosti</c:v>
                </c:pt>
                <c:pt idx="2">
                  <c:v>J – Informační a komunikační činnosti</c:v>
                </c:pt>
                <c:pt idx="3">
                  <c:v>K – Peněžnictví a pojišťovnictví</c:v>
                </c:pt>
                <c:pt idx="4">
                  <c:v>S – Ostatní činnosti</c:v>
                </c:pt>
                <c:pt idx="5">
                  <c:v>D – Výroba a rozvod elektřiny, plynu, tepla a klimatiz. vzduchu</c:v>
                </c:pt>
                <c:pt idx="6">
                  <c:v>R – Kulturní, zábavní a rekreační činnosti</c:v>
                </c:pt>
                <c:pt idx="7">
                  <c:v>F – Stavebnictví</c:v>
                </c:pt>
                <c:pt idx="8">
                  <c:v>I – Ubytování, stravování a pohostinství</c:v>
                </c:pt>
                <c:pt idx="9">
                  <c:v>A – Zemědělství, lesnictví a rybářství</c:v>
                </c:pt>
                <c:pt idx="10">
                  <c:v>G – Velkoobchod a maloobchod; opravy a údržba motor. vozidel</c:v>
                </c:pt>
                <c:pt idx="11">
                  <c:v>H – Doprava a skladování</c:v>
                </c:pt>
                <c:pt idx="12">
                  <c:v>O – Veřejná správa a obrana; povinné sociální zabezpečení</c:v>
                </c:pt>
                <c:pt idx="13">
                  <c:v>Q – Zdravotní a sociální péče</c:v>
                </c:pt>
                <c:pt idx="14">
                  <c:v>CELKEM</c:v>
                </c:pt>
                <c:pt idx="15">
                  <c:v>B – Těžba a dobývání</c:v>
                </c:pt>
                <c:pt idx="16">
                  <c:v>P – Vzdělávání</c:v>
                </c:pt>
                <c:pt idx="17">
                  <c:v>N – Administrativní a podpůrné činnosti</c:v>
                </c:pt>
                <c:pt idx="18">
                  <c:v>E – Zásobování vodou; činnosti souvis. s odpady a sanacemi</c:v>
                </c:pt>
                <c:pt idx="19">
                  <c:v>C – Zpracovatelský průmysl</c:v>
                </c:pt>
              </c:strCache>
            </c:strRef>
          </c:cat>
          <c:val>
            <c:numRef>
              <c:f>'G2.5'!$O$32:$O$51</c:f>
              <c:numCache>
                <c:formatCode>0.0</c:formatCode>
                <c:ptCount val="20"/>
                <c:pt idx="0">
                  <c:v>18.350000000000001</c:v>
                </c:pt>
                <c:pt idx="1">
                  <c:v>22.97</c:v>
                </c:pt>
                <c:pt idx="2">
                  <c:v>27.32</c:v>
                </c:pt>
                <c:pt idx="3">
                  <c:v>30.89</c:v>
                </c:pt>
                <c:pt idx="4">
                  <c:v>31.31</c:v>
                </c:pt>
                <c:pt idx="5">
                  <c:v>30.04</c:v>
                </c:pt>
                <c:pt idx="6">
                  <c:v>27.85</c:v>
                </c:pt>
                <c:pt idx="7">
                  <c:v>33.85</c:v>
                </c:pt>
                <c:pt idx="8">
                  <c:v>30.75</c:v>
                </c:pt>
                <c:pt idx="9">
                  <c:v>34.56</c:v>
                </c:pt>
                <c:pt idx="10">
                  <c:v>40.29</c:v>
                </c:pt>
                <c:pt idx="11">
                  <c:v>39.909999999999997</c:v>
                </c:pt>
                <c:pt idx="12">
                  <c:v>35.53</c:v>
                </c:pt>
                <c:pt idx="13">
                  <c:v>35.17</c:v>
                </c:pt>
                <c:pt idx="14">
                  <c:v>40.46</c:v>
                </c:pt>
                <c:pt idx="15">
                  <c:v>44.48</c:v>
                </c:pt>
                <c:pt idx="16">
                  <c:v>35.979999999999997</c:v>
                </c:pt>
                <c:pt idx="17">
                  <c:v>49.68</c:v>
                </c:pt>
                <c:pt idx="18">
                  <c:v>42.56</c:v>
                </c:pt>
                <c:pt idx="19">
                  <c:v>53.9</c:v>
                </c:pt>
              </c:numCache>
            </c:numRef>
          </c:val>
          <c:extLst>
            <c:ext xmlns:c16="http://schemas.microsoft.com/office/drawing/2014/chart" uri="{C3380CC4-5D6E-409C-BE32-E72D297353CC}">
              <c16:uniqueId val="{00000004-5878-4422-9D69-9B42C61F633C}"/>
            </c:ext>
          </c:extLst>
        </c:ser>
        <c:ser>
          <c:idx val="0"/>
          <c:order val="1"/>
          <c:tx>
            <c:strRef>
              <c:f>'G2.5'!$P$31</c:f>
              <c:strCache>
                <c:ptCount val="1"/>
                <c:pt idx="0">
                  <c:v>2024</c:v>
                </c:pt>
              </c:strCache>
            </c:strRef>
          </c:tx>
          <c:spPr>
            <a:solidFill>
              <a:srgbClr val="CC9610"/>
            </a:solidFill>
            <a:ln>
              <a:noFill/>
            </a:ln>
            <a:effectLst/>
          </c:spPr>
          <c:invertIfNegative val="0"/>
          <c:dPt>
            <c:idx val="14"/>
            <c:invertIfNegative val="0"/>
            <c:bubble3D val="0"/>
            <c:spPr>
              <a:solidFill>
                <a:srgbClr val="CC9610"/>
              </a:solidFill>
              <a:ln w="19050">
                <a:solidFill>
                  <a:srgbClr val="BC5B80"/>
                </a:solidFill>
              </a:ln>
              <a:effectLst/>
            </c:spPr>
            <c:extLst>
              <c:ext xmlns:c16="http://schemas.microsoft.com/office/drawing/2014/chart" uri="{C3380CC4-5D6E-409C-BE32-E72D297353CC}">
                <c16:uniqueId val="{00000006-5878-4422-9D69-9B42C61F633C}"/>
              </c:ext>
            </c:extLst>
          </c:dPt>
          <c:dPt>
            <c:idx val="17"/>
            <c:invertIfNegative val="0"/>
            <c:bubble3D val="0"/>
            <c:spPr>
              <a:solidFill>
                <a:srgbClr val="CC9610"/>
              </a:solidFill>
              <a:ln w="19050">
                <a:noFill/>
              </a:ln>
              <a:effectLst/>
            </c:spPr>
            <c:extLst>
              <c:ext xmlns:c16="http://schemas.microsoft.com/office/drawing/2014/chart" uri="{C3380CC4-5D6E-409C-BE32-E72D297353CC}">
                <c16:uniqueId val="{00000008-5878-4422-9D69-9B42C61F633C}"/>
              </c:ext>
            </c:extLst>
          </c:dPt>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cs-CZ"/>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'G2.5'!$N$32:$N$51</c:f>
              <c:strCache>
                <c:ptCount val="20"/>
                <c:pt idx="0">
                  <c:v>L – Činnosti v oblasti nemovitostí</c:v>
                </c:pt>
                <c:pt idx="1">
                  <c:v>M – Profesní, vědecké a technické činnosti</c:v>
                </c:pt>
                <c:pt idx="2">
                  <c:v>J – Informační a komunikační činnosti</c:v>
                </c:pt>
                <c:pt idx="3">
                  <c:v>K – Peněžnictví a pojišťovnictví</c:v>
                </c:pt>
                <c:pt idx="4">
                  <c:v>S – Ostatní činnosti</c:v>
                </c:pt>
                <c:pt idx="5">
                  <c:v>D – Výroba a rozvod elektřiny, plynu, tepla a klimatiz. vzduchu</c:v>
                </c:pt>
                <c:pt idx="6">
                  <c:v>R – Kulturní, zábavní a rekreační činnosti</c:v>
                </c:pt>
                <c:pt idx="7">
                  <c:v>F – Stavebnictví</c:v>
                </c:pt>
                <c:pt idx="8">
                  <c:v>I – Ubytování, stravování a pohostinství</c:v>
                </c:pt>
                <c:pt idx="9">
                  <c:v>A – Zemědělství, lesnictví a rybářství</c:v>
                </c:pt>
                <c:pt idx="10">
                  <c:v>G – Velkoobchod a maloobchod; opravy a údržba motor. vozidel</c:v>
                </c:pt>
                <c:pt idx="11">
                  <c:v>H – Doprava a skladování</c:v>
                </c:pt>
                <c:pt idx="12">
                  <c:v>O – Veřejná správa a obrana; povinné sociální zabezpečení</c:v>
                </c:pt>
                <c:pt idx="13">
                  <c:v>Q – Zdravotní a sociální péče</c:v>
                </c:pt>
                <c:pt idx="14">
                  <c:v>CELKEM</c:v>
                </c:pt>
                <c:pt idx="15">
                  <c:v>B – Těžba a dobývání</c:v>
                </c:pt>
                <c:pt idx="16">
                  <c:v>P – Vzdělávání</c:v>
                </c:pt>
                <c:pt idx="17">
                  <c:v>N – Administrativní a podpůrné činnosti</c:v>
                </c:pt>
                <c:pt idx="18">
                  <c:v>E – Zásobování vodou; činnosti souvis. s odpady a sanacemi</c:v>
                </c:pt>
                <c:pt idx="19">
                  <c:v>C – Zpracovatelský průmysl</c:v>
                </c:pt>
              </c:strCache>
            </c:strRef>
          </c:cat>
          <c:val>
            <c:numRef>
              <c:f>'G2.5'!$P$32:$P$51</c:f>
              <c:numCache>
                <c:formatCode>0.0</c:formatCode>
                <c:ptCount val="20"/>
                <c:pt idx="0">
                  <c:v>25.561995075599999</c:v>
                </c:pt>
                <c:pt idx="1">
                  <c:v>28.621538788500001</c:v>
                </c:pt>
                <c:pt idx="2">
                  <c:v>30.001598807699999</c:v>
                </c:pt>
                <c:pt idx="3">
                  <c:v>32.538134105099999</c:v>
                </c:pt>
                <c:pt idx="4">
                  <c:v>33.662047942500003</c:v>
                </c:pt>
                <c:pt idx="5">
                  <c:v>37.965653340000003</c:v>
                </c:pt>
                <c:pt idx="6">
                  <c:v>39.369679528799999</c:v>
                </c:pt>
                <c:pt idx="7">
                  <c:v>41.159764340700001</c:v>
                </c:pt>
                <c:pt idx="8">
                  <c:v>41.760158891400003</c:v>
                </c:pt>
                <c:pt idx="9">
                  <c:v>41.831382002200002</c:v>
                </c:pt>
                <c:pt idx="10">
                  <c:v>50.804811447200002</c:v>
                </c:pt>
                <c:pt idx="11">
                  <c:v>50.813005772399997</c:v>
                </c:pt>
                <c:pt idx="12">
                  <c:v>51.000310217200003</c:v>
                </c:pt>
                <c:pt idx="13">
                  <c:v>51.909893759699997</c:v>
                </c:pt>
                <c:pt idx="14">
                  <c:v>51.9677807399</c:v>
                </c:pt>
                <c:pt idx="15">
                  <c:v>53.133620796300001</c:v>
                </c:pt>
                <c:pt idx="16">
                  <c:v>56.628519859500003</c:v>
                </c:pt>
                <c:pt idx="17">
                  <c:v>56.898585996999998</c:v>
                </c:pt>
                <c:pt idx="18">
                  <c:v>56.9952327787</c:v>
                </c:pt>
                <c:pt idx="19">
                  <c:v>67.702886320800005</c:v>
                </c:pt>
              </c:numCache>
            </c:numRef>
          </c:val>
          <c:extLst>
            <c:ext xmlns:c16="http://schemas.microsoft.com/office/drawing/2014/chart" uri="{C3380CC4-5D6E-409C-BE32-E72D297353CC}">
              <c16:uniqueId val="{00000009-5878-4422-9D69-9B42C61F633C}"/>
            </c:ext>
          </c:extLst>
        </c:ser>
        <c:dLbls>
          <c:showLegendKey val="0"/>
          <c:showVal val="0"/>
          <c:showCatName val="0"/>
          <c:showSerName val="0"/>
          <c:showPercent val="0"/>
          <c:showBubbleSize val="0"/>
        </c:dLbls>
        <c:gapWidth val="70"/>
        <c:axId val="1399945359"/>
        <c:axId val="1399934543"/>
      </c:barChart>
      <c:catAx>
        <c:axId val="1399945359"/>
        <c:scaling>
          <c:orientation val="minMax"/>
        </c:scaling>
        <c:delete val="0"/>
        <c:axPos val="l"/>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cs-CZ"/>
          </a:p>
        </c:txPr>
        <c:crossAx val="1399934543"/>
        <c:crosses val="autoZero"/>
        <c:auto val="1"/>
        <c:lblAlgn val="ctr"/>
        <c:lblOffset val="100"/>
        <c:noMultiLvlLbl val="0"/>
      </c:catAx>
      <c:valAx>
        <c:axId val="1399934543"/>
        <c:scaling>
          <c:orientation val="minMax"/>
          <c:max val="70"/>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cs-CZ"/>
                  <a:t>P</a:t>
                </a:r>
                <a:r>
                  <a:rPr lang="en-US"/>
                  <a:t>očet případů</a:t>
                </a:r>
                <a:r>
                  <a:rPr lang="cs-CZ"/>
                  <a:t> na 100 pojištěnců</a:t>
                </a:r>
                <a:endParaRPr lang="en-US"/>
              </a:p>
            </c:rich>
          </c:tx>
          <c:layout>
            <c:manualLayout>
              <c:xMode val="edge"/>
              <c:yMode val="edge"/>
              <c:x val="0.59744035947712415"/>
              <c:y val="0.95009663536776212"/>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cs-CZ"/>
            </a:p>
          </c:txPr>
        </c:title>
        <c:numFmt formatCode="#,##0" sourceLinked="0"/>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cs-CZ"/>
          </a:p>
        </c:txPr>
        <c:crossAx val="1399945359"/>
        <c:crosses val="autoZero"/>
        <c:crossBetween val="between"/>
        <c:majorUnit val="10"/>
      </c:valAx>
      <c:spPr>
        <a:noFill/>
        <a:ln>
          <a:noFill/>
        </a:ln>
        <a:effectLst/>
      </c:spPr>
    </c:plotArea>
    <c:legend>
      <c:legendPos val="r"/>
      <c:layout>
        <c:manualLayout>
          <c:xMode val="edge"/>
          <c:yMode val="edge"/>
          <c:x val="0.6411980392156863"/>
          <c:y val="1.5035211267605634E-2"/>
          <c:w val="0.23328447712418302"/>
          <c:h val="3.5108176838810651E-2"/>
        </c:manualLayout>
      </c:layout>
      <c:overlay val="0"/>
      <c:spPr>
        <a:solidFill>
          <a:schemeClr val="bg1"/>
        </a:solid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cs-CZ"/>
        </a:p>
      </c:txPr>
    </c:legend>
    <c:plotVisOnly val="1"/>
    <c:dispBlanksAs val="gap"/>
    <c:showDLblsOverMax val="0"/>
  </c:chart>
  <c:spPr>
    <a:solidFill>
      <a:schemeClr val="bg1"/>
    </a:solidFill>
    <a:ln w="9525" cap="flat" cmpd="sng" algn="ctr">
      <a:noFill/>
      <a:round/>
    </a:ln>
    <a:effectLst/>
  </c:spPr>
  <c:txPr>
    <a:bodyPr/>
    <a:lstStyle/>
    <a:p>
      <a:pPr>
        <a:defRPr sz="800">
          <a:solidFill>
            <a:sysClr val="windowText" lastClr="000000"/>
          </a:solidFill>
          <a:latin typeface="Arial" panose="020B0604020202020204" pitchFamily="34" charset="0"/>
          <a:cs typeface="Arial" panose="020B0604020202020204" pitchFamily="34" charset="0"/>
        </a:defRPr>
      </a:pPr>
      <a:endParaRPr lang="cs-CZ"/>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7.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8.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9.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0.91367</cdr:x>
      <cdr:y>0.04347</cdr:y>
    </cdr:from>
    <cdr:to>
      <cdr:x>0.98527</cdr:x>
      <cdr:y>0.11717</cdr:y>
    </cdr:to>
    <cdr:sp macro="" textlink="">
      <cdr:nvSpPr>
        <cdr:cNvPr id="2" name="TextovéPole 1"/>
        <cdr:cNvSpPr txBox="1"/>
      </cdr:nvSpPr>
      <cdr:spPr>
        <a:xfrm xmlns:a="http://schemas.openxmlformats.org/drawingml/2006/main">
          <a:off x="5591176" y="219074"/>
          <a:ext cx="438149" cy="37147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cs-CZ" sz="1800" b="1">
              <a:solidFill>
                <a:schemeClr val="tx1"/>
              </a:solidFill>
              <a:latin typeface="Arial" panose="020B0604020202020204" pitchFamily="34" charset="0"/>
              <a:cs typeface="Arial" panose="020B0604020202020204" pitchFamily="34" charset="0"/>
            </a:rPr>
            <a:t>//</a:t>
          </a:r>
        </a:p>
      </cdr:txBody>
    </cdr:sp>
  </cdr:relSizeAnchor>
</c:userShapes>
</file>

<file path=word/drawings/drawing2.xml><?xml version="1.0" encoding="utf-8"?>
<c:userShapes xmlns:c="http://schemas.openxmlformats.org/drawingml/2006/chart">
  <cdr:relSizeAnchor xmlns:cdr="http://schemas.openxmlformats.org/drawingml/2006/chartDrawing">
    <cdr:from>
      <cdr:x>0.55036</cdr:x>
      <cdr:y>0.32888</cdr:y>
    </cdr:from>
    <cdr:to>
      <cdr:x>0.7885</cdr:x>
      <cdr:y>0.68422</cdr:y>
    </cdr:to>
    <cdr:sp macro="" textlink="">
      <cdr:nvSpPr>
        <cdr:cNvPr id="2" name="TextovéPole 3"/>
        <cdr:cNvSpPr txBox="1"/>
      </cdr:nvSpPr>
      <cdr:spPr>
        <a:xfrm xmlns:a="http://schemas.openxmlformats.org/drawingml/2006/main">
          <a:off x="1981200" y="828675"/>
          <a:ext cx="857250" cy="895350"/>
        </a:xfrm>
        <a:prstGeom xmlns:a="http://schemas.openxmlformats.org/drawingml/2006/main" prst="rect">
          <a:avLst/>
        </a:prstGeom>
        <a:noFill xmlns:a="http://schemas.openxmlformats.org/drawingml/2006/main"/>
        <a:ln xmlns:a="http://schemas.openxmlformats.org/drawingml/2006/main" w="9525" cmpd="sng">
          <a:no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ctr"/>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pPr algn="ctr"/>
          <a:r>
            <a:rPr lang="cs-CZ" sz="1000" b="1" baseline="0">
              <a:solidFill>
                <a:schemeClr val="dk1"/>
              </a:solidFill>
              <a:effectLst/>
              <a:latin typeface="Arial" panose="020B0604020202020204" pitchFamily="34" charset="0"/>
              <a:ea typeface="+mn-ea"/>
              <a:cs typeface="Arial" panose="020B0604020202020204" pitchFamily="34" charset="0"/>
            </a:rPr>
            <a:t>celkem případů</a:t>
          </a:r>
          <a:br>
            <a:rPr lang="cs-CZ" sz="1000" b="1" baseline="0">
              <a:solidFill>
                <a:schemeClr val="dk1"/>
              </a:solidFill>
              <a:effectLst/>
              <a:latin typeface="Arial" panose="020B0604020202020204" pitchFamily="34" charset="0"/>
              <a:ea typeface="+mn-ea"/>
              <a:cs typeface="Arial" panose="020B0604020202020204" pitchFamily="34" charset="0"/>
            </a:rPr>
          </a:br>
          <a:r>
            <a:rPr lang="cs-CZ" sz="1000" b="1" baseline="0">
              <a:solidFill>
                <a:schemeClr val="dk1"/>
              </a:solidFill>
              <a:effectLst/>
              <a:latin typeface="Arial" panose="020B0604020202020204" pitchFamily="34" charset="0"/>
              <a:ea typeface="+mn-ea"/>
              <a:cs typeface="Arial" panose="020B0604020202020204" pitchFamily="34" charset="0"/>
            </a:rPr>
            <a:t>u žen:</a:t>
          </a:r>
        </a:p>
        <a:p xmlns:a="http://schemas.openxmlformats.org/drawingml/2006/main">
          <a:pPr algn="ctr"/>
          <a:r>
            <a:rPr lang="cs-CZ" sz="1000" b="1">
              <a:solidFill>
                <a:schemeClr val="dk1"/>
              </a:solidFill>
              <a:effectLst/>
              <a:latin typeface="Arial" panose="020B0604020202020204" pitchFamily="34" charset="0"/>
              <a:ea typeface="+mn-ea"/>
              <a:cs typeface="Arial" panose="020B0604020202020204" pitchFamily="34" charset="0"/>
            </a:rPr>
            <a:t>1 363</a:t>
          </a:r>
          <a:r>
            <a:rPr lang="cs-CZ" sz="1000" b="1" baseline="0">
              <a:solidFill>
                <a:schemeClr val="dk1"/>
              </a:solidFill>
              <a:effectLst/>
              <a:latin typeface="Arial" panose="020B0604020202020204" pitchFamily="34" charset="0"/>
              <a:ea typeface="+mn-ea"/>
              <a:cs typeface="Arial" panose="020B0604020202020204" pitchFamily="34" charset="0"/>
            </a:rPr>
            <a:t> </a:t>
          </a:r>
          <a:r>
            <a:rPr lang="cs-CZ" sz="1000" b="1" baseline="0">
              <a:latin typeface="Arial" panose="020B0604020202020204" pitchFamily="34" charset="0"/>
              <a:cs typeface="Arial" panose="020B0604020202020204" pitchFamily="34" charset="0"/>
            </a:rPr>
            <a:t>tis.</a:t>
          </a:r>
          <a:endParaRPr lang="cs-CZ" sz="1000" b="1">
            <a:latin typeface="Arial" panose="020B0604020202020204" pitchFamily="34" charset="0"/>
            <a:cs typeface="Arial" panose="020B0604020202020204" pitchFamily="34" charset="0"/>
          </a:endParaRPr>
        </a:p>
      </cdr:txBody>
    </cdr:sp>
  </cdr:relSizeAnchor>
</c:userShapes>
</file>

<file path=word/drawings/drawing3.xml><?xml version="1.0" encoding="utf-8"?>
<c:userShapes xmlns:c="http://schemas.openxmlformats.org/drawingml/2006/chart">
  <cdr:relSizeAnchor xmlns:cdr="http://schemas.openxmlformats.org/drawingml/2006/chartDrawing">
    <cdr:from>
      <cdr:x>0.21785</cdr:x>
      <cdr:y>0.3251</cdr:y>
    </cdr:from>
    <cdr:to>
      <cdr:x>0.44717</cdr:x>
      <cdr:y>0.67894</cdr:y>
    </cdr:to>
    <cdr:sp macro="" textlink="">
      <cdr:nvSpPr>
        <cdr:cNvPr id="2" name="TextovéPole 3"/>
        <cdr:cNvSpPr txBox="1"/>
      </cdr:nvSpPr>
      <cdr:spPr>
        <a:xfrm xmlns:a="http://schemas.openxmlformats.org/drawingml/2006/main">
          <a:off x="784225" y="819150"/>
          <a:ext cx="825500" cy="891550"/>
        </a:xfrm>
        <a:prstGeom xmlns:a="http://schemas.openxmlformats.org/drawingml/2006/main" prst="rect">
          <a:avLst/>
        </a:prstGeom>
        <a:noFill xmlns:a="http://schemas.openxmlformats.org/drawingml/2006/main"/>
        <a:ln xmlns:a="http://schemas.openxmlformats.org/drawingml/2006/main" w="9525" cmpd="sng">
          <a:no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ctr"/>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pPr algn="ctr"/>
          <a:r>
            <a:rPr lang="cs-CZ" sz="1000" b="1" baseline="0">
              <a:solidFill>
                <a:schemeClr val="dk1"/>
              </a:solidFill>
              <a:effectLst/>
              <a:latin typeface="Arial" panose="020B0604020202020204" pitchFamily="34" charset="0"/>
              <a:ea typeface="+mn-ea"/>
              <a:cs typeface="Arial" panose="020B0604020202020204" pitchFamily="34" charset="0"/>
            </a:rPr>
            <a:t>celkem případů</a:t>
          </a:r>
          <a:br>
            <a:rPr lang="cs-CZ" sz="1000" b="1" baseline="0">
              <a:solidFill>
                <a:schemeClr val="dk1"/>
              </a:solidFill>
              <a:effectLst/>
              <a:latin typeface="Arial" panose="020B0604020202020204" pitchFamily="34" charset="0"/>
              <a:ea typeface="+mn-ea"/>
              <a:cs typeface="Arial" panose="020B0604020202020204" pitchFamily="34" charset="0"/>
            </a:rPr>
          </a:br>
          <a:r>
            <a:rPr lang="cs-CZ" sz="1000" b="1" baseline="0">
              <a:solidFill>
                <a:schemeClr val="dk1"/>
              </a:solidFill>
              <a:effectLst/>
              <a:latin typeface="Arial" panose="020B0604020202020204" pitchFamily="34" charset="0"/>
              <a:ea typeface="+mn-ea"/>
              <a:cs typeface="Arial" panose="020B0604020202020204" pitchFamily="34" charset="0"/>
            </a:rPr>
            <a:t>u mužů:</a:t>
          </a:r>
        </a:p>
        <a:p xmlns:a="http://schemas.openxmlformats.org/drawingml/2006/main">
          <a:pPr algn="ctr"/>
          <a:r>
            <a:rPr lang="cs-CZ" sz="1000" b="1">
              <a:solidFill>
                <a:schemeClr val="dk1"/>
              </a:solidFill>
              <a:effectLst/>
              <a:latin typeface="Arial" panose="020B0604020202020204" pitchFamily="34" charset="0"/>
              <a:ea typeface="+mn-ea"/>
              <a:cs typeface="Arial" panose="020B0604020202020204" pitchFamily="34" charset="0"/>
            </a:rPr>
            <a:t>1 114</a:t>
          </a:r>
          <a:r>
            <a:rPr lang="cs-CZ" sz="1000" b="1" baseline="0">
              <a:solidFill>
                <a:schemeClr val="dk1"/>
              </a:solidFill>
              <a:effectLst/>
              <a:latin typeface="Arial" panose="020B0604020202020204" pitchFamily="34" charset="0"/>
              <a:ea typeface="+mn-ea"/>
              <a:cs typeface="Arial" panose="020B0604020202020204" pitchFamily="34" charset="0"/>
            </a:rPr>
            <a:t> </a:t>
          </a:r>
          <a:r>
            <a:rPr lang="cs-CZ" sz="1000" b="1" baseline="0">
              <a:latin typeface="Arial" panose="020B0604020202020204" pitchFamily="34" charset="0"/>
              <a:cs typeface="Arial" panose="020B0604020202020204" pitchFamily="34" charset="0"/>
            </a:rPr>
            <a:t>tis.</a:t>
          </a:r>
          <a:endParaRPr lang="cs-CZ" sz="1000" b="1">
            <a:latin typeface="Arial" panose="020B0604020202020204" pitchFamily="34" charset="0"/>
            <a:cs typeface="Arial" panose="020B0604020202020204" pitchFamily="34" charset="0"/>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theme/themeOverride1.xml><?xml version="1.0" encoding="utf-8"?>
<a:themeOverride xmlns:a="http://schemas.openxmlformats.org/drawingml/2006/main">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04D9F2DB7AEC6647A8C955557DF8632E" ma:contentTypeVersion="16" ma:contentTypeDescription="Vytvoří nový dokument" ma:contentTypeScope="" ma:versionID="32927f0b3b847db0d1eb95c158cefd80">
  <xsd:schema xmlns:xsd="http://www.w3.org/2001/XMLSchema" xmlns:xs="http://www.w3.org/2001/XMLSchema" xmlns:p="http://schemas.microsoft.com/office/2006/metadata/properties" xmlns:ns3="a54ffe45-0905-4298-9ac1-24bf84dddb4f" xmlns:ns4="58154a9b-48f0-4027-84a6-b753b7361b43" targetNamespace="http://schemas.microsoft.com/office/2006/metadata/properties" ma:root="true" ma:fieldsID="abc4ee6c3309122ac14de48afffdbae5" ns3:_="" ns4:_="">
    <xsd:import namespace="a54ffe45-0905-4298-9ac1-24bf84dddb4f"/>
    <xsd:import namespace="58154a9b-48f0-4027-84a6-b753b7361b4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_activity" minOccurs="0"/>
                <xsd:element ref="ns4:MediaServiceObjectDetectorVersions" minOccurs="0"/>
                <xsd:element ref="ns4:MediaServiceSystemTags" minOccurs="0"/>
                <xsd:element ref="ns4:MediaServiceOCR" minOccurs="0"/>
                <xsd:element ref="ns4:MediaServiceSearchProperties"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4ffe45-0905-4298-9ac1-24bf84dddb4f"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SharingHintHash" ma:index="10" nillable="true" ma:displayName="Hodnota hash upozornění na sdílení"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154a9b-48f0-4027-84a6-b753b7361b4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58154a9b-48f0-4027-84a6-b753b7361b4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422A55-CEA9-480C-B27B-21CB6A48CE16}">
  <ds:schemaRefs>
    <ds:schemaRef ds:uri="http://schemas.microsoft.com/sharepoint/v3/contenttype/forms"/>
  </ds:schemaRefs>
</ds:datastoreItem>
</file>

<file path=customXml/itemProps2.xml><?xml version="1.0" encoding="utf-8"?>
<ds:datastoreItem xmlns:ds="http://schemas.openxmlformats.org/officeDocument/2006/customXml" ds:itemID="{32DEB28C-D40C-4025-9BDD-0344ACFD48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4ffe45-0905-4298-9ac1-24bf84dddb4f"/>
    <ds:schemaRef ds:uri="58154a9b-48f0-4027-84a6-b753b7361b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317C02-2A1C-4865-B445-BEE36455B994}">
  <ds:schemaRefs>
    <ds:schemaRef ds:uri="http://schemas.microsoft.com/office/2006/metadata/properties"/>
    <ds:schemaRef ds:uri="http://schemas.microsoft.com/office/infopath/2007/PartnerControls"/>
    <ds:schemaRef ds:uri="58154a9b-48f0-4027-84a6-b753b7361b43"/>
  </ds:schemaRefs>
</ds:datastoreItem>
</file>

<file path=customXml/itemProps4.xml><?xml version="1.0" encoding="utf-8"?>
<ds:datastoreItem xmlns:ds="http://schemas.openxmlformats.org/officeDocument/2006/customXml" ds:itemID="{5FC92148-E739-4049-AFDC-348783DFFF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grafická šablona pro publikaci.dotx</Template>
  <TotalTime>397</TotalTime>
  <Pages>32</Pages>
  <Words>12955</Words>
  <Characters>76440</Characters>
  <Application>Microsoft Office Word</Application>
  <DocSecurity>0</DocSecurity>
  <Lines>637</Lines>
  <Paragraphs>178</Paragraphs>
  <ScaleCrop>false</ScaleCrop>
  <HeadingPairs>
    <vt:vector size="6" baseType="variant">
      <vt:variant>
        <vt:lpstr>Název</vt:lpstr>
      </vt:variant>
      <vt:variant>
        <vt:i4>1</vt:i4>
      </vt:variant>
      <vt:variant>
        <vt:lpstr>Title</vt:lpstr>
      </vt:variant>
      <vt:variant>
        <vt:i4>1</vt:i4>
      </vt:variant>
      <vt:variant>
        <vt:lpstr>Headings</vt:lpstr>
      </vt:variant>
      <vt:variant>
        <vt:i4>8</vt:i4>
      </vt:variant>
    </vt:vector>
  </HeadingPairs>
  <TitlesOfParts>
    <vt:vector size="10" baseType="lpstr">
      <vt:lpstr/>
      <vt:lpstr/>
      <vt:lpstr>Styl: Nadpis 1</vt:lpstr>
      <vt:lpstr>    Styl: Nadpis 2</vt:lpstr>
      <vt:lpstr>        Styl: Nadpis 3</vt:lpstr>
      <vt:lpstr>        Styl: Nadpis 3</vt:lpstr>
      <vt:lpstr>    Styl: Nadpis 2</vt:lpstr>
      <vt:lpstr>        Styl: Nadpis 3</vt:lpstr>
      <vt:lpstr>    Styl: Nadpis 2</vt:lpstr>
      <vt:lpstr>        Styl: Nadpis 3</vt:lpstr>
    </vt:vector>
  </TitlesOfParts>
  <Manager/>
  <Company>CSU</Company>
  <LinksUpToDate>false</LinksUpToDate>
  <CharactersWithSpaces>89217</CharactersWithSpaces>
  <SharedDoc>false</SharedDoc>
  <HyperlinkBase/>
  <HLinks>
    <vt:vector size="18" baseType="variant">
      <vt:variant>
        <vt:i4>7602181</vt:i4>
      </vt:variant>
      <vt:variant>
        <vt:i4>11092</vt:i4>
      </vt:variant>
      <vt:variant>
        <vt:i4>1025</vt:i4>
      </vt:variant>
      <vt:variant>
        <vt:i4>1</vt:i4>
      </vt:variant>
      <vt:variant>
        <vt:lpwstr>msoFAAF</vt:lpwstr>
      </vt:variant>
      <vt:variant>
        <vt:lpwstr/>
      </vt:variant>
      <vt:variant>
        <vt:i4>7995509</vt:i4>
      </vt:variant>
      <vt:variant>
        <vt:i4>-1</vt:i4>
      </vt:variant>
      <vt:variant>
        <vt:i4>2058</vt:i4>
      </vt:variant>
      <vt:variant>
        <vt:i4>1</vt:i4>
      </vt:variant>
      <vt:variant>
        <vt:lpwstr>CSU RGB CZ logo-02</vt:lpwstr>
      </vt:variant>
      <vt:variant>
        <vt:lpwstr/>
      </vt:variant>
      <vt:variant>
        <vt:i4>7929973</vt:i4>
      </vt:variant>
      <vt:variant>
        <vt:i4>-1</vt:i4>
      </vt:variant>
      <vt:variant>
        <vt:i4>2059</vt:i4>
      </vt:variant>
      <vt:variant>
        <vt:i4>1</vt:i4>
      </vt:variant>
      <vt:variant>
        <vt:lpwstr>CSU RGB CZ logo-01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Tvrz Michal</dc:creator>
  <cp:keywords/>
  <dc:description/>
  <cp:lastModifiedBy>Tvrz Michal</cp:lastModifiedBy>
  <cp:revision>17</cp:revision>
  <cp:lastPrinted>2014-07-17T14:07:00Z</cp:lastPrinted>
  <dcterms:created xsi:type="dcterms:W3CDTF">2025-06-23T19:02:00Z</dcterms:created>
  <dcterms:modified xsi:type="dcterms:W3CDTF">2025-07-21T08:23:00Z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0x01010004D9F2DB7AEC6647A8C955557DF8632E</vt:lpwstr>
  </property>
  <property fmtid="{D5CDD505-2E9C-101B-9397-08002B2CF9AE}" pid="3" name="Názevformuláře">
    <vt:lpwstr>Publikace CZ barevné - ekonomika
</vt:lpwstr>
  </property>
  <property fmtid="{D5CDD505-2E9C-101B-9397-08002B2CF9AE}" pid="4" name="Vazbanaprocesnídoménu">
    <vt:lpwstr>;#4. Komunikace a propagace;#</vt:lpwstr>
  </property>
  <property fmtid="{D5CDD505-2E9C-101B-9397-08002B2CF9AE}" pid="5" name="Vazbanadefiničnípředpis">
    <vt:lpwstr>Manuál ke zveřejňování produktů ČSÚ
</vt:lpwstr>
  </property>
  <property fmtid="{D5CDD505-2E9C-101B-9397-08002B2CF9AE}" pid="6" name="Ustanovení">
    <vt:lpwstr>část první čl. 2, odst. 3b,c; část pátá; příloha 1
</vt:lpwstr>
  </property>
  <property fmtid="{D5CDD505-2E9C-101B-9397-08002B2CF9AE}" pid="7" name="Účinnostod">
    <vt:filetime>2017-08-14T07:00:00Z</vt:filetime>
  </property>
  <property fmtid="{D5CDD505-2E9C-101B-9397-08002B2CF9AE}" pid="8" name="Označení">
    <vt:lpwstr>Form_c438</vt:lpwstr>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MediaServiceImageTags">
    <vt:lpwstr/>
  </property>
</Properties>
</file>