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FF08A" w14:textId="27DBAF75" w:rsidR="00803507" w:rsidRPr="00884D55" w:rsidRDefault="00803507" w:rsidP="00803507">
      <w:pPr>
        <w:pStyle w:val="Nadpis1"/>
        <w:rPr>
          <w:lang w:val="en-GB"/>
        </w:rPr>
      </w:pPr>
      <w:bookmarkStart w:id="0" w:name="_Toc176767109"/>
      <w:bookmarkStart w:id="1" w:name="_Toc196386142"/>
      <w:r w:rsidRPr="00884D55">
        <w:rPr>
          <w:lang w:val="en-GB"/>
        </w:rPr>
        <w:t>6. Labour Market</w:t>
      </w:r>
      <w:bookmarkEnd w:id="1"/>
    </w:p>
    <w:tbl>
      <w:tblPr>
        <w:tblW w:w="9674" w:type="dxa"/>
        <w:tblInd w:w="-35" w:type="dxa"/>
        <w:tblCellMar>
          <w:left w:w="0" w:type="dxa"/>
          <w:right w:w="0" w:type="dxa"/>
        </w:tblCellMar>
        <w:tblLook w:val="00A0" w:firstRow="1" w:lastRow="0" w:firstColumn="1" w:lastColumn="0" w:noHBand="0" w:noVBand="0"/>
      </w:tblPr>
      <w:tblGrid>
        <w:gridCol w:w="1612"/>
        <w:gridCol w:w="152"/>
        <w:gridCol w:w="7910"/>
      </w:tblGrid>
      <w:tr w:rsidR="00803507" w:rsidRPr="00884D55" w14:paraId="12E88EFB" w14:textId="77777777" w:rsidTr="00F00320">
        <w:trPr>
          <w:trHeight w:val="155"/>
        </w:trPr>
        <w:tc>
          <w:tcPr>
            <w:tcW w:w="1814" w:type="dxa"/>
            <w:shd w:val="clear" w:color="auto" w:fill="auto"/>
            <w:tcMar>
              <w:left w:w="0" w:type="dxa"/>
            </w:tcMar>
          </w:tcPr>
          <w:p w14:paraId="79EBD531" w14:textId="77777777" w:rsidR="00803507" w:rsidRPr="00884D55" w:rsidRDefault="00803507" w:rsidP="00803507">
            <w:pPr>
              <w:pStyle w:val="Marginlie"/>
              <w:spacing w:after="120"/>
              <w:rPr>
                <w:color w:val="0D0D0D" w:themeColor="text1" w:themeTint="F2"/>
                <w:spacing w:val="0"/>
                <w:lang w:val="en-GB"/>
              </w:rPr>
            </w:pPr>
            <w:r w:rsidRPr="00884D55">
              <w:rPr>
                <w:color w:val="0D0D0D" w:themeColor="text1" w:themeTint="F2"/>
                <w:spacing w:val="0"/>
                <w:lang w:val="en-GB"/>
              </w:rPr>
              <w:t xml:space="preserve">The uneven recovery of the economy in 2024 likely led to greater movements of people on the labour market.  </w:t>
            </w:r>
          </w:p>
          <w:p w14:paraId="675EAAC4" w14:textId="77777777" w:rsidR="00803507" w:rsidRPr="00884D55" w:rsidRDefault="00803507" w:rsidP="00803507">
            <w:pPr>
              <w:pStyle w:val="Marginlie"/>
              <w:spacing w:after="120"/>
              <w:rPr>
                <w:color w:val="0D0D0D" w:themeColor="text1" w:themeTint="F2"/>
                <w:spacing w:val="-4"/>
                <w:lang w:val="en-GB"/>
              </w:rPr>
            </w:pPr>
          </w:p>
          <w:p w14:paraId="35CA05AF" w14:textId="77777777" w:rsidR="00803507" w:rsidRPr="00884D55" w:rsidRDefault="00803507" w:rsidP="00803507">
            <w:pPr>
              <w:pStyle w:val="Marginlie"/>
              <w:spacing w:after="120"/>
              <w:rPr>
                <w:color w:val="0D0D0D" w:themeColor="text1" w:themeTint="F2"/>
                <w:spacing w:val="-4"/>
                <w:lang w:val="en-GB"/>
              </w:rPr>
            </w:pPr>
          </w:p>
          <w:p w14:paraId="2248D44E" w14:textId="77777777" w:rsidR="00803507" w:rsidRPr="00884D55" w:rsidRDefault="00803507" w:rsidP="00803507">
            <w:pPr>
              <w:pStyle w:val="Marginlie"/>
              <w:spacing w:after="120"/>
              <w:rPr>
                <w:color w:val="0D0D0D" w:themeColor="text1" w:themeTint="F2"/>
                <w:spacing w:val="-4"/>
                <w:lang w:val="en-GB"/>
              </w:rPr>
            </w:pPr>
          </w:p>
          <w:p w14:paraId="5F0583FC" w14:textId="77777777" w:rsidR="00803507" w:rsidRPr="00884D55" w:rsidRDefault="00803507" w:rsidP="00803507">
            <w:pPr>
              <w:pStyle w:val="Marginlie"/>
              <w:spacing w:after="120"/>
              <w:rPr>
                <w:color w:val="0D0D0D" w:themeColor="text1" w:themeTint="F2"/>
                <w:spacing w:val="0"/>
                <w:lang w:val="en-GB"/>
              </w:rPr>
            </w:pPr>
            <w:r w:rsidRPr="00884D55">
              <w:rPr>
                <w:color w:val="0D0D0D" w:themeColor="text1" w:themeTint="F2"/>
                <w:spacing w:val="0"/>
                <w:lang w:val="en-GB"/>
              </w:rPr>
              <w:t xml:space="preserve">Year-on-year growth of the purchasing power of wages resumed last year, and wages have thus gradually begun to eliminate their deep losses from 2022 and 2023. </w:t>
            </w:r>
          </w:p>
        </w:tc>
        <w:tc>
          <w:tcPr>
            <w:tcW w:w="201" w:type="dxa"/>
            <w:shd w:val="clear" w:color="auto" w:fill="auto"/>
            <w:tcMar>
              <w:left w:w="0" w:type="dxa"/>
            </w:tcMar>
          </w:tcPr>
          <w:p w14:paraId="71A5379B" w14:textId="77777777" w:rsidR="00803507" w:rsidRPr="00884D55" w:rsidRDefault="00803507" w:rsidP="00803507">
            <w:pPr>
              <w:pStyle w:val="Textpoznpodarou"/>
              <w:spacing w:after="120"/>
              <w:jc w:val="both"/>
              <w:rPr>
                <w:color w:val="0D0D0D" w:themeColor="text1" w:themeTint="F2"/>
                <w:spacing w:val="-4"/>
                <w:lang w:val="en-GB"/>
              </w:rPr>
            </w:pPr>
          </w:p>
        </w:tc>
        <w:tc>
          <w:tcPr>
            <w:tcW w:w="7770" w:type="dxa"/>
            <w:shd w:val="clear" w:color="auto" w:fill="auto"/>
            <w:tcMar>
              <w:left w:w="0" w:type="dxa"/>
            </w:tcMar>
          </w:tcPr>
          <w:p w14:paraId="6A532613" w14:textId="61B388A7" w:rsidR="00803507" w:rsidRPr="00884D55" w:rsidRDefault="00803507" w:rsidP="00803507">
            <w:pPr>
              <w:spacing w:after="200"/>
              <w:rPr>
                <w:color w:val="0D0D0D" w:themeColor="text1" w:themeTint="F2"/>
                <w:spacing w:val="-4"/>
                <w:szCs w:val="20"/>
                <w:lang w:val="en-GB"/>
              </w:rPr>
            </w:pPr>
            <w:r w:rsidRPr="00884D55">
              <w:rPr>
                <w:color w:val="0D0D0D" w:themeColor="text1" w:themeTint="F2"/>
                <w:spacing w:val="-4"/>
                <w:szCs w:val="20"/>
                <w:lang w:val="en-GB"/>
              </w:rPr>
              <w:t>The labour market was still experiencing the reverberations of the mild recession in 2024, that hit the economy in the previous year. Simultaneously, however, signs of recovery were becoming increasingly apparent, especially in branches that benefited from the strengthening domestic demand. Moderate, rather differentiated employment growth persisted. Businesses slightly improved short-term employment expectations in most econo</w:t>
            </w:r>
            <w:r w:rsidR="00BF2AAA">
              <w:rPr>
                <w:color w:val="0D0D0D" w:themeColor="text1" w:themeTint="F2"/>
                <w:spacing w:val="-4"/>
                <w:szCs w:val="20"/>
                <w:lang w:val="en-GB"/>
              </w:rPr>
              <w:t xml:space="preserve">mic branches at the end of </w:t>
            </w:r>
            <w:r w:rsidRPr="00884D55">
              <w:rPr>
                <w:color w:val="0D0D0D" w:themeColor="text1" w:themeTint="F2"/>
                <w:spacing w:val="-4"/>
                <w:szCs w:val="20"/>
                <w:lang w:val="en-GB"/>
              </w:rPr>
              <w:t>year</w:t>
            </w:r>
            <w:r w:rsidR="00BF2AAA">
              <w:rPr>
                <w:color w:val="0D0D0D" w:themeColor="text1" w:themeTint="F2"/>
                <w:spacing w:val="-4"/>
                <w:szCs w:val="20"/>
                <w:lang w:val="en-GB"/>
              </w:rPr>
              <w:t xml:space="preserve"> 2024</w:t>
            </w:r>
            <w:r w:rsidRPr="00884D55">
              <w:rPr>
                <w:color w:val="0D0D0D" w:themeColor="text1" w:themeTint="F2"/>
                <w:spacing w:val="-4"/>
                <w:szCs w:val="20"/>
                <w:lang w:val="en-GB"/>
              </w:rPr>
              <w:t xml:space="preserve">. Nevertheless, the situation remained difficult in industry. Despite the uncertain economic outlook, companies still intensively demanded the cheaper labour from abroad, and at the same time, the integration of Ukrainian refugees into the labour market in the Czech Republic continued, which partially addressed the longer-term shortage of available labour force in the country. The unemployment remained unchanged at a very low level. In most cases, workers made redundant from industrial enterprises could find a new job in other branches without any significant difficulties, also thanks to the higher activity of labour offices (LO) in the field of retraining. Relatively rapid nominal wage growth, driven mainly by market branches of services, continued. This given the stabilisation of the price level in the economy, led to renewed growth of real wages, which had occurred in all major branches in the annual perspective. However, the purchasing power of employee earnings still did not even reach the level of 2019.  </w:t>
            </w:r>
          </w:p>
        </w:tc>
      </w:tr>
      <w:tr w:rsidR="00803507" w:rsidRPr="00884D55" w14:paraId="4E1493DF" w14:textId="77777777" w:rsidTr="00F00320">
        <w:trPr>
          <w:trHeight w:val="155"/>
        </w:trPr>
        <w:tc>
          <w:tcPr>
            <w:tcW w:w="1814" w:type="dxa"/>
            <w:shd w:val="clear" w:color="auto" w:fill="auto"/>
            <w:tcMar>
              <w:left w:w="0" w:type="dxa"/>
            </w:tcMar>
          </w:tcPr>
          <w:p w14:paraId="7EC1F21F" w14:textId="71766BF6" w:rsidR="00803507" w:rsidRPr="00884D55" w:rsidRDefault="00803507" w:rsidP="00BF2AAA">
            <w:pPr>
              <w:pStyle w:val="Marginlie"/>
              <w:spacing w:after="120"/>
              <w:rPr>
                <w:color w:val="0D0D0D" w:themeColor="text1" w:themeTint="F2"/>
                <w:spacing w:val="-4"/>
                <w:lang w:val="en-GB"/>
              </w:rPr>
            </w:pPr>
            <w:r w:rsidRPr="00884D55">
              <w:rPr>
                <w:color w:val="0D0D0D" w:themeColor="text1" w:themeTint="F2"/>
                <w:spacing w:val="-4"/>
                <w:lang w:val="en-GB"/>
              </w:rPr>
              <w:t>Employment growth moderated last year, however, the Czech Republic</w:t>
            </w:r>
            <w:r w:rsidR="00BF2AAA">
              <w:rPr>
                <w:color w:val="0D0D0D" w:themeColor="text1" w:themeTint="F2"/>
                <w:spacing w:val="-4"/>
                <w:lang w:val="en-GB"/>
              </w:rPr>
              <w:t xml:space="preserve"> (CR)</w:t>
            </w:r>
            <w:r w:rsidRPr="00884D55">
              <w:rPr>
                <w:color w:val="0D0D0D" w:themeColor="text1" w:themeTint="F2"/>
                <w:spacing w:val="-4"/>
                <w:lang w:val="en-GB"/>
              </w:rPr>
              <w:t xml:space="preserve"> had the highest number of people working </w:t>
            </w:r>
            <w:r w:rsidR="00BF2AAA">
              <w:rPr>
                <w:color w:val="0D0D0D" w:themeColor="text1" w:themeTint="F2"/>
                <w:spacing w:val="-4"/>
                <w:lang w:val="en-GB"/>
              </w:rPr>
              <w:t xml:space="preserve">here </w:t>
            </w:r>
            <w:r w:rsidRPr="00884D55">
              <w:rPr>
                <w:color w:val="0D0D0D" w:themeColor="text1" w:themeTint="F2"/>
                <w:spacing w:val="-4"/>
                <w:lang w:val="en-GB"/>
              </w:rPr>
              <w:t>in absolute terms in modern history</w:t>
            </w:r>
            <w:r w:rsidR="00BF2AAA">
              <w:rPr>
                <w:color w:val="0D0D0D" w:themeColor="text1" w:themeTint="F2"/>
                <w:spacing w:val="-4"/>
                <w:lang w:val="en-GB"/>
              </w:rPr>
              <w:t xml:space="preserve"> of the CR</w:t>
            </w:r>
            <w:r w:rsidRPr="00884D55">
              <w:rPr>
                <w:color w:val="0D0D0D" w:themeColor="text1" w:themeTint="F2"/>
                <w:spacing w:val="-4"/>
                <w:lang w:val="en-GB"/>
              </w:rPr>
              <w:t xml:space="preserve">. </w:t>
            </w:r>
          </w:p>
        </w:tc>
        <w:tc>
          <w:tcPr>
            <w:tcW w:w="201" w:type="dxa"/>
            <w:shd w:val="clear" w:color="auto" w:fill="auto"/>
            <w:tcMar>
              <w:left w:w="0" w:type="dxa"/>
            </w:tcMar>
          </w:tcPr>
          <w:p w14:paraId="71727F47" w14:textId="77777777" w:rsidR="00803507" w:rsidRPr="00884D55" w:rsidRDefault="00803507" w:rsidP="00803507">
            <w:pPr>
              <w:pStyle w:val="Textpoznpodarou"/>
              <w:spacing w:after="120"/>
              <w:jc w:val="both"/>
              <w:rPr>
                <w:color w:val="0D0D0D" w:themeColor="text1" w:themeTint="F2"/>
                <w:spacing w:val="-4"/>
                <w:lang w:val="en-GB"/>
              </w:rPr>
            </w:pPr>
          </w:p>
        </w:tc>
        <w:tc>
          <w:tcPr>
            <w:tcW w:w="7770" w:type="dxa"/>
            <w:shd w:val="clear" w:color="auto" w:fill="auto"/>
            <w:tcMar>
              <w:left w:w="0" w:type="dxa"/>
            </w:tcMar>
          </w:tcPr>
          <w:p w14:paraId="5089B5E9" w14:textId="2574A3CF" w:rsidR="00803507" w:rsidRPr="00884D55" w:rsidRDefault="00803507" w:rsidP="00803507">
            <w:pPr>
              <w:rPr>
                <w:spacing w:val="-4"/>
                <w:lang w:val="en-GB"/>
              </w:rPr>
            </w:pPr>
            <w:r w:rsidRPr="00884D55">
              <w:rPr>
                <w:spacing w:val="-4"/>
                <w:lang w:val="en-GB"/>
              </w:rPr>
              <w:t>The trend of moderate employment growth continued in 2024, lasting since the COVID-19 pandemic subsided. Total employment</w:t>
            </w:r>
            <w:r w:rsidRPr="00884D55">
              <w:rPr>
                <w:color w:val="0D0D0D" w:themeColor="text1" w:themeTint="F2"/>
                <w:spacing w:val="-4"/>
                <w:vertAlign w:val="superscript"/>
                <w:lang w:val="en-GB"/>
              </w:rPr>
              <w:footnoteReference w:id="2"/>
            </w:r>
            <w:r w:rsidRPr="00884D55">
              <w:rPr>
                <w:spacing w:val="-4"/>
                <w:lang w:val="en-GB"/>
              </w:rPr>
              <w:t xml:space="preserve"> increased by 0.3%, year-on-year, which, however, meant a slight slowdown compared to the dynamics in the previous three years. This is also related to the fact that the number of employees only stagnated, quarter-on-quarter, in the second half of last year, as the recent stagnation in the performance of the total economy took effect with a lag. In spite of this, the employment climbed up to a record 5.41 mil people during the </w:t>
            </w:r>
            <w:r w:rsidR="00BF2AAA">
              <w:rPr>
                <w:spacing w:val="-4"/>
                <w:lang w:val="en-GB"/>
              </w:rPr>
              <w:t xml:space="preserve">last </w:t>
            </w:r>
            <w:r w:rsidRPr="00884D55">
              <w:rPr>
                <w:spacing w:val="-4"/>
                <w:lang w:val="en-GB"/>
              </w:rPr>
              <w:t>year and was 0.6% higher in comparison to the peak value of the last expansion (Q4 2018), largely due to the development of public services. At the same time, it should not be omitted that the rate of employment growth in the Czech Republic has long been slower compared to most EU countries</w:t>
            </w:r>
            <w:r w:rsidRPr="00884D55">
              <w:rPr>
                <w:rStyle w:val="Znakapoznpodarou"/>
                <w:color w:val="0D0D0D" w:themeColor="text1" w:themeTint="F2"/>
                <w:spacing w:val="-4"/>
                <w:lang w:val="en-GB"/>
              </w:rPr>
              <w:footnoteReference w:id="3"/>
            </w:r>
            <w:r w:rsidRPr="00884D55">
              <w:rPr>
                <w:spacing w:val="-4"/>
                <w:lang w:val="en-GB"/>
              </w:rPr>
              <w:t>.</w:t>
            </w:r>
          </w:p>
        </w:tc>
      </w:tr>
      <w:tr w:rsidR="00803507" w:rsidRPr="00884D55" w14:paraId="26EBB3C9" w14:textId="77777777" w:rsidTr="00F00320">
        <w:trPr>
          <w:trHeight w:val="155"/>
        </w:trPr>
        <w:tc>
          <w:tcPr>
            <w:tcW w:w="1814" w:type="dxa"/>
            <w:shd w:val="clear" w:color="auto" w:fill="auto"/>
            <w:tcMar>
              <w:left w:w="0" w:type="dxa"/>
            </w:tcMar>
          </w:tcPr>
          <w:p w14:paraId="06799EE4" w14:textId="77777777" w:rsidR="00803507" w:rsidRPr="00884D55" w:rsidRDefault="00803507" w:rsidP="00803507">
            <w:pPr>
              <w:pStyle w:val="Marginlie"/>
              <w:spacing w:after="120"/>
              <w:rPr>
                <w:color w:val="0D0D0D" w:themeColor="text1" w:themeTint="F2"/>
                <w:spacing w:val="-4"/>
                <w:lang w:val="en-GB"/>
              </w:rPr>
            </w:pPr>
            <w:r w:rsidRPr="00884D55">
              <w:rPr>
                <w:color w:val="0D0D0D" w:themeColor="text1" w:themeTint="F2"/>
                <w:spacing w:val="-4"/>
                <w:lang w:val="en-GB"/>
              </w:rPr>
              <w:t>In particular, especially the public services continued to contribute to employment growth. However, most other branches of the tertiary sphere of the economy were also successful.</w:t>
            </w:r>
          </w:p>
        </w:tc>
        <w:tc>
          <w:tcPr>
            <w:tcW w:w="201" w:type="dxa"/>
            <w:shd w:val="clear" w:color="auto" w:fill="auto"/>
            <w:tcMar>
              <w:left w:w="0" w:type="dxa"/>
            </w:tcMar>
          </w:tcPr>
          <w:p w14:paraId="02D1523F" w14:textId="77777777" w:rsidR="00803507" w:rsidRPr="00884D55" w:rsidRDefault="00803507" w:rsidP="00803507">
            <w:pPr>
              <w:pStyle w:val="Textpoznpodarou"/>
              <w:spacing w:after="120"/>
              <w:jc w:val="both"/>
              <w:rPr>
                <w:color w:val="0D0D0D" w:themeColor="text1" w:themeTint="F2"/>
                <w:spacing w:val="-4"/>
                <w:lang w:val="en-GB"/>
              </w:rPr>
            </w:pPr>
          </w:p>
        </w:tc>
        <w:tc>
          <w:tcPr>
            <w:tcW w:w="7770" w:type="dxa"/>
            <w:shd w:val="clear" w:color="auto" w:fill="auto"/>
            <w:tcMar>
              <w:left w:w="0" w:type="dxa"/>
            </w:tcMar>
          </w:tcPr>
          <w:p w14:paraId="334CDDF4" w14:textId="68BCB8A2" w:rsidR="00803507" w:rsidRPr="00884D55" w:rsidRDefault="00803507" w:rsidP="0008079B">
            <w:pPr>
              <w:spacing w:after="200"/>
              <w:rPr>
                <w:spacing w:val="-4"/>
                <w:lang w:val="en-GB"/>
              </w:rPr>
            </w:pPr>
            <w:r w:rsidRPr="00884D55">
              <w:rPr>
                <w:spacing w:val="-4"/>
                <w:lang w:val="en-GB"/>
              </w:rPr>
              <w:t>Both employees (their number increased by 0.2%) and self-employed (+0.9%) contributed to the growth of total employment in a similar way last year. In terms of main branches, public services</w:t>
            </w:r>
            <w:r w:rsidRPr="00884D55">
              <w:rPr>
                <w:rStyle w:val="Znakapoznpodarou"/>
                <w:spacing w:val="-4"/>
                <w:lang w:val="en-GB"/>
              </w:rPr>
              <w:footnoteReference w:id="4"/>
            </w:r>
            <w:r w:rsidRPr="00884D55">
              <w:rPr>
                <w:spacing w:val="-4"/>
                <w:lang w:val="en-GB"/>
              </w:rPr>
              <w:t xml:space="preserve"> traditionally contributed the most, with </w:t>
            </w:r>
            <w:r w:rsidR="0008079B">
              <w:rPr>
                <w:spacing w:val="-4"/>
                <w:lang w:val="en-GB"/>
              </w:rPr>
              <w:t>almost</w:t>
            </w:r>
            <w:r w:rsidRPr="00884D55">
              <w:rPr>
                <w:spacing w:val="-4"/>
                <w:lang w:val="en-GB"/>
              </w:rPr>
              <w:t xml:space="preserve"> 2% of workers added last year, as in the previous year. In addition, the employment growth strengthened slightly here during 2024 (up to 2.5% in Q4). These services thus responded to the high demand associated with longer-term changes in the age structure of the population (in the areas of education, health and social care). The important division of trade, transport, accommodation and food service activities also thrived (</w:t>
            </w:r>
            <w:r w:rsidR="0008079B">
              <w:rPr>
                <w:spacing w:val="-4"/>
                <w:lang w:val="en-GB"/>
              </w:rPr>
              <w:t>+</w:t>
            </w:r>
            <w:r w:rsidRPr="00884D55">
              <w:rPr>
                <w:spacing w:val="-4"/>
                <w:lang w:val="en-GB"/>
              </w:rPr>
              <w:t>1.0%) in the annual perspective, however the total employment still lagged slightly behind 2019 here (−10</w:t>
            </w:r>
            <w:r>
              <w:rPr>
                <w:spacing w:val="-4"/>
                <w:lang w:val="en-GB"/>
              </w:rPr>
              <w:t> </w:t>
            </w:r>
            <w:r w:rsidRPr="00884D55">
              <w:rPr>
                <w:spacing w:val="-4"/>
                <w:lang w:val="en-GB"/>
              </w:rPr>
              <w:t>thousand persons). It also resulted from the worse development in transportation and warehousing</w:t>
            </w:r>
            <w:r w:rsidR="0008079B">
              <w:rPr>
                <w:spacing w:val="-4"/>
                <w:lang w:val="en-GB"/>
              </w:rPr>
              <w:t>, where the demand for workers</w:t>
            </w:r>
            <w:r w:rsidRPr="00884D55">
              <w:rPr>
                <w:spacing w:val="-4"/>
                <w:lang w:val="en-GB"/>
              </w:rPr>
              <w:t xml:space="preserve"> was limited by weaker performance in the related industry sector last year. On the contrary, the small entrepreneurs fared better in the entire above-mentioned division, which can be attributed to the recovery of </w:t>
            </w:r>
            <w:r w:rsidRPr="00884D55">
              <w:rPr>
                <w:spacing w:val="-4"/>
                <w:lang w:val="en-GB"/>
              </w:rPr>
              <w:lastRenderedPageBreak/>
              <w:t>tourism. Further, the real estate activities also continued to develop, leading to an increase of the number of employees (+2.3%). Total employment increased more moderately in other areas of services</w:t>
            </w:r>
            <w:r w:rsidRPr="00884D55">
              <w:rPr>
                <w:rStyle w:val="Znakapoznpodarou"/>
                <w:spacing w:val="-4"/>
                <w:lang w:val="en-GB"/>
              </w:rPr>
              <w:footnoteReference w:id="5"/>
            </w:r>
            <w:r w:rsidRPr="00884D55">
              <w:rPr>
                <w:spacing w:val="-4"/>
                <w:lang w:val="en-GB"/>
              </w:rPr>
              <w:t>, with the exception of information and communication, where a decrease occurred for the first time in the last thirteen years (−0.3%). This decrease concerned exclusively employees (−0.7%)</w:t>
            </w:r>
            <w:r w:rsidRPr="00884D55">
              <w:rPr>
                <w:rStyle w:val="Znakapoznpodarou"/>
                <w:spacing w:val="-4"/>
                <w:szCs w:val="20"/>
                <w:lang w:val="en-GB"/>
              </w:rPr>
              <w:footnoteReference w:id="6"/>
            </w:r>
            <w:r w:rsidRPr="00884D55">
              <w:rPr>
                <w:spacing w:val="-4"/>
                <w:lang w:val="en-GB"/>
              </w:rPr>
              <w:t xml:space="preserve">. However, even the number of self-employed persons in ICT recorded a more significant slowdown of the growth rate last year compared to previous years (+2.2%). </w:t>
            </w:r>
          </w:p>
        </w:tc>
      </w:tr>
      <w:tr w:rsidR="00803507" w:rsidRPr="00884D55" w14:paraId="6ACE2631" w14:textId="77777777" w:rsidTr="00F00320">
        <w:trPr>
          <w:trHeight w:val="155"/>
        </w:trPr>
        <w:tc>
          <w:tcPr>
            <w:tcW w:w="1814" w:type="dxa"/>
            <w:shd w:val="clear" w:color="auto" w:fill="auto"/>
            <w:tcMar>
              <w:left w:w="0" w:type="dxa"/>
            </w:tcMar>
          </w:tcPr>
          <w:p w14:paraId="3B5CDDD7" w14:textId="77777777" w:rsidR="00803507" w:rsidRPr="00884D55" w:rsidRDefault="00803507" w:rsidP="00803507">
            <w:pPr>
              <w:pStyle w:val="Marginlie"/>
              <w:spacing w:after="120"/>
              <w:rPr>
                <w:color w:val="0D0D0D" w:themeColor="text1" w:themeTint="F2"/>
                <w:spacing w:val="-4"/>
                <w:lang w:val="en-GB"/>
              </w:rPr>
            </w:pPr>
            <w:r w:rsidRPr="00884D55">
              <w:rPr>
                <w:color w:val="0D0D0D" w:themeColor="text1" w:themeTint="F2"/>
                <w:spacing w:val="-4"/>
                <w:lang w:val="en-GB"/>
              </w:rPr>
              <w:lastRenderedPageBreak/>
              <w:t xml:space="preserve">The decrease of employment in manufacturing deepened to 2% last year and affected almost all sectors.  </w:t>
            </w:r>
          </w:p>
          <w:p w14:paraId="74B7674E" w14:textId="68BADEDF" w:rsidR="00803507" w:rsidRDefault="00803507" w:rsidP="00803507">
            <w:pPr>
              <w:pStyle w:val="Marginlie"/>
              <w:spacing w:after="120"/>
              <w:rPr>
                <w:color w:val="0D0D0D" w:themeColor="text1" w:themeTint="F2"/>
                <w:spacing w:val="-4"/>
                <w:lang w:val="en-GB"/>
              </w:rPr>
            </w:pPr>
          </w:p>
          <w:p w14:paraId="64051183" w14:textId="77777777" w:rsidR="0002044F" w:rsidRPr="00884D55" w:rsidRDefault="0002044F" w:rsidP="00803507">
            <w:pPr>
              <w:pStyle w:val="Marginlie"/>
              <w:spacing w:after="120"/>
              <w:rPr>
                <w:color w:val="0D0D0D" w:themeColor="text1" w:themeTint="F2"/>
                <w:spacing w:val="-4"/>
                <w:lang w:val="en-GB"/>
              </w:rPr>
            </w:pPr>
          </w:p>
          <w:p w14:paraId="3B03123F" w14:textId="77777777" w:rsidR="00803507" w:rsidRPr="00884D55" w:rsidRDefault="00803507" w:rsidP="00803507">
            <w:pPr>
              <w:pStyle w:val="Marginlie"/>
              <w:spacing w:after="120"/>
              <w:rPr>
                <w:color w:val="0D0D0D" w:themeColor="text1" w:themeTint="F2"/>
                <w:spacing w:val="-4"/>
                <w:lang w:val="en-GB"/>
              </w:rPr>
            </w:pPr>
            <w:r w:rsidRPr="00884D55">
              <w:rPr>
                <w:color w:val="0D0D0D" w:themeColor="text1" w:themeTint="F2"/>
                <w:spacing w:val="-4"/>
                <w:lang w:val="en-GB"/>
              </w:rPr>
              <w:t xml:space="preserve">The construction was also in a minor downturn, but the situation improved during the year. </w:t>
            </w:r>
          </w:p>
        </w:tc>
        <w:tc>
          <w:tcPr>
            <w:tcW w:w="201" w:type="dxa"/>
            <w:shd w:val="clear" w:color="auto" w:fill="auto"/>
            <w:tcMar>
              <w:left w:w="0" w:type="dxa"/>
            </w:tcMar>
          </w:tcPr>
          <w:p w14:paraId="7FDFDEEA" w14:textId="77777777" w:rsidR="00803507" w:rsidRPr="00884D55" w:rsidRDefault="00803507" w:rsidP="00803507">
            <w:pPr>
              <w:pStyle w:val="Textpoznpodarou"/>
              <w:spacing w:after="120"/>
              <w:jc w:val="both"/>
              <w:rPr>
                <w:color w:val="0D0D0D" w:themeColor="text1" w:themeTint="F2"/>
                <w:spacing w:val="-4"/>
                <w:lang w:val="en-GB"/>
              </w:rPr>
            </w:pPr>
          </w:p>
        </w:tc>
        <w:tc>
          <w:tcPr>
            <w:tcW w:w="7770" w:type="dxa"/>
            <w:shd w:val="clear" w:color="auto" w:fill="auto"/>
            <w:tcMar>
              <w:left w:w="0" w:type="dxa"/>
            </w:tcMar>
          </w:tcPr>
          <w:p w14:paraId="4A77A3A7" w14:textId="3936D8E7" w:rsidR="00803507" w:rsidRPr="00884D55" w:rsidRDefault="00803507" w:rsidP="00803507">
            <w:pPr>
              <w:rPr>
                <w:spacing w:val="-4"/>
                <w:lang w:val="en-GB"/>
              </w:rPr>
            </w:pPr>
            <w:r w:rsidRPr="00884D55">
              <w:rPr>
                <w:spacing w:val="-4"/>
                <w:lang w:val="en-GB"/>
              </w:rPr>
              <w:t>Growth of total employment was significantly dampened throughout last year by developments in manufacturing, where 2% of positions were lost (the reduction occurred with similar intensity for both employees and self-employed). It was related to the recession of the total branch accompanied by enhanced cost pressures as well as weakened demand in a number of traditional export activities (mechanical engineering, electrical engineering, metallurgy)</w:t>
            </w:r>
            <w:r w:rsidRPr="00884D55">
              <w:rPr>
                <w:rStyle w:val="Znakapoznpodarou"/>
                <w:spacing w:val="-4"/>
                <w:lang w:val="en-GB"/>
              </w:rPr>
              <w:footnoteReference w:id="7"/>
            </w:r>
            <w:r w:rsidRPr="00884D55">
              <w:rPr>
                <w:spacing w:val="-4"/>
                <w:lang w:val="en-GB"/>
              </w:rPr>
              <w:t>. The situation was more favourable in other industry, as even a slight increase of employment in energy industry, water and waste management activities was sufficient to compensate the deepening downturn in the relatively small field of mining and quarrying. The g</w:t>
            </w:r>
            <w:r w:rsidR="0002044F">
              <w:rPr>
                <w:spacing w:val="-4"/>
                <w:lang w:val="en-GB"/>
              </w:rPr>
              <w:t>rowth of the number of workers</w:t>
            </w:r>
            <w:r w:rsidRPr="00884D55">
              <w:rPr>
                <w:spacing w:val="-4"/>
                <w:lang w:val="en-GB"/>
              </w:rPr>
              <w:t xml:space="preserve"> ceased in construction last year </w:t>
            </w:r>
            <w:r w:rsidR="0002044F">
              <w:rPr>
                <w:spacing w:val="-4"/>
                <w:lang w:val="en-GB"/>
              </w:rPr>
              <w:t>(</w:t>
            </w:r>
            <w:r w:rsidRPr="00884D55">
              <w:rPr>
                <w:spacing w:val="-4"/>
                <w:lang w:val="en-GB"/>
              </w:rPr>
              <w:t>after three years</w:t>
            </w:r>
            <w:r w:rsidR="0002044F">
              <w:rPr>
                <w:spacing w:val="-4"/>
                <w:lang w:val="en-GB"/>
              </w:rPr>
              <w:t>)</w:t>
            </w:r>
            <w:r w:rsidRPr="00884D55">
              <w:rPr>
                <w:spacing w:val="-4"/>
                <w:lang w:val="en-GB"/>
              </w:rPr>
              <w:t xml:space="preserve">, which can be attributed to a less favourable development among small entrepreneurs (−1.5%). However, the situation gradually improved during the year. The </w:t>
            </w:r>
            <w:r w:rsidR="0002044F">
              <w:rPr>
                <w:spacing w:val="-4"/>
                <w:lang w:val="en-GB"/>
              </w:rPr>
              <w:t xml:space="preserve">total </w:t>
            </w:r>
            <w:r w:rsidRPr="00884D55">
              <w:rPr>
                <w:spacing w:val="-4"/>
                <w:lang w:val="en-GB"/>
              </w:rPr>
              <w:t xml:space="preserve">employment rather stagnated in agriculture, forestry and fishing for the second year in a row last year, while the number of self-employed continued to increase.  </w:t>
            </w:r>
          </w:p>
        </w:tc>
      </w:tr>
      <w:tr w:rsidR="00803507" w:rsidRPr="00884D55" w14:paraId="0CD6C9F8" w14:textId="77777777" w:rsidTr="00F00320">
        <w:trPr>
          <w:trHeight w:val="155"/>
        </w:trPr>
        <w:tc>
          <w:tcPr>
            <w:tcW w:w="1814" w:type="dxa"/>
            <w:shd w:val="clear" w:color="auto" w:fill="auto"/>
            <w:tcMar>
              <w:left w:w="0" w:type="dxa"/>
            </w:tcMar>
          </w:tcPr>
          <w:p w14:paraId="5AE70EAA" w14:textId="4C190FEE" w:rsidR="00803507" w:rsidRPr="00884D55" w:rsidRDefault="00803507" w:rsidP="00803507">
            <w:pPr>
              <w:pStyle w:val="Marginlie"/>
              <w:spacing w:after="120"/>
              <w:rPr>
                <w:color w:val="0D0D0D" w:themeColor="text1" w:themeTint="F2"/>
                <w:spacing w:val="-4"/>
                <w:lang w:val="en-GB"/>
              </w:rPr>
            </w:pPr>
            <w:r w:rsidRPr="00884D55">
              <w:rPr>
                <w:color w:val="0D0D0D" w:themeColor="text1" w:themeTint="F2"/>
                <w:spacing w:val="-4"/>
                <w:lang w:val="en-GB"/>
              </w:rPr>
              <w:t xml:space="preserve">The number of hours worked in the economy fell slightly due to a lower work needs of the industry and </w:t>
            </w:r>
            <w:r w:rsidR="0002044F">
              <w:rPr>
                <w:color w:val="0D0D0D" w:themeColor="text1" w:themeTint="F2"/>
                <w:spacing w:val="-4"/>
                <w:lang w:val="en-GB"/>
              </w:rPr>
              <w:t xml:space="preserve">also </w:t>
            </w:r>
            <w:r w:rsidRPr="00884D55">
              <w:rPr>
                <w:color w:val="0D0D0D" w:themeColor="text1" w:themeTint="F2"/>
                <w:spacing w:val="-4"/>
                <w:lang w:val="en-GB"/>
              </w:rPr>
              <w:t>as a resul</w:t>
            </w:r>
            <w:r w:rsidR="0002044F">
              <w:rPr>
                <w:color w:val="0D0D0D" w:themeColor="text1" w:themeTint="F2"/>
                <w:spacing w:val="-4"/>
                <w:lang w:val="en-GB"/>
              </w:rPr>
              <w:t xml:space="preserve">t of part-time work expansion. </w:t>
            </w:r>
          </w:p>
        </w:tc>
        <w:tc>
          <w:tcPr>
            <w:tcW w:w="201" w:type="dxa"/>
            <w:shd w:val="clear" w:color="auto" w:fill="auto"/>
            <w:tcMar>
              <w:left w:w="0" w:type="dxa"/>
            </w:tcMar>
          </w:tcPr>
          <w:p w14:paraId="6D2A689F" w14:textId="77777777" w:rsidR="00803507" w:rsidRPr="00884D55" w:rsidRDefault="00803507" w:rsidP="00803507">
            <w:pPr>
              <w:pStyle w:val="Textpoznpodarou"/>
              <w:spacing w:after="120"/>
              <w:jc w:val="both"/>
              <w:rPr>
                <w:color w:val="0D0D0D" w:themeColor="text1" w:themeTint="F2"/>
                <w:spacing w:val="-4"/>
                <w:lang w:val="en-GB"/>
              </w:rPr>
            </w:pPr>
          </w:p>
        </w:tc>
        <w:tc>
          <w:tcPr>
            <w:tcW w:w="7770" w:type="dxa"/>
            <w:shd w:val="clear" w:color="auto" w:fill="auto"/>
            <w:tcMar>
              <w:left w:w="0" w:type="dxa"/>
            </w:tcMar>
          </w:tcPr>
          <w:p w14:paraId="0EFC9167" w14:textId="29E8A727" w:rsidR="00803507" w:rsidRPr="00884D55" w:rsidRDefault="00803507" w:rsidP="00803507">
            <w:pPr>
              <w:spacing w:after="0"/>
              <w:rPr>
                <w:color w:val="0D0D0D" w:themeColor="text1" w:themeTint="F2"/>
                <w:spacing w:val="-4"/>
                <w:lang w:val="en-GB"/>
              </w:rPr>
            </w:pPr>
            <w:r w:rsidRPr="00884D55">
              <w:rPr>
                <w:color w:val="0D0D0D" w:themeColor="text1" w:themeTint="F2"/>
                <w:spacing w:val="-4"/>
                <w:lang w:val="en-GB"/>
              </w:rPr>
              <w:t>The total number of hours worked in the economy, which returned to pre-crisis levels (year 2018) for the first time in 2023 decreased slightly last year (-0.2%). The largest growth manifested in division trade, transport, accommodation</w:t>
            </w:r>
            <w:r>
              <w:rPr>
                <w:color w:val="0D0D0D" w:themeColor="text1" w:themeTint="F2"/>
                <w:spacing w:val="-4"/>
                <w:lang w:val="en-GB"/>
              </w:rPr>
              <w:t>,</w:t>
            </w:r>
            <w:r w:rsidRPr="00884D55">
              <w:rPr>
                <w:color w:val="0D0D0D" w:themeColor="text1" w:themeTint="F2"/>
                <w:spacing w:val="-4"/>
                <w:lang w:val="en-GB"/>
              </w:rPr>
              <w:t xml:space="preserve"> and food service activities (</w:t>
            </w:r>
            <w:r w:rsidR="0002044F">
              <w:rPr>
                <w:color w:val="0D0D0D" w:themeColor="text1" w:themeTint="F2"/>
                <w:spacing w:val="-4"/>
                <w:lang w:val="en-GB"/>
              </w:rPr>
              <w:t>+</w:t>
            </w:r>
            <w:r w:rsidRPr="00884D55">
              <w:rPr>
                <w:color w:val="0D0D0D" w:themeColor="text1" w:themeTint="F2"/>
                <w:spacing w:val="-4"/>
                <w:lang w:val="en-GB"/>
              </w:rPr>
              <w:t>1.6%) and also in the primary sphere of the economy (</w:t>
            </w:r>
            <w:r w:rsidR="0002044F">
              <w:rPr>
                <w:color w:val="0D0D0D" w:themeColor="text1" w:themeTint="F2"/>
                <w:spacing w:val="-4"/>
                <w:lang w:val="en-GB"/>
              </w:rPr>
              <w:t>+</w:t>
            </w:r>
            <w:r w:rsidRPr="00884D55">
              <w:rPr>
                <w:color w:val="0D0D0D" w:themeColor="text1" w:themeTint="F2"/>
                <w:spacing w:val="-4"/>
                <w:lang w:val="en-GB"/>
              </w:rPr>
              <w:t xml:space="preserve">2.0%), where it however largely depends on the natural conditions. On the contrary, the largest decrease occurred in manufacturing (−2.7%), where it also exceeded the rate of decline of employment </w:t>
            </w:r>
            <w:r w:rsidR="0002044F">
              <w:rPr>
                <w:color w:val="0D0D0D" w:themeColor="text1" w:themeTint="F2"/>
                <w:spacing w:val="-4"/>
                <w:lang w:val="en-GB"/>
              </w:rPr>
              <w:t>(</w:t>
            </w:r>
            <w:r w:rsidRPr="00884D55">
              <w:rPr>
                <w:color w:val="0D0D0D" w:themeColor="text1" w:themeTint="F2"/>
                <w:spacing w:val="-4"/>
                <w:lang w:val="en-GB"/>
              </w:rPr>
              <w:t>in natural persons</w:t>
            </w:r>
            <w:r w:rsidR="0002044F">
              <w:rPr>
                <w:color w:val="0D0D0D" w:themeColor="text1" w:themeTint="F2"/>
                <w:spacing w:val="-4"/>
                <w:lang w:val="en-GB"/>
              </w:rPr>
              <w:t>)</w:t>
            </w:r>
            <w:r w:rsidRPr="00884D55">
              <w:rPr>
                <w:color w:val="0D0D0D" w:themeColor="text1" w:themeTint="F2"/>
                <w:spacing w:val="-4"/>
                <w:lang w:val="en-GB"/>
              </w:rPr>
              <w:t>. This may have reflected a lower need for overtime work, or even a reduction of planned shifts in some sectors affected by the recession. Hours worked also decreased slightly in some branches of services in which employment otherwise increased last year (financial and insurance activities, public services). This may be linked to the expansion of part-time work</w:t>
            </w:r>
            <w:r w:rsidRPr="00884D55">
              <w:rPr>
                <w:rStyle w:val="Znakapoznpodarou"/>
                <w:color w:val="0D0D0D" w:themeColor="text1" w:themeTint="F2"/>
                <w:spacing w:val="-4"/>
                <w:lang w:val="en-GB"/>
              </w:rPr>
              <w:footnoteReference w:id="8"/>
            </w:r>
            <w:r w:rsidRPr="00884D55">
              <w:rPr>
                <w:color w:val="0D0D0D" w:themeColor="text1" w:themeTint="F2"/>
                <w:spacing w:val="-4"/>
                <w:lang w:val="en-GB"/>
              </w:rPr>
              <w:t xml:space="preserve"> (due to the growing employment of women supported by the integration of female refugees from Ukraine as well as the tax relief to support part time jobs introduced last year) or to a decrease of the number of persons working on job agreement contracts</w:t>
            </w:r>
            <w:r w:rsidRPr="00884D55">
              <w:rPr>
                <w:rStyle w:val="Znakapoznpodarou"/>
                <w:color w:val="0D0D0D" w:themeColor="text1" w:themeTint="F2"/>
                <w:spacing w:val="-4"/>
                <w:lang w:val="en-GB"/>
              </w:rPr>
              <w:footnoteReference w:id="9"/>
            </w:r>
            <w:r w:rsidRPr="00884D55">
              <w:rPr>
                <w:color w:val="0D0D0D" w:themeColor="text1" w:themeTint="F2"/>
                <w:spacing w:val="-4"/>
                <w:lang w:val="en-GB"/>
              </w:rPr>
              <w:t xml:space="preserve"> (due to legislative changes reducing the financial benefits of these forms of work for employees and, conversely, increasing administrative burdens for companies).  </w:t>
            </w:r>
          </w:p>
          <w:p w14:paraId="0A62D6CA" w14:textId="77777777" w:rsidR="00803507" w:rsidRPr="00884D55" w:rsidRDefault="00803507" w:rsidP="00803507">
            <w:pPr>
              <w:spacing w:after="0"/>
              <w:rPr>
                <w:spacing w:val="-4"/>
                <w:lang w:val="en-GB"/>
              </w:rPr>
            </w:pPr>
          </w:p>
        </w:tc>
      </w:tr>
      <w:tr w:rsidR="00803507" w:rsidRPr="00884D55" w14:paraId="4EC7836A" w14:textId="77777777" w:rsidTr="00F00320">
        <w:trPr>
          <w:trHeight w:val="155"/>
        </w:trPr>
        <w:tc>
          <w:tcPr>
            <w:tcW w:w="1814" w:type="dxa"/>
            <w:shd w:val="clear" w:color="auto" w:fill="auto"/>
            <w:tcMar>
              <w:left w:w="0" w:type="dxa"/>
            </w:tcMar>
          </w:tcPr>
          <w:p w14:paraId="270EE69E" w14:textId="77777777" w:rsidR="00803507" w:rsidRPr="00884D55" w:rsidRDefault="00803507" w:rsidP="00803507">
            <w:pPr>
              <w:pStyle w:val="Marginlie"/>
              <w:spacing w:after="120"/>
              <w:rPr>
                <w:color w:val="0D0D0D" w:themeColor="text1" w:themeTint="F2"/>
                <w:spacing w:val="-4"/>
                <w:lang w:val="en-GB"/>
              </w:rPr>
            </w:pPr>
            <w:r w:rsidRPr="00884D55">
              <w:rPr>
                <w:color w:val="0D0D0D" w:themeColor="text1" w:themeTint="F2"/>
                <w:spacing w:val="-4"/>
                <w:lang w:val="en-GB"/>
              </w:rPr>
              <w:lastRenderedPageBreak/>
              <w:t xml:space="preserve">The number of persons combining multiple employments grew. </w:t>
            </w:r>
          </w:p>
          <w:p w14:paraId="01B205BB" w14:textId="77777777" w:rsidR="00803507" w:rsidRPr="00884D55" w:rsidRDefault="00803507" w:rsidP="00803507">
            <w:pPr>
              <w:pStyle w:val="Marginlie"/>
              <w:spacing w:after="120"/>
              <w:rPr>
                <w:color w:val="0D0D0D" w:themeColor="text1" w:themeTint="F2"/>
                <w:spacing w:val="-4"/>
                <w:lang w:val="en-GB"/>
              </w:rPr>
            </w:pPr>
          </w:p>
          <w:p w14:paraId="2592919B" w14:textId="77777777" w:rsidR="00803507" w:rsidRPr="00884D55" w:rsidRDefault="00803507" w:rsidP="00803507">
            <w:pPr>
              <w:pStyle w:val="Marginlie"/>
              <w:spacing w:after="120"/>
              <w:rPr>
                <w:color w:val="0D0D0D" w:themeColor="text1" w:themeTint="F2"/>
                <w:spacing w:val="-4"/>
                <w:lang w:val="en-GB"/>
              </w:rPr>
            </w:pPr>
            <w:r w:rsidRPr="00884D55">
              <w:rPr>
                <w:color w:val="0D0D0D" w:themeColor="text1" w:themeTint="F2"/>
                <w:spacing w:val="-4"/>
                <w:lang w:val="en-GB"/>
              </w:rPr>
              <w:t xml:space="preserve">The long-term growth of the number of specialists as well as the decrease in the category of office workers continued. </w:t>
            </w:r>
          </w:p>
        </w:tc>
        <w:tc>
          <w:tcPr>
            <w:tcW w:w="201" w:type="dxa"/>
            <w:shd w:val="clear" w:color="auto" w:fill="auto"/>
            <w:tcMar>
              <w:left w:w="0" w:type="dxa"/>
            </w:tcMar>
          </w:tcPr>
          <w:p w14:paraId="02E8A368" w14:textId="77777777" w:rsidR="00803507" w:rsidRPr="00884D55" w:rsidRDefault="00803507" w:rsidP="00803507">
            <w:pPr>
              <w:pStyle w:val="Textpoznpodarou"/>
              <w:spacing w:after="120"/>
              <w:jc w:val="both"/>
              <w:rPr>
                <w:color w:val="0D0D0D" w:themeColor="text1" w:themeTint="F2"/>
                <w:spacing w:val="-4"/>
                <w:lang w:val="en-GB"/>
              </w:rPr>
            </w:pPr>
          </w:p>
        </w:tc>
        <w:tc>
          <w:tcPr>
            <w:tcW w:w="7770" w:type="dxa"/>
            <w:shd w:val="clear" w:color="auto" w:fill="auto"/>
            <w:tcMar>
              <w:left w:w="0" w:type="dxa"/>
            </w:tcMar>
          </w:tcPr>
          <w:p w14:paraId="31D18AD3" w14:textId="054ED18A" w:rsidR="00803507" w:rsidRPr="00884D55" w:rsidRDefault="00803507" w:rsidP="00803507">
            <w:pPr>
              <w:rPr>
                <w:color w:val="0D0D0D" w:themeColor="text1" w:themeTint="F2"/>
                <w:spacing w:val="-4"/>
                <w:lang w:val="en-GB"/>
              </w:rPr>
            </w:pPr>
            <w:r w:rsidRPr="00884D55">
              <w:rPr>
                <w:color w:val="0D0D0D" w:themeColor="text1" w:themeTint="F2"/>
                <w:spacing w:val="-4"/>
                <w:lang w:val="en-GB"/>
              </w:rPr>
              <w:t>The increasing role of part-time work is also associated with the growing share of persons working in two jobs. While 2.8% of workers were employed in this way in Q3 2023, a record 3.3%</w:t>
            </w:r>
            <w:r w:rsidRPr="00884D55">
              <w:rPr>
                <w:rStyle w:val="Znakapoznpodarou"/>
                <w:color w:val="0D0D0D" w:themeColor="text1" w:themeTint="F2"/>
                <w:spacing w:val="-4"/>
                <w:lang w:val="en-GB"/>
              </w:rPr>
              <w:footnoteReference w:id="10"/>
            </w:r>
            <w:r w:rsidRPr="00884D55">
              <w:rPr>
                <w:color w:val="0D0D0D" w:themeColor="text1" w:themeTint="F2"/>
                <w:spacing w:val="-4"/>
                <w:lang w:val="en-GB"/>
              </w:rPr>
              <w:t xml:space="preserve"> a year later. In addition to these shifts, longer-term structural changes of employment are also taking place. As the education of the workforce increases, the number of people working in the specialist category is also growing (according to LFSS data, by 8%, year-on-year, in Q1 to Q3 2024). There has also been an increase of services and sales workers (+6%) and technical and pr</w:t>
            </w:r>
            <w:r w:rsidR="0090465F">
              <w:rPr>
                <w:color w:val="0D0D0D" w:themeColor="text1" w:themeTint="F2"/>
                <w:spacing w:val="-4"/>
                <w:lang w:val="en-GB"/>
              </w:rPr>
              <w:t>ofessional staff (+4%) in 2024</w:t>
            </w:r>
            <w:r w:rsidRPr="00884D55">
              <w:rPr>
                <w:color w:val="0D0D0D" w:themeColor="text1" w:themeTint="F2"/>
                <w:spacing w:val="-4"/>
                <w:lang w:val="en-GB"/>
              </w:rPr>
              <w:t xml:space="preserve">. On the contrary, the decrease continued in the category of office workers (−13%), largely due to the development of digitalisation in the area of market as well as public services. </w:t>
            </w:r>
          </w:p>
        </w:tc>
      </w:tr>
      <w:tr w:rsidR="00803507" w:rsidRPr="00884D55" w14:paraId="0FC32368" w14:textId="77777777" w:rsidTr="00F00320">
        <w:trPr>
          <w:trHeight w:val="155"/>
        </w:trPr>
        <w:tc>
          <w:tcPr>
            <w:tcW w:w="1814" w:type="dxa"/>
            <w:vMerge w:val="restart"/>
            <w:shd w:val="clear" w:color="auto" w:fill="auto"/>
            <w:tcMar>
              <w:left w:w="0" w:type="dxa"/>
            </w:tcMar>
          </w:tcPr>
          <w:p w14:paraId="39184AC0" w14:textId="77777777" w:rsidR="00803507" w:rsidRPr="00884D55" w:rsidRDefault="00803507" w:rsidP="00803507">
            <w:pPr>
              <w:pStyle w:val="Marginlie"/>
              <w:spacing w:after="120"/>
              <w:rPr>
                <w:spacing w:val="-4"/>
                <w:lang w:val="en-GB"/>
              </w:rPr>
            </w:pPr>
          </w:p>
        </w:tc>
        <w:tc>
          <w:tcPr>
            <w:tcW w:w="201" w:type="dxa"/>
            <w:vMerge w:val="restart"/>
            <w:shd w:val="clear" w:color="auto" w:fill="auto"/>
            <w:tcMar>
              <w:left w:w="0" w:type="dxa"/>
            </w:tcMar>
          </w:tcPr>
          <w:p w14:paraId="73F88B40" w14:textId="77777777" w:rsidR="00803507" w:rsidRPr="00884D55" w:rsidRDefault="00803507" w:rsidP="00803507">
            <w:pPr>
              <w:pStyle w:val="Textpoznpodarou"/>
              <w:spacing w:after="120"/>
              <w:jc w:val="both"/>
              <w:rPr>
                <w:spacing w:val="-4"/>
                <w:lang w:val="en-GB"/>
              </w:rPr>
            </w:pPr>
          </w:p>
        </w:tc>
        <w:tc>
          <w:tcPr>
            <w:tcW w:w="7770" w:type="dxa"/>
            <w:shd w:val="clear" w:color="auto" w:fill="auto"/>
            <w:tcMar>
              <w:left w:w="0" w:type="dxa"/>
            </w:tcMar>
          </w:tcPr>
          <w:p w14:paraId="21031ED9" w14:textId="77777777" w:rsidR="00803507" w:rsidRPr="00884D55" w:rsidRDefault="00803507" w:rsidP="00803507">
            <w:pPr>
              <w:spacing w:after="0"/>
              <w:rPr>
                <w:spacing w:val="-2"/>
                <w:lang w:val="en-GB"/>
              </w:rPr>
            </w:pPr>
            <w:r w:rsidRPr="00884D55">
              <w:rPr>
                <w:rFonts w:cs="Arial"/>
                <w:b/>
                <w:bCs/>
                <w:color w:val="000000"/>
                <w:szCs w:val="20"/>
                <w:lang w:val="en-GB"/>
              </w:rPr>
              <w:t>Chart 13</w:t>
            </w:r>
            <w:r w:rsidRPr="00884D55">
              <w:rPr>
                <w:rFonts w:cs="Arial"/>
                <w:b/>
                <w:bCs/>
                <w:color w:val="000000"/>
                <w:sz w:val="18"/>
                <w:szCs w:val="18"/>
                <w:lang w:val="en-GB"/>
              </w:rPr>
              <w:t xml:space="preserve"> </w:t>
            </w:r>
            <w:r w:rsidRPr="00884D55">
              <w:rPr>
                <w:rFonts w:cs="Arial"/>
                <w:b/>
                <w:bCs/>
                <w:color w:val="000000"/>
                <w:spacing w:val="-3"/>
                <w:szCs w:val="20"/>
                <w:lang w:val="en-GB"/>
              </w:rPr>
              <w:t xml:space="preserve">Total employment </w:t>
            </w:r>
            <w:r w:rsidRPr="00884D55">
              <w:rPr>
                <w:rFonts w:cs="Arial"/>
                <w:color w:val="000000"/>
                <w:spacing w:val="-3"/>
                <w:szCs w:val="20"/>
                <w:lang w:val="en-GB"/>
              </w:rPr>
              <w:t>(year-on-year in %),</w:t>
            </w:r>
            <w:r w:rsidRPr="00884D55">
              <w:rPr>
                <w:rFonts w:cs="Arial"/>
                <w:b/>
                <w:bCs/>
                <w:color w:val="000000"/>
                <w:spacing w:val="-3"/>
                <w:szCs w:val="20"/>
                <w:lang w:val="en-GB"/>
              </w:rPr>
              <w:t xml:space="preserve"> contributions of branches to year-on-year change of employment </w:t>
            </w:r>
            <w:r w:rsidRPr="00884D55">
              <w:rPr>
                <w:rFonts w:cs="Arial"/>
                <w:color w:val="000000"/>
                <w:spacing w:val="-3"/>
                <w:szCs w:val="20"/>
                <w:lang w:val="en-GB"/>
              </w:rPr>
              <w:t>(in p.p.)</w:t>
            </w:r>
            <w:r w:rsidRPr="00884D55">
              <w:rPr>
                <w:rFonts w:cs="Arial"/>
                <w:b/>
                <w:bCs/>
                <w:color w:val="000000"/>
                <w:spacing w:val="-3"/>
                <w:szCs w:val="20"/>
                <w:lang w:val="en-GB"/>
              </w:rPr>
              <w:t>, expectations of employment</w:t>
            </w:r>
            <w:r w:rsidRPr="00884D55">
              <w:rPr>
                <w:rFonts w:cs="Arial"/>
                <w:color w:val="000000"/>
                <w:spacing w:val="-3"/>
                <w:szCs w:val="20"/>
                <w:lang w:val="en-GB"/>
              </w:rPr>
              <w:t xml:space="preserve"> (balance in p. p.) </w:t>
            </w:r>
          </w:p>
        </w:tc>
      </w:tr>
      <w:tr w:rsidR="00803507" w:rsidRPr="00884D55" w14:paraId="1BEB0B4A" w14:textId="77777777" w:rsidTr="00F00320">
        <w:tblPrEx>
          <w:tblCellMar>
            <w:left w:w="70" w:type="dxa"/>
            <w:right w:w="70" w:type="dxa"/>
          </w:tblCellMar>
        </w:tblPrEx>
        <w:trPr>
          <w:trHeight w:val="155"/>
        </w:trPr>
        <w:tc>
          <w:tcPr>
            <w:tcW w:w="1814" w:type="dxa"/>
            <w:vMerge/>
          </w:tcPr>
          <w:p w14:paraId="4C320594" w14:textId="77777777" w:rsidR="00803507" w:rsidRPr="00884D55" w:rsidRDefault="00803507" w:rsidP="00803507">
            <w:pPr>
              <w:pStyle w:val="Marginlie"/>
              <w:spacing w:after="120"/>
              <w:rPr>
                <w:spacing w:val="-4"/>
                <w:lang w:val="en-GB"/>
              </w:rPr>
            </w:pPr>
          </w:p>
        </w:tc>
        <w:tc>
          <w:tcPr>
            <w:tcW w:w="201" w:type="dxa"/>
            <w:vMerge/>
          </w:tcPr>
          <w:p w14:paraId="360CCC78" w14:textId="77777777" w:rsidR="00803507" w:rsidRPr="00884D55" w:rsidRDefault="00803507" w:rsidP="00803507">
            <w:pPr>
              <w:pStyle w:val="Textpoznpodarou"/>
              <w:spacing w:after="120"/>
              <w:jc w:val="both"/>
              <w:rPr>
                <w:spacing w:val="-4"/>
                <w:lang w:val="en-GB"/>
              </w:rPr>
            </w:pPr>
          </w:p>
        </w:tc>
        <w:tc>
          <w:tcPr>
            <w:tcW w:w="7770" w:type="dxa"/>
            <w:shd w:val="clear" w:color="auto" w:fill="auto"/>
          </w:tcPr>
          <w:p w14:paraId="240CD8EF" w14:textId="43A1457C" w:rsidR="00803507" w:rsidRPr="00884D55" w:rsidRDefault="00C563A8" w:rsidP="00803507">
            <w:pPr>
              <w:spacing w:after="0"/>
              <w:rPr>
                <w:spacing w:val="-4"/>
                <w:lang w:val="en-GB"/>
              </w:rPr>
            </w:pPr>
            <w:r>
              <w:rPr>
                <w:noProof/>
              </w:rPr>
              <w:drawing>
                <wp:inline distT="0" distB="0" distL="0" distR="0" wp14:anchorId="1CF37EFD" wp14:editId="667C5A9F">
                  <wp:extent cx="4822190" cy="3730527"/>
                  <wp:effectExtent l="0" t="0" r="0" b="3810"/>
                  <wp:docPr id="1161452506" name="Graf 1">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803507" w:rsidRPr="00884D55" w14:paraId="53328812" w14:textId="77777777" w:rsidTr="00F00320">
        <w:trPr>
          <w:trHeight w:val="671"/>
        </w:trPr>
        <w:tc>
          <w:tcPr>
            <w:tcW w:w="1814" w:type="dxa"/>
            <w:vMerge/>
            <w:tcMar>
              <w:left w:w="0" w:type="dxa"/>
            </w:tcMar>
          </w:tcPr>
          <w:p w14:paraId="231CCDC8" w14:textId="77777777" w:rsidR="00803507" w:rsidRPr="00884D55" w:rsidRDefault="00803507" w:rsidP="00803507">
            <w:pPr>
              <w:pStyle w:val="Marginlie"/>
              <w:spacing w:after="120"/>
              <w:rPr>
                <w:spacing w:val="-4"/>
                <w:lang w:val="en-GB"/>
              </w:rPr>
            </w:pPr>
          </w:p>
        </w:tc>
        <w:tc>
          <w:tcPr>
            <w:tcW w:w="201" w:type="dxa"/>
            <w:vMerge/>
            <w:tcMar>
              <w:left w:w="0" w:type="dxa"/>
            </w:tcMar>
          </w:tcPr>
          <w:p w14:paraId="230F3877" w14:textId="77777777" w:rsidR="00803507" w:rsidRPr="00884D55" w:rsidRDefault="00803507" w:rsidP="00803507">
            <w:pPr>
              <w:pStyle w:val="Textpoznpodarou"/>
              <w:spacing w:after="120"/>
              <w:jc w:val="both"/>
              <w:rPr>
                <w:spacing w:val="-4"/>
                <w:lang w:val="en-GB"/>
              </w:rPr>
            </w:pPr>
          </w:p>
        </w:tc>
        <w:tc>
          <w:tcPr>
            <w:tcW w:w="7770" w:type="dxa"/>
            <w:shd w:val="clear" w:color="auto" w:fill="auto"/>
            <w:tcMar>
              <w:left w:w="0" w:type="dxa"/>
            </w:tcMar>
          </w:tcPr>
          <w:p w14:paraId="19F5F9A9" w14:textId="2DDAF654" w:rsidR="00803507" w:rsidRPr="00884D55" w:rsidRDefault="00803507" w:rsidP="00803507">
            <w:pPr>
              <w:spacing w:after="0" w:line="240" w:lineRule="auto"/>
              <w:rPr>
                <w:rFonts w:cs="Arial"/>
                <w:sz w:val="14"/>
                <w:szCs w:val="14"/>
                <w:lang w:val="en-GB"/>
              </w:rPr>
            </w:pPr>
            <w:r w:rsidRPr="00884D55">
              <w:rPr>
                <w:rFonts w:cs="Arial"/>
                <w:color w:val="0D0D0D" w:themeColor="text1" w:themeTint="F2"/>
                <w:spacing w:val="-2"/>
                <w:sz w:val="14"/>
                <w:szCs w:val="14"/>
                <w:lang w:val="en-GB"/>
              </w:rPr>
              <w:t>*</w:t>
            </w:r>
            <w:r w:rsidRPr="00884D55">
              <w:rPr>
                <w:rFonts w:cs="Arial"/>
                <w:sz w:val="14"/>
                <w:szCs w:val="14"/>
                <w:lang w:val="en-GB"/>
              </w:rPr>
              <w:t xml:space="preserve"> </w:t>
            </w:r>
            <w:r w:rsidR="0090465F">
              <w:rPr>
                <w:rFonts w:cs="Arial"/>
                <w:sz w:val="14"/>
                <w:szCs w:val="14"/>
                <w:lang w:val="en-GB"/>
              </w:rPr>
              <w:t xml:space="preserve">This category includes branches: </w:t>
            </w:r>
            <w:r w:rsidRPr="00884D55">
              <w:rPr>
                <w:rFonts w:cs="Arial"/>
                <w:sz w:val="14"/>
                <w:szCs w:val="14"/>
                <w:lang w:val="en-GB"/>
              </w:rPr>
              <w:t xml:space="preserve">Mining and energetics; Financial and insurance activities; Real estate activities; Arts, entertainment and recreation activities. </w:t>
            </w:r>
          </w:p>
          <w:p w14:paraId="0C77865D" w14:textId="77777777" w:rsidR="00803507" w:rsidRPr="00884D55" w:rsidRDefault="00803507" w:rsidP="00803507">
            <w:pPr>
              <w:spacing w:after="0" w:line="240" w:lineRule="auto"/>
              <w:rPr>
                <w:rFonts w:cs="Arial"/>
                <w:sz w:val="14"/>
                <w:szCs w:val="14"/>
                <w:lang w:val="en-GB"/>
              </w:rPr>
            </w:pPr>
            <w:r w:rsidRPr="00884D55">
              <w:rPr>
                <w:rFonts w:cs="Arial"/>
                <w:sz w:val="14"/>
                <w:szCs w:val="14"/>
                <w:lang w:val="en-GB"/>
              </w:rPr>
              <w:t xml:space="preserve">Note: Balance of expectations expresses the difference in p.p. between categories growth vs. decrease of employment in the nearest three months. Data are seasonally adjusted and relate to the second month of the given quarter. </w:t>
            </w:r>
          </w:p>
          <w:p w14:paraId="65DFBBBF" w14:textId="03D2FCE3" w:rsidR="00803507" w:rsidRPr="00C563A8" w:rsidRDefault="00803507" w:rsidP="001C74B0">
            <w:pPr>
              <w:spacing w:line="240" w:lineRule="auto"/>
              <w:rPr>
                <w:rFonts w:cs="Arial"/>
                <w:sz w:val="14"/>
                <w:szCs w:val="14"/>
                <w:lang w:val="en-GB"/>
              </w:rPr>
            </w:pPr>
            <w:r w:rsidRPr="00884D55">
              <w:rPr>
                <w:rFonts w:cs="Arial"/>
                <w:sz w:val="14"/>
                <w:szCs w:val="14"/>
                <w:lang w:val="en-GB"/>
              </w:rPr>
              <w:t>Source: CZSO (national accounts), Eurostat (business cycle surveys).</w:t>
            </w:r>
          </w:p>
        </w:tc>
      </w:tr>
      <w:tr w:rsidR="00C563A8" w:rsidRPr="00884D55" w14:paraId="1057D01D" w14:textId="77777777" w:rsidTr="00F00320">
        <w:trPr>
          <w:trHeight w:val="145"/>
        </w:trPr>
        <w:tc>
          <w:tcPr>
            <w:tcW w:w="1814" w:type="dxa"/>
            <w:shd w:val="clear" w:color="auto" w:fill="auto"/>
            <w:tcMar>
              <w:left w:w="0" w:type="dxa"/>
            </w:tcMar>
          </w:tcPr>
          <w:p w14:paraId="13F0C46B" w14:textId="2164C07A" w:rsidR="00C563A8" w:rsidRPr="00884D55" w:rsidRDefault="00C563A8" w:rsidP="00C563A8">
            <w:pPr>
              <w:pStyle w:val="Marginlie"/>
              <w:spacing w:after="120"/>
              <w:rPr>
                <w:color w:val="0D0D0D" w:themeColor="text1" w:themeTint="F2"/>
                <w:spacing w:val="-4"/>
                <w:lang w:val="en-GB"/>
              </w:rPr>
            </w:pPr>
            <w:r w:rsidRPr="00884D55">
              <w:rPr>
                <w:color w:val="0D0D0D" w:themeColor="text1" w:themeTint="F2"/>
                <w:spacing w:val="-4"/>
                <w:lang w:val="en-GB"/>
              </w:rPr>
              <w:t>The number of foreigners with employment status hiked up to a record 846</w:t>
            </w:r>
            <w:r>
              <w:rPr>
                <w:color w:val="0D0D0D" w:themeColor="text1" w:themeTint="F2"/>
                <w:spacing w:val="-4"/>
                <w:lang w:val="en-GB"/>
              </w:rPr>
              <w:t> t</w:t>
            </w:r>
            <w:r w:rsidRPr="00884D55">
              <w:rPr>
                <w:color w:val="0D0D0D" w:themeColor="text1" w:themeTint="F2"/>
                <w:spacing w:val="-4"/>
                <w:lang w:val="en-GB"/>
              </w:rPr>
              <w:t xml:space="preserve">housand. However, their year-on-year growth slowed down as the number of workers from Central Europe decreased. On </w:t>
            </w:r>
            <w:r w:rsidRPr="00884D55">
              <w:rPr>
                <w:color w:val="0D0D0D" w:themeColor="text1" w:themeTint="F2"/>
                <w:spacing w:val="-4"/>
                <w:lang w:val="en-GB"/>
              </w:rPr>
              <w:lastRenderedPageBreak/>
              <w:t>the contrary, the influx of people from some Asian countries accelerated.</w:t>
            </w:r>
          </w:p>
        </w:tc>
        <w:tc>
          <w:tcPr>
            <w:tcW w:w="201" w:type="dxa"/>
            <w:shd w:val="clear" w:color="auto" w:fill="auto"/>
            <w:tcMar>
              <w:left w:w="0" w:type="dxa"/>
            </w:tcMar>
          </w:tcPr>
          <w:p w14:paraId="16AC08C7" w14:textId="77777777" w:rsidR="00C563A8" w:rsidRPr="00884D55" w:rsidRDefault="00C563A8" w:rsidP="00C563A8">
            <w:pPr>
              <w:pStyle w:val="Textpoznpodarou"/>
              <w:spacing w:after="120"/>
              <w:jc w:val="both"/>
              <w:rPr>
                <w:color w:val="0D0D0D" w:themeColor="text1" w:themeTint="F2"/>
                <w:spacing w:val="-4"/>
                <w:lang w:val="en-GB"/>
              </w:rPr>
            </w:pPr>
          </w:p>
        </w:tc>
        <w:tc>
          <w:tcPr>
            <w:tcW w:w="7770" w:type="dxa"/>
            <w:shd w:val="clear" w:color="auto" w:fill="auto"/>
            <w:tcMar>
              <w:left w:w="0" w:type="dxa"/>
            </w:tcMar>
          </w:tcPr>
          <w:p w14:paraId="60D96DD8" w14:textId="035CEAC4" w:rsidR="00C563A8" w:rsidRPr="00884D55" w:rsidRDefault="00C563A8" w:rsidP="00C563A8">
            <w:pPr>
              <w:spacing w:after="200"/>
              <w:rPr>
                <w:color w:val="0D0D0D" w:themeColor="text1" w:themeTint="F2"/>
                <w:spacing w:val="-4"/>
                <w:lang w:val="en-GB"/>
              </w:rPr>
            </w:pPr>
            <w:r w:rsidRPr="00884D55">
              <w:rPr>
                <w:color w:val="0D0D0D" w:themeColor="text1" w:themeTint="F2"/>
                <w:spacing w:val="-4"/>
                <w:lang w:val="en-GB"/>
              </w:rPr>
              <w:t xml:space="preserve">The long-term limited pool of available labour force in the Czech Republic (resulting from demographic ageing as well as low birth rates) and the growing pressure of companies to optimise production costs have stimulated the rising demand of domestic employers for workers from abroad. </w:t>
            </w:r>
            <w:r w:rsidRPr="00884D55">
              <w:rPr>
                <w:color w:val="0D0D0D" w:themeColor="text1" w:themeTint="F2"/>
                <w:spacing w:val="-6"/>
                <w:lang w:val="en-GB"/>
              </w:rPr>
              <w:t xml:space="preserve">Legislative amendments reducing the administrative burden in this area help to make it easier to employ foreigners. </w:t>
            </w:r>
            <w:r w:rsidRPr="00884D55">
              <w:rPr>
                <w:color w:val="0D0D0D" w:themeColor="text1" w:themeTint="F2"/>
                <w:spacing w:val="-4"/>
                <w:lang w:val="en-GB"/>
              </w:rPr>
              <w:t>This applies to both Ukrainian citizens</w:t>
            </w:r>
            <w:r w:rsidRPr="00884D55">
              <w:rPr>
                <w:rStyle w:val="Znakapoznpodarou"/>
                <w:color w:val="0D0D0D" w:themeColor="text1" w:themeTint="F2"/>
                <w:spacing w:val="-4"/>
                <w:lang w:val="en-GB"/>
              </w:rPr>
              <w:footnoteReference w:id="11"/>
            </w:r>
            <w:r w:rsidRPr="00884D55">
              <w:rPr>
                <w:color w:val="0D0D0D" w:themeColor="text1" w:themeTint="F2"/>
                <w:spacing w:val="-4"/>
                <w:lang w:val="en-GB"/>
              </w:rPr>
              <w:t xml:space="preserve"> and foreigners from other, not only economically less developed countries outside the EU</w:t>
            </w:r>
            <w:r w:rsidRPr="00884D55">
              <w:rPr>
                <w:rStyle w:val="Znakapoznpodarou"/>
                <w:color w:val="0D0D0D" w:themeColor="text1" w:themeTint="F2"/>
                <w:spacing w:val="-4"/>
                <w:lang w:val="en-GB"/>
              </w:rPr>
              <w:footnoteReference w:id="12"/>
            </w:r>
            <w:r w:rsidRPr="00884D55">
              <w:rPr>
                <w:color w:val="0D0D0D" w:themeColor="text1" w:themeTint="F2"/>
                <w:spacing w:val="-4"/>
                <w:lang w:val="en-GB"/>
              </w:rPr>
              <w:t xml:space="preserve">. The long-term influx of foreign workers to the Czech Republic thus continued. However, the number of working foreigners in the Czech Republic grew more slowly last year compared to previous </w:t>
            </w:r>
            <w:r w:rsidRPr="00884D55">
              <w:rPr>
                <w:color w:val="0D0D0D" w:themeColor="text1" w:themeTint="F2"/>
                <w:spacing w:val="-4"/>
                <w:lang w:val="en-GB"/>
              </w:rPr>
              <w:lastRenderedPageBreak/>
              <w:t xml:space="preserve">years. </w:t>
            </w:r>
            <w:r w:rsidR="001C74B0">
              <w:rPr>
                <w:color w:val="0D0D0D" w:themeColor="text1" w:themeTint="F2"/>
                <w:spacing w:val="-4"/>
                <w:lang w:val="en-GB"/>
              </w:rPr>
              <w:t xml:space="preserve">Total </w:t>
            </w:r>
            <w:r w:rsidRPr="00884D55">
              <w:rPr>
                <w:color w:val="0D0D0D" w:themeColor="text1" w:themeTint="F2"/>
                <w:spacing w:val="-4"/>
                <w:lang w:val="en-GB"/>
              </w:rPr>
              <w:t>846</w:t>
            </w:r>
            <w:r w:rsidRPr="00884D55">
              <w:rPr>
                <w:rStyle w:val="Znakapoznpodarou"/>
                <w:color w:val="0D0D0D" w:themeColor="text1" w:themeTint="F2"/>
                <w:spacing w:val="-4"/>
                <w:lang w:val="en-GB"/>
              </w:rPr>
              <w:footnoteReference w:id="13"/>
            </w:r>
            <w:r>
              <w:rPr>
                <w:color w:val="0D0D0D" w:themeColor="text1" w:themeTint="F2"/>
                <w:spacing w:val="-4"/>
                <w:lang w:val="en-GB"/>
              </w:rPr>
              <w:t> </w:t>
            </w:r>
            <w:r w:rsidRPr="00884D55">
              <w:rPr>
                <w:color w:val="0D0D0D" w:themeColor="text1" w:themeTint="F2"/>
                <w:spacing w:val="-4"/>
                <w:lang w:val="en-GB"/>
              </w:rPr>
              <w:t>thousand were registered at labour offices at the end of December (+22</w:t>
            </w:r>
            <w:r>
              <w:rPr>
                <w:color w:val="0D0D0D" w:themeColor="text1" w:themeTint="F2"/>
                <w:spacing w:val="-4"/>
                <w:lang w:val="en-GB"/>
              </w:rPr>
              <w:t> </w:t>
            </w:r>
            <w:r w:rsidRPr="00884D55">
              <w:rPr>
                <w:color w:val="0D0D0D" w:themeColor="text1" w:themeTint="F2"/>
                <w:spacing w:val="-4"/>
                <w:lang w:val="en-GB"/>
              </w:rPr>
              <w:t>thousand, year-on-year,</w:t>
            </w:r>
            <w:r>
              <w:rPr>
                <w:color w:val="0D0D0D" w:themeColor="text1" w:themeTint="F2"/>
                <w:spacing w:val="-4"/>
                <w:lang w:val="en-GB"/>
              </w:rPr>
              <w:t xml:space="preserve"> </w:t>
            </w:r>
            <w:r w:rsidRPr="00884D55">
              <w:rPr>
                <w:color w:val="0D0D0D" w:themeColor="text1" w:themeTint="F2"/>
                <w:spacing w:val="-4"/>
                <w:lang w:val="en-GB"/>
              </w:rPr>
              <w:t>+52</w:t>
            </w:r>
            <w:r>
              <w:rPr>
                <w:color w:val="0D0D0D" w:themeColor="text1" w:themeTint="F2"/>
                <w:spacing w:val="-4"/>
                <w:lang w:val="en-GB"/>
              </w:rPr>
              <w:t> </w:t>
            </w:r>
            <w:r w:rsidRPr="00884D55">
              <w:rPr>
                <w:color w:val="0D0D0D" w:themeColor="text1" w:themeTint="F2"/>
                <w:spacing w:val="-4"/>
                <w:lang w:val="en-GB"/>
              </w:rPr>
              <w:t>thousand in two years)</w:t>
            </w:r>
            <w:r w:rsidRPr="00884D55">
              <w:rPr>
                <w:rStyle w:val="Znakapoznpodarou"/>
                <w:color w:val="0D0D0D" w:themeColor="text1" w:themeTint="F2"/>
                <w:spacing w:val="-4"/>
                <w:lang w:val="en-GB"/>
              </w:rPr>
              <w:footnoteReference w:id="14"/>
            </w:r>
            <w:r w:rsidRPr="00884D55">
              <w:rPr>
                <w:color w:val="0D0D0D" w:themeColor="text1" w:themeTint="F2"/>
                <w:spacing w:val="-4"/>
                <w:lang w:val="en-GB"/>
              </w:rPr>
              <w:t xml:space="preserve"> in the dominant group of employees. Traditionally, the largest year-on-year increase was in the number of citizens of Ukraine (+19</w:t>
            </w:r>
            <w:r>
              <w:rPr>
                <w:color w:val="0D0D0D" w:themeColor="text1" w:themeTint="F2"/>
                <w:spacing w:val="-4"/>
                <w:lang w:val="en-GB"/>
              </w:rPr>
              <w:t> </w:t>
            </w:r>
            <w:r w:rsidRPr="00884D55">
              <w:rPr>
                <w:color w:val="0D0D0D" w:themeColor="text1" w:themeTint="F2"/>
                <w:spacing w:val="-4"/>
                <w:lang w:val="en-GB"/>
              </w:rPr>
              <w:t>thousand to 305</w:t>
            </w:r>
            <w:r>
              <w:rPr>
                <w:color w:val="0D0D0D" w:themeColor="text1" w:themeTint="F2"/>
                <w:spacing w:val="-4"/>
                <w:lang w:val="en-GB"/>
              </w:rPr>
              <w:t> </w:t>
            </w:r>
            <w:r w:rsidRPr="00884D55">
              <w:rPr>
                <w:color w:val="0D0D0D" w:themeColor="text1" w:themeTint="F2"/>
                <w:spacing w:val="-4"/>
                <w:lang w:val="en-GB"/>
              </w:rPr>
              <w:t>thousand, of which females +14</w:t>
            </w:r>
            <w:r>
              <w:rPr>
                <w:color w:val="0D0D0D" w:themeColor="text1" w:themeTint="F2"/>
                <w:spacing w:val="-4"/>
                <w:lang w:val="en-GB"/>
              </w:rPr>
              <w:t> </w:t>
            </w:r>
            <w:r w:rsidRPr="00884D55">
              <w:rPr>
                <w:color w:val="0D0D0D" w:themeColor="text1" w:themeTint="F2"/>
                <w:spacing w:val="-4"/>
                <w:lang w:val="en-GB"/>
              </w:rPr>
              <w:t>thousand, to 163</w:t>
            </w:r>
            <w:r>
              <w:rPr>
                <w:color w:val="0D0D0D" w:themeColor="text1" w:themeTint="F2"/>
                <w:spacing w:val="-4"/>
                <w:lang w:val="en-GB"/>
              </w:rPr>
              <w:t> </w:t>
            </w:r>
            <w:r w:rsidRPr="00884D55">
              <w:rPr>
                <w:color w:val="0D0D0D" w:themeColor="text1" w:themeTint="F2"/>
                <w:spacing w:val="-4"/>
                <w:lang w:val="en-GB"/>
              </w:rPr>
              <w:t>thousand), with orders of magnitude less from Russia and Vietnam. The number of citizens of the Philippines (by half), China, India, Bangladesh, Kazakhstan and E</w:t>
            </w:r>
            <w:r w:rsidR="001C74B0">
              <w:rPr>
                <w:color w:val="0D0D0D" w:themeColor="text1" w:themeTint="F2"/>
                <w:spacing w:val="-4"/>
                <w:lang w:val="en-GB"/>
              </w:rPr>
              <w:t>gypt also expanded quickly (all</w:t>
            </w:r>
            <w:r w:rsidRPr="00884D55">
              <w:rPr>
                <w:color w:val="0D0D0D" w:themeColor="text1" w:themeTint="F2"/>
                <w:spacing w:val="-4"/>
                <w:lang w:val="en-GB"/>
              </w:rPr>
              <w:t xml:space="preserve"> by about a fifth). On the</w:t>
            </w:r>
            <w:r w:rsidR="001C74B0">
              <w:rPr>
                <w:color w:val="0D0D0D" w:themeColor="text1" w:themeTint="F2"/>
                <w:spacing w:val="-4"/>
                <w:lang w:val="en-GB"/>
              </w:rPr>
              <w:t xml:space="preserve"> contrary, the number of emploees</w:t>
            </w:r>
            <w:r w:rsidRPr="00884D55">
              <w:rPr>
                <w:color w:val="0D0D0D" w:themeColor="text1" w:themeTint="F2"/>
                <w:spacing w:val="-4"/>
                <w:lang w:val="en-GB"/>
              </w:rPr>
              <w:t xml:space="preserve"> from Central Europe reduced – mainly Poles (−5.4</w:t>
            </w:r>
            <w:r>
              <w:rPr>
                <w:color w:val="0D0D0D" w:themeColor="text1" w:themeTint="F2"/>
                <w:spacing w:val="-4"/>
                <w:lang w:val="en-GB"/>
              </w:rPr>
              <w:t> </w:t>
            </w:r>
            <w:r w:rsidRPr="00884D55">
              <w:rPr>
                <w:color w:val="0D0D0D" w:themeColor="text1" w:themeTint="F2"/>
                <w:spacing w:val="-4"/>
                <w:lang w:val="en-GB"/>
              </w:rPr>
              <w:t>thousand and 11% respectively) and Hungarians (−7%) as well as from the Balkans – Romanians (−4%) and Bulgarians (−7%). The number of Slovaks also decreased (−0.3%) for the first time since 2009, nevertheless they still made up the second largest group among foreigners (216</w:t>
            </w:r>
            <w:r>
              <w:rPr>
                <w:color w:val="0D0D0D" w:themeColor="text1" w:themeTint="F2"/>
                <w:spacing w:val="-4"/>
                <w:lang w:val="en-GB"/>
              </w:rPr>
              <w:t> </w:t>
            </w:r>
            <w:r w:rsidRPr="00884D55">
              <w:rPr>
                <w:color w:val="0D0D0D" w:themeColor="text1" w:themeTint="F2"/>
                <w:spacing w:val="-4"/>
                <w:lang w:val="en-GB"/>
              </w:rPr>
              <w:t>thousand) after Ukrainians. The total nu</w:t>
            </w:r>
            <w:r w:rsidR="001C74B0">
              <w:rPr>
                <w:color w:val="0D0D0D" w:themeColor="text1" w:themeTint="F2"/>
                <w:spacing w:val="-4"/>
                <w:lang w:val="en-GB"/>
              </w:rPr>
              <w:t>mber of foreigners in employee</w:t>
            </w:r>
            <w:r w:rsidRPr="00884D55">
              <w:rPr>
                <w:color w:val="0D0D0D" w:themeColor="text1" w:themeTint="F2"/>
                <w:spacing w:val="-4"/>
                <w:lang w:val="en-GB"/>
              </w:rPr>
              <w:t xml:space="preserve"> status increased last year only thanks to females, the number of males decreased slightly (to 482</w:t>
            </w:r>
            <w:r>
              <w:rPr>
                <w:color w:val="0D0D0D" w:themeColor="text1" w:themeTint="F2"/>
                <w:spacing w:val="-4"/>
                <w:lang w:val="en-GB"/>
              </w:rPr>
              <w:t> </w:t>
            </w:r>
            <w:r w:rsidRPr="00884D55">
              <w:rPr>
                <w:color w:val="0D0D0D" w:themeColor="text1" w:themeTint="F2"/>
                <w:spacing w:val="-4"/>
                <w:lang w:val="en-GB"/>
              </w:rPr>
              <w:t xml:space="preserve">thousand). </w:t>
            </w:r>
          </w:p>
        </w:tc>
      </w:tr>
      <w:tr w:rsidR="00C563A8" w:rsidRPr="00884D55" w14:paraId="3F42B47C" w14:textId="77777777" w:rsidTr="00F00320">
        <w:trPr>
          <w:trHeight w:val="145"/>
        </w:trPr>
        <w:tc>
          <w:tcPr>
            <w:tcW w:w="1814" w:type="dxa"/>
            <w:shd w:val="clear" w:color="auto" w:fill="auto"/>
            <w:tcMar>
              <w:left w:w="0" w:type="dxa"/>
            </w:tcMar>
          </w:tcPr>
          <w:p w14:paraId="549AF3C7" w14:textId="77777777" w:rsidR="00C563A8" w:rsidRPr="00884D55" w:rsidRDefault="00C563A8" w:rsidP="00C563A8">
            <w:pPr>
              <w:pStyle w:val="Marginlie"/>
              <w:spacing w:after="120"/>
              <w:rPr>
                <w:color w:val="0D0D0D" w:themeColor="text1" w:themeTint="F2"/>
                <w:spacing w:val="-4"/>
                <w:lang w:val="en-GB"/>
              </w:rPr>
            </w:pPr>
            <w:r w:rsidRPr="00884D55">
              <w:rPr>
                <w:color w:val="0D0D0D" w:themeColor="text1" w:themeTint="F2"/>
                <w:spacing w:val="-4"/>
                <w:lang w:val="en-GB"/>
              </w:rPr>
              <w:lastRenderedPageBreak/>
              <w:t xml:space="preserve">The employment rate of females aged 15 to 64 has risen above the 70% threshold for the first time. Still, it was only average within the EU. </w:t>
            </w:r>
          </w:p>
          <w:p w14:paraId="5786FFF2" w14:textId="77777777" w:rsidR="00C563A8" w:rsidRPr="00884D55" w:rsidRDefault="00C563A8" w:rsidP="00C563A8">
            <w:pPr>
              <w:pStyle w:val="Marginlie"/>
              <w:spacing w:after="120"/>
              <w:rPr>
                <w:color w:val="0D0D0D" w:themeColor="text1" w:themeTint="F2"/>
                <w:spacing w:val="-4"/>
                <w:lang w:val="en-GB"/>
              </w:rPr>
            </w:pPr>
          </w:p>
          <w:p w14:paraId="7115BAE8" w14:textId="77777777" w:rsidR="00C563A8" w:rsidRPr="00884D55" w:rsidRDefault="00C563A8" w:rsidP="00C563A8">
            <w:pPr>
              <w:pStyle w:val="Marginlie"/>
              <w:spacing w:after="120"/>
              <w:rPr>
                <w:color w:val="0D0D0D" w:themeColor="text1" w:themeTint="F2"/>
                <w:spacing w:val="-4"/>
                <w:lang w:val="en-GB"/>
              </w:rPr>
            </w:pPr>
            <w:r w:rsidRPr="00884D55">
              <w:rPr>
                <w:color w:val="0D0D0D" w:themeColor="text1" w:themeTint="F2"/>
                <w:spacing w:val="-4"/>
                <w:lang w:val="en-GB"/>
              </w:rPr>
              <w:t xml:space="preserve">The male employment rate in the Czech Republic decreased unlike in the EU last year. Nevertheless, it was still the highest among Central European countries. </w:t>
            </w:r>
          </w:p>
          <w:p w14:paraId="69B047DF" w14:textId="77777777" w:rsidR="00C563A8" w:rsidRPr="00884D55" w:rsidRDefault="00C563A8" w:rsidP="00C563A8">
            <w:pPr>
              <w:pStyle w:val="Marginlie"/>
              <w:spacing w:after="120"/>
              <w:rPr>
                <w:color w:val="0D0D0D" w:themeColor="text1" w:themeTint="F2"/>
                <w:spacing w:val="-4"/>
                <w:lang w:val="en-GB"/>
              </w:rPr>
            </w:pPr>
          </w:p>
        </w:tc>
        <w:tc>
          <w:tcPr>
            <w:tcW w:w="201" w:type="dxa"/>
            <w:shd w:val="clear" w:color="auto" w:fill="auto"/>
            <w:tcMar>
              <w:left w:w="0" w:type="dxa"/>
            </w:tcMar>
          </w:tcPr>
          <w:p w14:paraId="2AC21DF0" w14:textId="77777777" w:rsidR="00C563A8" w:rsidRPr="00884D55" w:rsidRDefault="00C563A8" w:rsidP="00C563A8">
            <w:pPr>
              <w:pStyle w:val="Textpoznpodarou"/>
              <w:spacing w:after="120"/>
              <w:jc w:val="both"/>
              <w:rPr>
                <w:color w:val="0D0D0D" w:themeColor="text1" w:themeTint="F2"/>
                <w:spacing w:val="-4"/>
                <w:lang w:val="en-GB"/>
              </w:rPr>
            </w:pPr>
          </w:p>
        </w:tc>
        <w:tc>
          <w:tcPr>
            <w:tcW w:w="7770" w:type="dxa"/>
            <w:shd w:val="clear" w:color="auto" w:fill="auto"/>
            <w:tcMar>
              <w:left w:w="0" w:type="dxa"/>
            </w:tcMar>
          </w:tcPr>
          <w:p w14:paraId="7403578D" w14:textId="5229A9B6" w:rsidR="00C563A8" w:rsidRPr="00884D55" w:rsidRDefault="00C563A8" w:rsidP="00C563A8">
            <w:pPr>
              <w:spacing w:after="200"/>
              <w:rPr>
                <w:color w:val="0D0D0D" w:themeColor="text1" w:themeTint="F2"/>
                <w:spacing w:val="-4"/>
                <w:lang w:val="en-GB"/>
              </w:rPr>
            </w:pPr>
            <w:r w:rsidRPr="00884D55">
              <w:rPr>
                <w:color w:val="0D0D0D" w:themeColor="text1" w:themeTint="F2"/>
                <w:spacing w:val="-4"/>
                <w:lang w:val="en-GB"/>
              </w:rPr>
              <w:t xml:space="preserve">The above-mentioned tendencies on the domestic labour market, together with the gradually lengthening retirement age, are reflected in the growth of the employment rate (those aged 15 to 64 years). It arrived at 75.8% (+0.4 p. p., year-on-year) in Q4. Its growth was driven only by females, whose employment strengthened by 1.4 p. p. and climbed above the 70% threshold (70.2%) for the first time in history. It decreased for males due to the difficult situation in traditional manufacturing industries by 0.3 p. p. (81.3%). According to the currently available data for Q3 2024, the total employment rate in Czechia was the eighth highest among the EU countries, exceeding the EU average by 4.6 p. p. Only Germany had higher employment among Central European countries than the Czech Republic (by 1.7 p. p.). Strong male participation rate (the fourth highest in the EU after Malta, the Netherlands and Cyprus) assists the relatively high employment rate in the Czech Republic and in all age groups, except for the youngest under 25 years of age. On the contrary, the employment of females ranks the Czech Republic on the 15th place among the </w:t>
            </w:r>
            <w:r w:rsidR="00845373">
              <w:rPr>
                <w:color w:val="0D0D0D" w:themeColor="text1" w:themeTint="F2"/>
                <w:spacing w:val="-4"/>
                <w:lang w:val="en-GB"/>
              </w:rPr>
              <w:t xml:space="preserve">EU </w:t>
            </w:r>
            <w:r w:rsidRPr="00884D55">
              <w:rPr>
                <w:color w:val="0D0D0D" w:themeColor="text1" w:themeTint="F2"/>
                <w:spacing w:val="-4"/>
                <w:lang w:val="en-GB"/>
              </w:rPr>
              <w:t xml:space="preserve">members (it is only average even compared to newer member states), mainly due to the weaker participation of persons under 40 years of age. </w:t>
            </w:r>
          </w:p>
        </w:tc>
      </w:tr>
      <w:tr w:rsidR="00C563A8" w:rsidRPr="00884D55" w14:paraId="24DFB16D" w14:textId="77777777" w:rsidTr="00F00320">
        <w:trPr>
          <w:trHeight w:val="145"/>
        </w:trPr>
        <w:tc>
          <w:tcPr>
            <w:tcW w:w="1814" w:type="dxa"/>
            <w:shd w:val="clear" w:color="auto" w:fill="auto"/>
            <w:tcMar>
              <w:left w:w="0" w:type="dxa"/>
            </w:tcMar>
          </w:tcPr>
          <w:p w14:paraId="5384FEEA" w14:textId="771CC0AB" w:rsidR="00C563A8" w:rsidRDefault="00C563A8" w:rsidP="00C563A8">
            <w:pPr>
              <w:pStyle w:val="Marginlie"/>
              <w:spacing w:after="120"/>
              <w:rPr>
                <w:color w:val="0D0D0D" w:themeColor="text1" w:themeTint="F2"/>
                <w:spacing w:val="-4"/>
                <w:lang w:val="en-GB"/>
              </w:rPr>
            </w:pPr>
            <w:r w:rsidRPr="00884D55">
              <w:rPr>
                <w:color w:val="0D0D0D" w:themeColor="text1" w:themeTint="F2"/>
                <w:spacing w:val="-4"/>
                <w:lang w:val="en-GB"/>
              </w:rPr>
              <w:t xml:space="preserve">Firms' short-term employment expectations improved slightly at the end of the year. Mild optimism </w:t>
            </w:r>
            <w:r w:rsidR="00845373">
              <w:rPr>
                <w:color w:val="0D0D0D" w:themeColor="text1" w:themeTint="F2"/>
                <w:spacing w:val="-4"/>
                <w:lang w:val="en-GB"/>
              </w:rPr>
              <w:t>occurred</w:t>
            </w:r>
            <w:r w:rsidRPr="00884D55">
              <w:rPr>
                <w:color w:val="0D0D0D" w:themeColor="text1" w:themeTint="F2"/>
                <w:spacing w:val="-4"/>
                <w:lang w:val="en-GB"/>
              </w:rPr>
              <w:t xml:space="preserve"> in </w:t>
            </w:r>
            <w:r w:rsidR="00845373">
              <w:rPr>
                <w:color w:val="0D0D0D" w:themeColor="text1" w:themeTint="F2"/>
                <w:spacing w:val="-4"/>
                <w:lang w:val="en-GB"/>
              </w:rPr>
              <w:t xml:space="preserve">trade as well as construction. </w:t>
            </w:r>
          </w:p>
          <w:p w14:paraId="25184BDF" w14:textId="77777777" w:rsidR="00845373" w:rsidRPr="00884D55" w:rsidRDefault="00845373" w:rsidP="00C563A8">
            <w:pPr>
              <w:pStyle w:val="Marginlie"/>
              <w:spacing w:after="120"/>
              <w:rPr>
                <w:color w:val="0D0D0D" w:themeColor="text1" w:themeTint="F2"/>
                <w:spacing w:val="-4"/>
                <w:lang w:val="en-GB"/>
              </w:rPr>
            </w:pPr>
          </w:p>
          <w:p w14:paraId="30344621" w14:textId="77777777" w:rsidR="00C563A8" w:rsidRPr="00884D55" w:rsidRDefault="00C563A8" w:rsidP="00C563A8">
            <w:pPr>
              <w:pStyle w:val="Marginlie"/>
              <w:rPr>
                <w:color w:val="0D0D0D" w:themeColor="text1" w:themeTint="F2"/>
                <w:spacing w:val="-5"/>
                <w:lang w:val="en-GB"/>
              </w:rPr>
            </w:pPr>
            <w:r w:rsidRPr="00884D55">
              <w:rPr>
                <w:color w:val="0D0D0D" w:themeColor="text1" w:themeTint="F2"/>
                <w:spacing w:val="-4"/>
                <w:lang w:val="en-GB"/>
              </w:rPr>
              <w:t xml:space="preserve">A shortage of workers continues to plague construction companies in particular, however its role is also growing slightly in services. </w:t>
            </w:r>
          </w:p>
        </w:tc>
        <w:tc>
          <w:tcPr>
            <w:tcW w:w="201" w:type="dxa"/>
            <w:shd w:val="clear" w:color="auto" w:fill="auto"/>
            <w:tcMar>
              <w:left w:w="0" w:type="dxa"/>
            </w:tcMar>
          </w:tcPr>
          <w:p w14:paraId="607321C6" w14:textId="77777777" w:rsidR="00C563A8" w:rsidRPr="00884D55" w:rsidRDefault="00C563A8" w:rsidP="00C563A8">
            <w:pPr>
              <w:pStyle w:val="Textpoznpodarou"/>
              <w:spacing w:after="120"/>
              <w:jc w:val="both"/>
              <w:rPr>
                <w:color w:val="0D0D0D" w:themeColor="text1" w:themeTint="F2"/>
                <w:spacing w:val="-4"/>
                <w:lang w:val="en-GB"/>
              </w:rPr>
            </w:pPr>
          </w:p>
        </w:tc>
        <w:tc>
          <w:tcPr>
            <w:tcW w:w="7770" w:type="dxa"/>
            <w:shd w:val="clear" w:color="auto" w:fill="auto"/>
            <w:tcMar>
              <w:left w:w="0" w:type="dxa"/>
            </w:tcMar>
          </w:tcPr>
          <w:p w14:paraId="3BE39534" w14:textId="2C540A44" w:rsidR="00313B2D" w:rsidRPr="00884D55" w:rsidRDefault="00C563A8" w:rsidP="00C563A8">
            <w:pPr>
              <w:spacing w:after="200"/>
              <w:rPr>
                <w:rStyle w:val="normaltextrun"/>
                <w:color w:val="0D0D0D" w:themeColor="text1" w:themeTint="F2"/>
                <w:spacing w:val="-4"/>
                <w:lang w:val="en-GB"/>
              </w:rPr>
            </w:pPr>
            <w:r w:rsidRPr="00884D55">
              <w:rPr>
                <w:color w:val="0D0D0D" w:themeColor="text1" w:themeTint="F2"/>
                <w:spacing w:val="-4"/>
                <w:lang w:val="en-GB"/>
              </w:rPr>
              <w:t>Companies' short-term expectations of their own employment</w:t>
            </w:r>
            <w:r w:rsidRPr="00884D55">
              <w:rPr>
                <w:rStyle w:val="Znakapoznpodarou"/>
                <w:color w:val="0D0D0D" w:themeColor="text1" w:themeTint="F2"/>
                <w:spacing w:val="-4"/>
                <w:lang w:val="en-GB"/>
              </w:rPr>
              <w:footnoteReference w:id="15"/>
            </w:r>
            <w:r w:rsidRPr="00884D55">
              <w:rPr>
                <w:color w:val="0D0D0D" w:themeColor="text1" w:themeTint="F2"/>
                <w:spacing w:val="-4"/>
                <w:lang w:val="en-GB"/>
              </w:rPr>
              <w:t xml:space="preserve"> remained slightly negative in the Czech Republic last year (as well as throughout 2023). However, the situation improved slightly during the year, especially in construction as well as selected services, while pessimism deepened in industry. According to a survey from February 2025, 16% of companies expected to lay off their employees in industry, 6% in construction, 9% in trade and 23% in services. These intentions were outweighed by a higher number of businesses planning to recruit workers in construction and trade. The situation at the level of sub-sectors within industry and services naturally differed</w:t>
            </w:r>
            <w:r w:rsidRPr="00884D55">
              <w:rPr>
                <w:rStyle w:val="Znakapoznpodarou"/>
                <w:color w:val="0D0D0D" w:themeColor="text1" w:themeTint="F2"/>
                <w:spacing w:val="-4"/>
                <w:lang w:val="en-GB"/>
              </w:rPr>
              <w:footnoteReference w:id="16"/>
            </w:r>
            <w:r w:rsidRPr="00884D55">
              <w:rPr>
                <w:color w:val="0D0D0D" w:themeColor="text1" w:themeTint="F2"/>
                <w:spacing w:val="-4"/>
                <w:lang w:val="en-GB"/>
              </w:rPr>
              <w:t>. The share of businesses for which labour shortages represent one of the significant growth barriers</w:t>
            </w:r>
            <w:r w:rsidRPr="00884D55">
              <w:rPr>
                <w:rStyle w:val="Znakapoznpodarou"/>
                <w:color w:val="0D0D0D" w:themeColor="text1" w:themeTint="F2"/>
                <w:spacing w:val="-4"/>
                <w:lang w:val="en-GB"/>
              </w:rPr>
              <w:footnoteReference w:id="17"/>
            </w:r>
            <w:r w:rsidRPr="00884D55">
              <w:rPr>
                <w:color w:val="0D0D0D" w:themeColor="text1" w:themeTint="F2"/>
                <w:spacing w:val="-4"/>
                <w:lang w:val="en-GB"/>
              </w:rPr>
              <w:t xml:space="preserve"> was traditionally the most pressing in construction at the beginning of this year (54%). The opposite situation prevailed in industry (13%) and also in services (24%), where there was, however, a slight year-on-year increase. </w:t>
            </w:r>
          </w:p>
        </w:tc>
      </w:tr>
      <w:tr w:rsidR="00C563A8" w:rsidRPr="00884D55" w14:paraId="6C28317F" w14:textId="77777777" w:rsidTr="00F00320">
        <w:trPr>
          <w:trHeight w:val="155"/>
        </w:trPr>
        <w:tc>
          <w:tcPr>
            <w:tcW w:w="1814" w:type="dxa"/>
            <w:vMerge w:val="restart"/>
            <w:shd w:val="clear" w:color="auto" w:fill="auto"/>
            <w:tcMar>
              <w:left w:w="0" w:type="dxa"/>
            </w:tcMar>
          </w:tcPr>
          <w:p w14:paraId="5F524A6B" w14:textId="77777777" w:rsidR="00C563A8" w:rsidRPr="00884D55" w:rsidRDefault="00C563A8" w:rsidP="00C563A8">
            <w:pPr>
              <w:pStyle w:val="Marginlie"/>
              <w:spacing w:after="120"/>
              <w:rPr>
                <w:spacing w:val="-4"/>
                <w:lang w:val="en-GB"/>
              </w:rPr>
            </w:pPr>
          </w:p>
        </w:tc>
        <w:tc>
          <w:tcPr>
            <w:tcW w:w="201" w:type="dxa"/>
            <w:vMerge w:val="restart"/>
            <w:shd w:val="clear" w:color="auto" w:fill="auto"/>
            <w:tcMar>
              <w:left w:w="0" w:type="dxa"/>
            </w:tcMar>
          </w:tcPr>
          <w:p w14:paraId="72FDD557" w14:textId="77777777" w:rsidR="00C563A8" w:rsidRPr="00884D55" w:rsidRDefault="00C563A8" w:rsidP="00C563A8">
            <w:pPr>
              <w:pStyle w:val="Textpoznpodarou"/>
              <w:spacing w:after="120"/>
              <w:jc w:val="both"/>
              <w:rPr>
                <w:spacing w:val="-4"/>
                <w:lang w:val="en-GB"/>
              </w:rPr>
            </w:pPr>
          </w:p>
        </w:tc>
        <w:tc>
          <w:tcPr>
            <w:tcW w:w="7770" w:type="dxa"/>
            <w:shd w:val="clear" w:color="auto" w:fill="auto"/>
            <w:tcMar>
              <w:left w:w="0" w:type="dxa"/>
            </w:tcMar>
          </w:tcPr>
          <w:p w14:paraId="0EEE6F15" w14:textId="68EAA8A0" w:rsidR="00C563A8" w:rsidRPr="00884D55" w:rsidRDefault="00C563A8" w:rsidP="00C563A8">
            <w:pPr>
              <w:spacing w:after="0"/>
              <w:rPr>
                <w:rFonts w:cs="Arial"/>
                <w:b/>
                <w:bCs/>
                <w:spacing w:val="-4"/>
                <w:lang w:val="en-GB"/>
              </w:rPr>
            </w:pPr>
            <w:r w:rsidRPr="00884D55">
              <w:rPr>
                <w:b/>
                <w:spacing w:val="-4"/>
                <w:lang w:val="en-GB"/>
              </w:rPr>
              <w:t xml:space="preserve">Chart 14 </w:t>
            </w:r>
            <w:r w:rsidRPr="00884D55">
              <w:rPr>
                <w:rFonts w:cs="Arial"/>
                <w:b/>
                <w:spacing w:val="-4"/>
                <w:lang w:val="en-GB"/>
              </w:rPr>
              <w:t xml:space="preserve">General unemployment rate </w:t>
            </w:r>
            <w:r w:rsidRPr="00884D55">
              <w:rPr>
                <w:rFonts w:cs="Arial"/>
                <w:bCs/>
                <w:spacing w:val="-4"/>
                <w:lang w:val="en-GB"/>
              </w:rPr>
              <w:t>(in %, age 15 to 64 years)</w:t>
            </w:r>
            <w:r w:rsidRPr="00884D55">
              <w:rPr>
                <w:rFonts w:cs="Arial"/>
                <w:b/>
                <w:spacing w:val="-4"/>
                <w:lang w:val="en-GB"/>
              </w:rPr>
              <w:t xml:space="preserve">, unemployment expectations of households* </w:t>
            </w:r>
            <w:r w:rsidRPr="00884D55">
              <w:rPr>
                <w:rFonts w:cs="Arial"/>
                <w:bCs/>
                <w:spacing w:val="-4"/>
                <w:lang w:val="en-GB"/>
              </w:rPr>
              <w:t xml:space="preserve">(in p. p.), </w:t>
            </w:r>
            <w:r w:rsidRPr="006145FA">
              <w:rPr>
                <w:rFonts w:cs="Arial"/>
                <w:b/>
                <w:spacing w:val="-4"/>
                <w:lang w:val="en-GB"/>
              </w:rPr>
              <w:t>job vacancies</w:t>
            </w:r>
            <w:r w:rsidRPr="00884D55">
              <w:rPr>
                <w:rFonts w:cs="Arial"/>
                <w:b/>
                <w:spacing w:val="-4"/>
                <w:lang w:val="en-GB"/>
              </w:rPr>
              <w:t xml:space="preserve"> and working foreigners with the employee status</w:t>
            </w:r>
            <w:r w:rsidR="00845373">
              <w:rPr>
                <w:rFonts w:cs="Arial"/>
                <w:b/>
                <w:spacing w:val="-4"/>
                <w:lang w:val="en-GB"/>
              </w:rPr>
              <w:t>**</w:t>
            </w:r>
            <w:r w:rsidRPr="00884D55">
              <w:rPr>
                <w:rFonts w:cs="Arial"/>
                <w:b/>
                <w:spacing w:val="-4"/>
                <w:lang w:val="en-GB"/>
              </w:rPr>
              <w:t xml:space="preserve"> </w:t>
            </w:r>
            <w:r w:rsidRPr="00884D55">
              <w:rPr>
                <w:rFonts w:cs="Arial"/>
                <w:bCs/>
                <w:spacing w:val="-4"/>
                <w:lang w:val="en-GB"/>
              </w:rPr>
              <w:t>(in thousand)</w:t>
            </w:r>
          </w:p>
        </w:tc>
      </w:tr>
      <w:tr w:rsidR="00C563A8" w:rsidRPr="00884D55" w14:paraId="69889416" w14:textId="77777777" w:rsidTr="00F00320">
        <w:tblPrEx>
          <w:tblCellMar>
            <w:left w:w="70" w:type="dxa"/>
            <w:right w:w="70" w:type="dxa"/>
          </w:tblCellMar>
        </w:tblPrEx>
        <w:trPr>
          <w:trHeight w:val="155"/>
        </w:trPr>
        <w:tc>
          <w:tcPr>
            <w:tcW w:w="1814" w:type="dxa"/>
            <w:vMerge/>
          </w:tcPr>
          <w:p w14:paraId="5CFFD02B" w14:textId="77777777" w:rsidR="00C563A8" w:rsidRPr="00884D55" w:rsidRDefault="00C563A8" w:rsidP="00C563A8">
            <w:pPr>
              <w:pStyle w:val="Marginlie"/>
              <w:spacing w:after="120"/>
              <w:rPr>
                <w:spacing w:val="-4"/>
                <w:lang w:val="en-GB"/>
              </w:rPr>
            </w:pPr>
          </w:p>
        </w:tc>
        <w:tc>
          <w:tcPr>
            <w:tcW w:w="201" w:type="dxa"/>
            <w:vMerge/>
          </w:tcPr>
          <w:p w14:paraId="5CE1E559" w14:textId="77777777" w:rsidR="00C563A8" w:rsidRPr="00884D55" w:rsidRDefault="00C563A8" w:rsidP="00C563A8">
            <w:pPr>
              <w:pStyle w:val="Textpoznpodarou"/>
              <w:spacing w:after="120"/>
              <w:jc w:val="both"/>
              <w:rPr>
                <w:spacing w:val="-4"/>
                <w:lang w:val="en-GB"/>
              </w:rPr>
            </w:pPr>
          </w:p>
        </w:tc>
        <w:tc>
          <w:tcPr>
            <w:tcW w:w="7770" w:type="dxa"/>
            <w:shd w:val="clear" w:color="auto" w:fill="auto"/>
          </w:tcPr>
          <w:p w14:paraId="61287E77" w14:textId="49DE86FB" w:rsidR="00C563A8" w:rsidRPr="00884D55" w:rsidRDefault="00313B2D" w:rsidP="00C563A8">
            <w:pPr>
              <w:spacing w:after="0"/>
              <w:rPr>
                <w:spacing w:val="-4"/>
                <w:lang w:val="en-GB"/>
              </w:rPr>
            </w:pPr>
            <w:r>
              <w:rPr>
                <w:noProof/>
              </w:rPr>
              <w:drawing>
                <wp:inline distT="0" distB="0" distL="0" distR="0" wp14:anchorId="066EB657" wp14:editId="6055CD25">
                  <wp:extent cx="4727495" cy="3635186"/>
                  <wp:effectExtent l="0" t="0" r="0" b="3810"/>
                  <wp:docPr id="965727189" name="Graf 1">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C563A8" w:rsidRPr="00884D55" w14:paraId="662C0E84" w14:textId="77777777" w:rsidTr="00F00320">
        <w:trPr>
          <w:trHeight w:val="132"/>
        </w:trPr>
        <w:tc>
          <w:tcPr>
            <w:tcW w:w="1814" w:type="dxa"/>
            <w:vMerge/>
            <w:tcMar>
              <w:left w:w="0" w:type="dxa"/>
            </w:tcMar>
          </w:tcPr>
          <w:p w14:paraId="37A60FAC" w14:textId="77777777" w:rsidR="00C563A8" w:rsidRPr="00884D55" w:rsidRDefault="00C563A8" w:rsidP="00C563A8">
            <w:pPr>
              <w:pStyle w:val="Marginlie"/>
              <w:rPr>
                <w:spacing w:val="-4"/>
                <w:lang w:val="en-GB"/>
              </w:rPr>
            </w:pPr>
          </w:p>
        </w:tc>
        <w:tc>
          <w:tcPr>
            <w:tcW w:w="201" w:type="dxa"/>
            <w:vMerge/>
            <w:tcMar>
              <w:left w:w="0" w:type="dxa"/>
            </w:tcMar>
          </w:tcPr>
          <w:p w14:paraId="78B400BD" w14:textId="77777777" w:rsidR="00C563A8" w:rsidRPr="00884D55" w:rsidRDefault="00C563A8" w:rsidP="00C563A8">
            <w:pPr>
              <w:pStyle w:val="Textpoznpodarou"/>
              <w:jc w:val="both"/>
              <w:rPr>
                <w:spacing w:val="-4"/>
                <w:lang w:val="en-GB"/>
              </w:rPr>
            </w:pPr>
          </w:p>
        </w:tc>
        <w:tc>
          <w:tcPr>
            <w:tcW w:w="7770" w:type="dxa"/>
            <w:shd w:val="clear" w:color="auto" w:fill="auto"/>
            <w:tcMar>
              <w:left w:w="0" w:type="dxa"/>
            </w:tcMar>
          </w:tcPr>
          <w:p w14:paraId="2C8D48E6" w14:textId="367D16BD" w:rsidR="00C563A8" w:rsidRPr="00884D55" w:rsidRDefault="00C563A8" w:rsidP="00C563A8">
            <w:pPr>
              <w:spacing w:after="0" w:line="240" w:lineRule="auto"/>
              <w:rPr>
                <w:rFonts w:cs="Arial"/>
                <w:color w:val="0D0D0D" w:themeColor="text1" w:themeTint="F2"/>
                <w:sz w:val="14"/>
                <w:szCs w:val="14"/>
                <w:lang w:val="en-GB"/>
              </w:rPr>
            </w:pPr>
            <w:r w:rsidRPr="00884D55">
              <w:rPr>
                <w:rFonts w:cs="Arial"/>
                <w:color w:val="0D0D0D" w:themeColor="text1" w:themeTint="F2"/>
                <w:sz w:val="14"/>
                <w:szCs w:val="14"/>
                <w:lang w:val="en-GB"/>
              </w:rPr>
              <w:t>Note: Figures regarding the unemployment rate are seasonally adjusted. JV=job vacancies (balance at the end of quarter</w:t>
            </w:r>
            <w:r w:rsidR="006145FA">
              <w:rPr>
                <w:rFonts w:cs="Arial"/>
                <w:color w:val="0D0D0D" w:themeColor="text1" w:themeTint="F2"/>
                <w:sz w:val="14"/>
                <w:szCs w:val="14"/>
                <w:lang w:val="en-GB"/>
              </w:rPr>
              <w:t xml:space="preserve">. </w:t>
            </w:r>
            <w:r w:rsidR="006145FA" w:rsidRPr="00EF089C">
              <w:rPr>
                <w:rFonts w:cs="Arial"/>
                <w:color w:val="0D0D0D" w:themeColor="text1" w:themeTint="F2"/>
                <w:sz w:val="14"/>
                <w:szCs w:val="14"/>
                <w:lang w:val="en-GB"/>
              </w:rPr>
              <w:t>Vacancies for higher qualifications</w:t>
            </w:r>
            <w:r w:rsidR="006145FA">
              <w:rPr>
                <w:rFonts w:cs="Arial"/>
                <w:color w:val="0D0D0D" w:themeColor="text1" w:themeTint="F2"/>
                <w:sz w:val="14"/>
                <w:szCs w:val="14"/>
                <w:lang w:val="en-GB"/>
              </w:rPr>
              <w:t xml:space="preserve"> include positions requiring at least secondary education</w:t>
            </w:r>
            <w:r w:rsidR="006145FA" w:rsidRPr="00EF089C">
              <w:rPr>
                <w:rFonts w:cs="Arial"/>
                <w:color w:val="0D0D0D" w:themeColor="text1" w:themeTint="F2"/>
                <w:sz w:val="14"/>
                <w:szCs w:val="14"/>
                <w:lang w:val="en-GB"/>
              </w:rPr>
              <w:t xml:space="preserve"> with A-level</w:t>
            </w:r>
            <w:r w:rsidR="006145FA">
              <w:rPr>
                <w:rFonts w:cs="Arial"/>
                <w:color w:val="0D0D0D" w:themeColor="text1" w:themeTint="F2"/>
                <w:sz w:val="14"/>
                <w:szCs w:val="14"/>
                <w:lang w:val="en-GB"/>
              </w:rPr>
              <w:t xml:space="preserve"> or h</w:t>
            </w:r>
            <w:r w:rsidR="006145FA" w:rsidRPr="00EF089C">
              <w:rPr>
                <w:rFonts w:cs="Arial"/>
                <w:color w:val="0D0D0D" w:themeColor="text1" w:themeTint="F2"/>
                <w:sz w:val="14"/>
                <w:szCs w:val="14"/>
                <w:lang w:val="en-GB"/>
              </w:rPr>
              <w:t>igher education</w:t>
            </w:r>
            <w:r w:rsidR="006145FA">
              <w:rPr>
                <w:rFonts w:cs="Arial"/>
                <w:color w:val="0D0D0D" w:themeColor="text1" w:themeTint="F2"/>
                <w:sz w:val="14"/>
                <w:szCs w:val="14"/>
                <w:lang w:val="en-GB"/>
              </w:rPr>
              <w:t>.</w:t>
            </w:r>
            <w:r w:rsidRPr="00884D55">
              <w:rPr>
                <w:rFonts w:cs="Arial"/>
                <w:color w:val="0D0D0D" w:themeColor="text1" w:themeTint="F2"/>
                <w:sz w:val="14"/>
                <w:szCs w:val="14"/>
                <w:lang w:val="en-GB"/>
              </w:rPr>
              <w:t>)</w:t>
            </w:r>
          </w:p>
          <w:p w14:paraId="43326B4F" w14:textId="28AE113E" w:rsidR="00C563A8" w:rsidRPr="00884D55" w:rsidRDefault="00C563A8" w:rsidP="00C563A8">
            <w:pPr>
              <w:spacing w:after="0" w:line="240" w:lineRule="auto"/>
              <w:rPr>
                <w:rFonts w:cs="Arial"/>
                <w:color w:val="0D0D0D" w:themeColor="text1" w:themeTint="F2"/>
                <w:spacing w:val="-2"/>
                <w:sz w:val="14"/>
                <w:szCs w:val="14"/>
                <w:lang w:val="en-GB"/>
              </w:rPr>
            </w:pPr>
            <w:r w:rsidRPr="00884D55">
              <w:rPr>
                <w:rFonts w:cs="Arial"/>
                <w:color w:val="0D0D0D" w:themeColor="text1" w:themeTint="F2"/>
                <w:spacing w:val="-2"/>
                <w:sz w:val="14"/>
                <w:szCs w:val="14"/>
                <w:lang w:val="en-GB"/>
              </w:rPr>
              <w:t xml:space="preserve">*Seasonally adjusted balance of expectations of unemployment in the next 12 months (difference between percentage frequency of answers of households “growth” and “decrease” expressed in percentage points). Data relates to the </w:t>
            </w:r>
            <w:r w:rsidR="00845373">
              <w:rPr>
                <w:rFonts w:cs="Arial"/>
                <w:color w:val="0D0D0D" w:themeColor="text1" w:themeTint="F2"/>
                <w:spacing w:val="-2"/>
                <w:sz w:val="14"/>
                <w:szCs w:val="14"/>
                <w:lang w:val="en-GB"/>
              </w:rPr>
              <w:t xml:space="preserve">second </w:t>
            </w:r>
            <w:r w:rsidRPr="00884D55">
              <w:rPr>
                <w:rFonts w:cs="Arial"/>
                <w:color w:val="0D0D0D" w:themeColor="text1" w:themeTint="F2"/>
                <w:spacing w:val="-2"/>
                <w:sz w:val="14"/>
                <w:szCs w:val="14"/>
                <w:lang w:val="en-GB"/>
              </w:rPr>
              <w:t xml:space="preserve">month of the given quarter. </w:t>
            </w:r>
          </w:p>
          <w:p w14:paraId="004B81AE" w14:textId="77777777" w:rsidR="00C563A8" w:rsidRPr="00884D55" w:rsidRDefault="00C563A8" w:rsidP="00C563A8">
            <w:pPr>
              <w:spacing w:after="0" w:line="240" w:lineRule="auto"/>
              <w:rPr>
                <w:rFonts w:cs="Arial"/>
                <w:color w:val="0D0D0D" w:themeColor="text1" w:themeTint="F2"/>
                <w:spacing w:val="-2"/>
                <w:sz w:val="14"/>
                <w:szCs w:val="14"/>
                <w:lang w:val="en-GB"/>
              </w:rPr>
            </w:pPr>
            <w:r w:rsidRPr="00884D55">
              <w:rPr>
                <w:rFonts w:cs="Arial"/>
                <w:color w:val="0D0D0D" w:themeColor="text1" w:themeTint="F2"/>
                <w:spacing w:val="-2"/>
                <w:sz w:val="14"/>
                <w:szCs w:val="14"/>
                <w:lang w:val="en-GB"/>
              </w:rPr>
              <w:t>**</w:t>
            </w:r>
            <w:r w:rsidRPr="00884D55">
              <w:rPr>
                <w:rFonts w:ascii="Segoe UI" w:hAnsi="Segoe UI" w:cs="Segoe UI"/>
                <w:color w:val="000000"/>
                <w:sz w:val="21"/>
                <w:szCs w:val="21"/>
                <w:lang w:val="en-GB"/>
              </w:rPr>
              <w:t xml:space="preserve"> </w:t>
            </w:r>
            <w:r w:rsidRPr="00884D55">
              <w:rPr>
                <w:rFonts w:cs="Arial"/>
                <w:color w:val="0D0D0D" w:themeColor="text1" w:themeTint="F2"/>
                <w:spacing w:val="-2"/>
                <w:sz w:val="14"/>
                <w:szCs w:val="14"/>
                <w:lang w:val="en-GB"/>
              </w:rPr>
              <w:t>Number of foreigners in the status of employees registered at labour offices in the Czech Republic at the end of the relevant quarter.</w:t>
            </w:r>
          </w:p>
          <w:p w14:paraId="5A03FDCA" w14:textId="5DD06CFA" w:rsidR="00F00320" w:rsidRPr="00313B2D" w:rsidRDefault="00C563A8" w:rsidP="00313B2D">
            <w:pPr>
              <w:spacing w:line="240" w:lineRule="auto"/>
              <w:rPr>
                <w:rFonts w:cs="Arial"/>
                <w:color w:val="0D0D0D" w:themeColor="text1" w:themeTint="F2"/>
                <w:spacing w:val="-2"/>
                <w:sz w:val="14"/>
                <w:szCs w:val="14"/>
                <w:lang w:val="en-GB"/>
              </w:rPr>
            </w:pPr>
            <w:r w:rsidRPr="00884D55">
              <w:rPr>
                <w:rFonts w:cs="Arial"/>
                <w:color w:val="0D0D0D" w:themeColor="text1" w:themeTint="F2"/>
                <w:spacing w:val="-2"/>
                <w:sz w:val="14"/>
                <w:szCs w:val="14"/>
                <w:lang w:val="en-GB"/>
              </w:rPr>
              <w:t>Source: CZSO (LFSS, business cycle survey), MLSA (job vacancies registered at labour offices in the CR)</w:t>
            </w:r>
          </w:p>
        </w:tc>
      </w:tr>
      <w:tr w:rsidR="00313B2D" w:rsidRPr="00884D55" w14:paraId="69595B4B" w14:textId="77777777" w:rsidTr="00F00320">
        <w:trPr>
          <w:trHeight w:val="132"/>
        </w:trPr>
        <w:tc>
          <w:tcPr>
            <w:tcW w:w="1814" w:type="dxa"/>
            <w:shd w:val="clear" w:color="auto" w:fill="auto"/>
            <w:tcMar>
              <w:left w:w="0" w:type="dxa"/>
            </w:tcMar>
          </w:tcPr>
          <w:p w14:paraId="6362B20E" w14:textId="77777777" w:rsidR="00313B2D" w:rsidRPr="00884D55" w:rsidRDefault="00313B2D" w:rsidP="00313B2D">
            <w:pPr>
              <w:pStyle w:val="Marginlie"/>
              <w:rPr>
                <w:color w:val="0D0D0D" w:themeColor="text1" w:themeTint="F2"/>
                <w:spacing w:val="-5"/>
                <w:lang w:val="en-GB"/>
              </w:rPr>
            </w:pPr>
            <w:r w:rsidRPr="00884D55">
              <w:rPr>
                <w:color w:val="0D0D0D" w:themeColor="text1" w:themeTint="F2"/>
                <w:spacing w:val="-5"/>
                <w:lang w:val="en-GB"/>
              </w:rPr>
              <w:t>The general unemployment rate fluctuated slightly at a low-level last year. Development of long-term unemployment was also favourable.</w:t>
            </w:r>
          </w:p>
          <w:p w14:paraId="5C55AB29" w14:textId="77777777" w:rsidR="00313B2D" w:rsidRPr="00884D55" w:rsidRDefault="00313B2D" w:rsidP="00313B2D">
            <w:pPr>
              <w:pStyle w:val="Marginlie"/>
              <w:rPr>
                <w:color w:val="0D0D0D" w:themeColor="text1" w:themeTint="F2"/>
                <w:spacing w:val="-5"/>
                <w:lang w:val="en-GB"/>
              </w:rPr>
            </w:pPr>
          </w:p>
          <w:p w14:paraId="5D942932" w14:textId="77777777" w:rsidR="00313B2D" w:rsidRPr="00884D55" w:rsidRDefault="00313B2D" w:rsidP="00313B2D">
            <w:pPr>
              <w:pStyle w:val="Marginlie"/>
              <w:rPr>
                <w:color w:val="0D0D0D" w:themeColor="text1" w:themeTint="F2"/>
                <w:spacing w:val="-5"/>
                <w:lang w:val="en-GB"/>
              </w:rPr>
            </w:pPr>
          </w:p>
          <w:p w14:paraId="17FD532F" w14:textId="77777777" w:rsidR="00313B2D" w:rsidRPr="00884D55" w:rsidRDefault="00313B2D" w:rsidP="00313B2D">
            <w:pPr>
              <w:pStyle w:val="Marginlie"/>
              <w:rPr>
                <w:color w:val="0D0D0D" w:themeColor="text1" w:themeTint="F2"/>
                <w:spacing w:val="-5"/>
                <w:lang w:val="en-GB"/>
              </w:rPr>
            </w:pPr>
          </w:p>
          <w:p w14:paraId="6C6CFAC1" w14:textId="77777777" w:rsidR="00313B2D" w:rsidRPr="00884D55" w:rsidRDefault="00313B2D" w:rsidP="00313B2D">
            <w:pPr>
              <w:pStyle w:val="Marginlie"/>
              <w:rPr>
                <w:color w:val="0D0D0D" w:themeColor="text1" w:themeTint="F2"/>
                <w:spacing w:val="-5"/>
                <w:lang w:val="en-GB"/>
              </w:rPr>
            </w:pPr>
          </w:p>
          <w:p w14:paraId="1D881192" w14:textId="2BDC9F4C" w:rsidR="00313B2D" w:rsidRPr="00884D55" w:rsidRDefault="00313B2D" w:rsidP="00313B2D">
            <w:pPr>
              <w:pStyle w:val="Marginlie"/>
              <w:rPr>
                <w:color w:val="0D0D0D" w:themeColor="text1" w:themeTint="F2"/>
                <w:lang w:val="en-GB"/>
              </w:rPr>
            </w:pPr>
            <w:r w:rsidRPr="00884D55">
              <w:rPr>
                <w:color w:val="0D0D0D" w:themeColor="text1" w:themeTint="F2"/>
                <w:spacing w:val="-5"/>
                <w:lang w:val="en-GB"/>
              </w:rPr>
              <w:lastRenderedPageBreak/>
              <w:t xml:space="preserve">The size of the potential labour reserve remained low. </w:t>
            </w:r>
          </w:p>
        </w:tc>
        <w:tc>
          <w:tcPr>
            <w:tcW w:w="201" w:type="dxa"/>
            <w:shd w:val="clear" w:color="auto" w:fill="auto"/>
            <w:tcMar>
              <w:left w:w="0" w:type="dxa"/>
            </w:tcMar>
          </w:tcPr>
          <w:p w14:paraId="0816E290" w14:textId="77777777" w:rsidR="00313B2D" w:rsidRPr="00884D55" w:rsidRDefault="00313B2D" w:rsidP="00313B2D">
            <w:pPr>
              <w:pStyle w:val="Textpoznpodarou"/>
              <w:jc w:val="both"/>
              <w:rPr>
                <w:color w:val="0D0D0D" w:themeColor="text1" w:themeTint="F2"/>
                <w:spacing w:val="-4"/>
                <w:lang w:val="en-GB"/>
              </w:rPr>
            </w:pPr>
          </w:p>
        </w:tc>
        <w:tc>
          <w:tcPr>
            <w:tcW w:w="7770" w:type="dxa"/>
            <w:shd w:val="clear" w:color="auto" w:fill="auto"/>
            <w:tcMar>
              <w:left w:w="0" w:type="dxa"/>
            </w:tcMar>
          </w:tcPr>
          <w:p w14:paraId="70FE5D97" w14:textId="49D7F0B7" w:rsidR="00313B2D" w:rsidRPr="00884D55" w:rsidRDefault="00313B2D" w:rsidP="00313B2D">
            <w:pPr>
              <w:spacing w:after="200"/>
              <w:rPr>
                <w:rFonts w:eastAsia="MS Gothic" w:cs="Arial"/>
                <w:color w:val="0D0D0D" w:themeColor="text1" w:themeTint="F2"/>
                <w:szCs w:val="20"/>
                <w:lang w:val="en-GB"/>
              </w:rPr>
            </w:pPr>
            <w:r w:rsidRPr="00884D55">
              <w:rPr>
                <w:rFonts w:eastAsia="MS Gothic" w:cs="Arial"/>
                <w:color w:val="0D0D0D" w:themeColor="text1" w:themeTint="F2"/>
                <w:szCs w:val="20"/>
                <w:lang w:val="en-GB"/>
              </w:rPr>
              <w:t>Despite the difficulties of some, especially industrial businesses, the general unemployment rate</w:t>
            </w:r>
            <w:r w:rsidRPr="00884D55">
              <w:rPr>
                <w:rStyle w:val="normaltextrun"/>
                <w:rFonts w:eastAsia="MS Gothic" w:cs="Arial"/>
                <w:color w:val="0D0D0D" w:themeColor="text1" w:themeTint="F2"/>
                <w:szCs w:val="20"/>
                <w:vertAlign w:val="superscript"/>
                <w:lang w:val="en-GB"/>
              </w:rPr>
              <w:footnoteReference w:id="18"/>
            </w:r>
            <w:r w:rsidRPr="00884D55">
              <w:rPr>
                <w:rFonts w:eastAsia="MS Gothic" w:cs="Arial"/>
                <w:color w:val="0D0D0D" w:themeColor="text1" w:themeTint="F2"/>
                <w:szCs w:val="20"/>
                <w:lang w:val="en-GB"/>
              </w:rPr>
              <w:t xml:space="preserve"> did not increase significantly during 2024, rather it can be said to fluctuate, especially for females. The developing services were able to absorb the laid-off workers from some attenuated industries to a large extent since. The labour offices, whose activity in the field of retraining (with financial support from EU funds) increased especially in the second half of the year, also assisted the anticipated higher turnover of workers on the labour market. The seasonally adjusted unemployment rate (aged 15–64 years) was 2.7% last December (2.2% for males and 3.3% for females)</w:t>
            </w:r>
            <w:r w:rsidRPr="00884D55">
              <w:rPr>
                <w:rStyle w:val="Znakapoznpodarou"/>
                <w:color w:val="0D0D0D" w:themeColor="text1" w:themeTint="F2"/>
                <w:lang w:val="en-GB"/>
              </w:rPr>
              <w:t xml:space="preserve"> </w:t>
            </w:r>
            <w:r w:rsidRPr="00884D55">
              <w:rPr>
                <w:rStyle w:val="Znakapoznpodarou"/>
                <w:color w:val="0D0D0D" w:themeColor="text1" w:themeTint="F2"/>
                <w:lang w:val="en-GB"/>
              </w:rPr>
              <w:footnoteReference w:id="19"/>
            </w:r>
            <w:r w:rsidRPr="00884D55">
              <w:rPr>
                <w:rStyle w:val="normaltextrun"/>
                <w:rFonts w:eastAsia="MS Gothic" w:cs="Arial"/>
                <w:color w:val="0D0D0D" w:themeColor="text1" w:themeTint="F2"/>
                <w:szCs w:val="20"/>
                <w:lang w:val="en-GB"/>
              </w:rPr>
              <w:t xml:space="preserve">. </w:t>
            </w:r>
            <w:r w:rsidRPr="00884D55">
              <w:rPr>
                <w:rFonts w:eastAsia="MS Gothic" w:cs="Arial"/>
                <w:color w:val="0D0D0D" w:themeColor="text1" w:themeTint="F2"/>
                <w:szCs w:val="20"/>
                <w:lang w:val="en-GB"/>
              </w:rPr>
              <w:t xml:space="preserve">The number of long-term unemployed did not increase either – they accounted for less than 30% of the total number </w:t>
            </w:r>
            <w:r w:rsidRPr="00884D55">
              <w:rPr>
                <w:rFonts w:eastAsia="MS Gothic" w:cs="Arial"/>
                <w:color w:val="0D0D0D" w:themeColor="text1" w:themeTint="F2"/>
                <w:szCs w:val="20"/>
                <w:lang w:val="en-GB"/>
              </w:rPr>
              <w:lastRenderedPageBreak/>
              <w:t>of jobless persons in Q3 (this is below average value in the long-term as well as international context). The size of the potential labour reserve (i.e. economically inactive persons not looking for work but stating their willingness to work) was virtually stagnating, year-on-year, in Q4 (to 77 thousand persons)</w:t>
            </w:r>
            <w:r w:rsidRPr="00884D55">
              <w:rPr>
                <w:rStyle w:val="Znakapoznpodarou"/>
                <w:color w:val="0D0D0D" w:themeColor="text1" w:themeTint="F2"/>
                <w:spacing w:val="-4"/>
                <w:lang w:val="en-GB"/>
              </w:rPr>
              <w:footnoteReference w:id="20"/>
            </w:r>
            <w:r w:rsidRPr="00884D55">
              <w:rPr>
                <w:rFonts w:eastAsia="MS Gothic" w:cs="Arial"/>
                <w:color w:val="0D0D0D" w:themeColor="text1" w:themeTint="F2"/>
                <w:szCs w:val="20"/>
                <w:lang w:val="en-GB"/>
              </w:rPr>
              <w:t xml:space="preserve"> and remains low from the long-term perspective. Although this represents an appreciable issue for many employers, on the other hand, it is also a positive signal indicating that the extent of hidden unemployment (in the form of an "escape" into economic inactivity) is currently not significant on the domestic labour market.</w:t>
            </w:r>
          </w:p>
        </w:tc>
      </w:tr>
      <w:tr w:rsidR="00313B2D" w:rsidRPr="00884D55" w14:paraId="032E7AE9" w14:textId="77777777" w:rsidTr="00F00320">
        <w:trPr>
          <w:trHeight w:val="132"/>
        </w:trPr>
        <w:tc>
          <w:tcPr>
            <w:tcW w:w="1814" w:type="dxa"/>
            <w:shd w:val="clear" w:color="auto" w:fill="auto"/>
            <w:tcMar>
              <w:left w:w="0" w:type="dxa"/>
            </w:tcMar>
          </w:tcPr>
          <w:p w14:paraId="12A06513" w14:textId="77777777" w:rsidR="00313B2D" w:rsidRPr="00884D55" w:rsidRDefault="00313B2D" w:rsidP="00313B2D">
            <w:pPr>
              <w:pStyle w:val="Marginlie"/>
              <w:rPr>
                <w:color w:val="0D0D0D" w:themeColor="text1" w:themeTint="F2"/>
                <w:lang w:val="en-GB"/>
              </w:rPr>
            </w:pPr>
            <w:r w:rsidRPr="00884D55">
              <w:rPr>
                <w:color w:val="0D0D0D" w:themeColor="text1" w:themeTint="F2"/>
                <w:lang w:val="en-GB"/>
              </w:rPr>
              <w:lastRenderedPageBreak/>
              <w:t>There was a slight year-on-year increase in the number of registered job applicants.</w:t>
            </w:r>
          </w:p>
          <w:p w14:paraId="2E524EFD" w14:textId="77777777" w:rsidR="00313B2D" w:rsidRPr="00884D55" w:rsidRDefault="00313B2D" w:rsidP="00313B2D">
            <w:pPr>
              <w:pStyle w:val="Marginlie"/>
              <w:rPr>
                <w:color w:val="0D0D0D" w:themeColor="text1" w:themeTint="F2"/>
                <w:lang w:val="en-GB"/>
              </w:rPr>
            </w:pPr>
          </w:p>
          <w:p w14:paraId="26AD0585" w14:textId="77777777" w:rsidR="00313B2D" w:rsidRPr="00884D55" w:rsidRDefault="00313B2D" w:rsidP="00313B2D">
            <w:pPr>
              <w:pStyle w:val="Marginlie"/>
              <w:rPr>
                <w:color w:val="0D0D0D" w:themeColor="text1" w:themeTint="F2"/>
                <w:lang w:val="en-GB"/>
              </w:rPr>
            </w:pPr>
          </w:p>
          <w:p w14:paraId="56B98F57" w14:textId="77777777" w:rsidR="00313B2D" w:rsidRPr="00884D55" w:rsidRDefault="00313B2D" w:rsidP="00313B2D">
            <w:pPr>
              <w:pStyle w:val="Marginlie"/>
              <w:rPr>
                <w:color w:val="0D0D0D" w:themeColor="text1" w:themeTint="F2"/>
                <w:lang w:val="en-GB"/>
              </w:rPr>
            </w:pPr>
          </w:p>
          <w:p w14:paraId="27BCD626" w14:textId="77777777" w:rsidR="00313B2D" w:rsidRPr="00884D55" w:rsidRDefault="00313B2D" w:rsidP="00313B2D">
            <w:pPr>
              <w:pStyle w:val="Marginlie"/>
              <w:rPr>
                <w:color w:val="0D0D0D" w:themeColor="text1" w:themeTint="F2"/>
                <w:lang w:val="en-GB"/>
              </w:rPr>
            </w:pPr>
          </w:p>
          <w:p w14:paraId="1270259B" w14:textId="77777777" w:rsidR="00313B2D" w:rsidRPr="00884D55" w:rsidRDefault="00313B2D" w:rsidP="00313B2D">
            <w:pPr>
              <w:pStyle w:val="Marginlie"/>
              <w:rPr>
                <w:color w:val="0D0D0D" w:themeColor="text1" w:themeTint="F2"/>
                <w:spacing w:val="-5"/>
                <w:lang w:val="en-GB"/>
              </w:rPr>
            </w:pPr>
          </w:p>
          <w:p w14:paraId="4D04335A" w14:textId="735F6ED1" w:rsidR="00313B2D" w:rsidRPr="00884D55" w:rsidRDefault="00313B2D" w:rsidP="00313B2D">
            <w:pPr>
              <w:pStyle w:val="Marginlie"/>
              <w:rPr>
                <w:color w:val="0D0D0D" w:themeColor="text1" w:themeTint="F2"/>
                <w:spacing w:val="0"/>
                <w:lang w:val="en-GB"/>
              </w:rPr>
            </w:pPr>
            <w:r w:rsidRPr="00884D55">
              <w:rPr>
                <w:color w:val="0D0D0D" w:themeColor="text1" w:themeTint="F2"/>
                <w:spacing w:val="-5"/>
                <w:lang w:val="en-GB"/>
              </w:rPr>
              <w:t xml:space="preserve">People's concerns about the development of unemployment in the next 12 months have been increasing since last December.  </w:t>
            </w:r>
          </w:p>
        </w:tc>
        <w:tc>
          <w:tcPr>
            <w:tcW w:w="201" w:type="dxa"/>
            <w:shd w:val="clear" w:color="auto" w:fill="auto"/>
            <w:tcMar>
              <w:left w:w="0" w:type="dxa"/>
            </w:tcMar>
          </w:tcPr>
          <w:p w14:paraId="3532D4FE" w14:textId="77777777" w:rsidR="00313B2D" w:rsidRPr="00884D55" w:rsidRDefault="00313B2D" w:rsidP="00313B2D">
            <w:pPr>
              <w:pStyle w:val="Textpoznpodarou"/>
              <w:jc w:val="both"/>
              <w:rPr>
                <w:color w:val="0D0D0D" w:themeColor="text1" w:themeTint="F2"/>
                <w:spacing w:val="-4"/>
                <w:lang w:val="en-GB"/>
              </w:rPr>
            </w:pPr>
          </w:p>
        </w:tc>
        <w:tc>
          <w:tcPr>
            <w:tcW w:w="7770" w:type="dxa"/>
            <w:shd w:val="clear" w:color="auto" w:fill="auto"/>
            <w:tcMar>
              <w:left w:w="0" w:type="dxa"/>
            </w:tcMar>
          </w:tcPr>
          <w:p w14:paraId="7A21F12E" w14:textId="2F2B3B04" w:rsidR="00313B2D" w:rsidRPr="00884D55" w:rsidRDefault="00313B2D" w:rsidP="00313B2D">
            <w:pPr>
              <w:spacing w:after="200"/>
              <w:rPr>
                <w:rFonts w:eastAsia="MS Gothic" w:cs="Arial"/>
                <w:color w:val="0D0D0D" w:themeColor="text1" w:themeTint="F2"/>
                <w:spacing w:val="-6"/>
                <w:szCs w:val="20"/>
                <w:lang w:val="en-GB"/>
              </w:rPr>
            </w:pPr>
            <w:r w:rsidRPr="00884D55">
              <w:rPr>
                <w:rFonts w:eastAsia="MS Gothic" w:cs="Arial"/>
                <w:color w:val="0D0D0D" w:themeColor="text1" w:themeTint="F2"/>
                <w:szCs w:val="20"/>
                <w:lang w:val="en-GB"/>
              </w:rPr>
              <w:t>The steady state of the domestic labour market is also validated by the Ministry of Labour and Social Affairs data. The seasonally unadjusted share of the unemployed (available job applicants to the total population of 15–64-year-olds) was 4.1% (+0.4 p.p., year-on-year), 3.8% for males and 4.4% for females, at the end of December. Higher unemployment (above 6%) was recorded in twelve municipalities (located in five different regions). The number of all registered job applicants rose slightly above 300 thousand for the first time since the peak of the pandemic (Spring 2021) and exceeded the number of jobs offered</w:t>
            </w:r>
            <w:r w:rsidRPr="00884D55">
              <w:rPr>
                <w:rStyle w:val="Znakapoznpodarou"/>
                <w:rFonts w:eastAsia="MS Gothic"/>
                <w:color w:val="0D0D0D" w:themeColor="text1" w:themeTint="F2"/>
                <w:szCs w:val="20"/>
                <w:lang w:val="en-GB"/>
              </w:rPr>
              <w:footnoteReference w:id="21"/>
            </w:r>
            <w:r w:rsidRPr="00884D55">
              <w:rPr>
                <w:rFonts w:eastAsia="MS Gothic" w:cs="Arial"/>
                <w:color w:val="0D0D0D" w:themeColor="text1" w:themeTint="F2"/>
                <w:szCs w:val="20"/>
                <w:lang w:val="en-GB"/>
              </w:rPr>
              <w:t xml:space="preserve"> for thirteen months in a row. People's fears of rising unemployment (expressed in business surveys) fell to their lowest level since the onset of the pandemic last Spring. Subsequently, they fluctuated slightly but increased noticeably at the beginning of 2025 (moderately above the long-term average). The current growth of concerns may be related to the situation in industry, ongoing public discussions on fiscal consolidation, but also the tense geopolitical situation. </w:t>
            </w:r>
          </w:p>
        </w:tc>
      </w:tr>
      <w:tr w:rsidR="00313B2D" w:rsidRPr="00884D55" w14:paraId="65BC1498" w14:textId="77777777" w:rsidTr="00F00320">
        <w:trPr>
          <w:trHeight w:val="132"/>
        </w:trPr>
        <w:tc>
          <w:tcPr>
            <w:tcW w:w="1814" w:type="dxa"/>
            <w:shd w:val="clear" w:color="auto" w:fill="auto"/>
            <w:tcMar>
              <w:left w:w="0" w:type="dxa"/>
            </w:tcMar>
          </w:tcPr>
          <w:p w14:paraId="4335C4FB" w14:textId="31546EE7" w:rsidR="00313B2D" w:rsidRPr="00884D55" w:rsidRDefault="00313B2D" w:rsidP="00313B2D">
            <w:pPr>
              <w:pStyle w:val="Marginlie"/>
              <w:rPr>
                <w:color w:val="0D0D0D" w:themeColor="text1" w:themeTint="F2"/>
                <w:spacing w:val="0"/>
                <w:lang w:val="en-GB"/>
              </w:rPr>
            </w:pPr>
            <w:r w:rsidRPr="00884D55">
              <w:rPr>
                <w:color w:val="0D0D0D" w:themeColor="text1" w:themeTint="F2"/>
                <w:spacing w:val="0"/>
                <w:lang w:val="en-GB"/>
              </w:rPr>
              <w:t>The year-on-year growth of average wages fluctuated slightly since the beginning of last year, reaching 7.2% in Q4</w:t>
            </w:r>
            <w:r w:rsidR="0038369B">
              <w:rPr>
                <w:color w:val="0D0D0D" w:themeColor="text1" w:themeTint="F2"/>
                <w:spacing w:val="0"/>
                <w:lang w:val="en-GB"/>
              </w:rPr>
              <w:t xml:space="preserve"> 2024</w:t>
            </w:r>
            <w:r w:rsidRPr="00884D55">
              <w:rPr>
                <w:color w:val="0D0D0D" w:themeColor="text1" w:themeTint="F2"/>
                <w:spacing w:val="0"/>
                <w:lang w:val="en-GB"/>
              </w:rPr>
              <w:t>.</w:t>
            </w:r>
          </w:p>
          <w:p w14:paraId="00D2A1A9" w14:textId="77777777" w:rsidR="00313B2D" w:rsidRPr="00884D55" w:rsidRDefault="00313B2D" w:rsidP="00313B2D">
            <w:pPr>
              <w:pStyle w:val="Marginlie"/>
              <w:rPr>
                <w:color w:val="0D0D0D" w:themeColor="text1" w:themeTint="F2"/>
                <w:spacing w:val="-5"/>
                <w:lang w:val="en-GB"/>
              </w:rPr>
            </w:pPr>
          </w:p>
          <w:p w14:paraId="2B908705" w14:textId="77777777" w:rsidR="00313B2D" w:rsidRPr="00884D55" w:rsidRDefault="00313B2D" w:rsidP="00313B2D">
            <w:pPr>
              <w:pStyle w:val="Marginlie"/>
              <w:rPr>
                <w:color w:val="0D0D0D" w:themeColor="text1" w:themeTint="F2"/>
                <w:spacing w:val="-5"/>
                <w:lang w:val="en-GB"/>
              </w:rPr>
            </w:pPr>
          </w:p>
          <w:p w14:paraId="62988E40" w14:textId="77777777" w:rsidR="00313B2D" w:rsidRPr="00884D55" w:rsidRDefault="00313B2D" w:rsidP="00313B2D">
            <w:pPr>
              <w:pStyle w:val="Marginlie"/>
              <w:rPr>
                <w:color w:val="0D0D0D" w:themeColor="text1" w:themeTint="F2"/>
                <w:spacing w:val="-5"/>
                <w:lang w:val="en-GB"/>
              </w:rPr>
            </w:pPr>
          </w:p>
          <w:p w14:paraId="119624E0" w14:textId="77777777" w:rsidR="00313B2D" w:rsidRPr="00884D55" w:rsidRDefault="00313B2D" w:rsidP="00313B2D">
            <w:pPr>
              <w:pStyle w:val="Marginlie"/>
              <w:rPr>
                <w:color w:val="0D0D0D" w:themeColor="text1" w:themeTint="F2"/>
                <w:spacing w:val="-4"/>
                <w:lang w:val="en-GB"/>
              </w:rPr>
            </w:pPr>
          </w:p>
        </w:tc>
        <w:tc>
          <w:tcPr>
            <w:tcW w:w="201" w:type="dxa"/>
            <w:shd w:val="clear" w:color="auto" w:fill="auto"/>
            <w:tcMar>
              <w:left w:w="0" w:type="dxa"/>
            </w:tcMar>
          </w:tcPr>
          <w:p w14:paraId="48116BA8" w14:textId="77777777" w:rsidR="00313B2D" w:rsidRPr="00884D55" w:rsidRDefault="00313B2D" w:rsidP="00313B2D">
            <w:pPr>
              <w:pStyle w:val="Textpoznpodarou"/>
              <w:jc w:val="both"/>
              <w:rPr>
                <w:color w:val="0D0D0D" w:themeColor="text1" w:themeTint="F2"/>
                <w:spacing w:val="-4"/>
                <w:lang w:val="en-GB"/>
              </w:rPr>
            </w:pPr>
          </w:p>
        </w:tc>
        <w:tc>
          <w:tcPr>
            <w:tcW w:w="7770" w:type="dxa"/>
            <w:shd w:val="clear" w:color="auto" w:fill="auto"/>
            <w:tcMar>
              <w:left w:w="0" w:type="dxa"/>
            </w:tcMar>
          </w:tcPr>
          <w:p w14:paraId="5F5BF468" w14:textId="77777777" w:rsidR="00313B2D" w:rsidRPr="00884D55" w:rsidRDefault="00313B2D" w:rsidP="00313B2D">
            <w:pPr>
              <w:spacing w:after="200"/>
              <w:rPr>
                <w:rFonts w:eastAsia="MS Gothic" w:cs="Arial"/>
                <w:color w:val="0D0D0D" w:themeColor="text1" w:themeTint="F2"/>
                <w:spacing w:val="-6"/>
                <w:szCs w:val="20"/>
                <w:lang w:val="en-GB"/>
              </w:rPr>
            </w:pPr>
            <w:r w:rsidRPr="00884D55">
              <w:rPr>
                <w:rFonts w:eastAsia="MS Gothic" w:cs="Arial"/>
                <w:color w:val="0D0D0D" w:themeColor="text1" w:themeTint="F2"/>
                <w:spacing w:val="-6"/>
                <w:szCs w:val="20"/>
                <w:lang w:val="en-GB"/>
              </w:rPr>
              <w:t>The average gross monthly nominal wage in the national economy reached 49,229 CZK in Q4 2024 and increased 7.2%, year-on-year. Quarter-on-quarter wage growth (seasonally adjusted) was 1.7% and fluctuated slightly over the past year. Wages increased by 7.1% (to 46,165 CZK) for the whole of last year, which was a slight slowdown compared to the pace in 2023 (8.0%). The dynamics of average wages of persons converted to full-time equivalents (FTEs) versus natural persons differed significantly throughout last year. Due to the expansion of part-time work (as a result of financial support from the state, or also tax optimisation – transfer of persons with agreements to complete a job, to perform work), wages per individual increased by only 6.7%, year-on-year, in Q4. The registered number of employees (FTE) increased by 0.1%, but by natural persons by 0.6%. These differences were the most evident in some services (real estate activities, employment placement agencies, transportation and storage, health and social work) and agriculture and forestry branches.</w:t>
            </w:r>
          </w:p>
        </w:tc>
      </w:tr>
      <w:tr w:rsidR="00313B2D" w:rsidRPr="00884D55" w14:paraId="5C55FC0B" w14:textId="77777777" w:rsidTr="00F00320">
        <w:trPr>
          <w:trHeight w:val="132"/>
        </w:trPr>
        <w:tc>
          <w:tcPr>
            <w:tcW w:w="1814" w:type="dxa"/>
            <w:shd w:val="clear" w:color="auto" w:fill="auto"/>
            <w:tcMar>
              <w:left w:w="0" w:type="dxa"/>
            </w:tcMar>
          </w:tcPr>
          <w:p w14:paraId="7B6EEAC0" w14:textId="77777777" w:rsidR="00313B2D" w:rsidRPr="00884D55" w:rsidRDefault="00313B2D" w:rsidP="00313B2D">
            <w:pPr>
              <w:pStyle w:val="Marginlie"/>
              <w:rPr>
                <w:color w:val="0D0D0D" w:themeColor="text1" w:themeTint="F2"/>
                <w:spacing w:val="-5"/>
                <w:lang w:val="en-GB"/>
              </w:rPr>
            </w:pPr>
            <w:r w:rsidRPr="00884D55">
              <w:rPr>
                <w:color w:val="0D0D0D" w:themeColor="text1" w:themeTint="F2"/>
                <w:spacing w:val="0"/>
                <w:lang w:val="en-GB"/>
              </w:rPr>
              <w:t>There are significant factors fostering higher wage growth, but also those with the opposite impact.</w:t>
            </w:r>
          </w:p>
        </w:tc>
        <w:tc>
          <w:tcPr>
            <w:tcW w:w="201" w:type="dxa"/>
            <w:shd w:val="clear" w:color="auto" w:fill="auto"/>
            <w:tcMar>
              <w:left w:w="0" w:type="dxa"/>
            </w:tcMar>
          </w:tcPr>
          <w:p w14:paraId="6930B84A" w14:textId="77777777" w:rsidR="00313B2D" w:rsidRPr="00884D55" w:rsidRDefault="00313B2D" w:rsidP="00313B2D">
            <w:pPr>
              <w:pStyle w:val="Textpoznpodarou"/>
              <w:jc w:val="both"/>
              <w:rPr>
                <w:color w:val="0D0D0D" w:themeColor="text1" w:themeTint="F2"/>
                <w:spacing w:val="-4"/>
                <w:lang w:val="en-GB"/>
              </w:rPr>
            </w:pPr>
          </w:p>
        </w:tc>
        <w:tc>
          <w:tcPr>
            <w:tcW w:w="7770" w:type="dxa"/>
            <w:shd w:val="clear" w:color="auto" w:fill="auto"/>
            <w:tcMar>
              <w:left w:w="0" w:type="dxa"/>
            </w:tcMar>
          </w:tcPr>
          <w:p w14:paraId="0D1AE87F" w14:textId="77777777" w:rsidR="00313B2D" w:rsidRPr="00884D55" w:rsidRDefault="00313B2D" w:rsidP="00313B2D">
            <w:pPr>
              <w:spacing w:after="200"/>
              <w:rPr>
                <w:color w:val="0D0D0D" w:themeColor="text1" w:themeTint="F2"/>
                <w:spacing w:val="-6"/>
                <w:lang w:val="en-GB"/>
              </w:rPr>
            </w:pPr>
            <w:r w:rsidRPr="00884D55">
              <w:rPr>
                <w:spacing w:val="-6"/>
                <w:lang w:val="en-GB"/>
              </w:rPr>
              <w:t>Wage growth in the economy was dampened by the growing need for savings in the budgetary sphere as well as the growing number of foreign workers from "third countries". They frequently work in low-skilled positions</w:t>
            </w:r>
            <w:r w:rsidRPr="00884D55">
              <w:rPr>
                <w:spacing w:val="-6"/>
                <w:vertAlign w:val="superscript"/>
                <w:lang w:val="en-GB"/>
              </w:rPr>
              <w:footnoteReference w:id="22"/>
            </w:r>
            <w:r w:rsidRPr="00884D55">
              <w:rPr>
                <w:spacing w:val="-6"/>
                <w:lang w:val="en-GB"/>
              </w:rPr>
              <w:t xml:space="preserve"> and thus their earnings usually do not reach the level of Czech citizens. By contrast, nominal wage growth was still fostered by relatively high demand of businesses for labour in a number of sectors (especially in services) or the increased pressure from employees, also stemming from tight family budgets caused by ongoing high growth of prices of some consumer basket items as well as other expenditure (mortgage payments). The </w:t>
            </w:r>
            <w:r w:rsidRPr="00884D55">
              <w:rPr>
                <w:spacing w:val="-6"/>
                <w:lang w:val="en-GB"/>
              </w:rPr>
              <w:lastRenderedPageBreak/>
              <w:t>persisting high corporate profit rate also enabled a more dynamic wage growth in a number of branches. The accelerated raise of the minimum wage</w:t>
            </w:r>
            <w:r w:rsidRPr="00884D55">
              <w:rPr>
                <w:spacing w:val="-6"/>
                <w:vertAlign w:val="superscript"/>
                <w:lang w:val="en-GB"/>
              </w:rPr>
              <w:footnoteReference w:id="23"/>
            </w:r>
            <w:r w:rsidRPr="00884D55">
              <w:rPr>
                <w:spacing w:val="-6"/>
                <w:lang w:val="en-GB"/>
              </w:rPr>
              <w:t xml:space="preserve"> may have had a partial effect in some branches. </w:t>
            </w:r>
          </w:p>
        </w:tc>
      </w:tr>
      <w:tr w:rsidR="00313B2D" w:rsidRPr="00884D55" w14:paraId="7AAC749A" w14:textId="77777777" w:rsidTr="00F00320">
        <w:trPr>
          <w:trHeight w:val="132"/>
        </w:trPr>
        <w:tc>
          <w:tcPr>
            <w:tcW w:w="1814" w:type="dxa"/>
            <w:shd w:val="clear" w:color="auto" w:fill="auto"/>
            <w:tcMar>
              <w:left w:w="0" w:type="dxa"/>
            </w:tcMar>
          </w:tcPr>
          <w:p w14:paraId="69B31CC4" w14:textId="77777777" w:rsidR="00313B2D" w:rsidRPr="00884D55" w:rsidRDefault="00313B2D" w:rsidP="00313B2D">
            <w:pPr>
              <w:pStyle w:val="Marginlie"/>
              <w:rPr>
                <w:color w:val="0D0D0D" w:themeColor="text1" w:themeTint="F2"/>
                <w:spacing w:val="0"/>
                <w:lang w:val="en-GB"/>
              </w:rPr>
            </w:pPr>
            <w:r w:rsidRPr="00884D55">
              <w:rPr>
                <w:color w:val="0D0D0D" w:themeColor="text1" w:themeTint="F2"/>
                <w:spacing w:val="0"/>
                <w:lang w:val="en-GB"/>
              </w:rPr>
              <w:lastRenderedPageBreak/>
              <w:t xml:space="preserve">The expected year-on-year growth of real wage resumed at the beginning of last year. In a year-round perspective, it permeated all branches. </w:t>
            </w:r>
          </w:p>
        </w:tc>
        <w:tc>
          <w:tcPr>
            <w:tcW w:w="201" w:type="dxa"/>
            <w:shd w:val="clear" w:color="auto" w:fill="auto"/>
            <w:tcMar>
              <w:left w:w="0" w:type="dxa"/>
            </w:tcMar>
          </w:tcPr>
          <w:p w14:paraId="17638530" w14:textId="77777777" w:rsidR="00313B2D" w:rsidRPr="00884D55" w:rsidRDefault="00313B2D" w:rsidP="00313B2D">
            <w:pPr>
              <w:pStyle w:val="Textpoznpodarou"/>
              <w:jc w:val="both"/>
              <w:rPr>
                <w:color w:val="0D0D0D" w:themeColor="text1" w:themeTint="F2"/>
                <w:spacing w:val="-4"/>
                <w:lang w:val="en-GB"/>
              </w:rPr>
            </w:pPr>
          </w:p>
        </w:tc>
        <w:tc>
          <w:tcPr>
            <w:tcW w:w="7770" w:type="dxa"/>
            <w:shd w:val="clear" w:color="auto" w:fill="auto"/>
            <w:tcMar>
              <w:left w:w="0" w:type="dxa"/>
            </w:tcMar>
          </w:tcPr>
          <w:p w14:paraId="5FF9512F" w14:textId="77777777" w:rsidR="00313B2D" w:rsidRPr="00884D55" w:rsidRDefault="00313B2D" w:rsidP="00313B2D">
            <w:pPr>
              <w:spacing w:after="200"/>
              <w:rPr>
                <w:rStyle w:val="normaltextrun"/>
                <w:rFonts w:eastAsia="MS Gothic" w:cs="Arial"/>
                <w:spacing w:val="-6"/>
                <w:szCs w:val="20"/>
                <w:lang w:val="en-GB"/>
              </w:rPr>
            </w:pPr>
            <w:r w:rsidRPr="00884D55">
              <w:rPr>
                <w:rFonts w:eastAsia="MS Gothic" w:cs="Arial"/>
                <w:spacing w:val="-6"/>
                <w:szCs w:val="20"/>
                <w:lang w:val="en-GB"/>
              </w:rPr>
              <w:t xml:space="preserve">Thanks to the calming of the price level in the economy, the expected growth of real wage continued. It was 4.2%, year-on-year, in Q4. It was then 4.6% for the whole last year, the purchasing power of wages grew more rapidly over the last two decades only in the expansion era in years 2018 and 2019. In the full-year perspective, there was growth in all major branches last year. The increase of real wages in the economy is gradually leading to the elimination of the significant plunge of the purchasing power of employees in 2022 and 2023 (however, the average wage was still only at the level from the end of 2018 in real terms at the end of last year). Growth of the purchasing power of wages was dampened by a slight increase of the tax burden on labour last year (e.g. the reintroduction of employee contributions to sickness insurance) approved as part of the government's consolidation package. </w:t>
            </w:r>
            <w:r w:rsidRPr="00884D55">
              <w:rPr>
                <w:rStyle w:val="normaltextrun"/>
                <w:rFonts w:eastAsia="MS Gothic" w:cs="Arial"/>
                <w:spacing w:val="-6"/>
                <w:szCs w:val="20"/>
                <w:lang w:val="en-GB"/>
              </w:rPr>
              <w:t xml:space="preserve">  </w:t>
            </w:r>
          </w:p>
        </w:tc>
      </w:tr>
      <w:tr w:rsidR="00313B2D" w:rsidRPr="00884D55" w14:paraId="385483D5" w14:textId="77777777" w:rsidTr="00F00320">
        <w:trPr>
          <w:trHeight w:val="132"/>
        </w:trPr>
        <w:tc>
          <w:tcPr>
            <w:tcW w:w="1814" w:type="dxa"/>
            <w:shd w:val="clear" w:color="auto" w:fill="auto"/>
            <w:tcMar>
              <w:left w:w="0" w:type="dxa"/>
            </w:tcMar>
          </w:tcPr>
          <w:p w14:paraId="450233CD" w14:textId="173C8A75" w:rsidR="00313B2D" w:rsidRPr="00884D55" w:rsidRDefault="00313B2D" w:rsidP="00313B2D">
            <w:pPr>
              <w:pStyle w:val="Marginlie"/>
              <w:rPr>
                <w:color w:val="0D0D0D" w:themeColor="text1" w:themeTint="F2"/>
                <w:spacing w:val="0"/>
                <w:lang w:val="en-GB"/>
              </w:rPr>
            </w:pPr>
            <w:r w:rsidRPr="00884D55">
              <w:rPr>
                <w:color w:val="0D0D0D" w:themeColor="text1" w:themeTint="F2"/>
                <w:spacing w:val="0"/>
                <w:lang w:val="en-GB"/>
              </w:rPr>
              <w:t>Average wages increased the most in real estate area and advanced business services in Q4</w:t>
            </w:r>
            <w:r w:rsidR="0038369B">
              <w:rPr>
                <w:color w:val="0D0D0D" w:themeColor="text1" w:themeTint="F2"/>
                <w:spacing w:val="0"/>
                <w:lang w:val="en-GB"/>
              </w:rPr>
              <w:t xml:space="preserve"> 2024</w:t>
            </w:r>
            <w:r w:rsidRPr="00884D55">
              <w:rPr>
                <w:color w:val="0D0D0D" w:themeColor="text1" w:themeTint="F2"/>
                <w:spacing w:val="0"/>
                <w:lang w:val="en-GB"/>
              </w:rPr>
              <w:t>. Tourism-related branches also continued to thrive.</w:t>
            </w:r>
          </w:p>
          <w:p w14:paraId="008A230E" w14:textId="77777777" w:rsidR="00313B2D" w:rsidRPr="00884D55" w:rsidRDefault="00313B2D" w:rsidP="00313B2D">
            <w:pPr>
              <w:pStyle w:val="Marginlie"/>
              <w:rPr>
                <w:color w:val="0D0D0D" w:themeColor="text1" w:themeTint="F2"/>
                <w:spacing w:val="0"/>
                <w:lang w:val="en-GB"/>
              </w:rPr>
            </w:pPr>
          </w:p>
          <w:p w14:paraId="4E6F92EC" w14:textId="77777777" w:rsidR="00313B2D" w:rsidRPr="00884D55" w:rsidRDefault="00313B2D" w:rsidP="00313B2D">
            <w:pPr>
              <w:pStyle w:val="Marginlie"/>
              <w:rPr>
                <w:color w:val="0D0D0D" w:themeColor="text1" w:themeTint="F2"/>
                <w:spacing w:val="0"/>
                <w:lang w:val="en-GB"/>
              </w:rPr>
            </w:pPr>
          </w:p>
          <w:p w14:paraId="2964427A" w14:textId="77777777" w:rsidR="00313B2D" w:rsidRPr="00884D55" w:rsidRDefault="00313B2D" w:rsidP="00313B2D">
            <w:pPr>
              <w:pStyle w:val="Marginlie"/>
              <w:rPr>
                <w:color w:val="0D0D0D" w:themeColor="text1" w:themeTint="F2"/>
                <w:spacing w:val="0"/>
                <w:lang w:val="en-GB"/>
              </w:rPr>
            </w:pPr>
          </w:p>
          <w:p w14:paraId="0656FFFD" w14:textId="77777777" w:rsidR="00313B2D" w:rsidRPr="00884D55" w:rsidRDefault="00313B2D" w:rsidP="00313B2D">
            <w:pPr>
              <w:pStyle w:val="Marginlie"/>
              <w:rPr>
                <w:color w:val="0D0D0D" w:themeColor="text1" w:themeTint="F2"/>
                <w:spacing w:val="0"/>
                <w:lang w:val="en-GB"/>
              </w:rPr>
            </w:pPr>
          </w:p>
          <w:p w14:paraId="52A75331" w14:textId="77777777" w:rsidR="00313B2D" w:rsidRPr="00884D55" w:rsidRDefault="00313B2D" w:rsidP="00313B2D">
            <w:pPr>
              <w:pStyle w:val="Marginlie"/>
              <w:rPr>
                <w:color w:val="0D0D0D" w:themeColor="text1" w:themeTint="F2"/>
                <w:spacing w:val="0"/>
                <w:lang w:val="en-GB"/>
              </w:rPr>
            </w:pPr>
          </w:p>
          <w:p w14:paraId="782F672C" w14:textId="77777777" w:rsidR="00313B2D" w:rsidRPr="00884D55" w:rsidRDefault="00313B2D" w:rsidP="00313B2D">
            <w:pPr>
              <w:pStyle w:val="Marginlie"/>
              <w:rPr>
                <w:color w:val="0D0D0D" w:themeColor="text1" w:themeTint="F2"/>
                <w:spacing w:val="0"/>
                <w:lang w:val="en-GB"/>
              </w:rPr>
            </w:pPr>
          </w:p>
          <w:p w14:paraId="4D960429" w14:textId="77777777" w:rsidR="00313B2D" w:rsidRPr="00884D55" w:rsidRDefault="00313B2D" w:rsidP="00313B2D">
            <w:pPr>
              <w:pStyle w:val="Marginlie"/>
              <w:rPr>
                <w:color w:val="0D0D0D" w:themeColor="text1" w:themeTint="F2"/>
                <w:spacing w:val="0"/>
                <w:lang w:val="en-GB"/>
              </w:rPr>
            </w:pPr>
          </w:p>
          <w:p w14:paraId="0F2A786E" w14:textId="77777777" w:rsidR="00313B2D" w:rsidRPr="00884D55" w:rsidRDefault="00313B2D" w:rsidP="00313B2D">
            <w:pPr>
              <w:pStyle w:val="Marginlie"/>
              <w:rPr>
                <w:color w:val="0D0D0D" w:themeColor="text1" w:themeTint="F2"/>
                <w:spacing w:val="0"/>
                <w:lang w:val="en-GB"/>
              </w:rPr>
            </w:pPr>
          </w:p>
          <w:p w14:paraId="6B5ADE23" w14:textId="77777777" w:rsidR="00313B2D" w:rsidRPr="00884D55" w:rsidRDefault="00313B2D" w:rsidP="00313B2D">
            <w:pPr>
              <w:pStyle w:val="Marginlie"/>
              <w:rPr>
                <w:color w:val="0D0D0D" w:themeColor="text1" w:themeTint="F2"/>
                <w:spacing w:val="0"/>
                <w:lang w:val="en-GB"/>
              </w:rPr>
            </w:pPr>
            <w:r w:rsidRPr="00884D55">
              <w:rPr>
                <w:color w:val="0D0D0D" w:themeColor="text1" w:themeTint="F2"/>
                <w:spacing w:val="0"/>
                <w:lang w:val="en-GB"/>
              </w:rPr>
              <w:t xml:space="preserve">Wages grew relatively more slowly in the branches with the highest wage level last year. </w:t>
            </w:r>
          </w:p>
          <w:p w14:paraId="1808DE2D" w14:textId="77777777" w:rsidR="00313B2D" w:rsidRPr="00884D55" w:rsidRDefault="00313B2D" w:rsidP="00313B2D">
            <w:pPr>
              <w:pStyle w:val="Marginlie"/>
              <w:rPr>
                <w:color w:val="0D0D0D" w:themeColor="text1" w:themeTint="F2"/>
                <w:spacing w:val="0"/>
                <w:lang w:val="en-GB"/>
              </w:rPr>
            </w:pPr>
          </w:p>
        </w:tc>
        <w:tc>
          <w:tcPr>
            <w:tcW w:w="201" w:type="dxa"/>
            <w:shd w:val="clear" w:color="auto" w:fill="auto"/>
            <w:tcMar>
              <w:left w:w="0" w:type="dxa"/>
            </w:tcMar>
          </w:tcPr>
          <w:p w14:paraId="274028C2" w14:textId="77777777" w:rsidR="00313B2D" w:rsidRPr="00884D55" w:rsidRDefault="00313B2D" w:rsidP="00313B2D">
            <w:pPr>
              <w:pStyle w:val="Textpoznpodarou"/>
              <w:jc w:val="both"/>
              <w:rPr>
                <w:color w:val="0D0D0D" w:themeColor="text1" w:themeTint="F2"/>
                <w:spacing w:val="-4"/>
                <w:lang w:val="en-GB"/>
              </w:rPr>
            </w:pPr>
          </w:p>
        </w:tc>
        <w:tc>
          <w:tcPr>
            <w:tcW w:w="7770" w:type="dxa"/>
            <w:shd w:val="clear" w:color="auto" w:fill="auto"/>
            <w:tcMar>
              <w:left w:w="0" w:type="dxa"/>
            </w:tcMar>
          </w:tcPr>
          <w:p w14:paraId="63686E18" w14:textId="77777777" w:rsidR="00313B2D" w:rsidRPr="00884D55" w:rsidRDefault="00313B2D" w:rsidP="00313B2D">
            <w:pPr>
              <w:spacing w:after="200"/>
              <w:rPr>
                <w:rFonts w:eastAsia="MS Gothic" w:cs="Arial"/>
                <w:spacing w:val="-6"/>
                <w:szCs w:val="20"/>
                <w:lang w:val="en-GB"/>
              </w:rPr>
            </w:pPr>
            <w:r w:rsidRPr="00884D55">
              <w:rPr>
                <w:rFonts w:eastAsia="MS Gothic" w:cs="Arial"/>
                <w:spacing w:val="-6"/>
                <w:szCs w:val="20"/>
                <w:lang w:val="en-GB"/>
              </w:rPr>
              <w:t>The total growth of the average wage conceals traditionally very heterogeneous developments at the level of individual branches of businesses or organisations. The highest year-on-year growth was achieved by wages in the small branch of real estate activities (16.0%) in Q4 last year, which, together with the rapid growth in years 2022 and 2023, led to their current level (47.9 thousand CZK) coming significantly closer to the entire economy. Wages in professional, scientific and technical activities also grew dynamically (12.2%, by 6,836 CZK in absolute terms – the most of all branches) and, as in the previous branch, their pace accelerated last year and was accompanied by above-average employment growth as well. The continuing recovery of inbound tourism as well as the increase of the minimum wage threshold were reflected in a 10.3% increase of wages in accommodation, food service and restaurants (an above-average rate remained for the fourth year in a row). However, it still clearly represented the branch with the lowest level of wages (29.1 thousand CZK, a mere third compared to the branch – information and communication). The construction industry was also successful, with 9.9% wage growth also responding to the issue of chronic shortages, especially of skilled labour. This is also partially true for health and social work, where wages increased by 9.2%</w:t>
            </w:r>
            <w:r w:rsidRPr="00884D55">
              <w:rPr>
                <w:rStyle w:val="Znakapoznpodarou"/>
                <w:rFonts w:eastAsia="MS Gothic"/>
                <w:spacing w:val="-6"/>
                <w:szCs w:val="20"/>
                <w:lang w:val="en-GB"/>
              </w:rPr>
              <w:footnoteReference w:id="24"/>
            </w:r>
            <w:r w:rsidRPr="00884D55">
              <w:rPr>
                <w:rFonts w:eastAsia="MS Gothic" w:cs="Arial"/>
                <w:spacing w:val="-6"/>
                <w:szCs w:val="20"/>
                <w:lang w:val="en-GB"/>
              </w:rPr>
              <w:t xml:space="preserve"> and their level (54.9 thousand CZK) was the highest of all sectors with a significant role of the state in Q4. The wage growth accelerated to 8.1% amid stagnating employment in the most important branch of services – trade – in Q4. Transportation and storage had a similar both wage rate and level (45 thousand CZK) (however with a different development of the number of employees: −0.8%). Earnings grew relatively more slowly in branches with the highest wage level: financial activities (6.8%) and ICT (+7.3%) lagged behind the pace in the economy as a whole from the annual point of view. </w:t>
            </w:r>
          </w:p>
        </w:tc>
      </w:tr>
      <w:tr w:rsidR="00313B2D" w:rsidRPr="00884D55" w14:paraId="10F6DEEC" w14:textId="77777777" w:rsidTr="00F00320">
        <w:trPr>
          <w:trHeight w:val="132"/>
        </w:trPr>
        <w:tc>
          <w:tcPr>
            <w:tcW w:w="1814" w:type="dxa"/>
            <w:shd w:val="clear" w:color="auto" w:fill="auto"/>
            <w:tcMar>
              <w:left w:w="0" w:type="dxa"/>
            </w:tcMar>
          </w:tcPr>
          <w:p w14:paraId="1D52588D" w14:textId="77777777" w:rsidR="00313B2D" w:rsidRPr="00884D55" w:rsidRDefault="00313B2D" w:rsidP="00313B2D">
            <w:pPr>
              <w:pStyle w:val="Marginlie"/>
              <w:rPr>
                <w:color w:val="0D0D0D" w:themeColor="text1" w:themeTint="F2"/>
                <w:spacing w:val="0"/>
                <w:lang w:val="en-GB"/>
              </w:rPr>
            </w:pPr>
            <w:r w:rsidRPr="00884D55">
              <w:rPr>
                <w:color w:val="0D0D0D" w:themeColor="text1" w:themeTint="F2"/>
                <w:spacing w:val="0"/>
                <w:lang w:val="en-GB"/>
              </w:rPr>
              <w:t>Wage growth in the economy continued to be subdued by the need for budget savings in public services.</w:t>
            </w:r>
          </w:p>
          <w:p w14:paraId="7B1BC859" w14:textId="77777777" w:rsidR="00313B2D" w:rsidRPr="00884D55" w:rsidRDefault="00313B2D" w:rsidP="00313B2D">
            <w:pPr>
              <w:pStyle w:val="Marginlie"/>
              <w:rPr>
                <w:color w:val="0D0D0D" w:themeColor="text1" w:themeTint="F2"/>
                <w:spacing w:val="0"/>
                <w:lang w:val="en-GB"/>
              </w:rPr>
            </w:pPr>
          </w:p>
          <w:p w14:paraId="73E20832" w14:textId="77777777" w:rsidR="00313B2D" w:rsidRPr="00884D55" w:rsidRDefault="00313B2D" w:rsidP="00313B2D">
            <w:pPr>
              <w:pStyle w:val="Marginlie"/>
              <w:rPr>
                <w:color w:val="0D0D0D" w:themeColor="text1" w:themeTint="F2"/>
                <w:spacing w:val="0"/>
                <w:lang w:val="en-GB"/>
              </w:rPr>
            </w:pPr>
          </w:p>
          <w:p w14:paraId="41616EC2" w14:textId="77777777" w:rsidR="00313B2D" w:rsidRPr="00884D55" w:rsidRDefault="00313B2D" w:rsidP="00313B2D">
            <w:pPr>
              <w:pStyle w:val="Marginlie"/>
              <w:rPr>
                <w:color w:val="0D0D0D" w:themeColor="text1" w:themeTint="F2"/>
                <w:spacing w:val="0"/>
                <w:lang w:val="en-GB"/>
              </w:rPr>
            </w:pPr>
          </w:p>
          <w:p w14:paraId="51E2E769" w14:textId="77777777" w:rsidR="00313B2D" w:rsidRPr="00884D55" w:rsidRDefault="00313B2D" w:rsidP="00313B2D">
            <w:pPr>
              <w:pStyle w:val="Marginlie"/>
              <w:rPr>
                <w:color w:val="0D0D0D" w:themeColor="text1" w:themeTint="F2"/>
                <w:spacing w:val="0"/>
                <w:lang w:val="en-GB"/>
              </w:rPr>
            </w:pPr>
          </w:p>
          <w:p w14:paraId="08D4864F" w14:textId="77777777" w:rsidR="00313B2D" w:rsidRPr="00884D55" w:rsidRDefault="00313B2D" w:rsidP="00313B2D">
            <w:pPr>
              <w:pStyle w:val="Marginlie"/>
              <w:rPr>
                <w:color w:val="0D0D0D" w:themeColor="text1" w:themeTint="F2"/>
                <w:spacing w:val="-4"/>
                <w:lang w:val="en-GB"/>
              </w:rPr>
            </w:pPr>
            <w:r w:rsidRPr="00884D55">
              <w:rPr>
                <w:color w:val="0D0D0D" w:themeColor="text1" w:themeTint="F2"/>
                <w:spacing w:val="0"/>
                <w:lang w:val="en-GB"/>
              </w:rPr>
              <w:t xml:space="preserve">The sales difficulties of manufacturing were reflected in a below-average wage rate and a longer-term reduction of employment. </w:t>
            </w:r>
          </w:p>
        </w:tc>
        <w:tc>
          <w:tcPr>
            <w:tcW w:w="201" w:type="dxa"/>
            <w:shd w:val="clear" w:color="auto" w:fill="auto"/>
            <w:tcMar>
              <w:left w:w="0" w:type="dxa"/>
            </w:tcMar>
          </w:tcPr>
          <w:p w14:paraId="5C312C09" w14:textId="77777777" w:rsidR="00313B2D" w:rsidRPr="00884D55" w:rsidRDefault="00313B2D" w:rsidP="00313B2D">
            <w:pPr>
              <w:pStyle w:val="Textpoznpodarou"/>
              <w:jc w:val="both"/>
              <w:rPr>
                <w:color w:val="0D0D0D" w:themeColor="text1" w:themeTint="F2"/>
                <w:spacing w:val="-4"/>
                <w:lang w:val="en-GB"/>
              </w:rPr>
            </w:pPr>
          </w:p>
        </w:tc>
        <w:tc>
          <w:tcPr>
            <w:tcW w:w="7770" w:type="dxa"/>
            <w:shd w:val="clear" w:color="auto" w:fill="auto"/>
            <w:tcMar>
              <w:left w:w="0" w:type="dxa"/>
            </w:tcMar>
          </w:tcPr>
          <w:p w14:paraId="65733CF8" w14:textId="77777777" w:rsidR="00313B2D" w:rsidRPr="00884D55" w:rsidRDefault="00313B2D" w:rsidP="00313B2D">
            <w:pPr>
              <w:spacing w:after="200"/>
              <w:rPr>
                <w:color w:val="0D0D0D" w:themeColor="text1" w:themeTint="F2"/>
                <w:spacing w:val="-6"/>
                <w:lang w:val="en-GB"/>
              </w:rPr>
            </w:pPr>
            <w:r w:rsidRPr="00884D55">
              <w:rPr>
                <w:color w:val="0D0D0D" w:themeColor="text1" w:themeTint="F2"/>
                <w:spacing w:val="-6"/>
                <w:lang w:val="en-GB"/>
              </w:rPr>
              <w:t xml:space="preserve">The lowest wage growth continued in most branches with a significant role of the state. It was identically only 2.3%, year-on-year, in public administration, defence and social security, as well as in education in Q4 2024 and was the only major branch in which it lagged behind inflation. The current wage growth was average (7.2%) in cultural, entertainment and recreational activities, but the level of earnings (43.3 thousand CZK) lagged significantly behind the level of the economy and the government sector as a whole. Among the market branches, wages increased the least in mining and quarrying (1.2%), mainly due to a higher last year's basis (payment of higher bonuses). The same effect also occurred with wages in the energy sector (4.7%), nevertheless the absolute increase (+3,223 CZK per month) was similar to that of the economy as a whole here. Wages increased in both absolute and relative terms at below-average pace in agriculture, forestry and fishing (6.4%) and in manufacturing (7.0%). In both cases, they were accompanied by an almost 2% decrease of the number of employees. Of the larger industrial sectors, wages increased the most in manufacturing of electrical equipment (9.3%), the least in manufacturing of </w:t>
            </w:r>
            <w:r w:rsidRPr="00884D55">
              <w:rPr>
                <w:color w:val="0D0D0D" w:themeColor="text1" w:themeTint="F2"/>
                <w:spacing w:val="-6"/>
                <w:lang w:val="en-GB"/>
              </w:rPr>
              <w:lastRenderedPageBreak/>
              <w:t xml:space="preserve">motor vehicles (5.3%), where the average level of earnings was still relatively high (55.2 thousand CZK). </w:t>
            </w:r>
          </w:p>
        </w:tc>
      </w:tr>
      <w:tr w:rsidR="00313B2D" w:rsidRPr="00884D55" w14:paraId="52857B9E" w14:textId="77777777" w:rsidTr="00F00320">
        <w:trPr>
          <w:trHeight w:val="132"/>
        </w:trPr>
        <w:tc>
          <w:tcPr>
            <w:tcW w:w="1814" w:type="dxa"/>
            <w:shd w:val="clear" w:color="auto" w:fill="auto"/>
            <w:tcMar>
              <w:left w:w="0" w:type="dxa"/>
            </w:tcMar>
          </w:tcPr>
          <w:p w14:paraId="69D2BBA1" w14:textId="77777777" w:rsidR="00313B2D" w:rsidRPr="00884D55" w:rsidRDefault="00313B2D" w:rsidP="00313B2D">
            <w:pPr>
              <w:pStyle w:val="Marginlie"/>
              <w:rPr>
                <w:color w:val="0D0D0D" w:themeColor="text1" w:themeTint="F2"/>
                <w:spacing w:val="-4"/>
                <w:lang w:val="en-GB"/>
              </w:rPr>
            </w:pPr>
            <w:r w:rsidRPr="00884D55">
              <w:rPr>
                <w:color w:val="0D0D0D" w:themeColor="text1" w:themeTint="F2"/>
                <w:spacing w:val="-4"/>
                <w:lang w:val="en-GB"/>
              </w:rPr>
              <w:lastRenderedPageBreak/>
              <w:t xml:space="preserve">Among the regions, wages increased in Q4 and in the annual view the most in the </w:t>
            </w:r>
            <w:r w:rsidRPr="00884D55">
              <w:rPr>
                <w:i/>
                <w:iCs/>
                <w:color w:val="0D0D0D" w:themeColor="text1" w:themeTint="F2"/>
                <w:spacing w:val="-4"/>
                <w:lang w:val="en-GB"/>
              </w:rPr>
              <w:t>Pardubice</w:t>
            </w:r>
            <w:r w:rsidRPr="00884D55">
              <w:rPr>
                <w:color w:val="0D0D0D" w:themeColor="text1" w:themeTint="F2"/>
                <w:spacing w:val="-4"/>
                <w:lang w:val="en-GB"/>
              </w:rPr>
              <w:t xml:space="preserve"> region, the least in the </w:t>
            </w:r>
            <w:r w:rsidRPr="00884D55">
              <w:rPr>
                <w:i/>
                <w:iCs/>
                <w:color w:val="0D0D0D" w:themeColor="text1" w:themeTint="F2"/>
                <w:spacing w:val="-4"/>
                <w:lang w:val="en-GB"/>
              </w:rPr>
              <w:t>Karlovy Vary</w:t>
            </w:r>
            <w:r w:rsidRPr="00884D55">
              <w:rPr>
                <w:color w:val="0D0D0D" w:themeColor="text1" w:themeTint="F2"/>
                <w:spacing w:val="-4"/>
                <w:lang w:val="en-GB"/>
              </w:rPr>
              <w:t xml:space="preserve"> region.</w:t>
            </w:r>
          </w:p>
        </w:tc>
        <w:tc>
          <w:tcPr>
            <w:tcW w:w="201" w:type="dxa"/>
            <w:shd w:val="clear" w:color="auto" w:fill="auto"/>
            <w:tcMar>
              <w:left w:w="0" w:type="dxa"/>
            </w:tcMar>
          </w:tcPr>
          <w:p w14:paraId="5474FCA8" w14:textId="77777777" w:rsidR="00313B2D" w:rsidRPr="00884D55" w:rsidRDefault="00313B2D" w:rsidP="00313B2D">
            <w:pPr>
              <w:pStyle w:val="Textpoznpodarou"/>
              <w:jc w:val="both"/>
              <w:rPr>
                <w:color w:val="0D0D0D" w:themeColor="text1" w:themeTint="F2"/>
                <w:spacing w:val="-4"/>
                <w:lang w:val="en-GB"/>
              </w:rPr>
            </w:pPr>
          </w:p>
        </w:tc>
        <w:tc>
          <w:tcPr>
            <w:tcW w:w="7770" w:type="dxa"/>
            <w:shd w:val="clear" w:color="auto" w:fill="auto"/>
            <w:tcMar>
              <w:left w:w="0" w:type="dxa"/>
            </w:tcMar>
          </w:tcPr>
          <w:p w14:paraId="270DABD3" w14:textId="77777777" w:rsidR="00313B2D" w:rsidRPr="00884D55" w:rsidRDefault="00313B2D" w:rsidP="00313B2D">
            <w:pPr>
              <w:spacing w:after="200"/>
              <w:rPr>
                <w:color w:val="0D0D0D" w:themeColor="text1" w:themeTint="F2"/>
                <w:spacing w:val="-6"/>
                <w:lang w:val="en-GB"/>
              </w:rPr>
            </w:pPr>
            <w:r w:rsidRPr="00884D55">
              <w:rPr>
                <w:color w:val="0D0D0D" w:themeColor="text1" w:themeTint="F2"/>
                <w:spacing w:val="-6"/>
                <w:lang w:val="en-GB"/>
              </w:rPr>
              <w:t xml:space="preserve">Wage growth among regions ranged in Q4 from 9.0% in the </w:t>
            </w:r>
            <w:r w:rsidRPr="00884D55">
              <w:rPr>
                <w:i/>
                <w:iCs/>
                <w:color w:val="0D0D0D" w:themeColor="text1" w:themeTint="F2"/>
                <w:spacing w:val="-6"/>
                <w:lang w:val="en-GB"/>
              </w:rPr>
              <w:t>Pardubice</w:t>
            </w:r>
            <w:r w:rsidRPr="00884D55">
              <w:rPr>
                <w:color w:val="0D0D0D" w:themeColor="text1" w:themeTint="F2"/>
                <w:spacing w:val="-6"/>
                <w:lang w:val="en-GB"/>
              </w:rPr>
              <w:t xml:space="preserve"> region to 5.0% in the </w:t>
            </w:r>
            <w:r w:rsidRPr="00884D55">
              <w:rPr>
                <w:i/>
                <w:iCs/>
                <w:color w:val="0D0D0D" w:themeColor="text1" w:themeTint="F2"/>
                <w:spacing w:val="-6"/>
                <w:lang w:val="en-GB"/>
              </w:rPr>
              <w:t>Karlovy Vary</w:t>
            </w:r>
            <w:r w:rsidRPr="00884D55">
              <w:rPr>
                <w:color w:val="0D0D0D" w:themeColor="text1" w:themeTint="F2"/>
                <w:spacing w:val="-6"/>
                <w:lang w:val="en-GB"/>
              </w:rPr>
              <w:t xml:space="preserve"> region, where the lowest level of average monthly wages persisted (42.3 thousand CZK, only 71% of the level in Prague). The registered number of employees in most regions declined, year-on-year, the most in the </w:t>
            </w:r>
            <w:r w:rsidRPr="00884D55">
              <w:rPr>
                <w:i/>
                <w:iCs/>
                <w:color w:val="0D0D0D" w:themeColor="text1" w:themeTint="F2"/>
                <w:spacing w:val="-6"/>
                <w:lang w:val="en-GB"/>
              </w:rPr>
              <w:t>Moravian-Silesian</w:t>
            </w:r>
            <w:r w:rsidRPr="00884D55">
              <w:rPr>
                <w:color w:val="0D0D0D" w:themeColor="text1" w:themeTint="F2"/>
                <w:spacing w:val="-6"/>
                <w:lang w:val="en-GB"/>
              </w:rPr>
              <w:t xml:space="preserve"> region (−1.3%, due to the difficulties of heavy industry), it increased only in three regions, of which more markedly only in Prague (+2.2%). </w:t>
            </w:r>
          </w:p>
        </w:tc>
      </w:tr>
      <w:tr w:rsidR="00313B2D" w:rsidRPr="00884D55" w14:paraId="1C5FB94D" w14:textId="77777777" w:rsidTr="00F00320">
        <w:trPr>
          <w:trHeight w:val="132"/>
        </w:trPr>
        <w:tc>
          <w:tcPr>
            <w:tcW w:w="1814" w:type="dxa"/>
            <w:shd w:val="clear" w:color="auto" w:fill="auto"/>
            <w:tcMar>
              <w:left w:w="0" w:type="dxa"/>
            </w:tcMar>
          </w:tcPr>
          <w:p w14:paraId="65E43E8D" w14:textId="77777777" w:rsidR="00313B2D" w:rsidRPr="00884D55" w:rsidRDefault="00313B2D" w:rsidP="00313B2D">
            <w:pPr>
              <w:pStyle w:val="Marginlie"/>
              <w:rPr>
                <w:color w:val="0D0D0D" w:themeColor="text1" w:themeTint="F2"/>
                <w:spacing w:val="-4"/>
                <w:lang w:val="en-GB"/>
              </w:rPr>
            </w:pPr>
            <w:r w:rsidRPr="00884D55">
              <w:rPr>
                <w:color w:val="0D0D0D" w:themeColor="text1" w:themeTint="F2"/>
                <w:spacing w:val="-4"/>
                <w:lang w:val="en-GB"/>
              </w:rPr>
              <w:t xml:space="preserve">The median wage grew more slowly than the average wage throughout last year. Lower dynamics of median earnings were particularly evident among females. </w:t>
            </w:r>
          </w:p>
        </w:tc>
        <w:tc>
          <w:tcPr>
            <w:tcW w:w="201" w:type="dxa"/>
            <w:shd w:val="clear" w:color="auto" w:fill="auto"/>
            <w:tcMar>
              <w:left w:w="0" w:type="dxa"/>
            </w:tcMar>
          </w:tcPr>
          <w:p w14:paraId="0040A57B" w14:textId="77777777" w:rsidR="00313B2D" w:rsidRPr="00884D55" w:rsidRDefault="00313B2D" w:rsidP="00313B2D">
            <w:pPr>
              <w:pStyle w:val="Textpoznpodarou"/>
              <w:jc w:val="both"/>
              <w:rPr>
                <w:color w:val="0D0D0D" w:themeColor="text1" w:themeTint="F2"/>
                <w:spacing w:val="-4"/>
                <w:lang w:val="en-GB"/>
              </w:rPr>
            </w:pPr>
          </w:p>
        </w:tc>
        <w:tc>
          <w:tcPr>
            <w:tcW w:w="7770" w:type="dxa"/>
            <w:shd w:val="clear" w:color="auto" w:fill="auto"/>
            <w:tcMar>
              <w:left w:w="0" w:type="dxa"/>
            </w:tcMar>
          </w:tcPr>
          <w:p w14:paraId="4B1915A2" w14:textId="77777777" w:rsidR="00313B2D" w:rsidRPr="00884D55" w:rsidRDefault="00313B2D" w:rsidP="00313B2D">
            <w:pPr>
              <w:spacing w:after="140"/>
              <w:rPr>
                <w:color w:val="0D0D0D" w:themeColor="text1" w:themeTint="F2"/>
                <w:spacing w:val="-6"/>
                <w:lang w:val="en-GB"/>
              </w:rPr>
            </w:pPr>
            <w:r w:rsidRPr="00884D55">
              <w:rPr>
                <w:color w:val="0D0D0D" w:themeColor="text1" w:themeTint="F2"/>
                <w:spacing w:val="-6"/>
                <w:lang w:val="en-GB"/>
              </w:rPr>
              <w:t xml:space="preserve">The median wage increased by only 4.2% in Q4 (it grew more freely than the average wage then throughout last year). Weaker growth manifested among females (who often work in public services). The total median wage was 41.7 thousand CZK (+6.3%, year-on-year) according to preliminary data for the whole of 2024. Mainly middle earnings grew more slowly, while both high earnings in the 9th decile (by 7.7%), which increased to 77.1 thousand CZK, and low wages in the 1st decile (by 7.5%), which rose to 23.7 thousand CZK, increased more rapidly. Men's wages grew faster compared to women's wages, year-on-year, in the entire band. The median wage of females increased by 6.1% last year and its level (38.7 thousand CZK) lagged behind the level of males by 13.6% last year. From the point of view of occupational groups, the average wages increased the most for specialists (+10.5%) last year, while the pace did not differ much for other groups.  </w:t>
            </w:r>
          </w:p>
        </w:tc>
      </w:tr>
      <w:tr w:rsidR="00313B2D" w:rsidRPr="00884D55" w14:paraId="57728331" w14:textId="77777777" w:rsidTr="00F00320">
        <w:trPr>
          <w:trHeight w:val="475"/>
        </w:trPr>
        <w:tc>
          <w:tcPr>
            <w:tcW w:w="1814" w:type="dxa"/>
            <w:vMerge w:val="restart"/>
            <w:shd w:val="clear" w:color="auto" w:fill="auto"/>
            <w:tcMar>
              <w:left w:w="0" w:type="dxa"/>
            </w:tcMar>
          </w:tcPr>
          <w:p w14:paraId="1F5491D8" w14:textId="77777777" w:rsidR="00313B2D" w:rsidRPr="00884D55" w:rsidRDefault="00313B2D" w:rsidP="00313B2D">
            <w:pPr>
              <w:pStyle w:val="Marginlie"/>
              <w:rPr>
                <w:spacing w:val="-4"/>
                <w:lang w:val="en-GB"/>
              </w:rPr>
            </w:pPr>
          </w:p>
        </w:tc>
        <w:tc>
          <w:tcPr>
            <w:tcW w:w="201" w:type="dxa"/>
            <w:vMerge w:val="restart"/>
            <w:shd w:val="clear" w:color="auto" w:fill="auto"/>
            <w:tcMar>
              <w:left w:w="0" w:type="dxa"/>
            </w:tcMar>
          </w:tcPr>
          <w:p w14:paraId="0A6BE144" w14:textId="77777777" w:rsidR="00313B2D" w:rsidRPr="00884D55" w:rsidRDefault="00313B2D" w:rsidP="00313B2D">
            <w:pPr>
              <w:pStyle w:val="Textpoznpodarou"/>
              <w:jc w:val="both"/>
              <w:rPr>
                <w:spacing w:val="-4"/>
                <w:lang w:val="en-GB"/>
              </w:rPr>
            </w:pPr>
          </w:p>
        </w:tc>
        <w:tc>
          <w:tcPr>
            <w:tcW w:w="7770" w:type="dxa"/>
            <w:shd w:val="clear" w:color="auto" w:fill="auto"/>
            <w:tcMar>
              <w:left w:w="0" w:type="dxa"/>
            </w:tcMar>
          </w:tcPr>
          <w:p w14:paraId="67ADA05A" w14:textId="77777777" w:rsidR="00313B2D" w:rsidRPr="00884D55" w:rsidRDefault="00313B2D" w:rsidP="00313B2D">
            <w:pPr>
              <w:spacing w:after="0"/>
              <w:rPr>
                <w:b/>
                <w:spacing w:val="-2"/>
                <w:lang w:val="en-GB"/>
              </w:rPr>
            </w:pPr>
            <w:r w:rsidRPr="00884D55">
              <w:rPr>
                <w:rFonts w:cs="Arial"/>
                <w:b/>
                <w:color w:val="0D0D0D" w:themeColor="text1" w:themeTint="F2"/>
                <w:spacing w:val="-4"/>
                <w:szCs w:val="20"/>
                <w:lang w:val="en-GB"/>
              </w:rPr>
              <w:t xml:space="preserve">Chart 15 </w:t>
            </w:r>
            <w:r w:rsidRPr="00884D55">
              <w:rPr>
                <w:b/>
                <w:spacing w:val="-2"/>
                <w:lang w:val="en-GB"/>
              </w:rPr>
              <w:t xml:space="preserve">Average nominal and real wage and labour productivity </w:t>
            </w:r>
          </w:p>
          <w:p w14:paraId="0AED94CF" w14:textId="77777777" w:rsidR="00313B2D" w:rsidRPr="00884D55" w:rsidRDefault="00313B2D" w:rsidP="00313B2D">
            <w:pPr>
              <w:spacing w:after="0"/>
              <w:rPr>
                <w:rFonts w:cs="Arial"/>
                <w:b/>
                <w:color w:val="0D0D0D" w:themeColor="text1" w:themeTint="F2"/>
                <w:spacing w:val="-4"/>
                <w:szCs w:val="20"/>
                <w:lang w:val="en-GB"/>
              </w:rPr>
            </w:pPr>
            <w:r w:rsidRPr="00884D55">
              <w:rPr>
                <w:spacing w:val="-2"/>
                <w:lang w:val="en-GB"/>
              </w:rPr>
              <w:t xml:space="preserve">(individual half-years, year-on-year change in %) </w:t>
            </w:r>
          </w:p>
        </w:tc>
      </w:tr>
      <w:tr w:rsidR="00313B2D" w:rsidRPr="00884D55" w14:paraId="79BEE409" w14:textId="77777777" w:rsidTr="00F00320">
        <w:tblPrEx>
          <w:tblCellMar>
            <w:left w:w="70" w:type="dxa"/>
            <w:right w:w="70" w:type="dxa"/>
          </w:tblCellMar>
        </w:tblPrEx>
        <w:trPr>
          <w:trHeight w:val="1935"/>
        </w:trPr>
        <w:tc>
          <w:tcPr>
            <w:tcW w:w="1814" w:type="dxa"/>
            <w:vMerge/>
          </w:tcPr>
          <w:p w14:paraId="5F1FDF44" w14:textId="77777777" w:rsidR="00313B2D" w:rsidRPr="00884D55" w:rsidRDefault="00313B2D" w:rsidP="00313B2D">
            <w:pPr>
              <w:pStyle w:val="Marginlie"/>
              <w:rPr>
                <w:spacing w:val="-4"/>
                <w:lang w:val="en-GB"/>
              </w:rPr>
            </w:pPr>
          </w:p>
        </w:tc>
        <w:tc>
          <w:tcPr>
            <w:tcW w:w="201" w:type="dxa"/>
            <w:vMerge/>
          </w:tcPr>
          <w:p w14:paraId="64C52631" w14:textId="77777777" w:rsidR="00313B2D" w:rsidRPr="00884D55" w:rsidRDefault="00313B2D" w:rsidP="00313B2D">
            <w:pPr>
              <w:pStyle w:val="Textpoznpodarou"/>
              <w:jc w:val="both"/>
              <w:rPr>
                <w:spacing w:val="-4"/>
                <w:lang w:val="en-GB"/>
              </w:rPr>
            </w:pPr>
          </w:p>
        </w:tc>
        <w:tc>
          <w:tcPr>
            <w:tcW w:w="7770" w:type="dxa"/>
            <w:shd w:val="clear" w:color="auto" w:fill="auto"/>
          </w:tcPr>
          <w:p w14:paraId="7A57149E" w14:textId="6AFC70DD" w:rsidR="00313B2D" w:rsidRPr="00884D55" w:rsidRDefault="00F00320" w:rsidP="00313B2D">
            <w:pPr>
              <w:spacing w:after="0"/>
              <w:rPr>
                <w:rFonts w:cs="Arial"/>
                <w:b/>
                <w:color w:val="0D0D0D" w:themeColor="text1" w:themeTint="F2"/>
                <w:spacing w:val="-4"/>
                <w:szCs w:val="20"/>
                <w:lang w:val="en-GB"/>
              </w:rPr>
            </w:pPr>
            <w:r>
              <w:rPr>
                <w:noProof/>
              </w:rPr>
              <w:drawing>
                <wp:inline distT="0" distB="0" distL="0" distR="0" wp14:anchorId="7182C9FD" wp14:editId="418BEAEB">
                  <wp:extent cx="4927179" cy="3475518"/>
                  <wp:effectExtent l="0" t="0" r="6985" b="0"/>
                  <wp:docPr id="832764856" name="Graf 1">
                    <a:extLst xmlns:a="http://schemas.openxmlformats.org/drawingml/2006/main">
                      <a:ext uri="{FF2B5EF4-FFF2-40B4-BE49-F238E27FC236}">
                        <a16:creationId xmlns:a16="http://schemas.microsoft.com/office/drawing/2014/main" id="{00000000-0008-0000-02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313B2D" w:rsidRPr="00884D55" w14:paraId="4D34F76D" w14:textId="77777777" w:rsidTr="00F00320">
        <w:trPr>
          <w:trHeight w:val="475"/>
        </w:trPr>
        <w:tc>
          <w:tcPr>
            <w:tcW w:w="1814" w:type="dxa"/>
            <w:vMerge/>
            <w:tcMar>
              <w:left w:w="0" w:type="dxa"/>
            </w:tcMar>
          </w:tcPr>
          <w:p w14:paraId="2B3F2A2D" w14:textId="77777777" w:rsidR="00313B2D" w:rsidRPr="00884D55" w:rsidRDefault="00313B2D" w:rsidP="00313B2D">
            <w:pPr>
              <w:pStyle w:val="Marginlie"/>
              <w:rPr>
                <w:spacing w:val="-4"/>
                <w:lang w:val="en-GB"/>
              </w:rPr>
            </w:pPr>
          </w:p>
        </w:tc>
        <w:tc>
          <w:tcPr>
            <w:tcW w:w="201" w:type="dxa"/>
            <w:vMerge/>
            <w:tcMar>
              <w:left w:w="0" w:type="dxa"/>
            </w:tcMar>
          </w:tcPr>
          <w:p w14:paraId="3141D265" w14:textId="77777777" w:rsidR="00313B2D" w:rsidRPr="00884D55" w:rsidRDefault="00313B2D" w:rsidP="00313B2D">
            <w:pPr>
              <w:pStyle w:val="Textpoznpodarou"/>
              <w:jc w:val="both"/>
              <w:rPr>
                <w:spacing w:val="-4"/>
                <w:lang w:val="en-GB"/>
              </w:rPr>
            </w:pPr>
          </w:p>
        </w:tc>
        <w:tc>
          <w:tcPr>
            <w:tcW w:w="7770" w:type="dxa"/>
            <w:shd w:val="clear" w:color="auto" w:fill="auto"/>
            <w:tcMar>
              <w:left w:w="0" w:type="dxa"/>
            </w:tcMar>
          </w:tcPr>
          <w:p w14:paraId="4531428F" w14:textId="77777777" w:rsidR="00313B2D" w:rsidRPr="00884D55" w:rsidRDefault="00313B2D" w:rsidP="00313B2D">
            <w:pPr>
              <w:spacing w:after="0" w:line="240" w:lineRule="auto"/>
              <w:rPr>
                <w:rFonts w:cs="Arial"/>
                <w:color w:val="0D0D0D" w:themeColor="text1" w:themeTint="F2"/>
                <w:spacing w:val="-4"/>
                <w:sz w:val="14"/>
                <w:szCs w:val="14"/>
                <w:lang w:val="en-GB"/>
              </w:rPr>
            </w:pPr>
            <w:r w:rsidRPr="00884D55">
              <w:rPr>
                <w:rFonts w:cs="Arial"/>
                <w:color w:val="0D0D0D" w:themeColor="text1" w:themeTint="F2"/>
                <w:spacing w:val="-4"/>
                <w:sz w:val="14"/>
                <w:szCs w:val="14"/>
                <w:lang w:val="en-GB"/>
              </w:rPr>
              <w:t>*</w:t>
            </w:r>
            <w:r w:rsidRPr="00884D55">
              <w:rPr>
                <w:rFonts w:cs="Arial"/>
                <w:spacing w:val="-3"/>
                <w:sz w:val="14"/>
                <w:szCs w:val="14"/>
                <w:lang w:val="en-GB"/>
              </w:rPr>
              <w:t>Includes branches with a significant state involvement: Public administration, defence, social security; Education; Human health and social work activities; Cultural, amusement and recreational activities.</w:t>
            </w:r>
          </w:p>
          <w:p w14:paraId="0DD347F0" w14:textId="77777777" w:rsidR="00313B2D" w:rsidRPr="00884D55" w:rsidRDefault="00313B2D" w:rsidP="00313B2D">
            <w:pPr>
              <w:spacing w:after="0" w:line="240" w:lineRule="auto"/>
              <w:rPr>
                <w:rFonts w:cs="Arial"/>
                <w:color w:val="0D0D0D" w:themeColor="text1" w:themeTint="F2"/>
                <w:spacing w:val="-4"/>
                <w:sz w:val="14"/>
                <w:szCs w:val="14"/>
                <w:lang w:val="en-GB"/>
              </w:rPr>
            </w:pPr>
            <w:r w:rsidRPr="00884D55">
              <w:rPr>
                <w:rFonts w:cs="Arial"/>
                <w:color w:val="0D0D0D" w:themeColor="text1" w:themeTint="F2"/>
                <w:spacing w:val="-4"/>
                <w:sz w:val="14"/>
                <w:szCs w:val="14"/>
                <w:lang w:val="en-GB"/>
              </w:rPr>
              <w:t>**Expresses GDP (in constant prices) related to 1 worker (in natural persons).</w:t>
            </w:r>
          </w:p>
          <w:p w14:paraId="7D7B6972" w14:textId="77777777" w:rsidR="00313B2D" w:rsidRPr="00884D55" w:rsidRDefault="00313B2D" w:rsidP="00313B2D">
            <w:pPr>
              <w:spacing w:after="0" w:line="240" w:lineRule="auto"/>
              <w:rPr>
                <w:rFonts w:cs="Arial"/>
                <w:color w:val="0D0D0D" w:themeColor="text1" w:themeTint="F2"/>
                <w:spacing w:val="-4"/>
                <w:sz w:val="14"/>
                <w:szCs w:val="14"/>
                <w:lang w:val="en-GB"/>
              </w:rPr>
            </w:pPr>
            <w:r w:rsidRPr="00884D55">
              <w:rPr>
                <w:rFonts w:cs="Arial"/>
                <w:color w:val="0D0D0D" w:themeColor="text1" w:themeTint="F2"/>
                <w:spacing w:val="-4"/>
                <w:sz w:val="14"/>
                <w:szCs w:val="14"/>
                <w:lang w:val="en-GB"/>
              </w:rPr>
              <w:t xml:space="preserve"> Source: CZSO</w:t>
            </w:r>
          </w:p>
          <w:p w14:paraId="682C0C78" w14:textId="77777777" w:rsidR="00313B2D" w:rsidRPr="00884D55" w:rsidRDefault="00313B2D" w:rsidP="00313B2D">
            <w:pPr>
              <w:spacing w:after="0"/>
              <w:rPr>
                <w:rFonts w:cs="Arial"/>
                <w:b/>
                <w:color w:val="0D0D0D" w:themeColor="text1" w:themeTint="F2"/>
                <w:spacing w:val="-4"/>
                <w:sz w:val="16"/>
                <w:szCs w:val="16"/>
                <w:lang w:val="en-GB"/>
              </w:rPr>
            </w:pPr>
          </w:p>
          <w:p w14:paraId="7CE736F9" w14:textId="77777777" w:rsidR="00313B2D" w:rsidRPr="00884D55" w:rsidRDefault="00313B2D" w:rsidP="00313B2D">
            <w:pPr>
              <w:spacing w:after="0"/>
              <w:rPr>
                <w:rFonts w:cs="Arial"/>
                <w:b/>
                <w:color w:val="0D0D0D" w:themeColor="text1" w:themeTint="F2"/>
                <w:spacing w:val="-4"/>
                <w:sz w:val="16"/>
                <w:szCs w:val="16"/>
                <w:lang w:val="en-GB"/>
              </w:rPr>
            </w:pPr>
          </w:p>
        </w:tc>
      </w:tr>
    </w:tbl>
    <w:p w14:paraId="0404EBF0" w14:textId="5580065E" w:rsidR="00803507" w:rsidRPr="00884D55" w:rsidRDefault="00803507" w:rsidP="00803507">
      <w:pPr>
        <w:spacing w:after="0" w:line="240" w:lineRule="auto"/>
        <w:jc w:val="left"/>
        <w:rPr>
          <w:rFonts w:eastAsia="MS Gothic"/>
          <w:b/>
          <w:bCs/>
          <w:color w:val="86BF5E"/>
          <w:sz w:val="6"/>
          <w:szCs w:val="6"/>
          <w:lang w:val="en-GB"/>
        </w:rPr>
      </w:pPr>
      <w:bookmarkStart w:id="2" w:name="_GoBack"/>
      <w:bookmarkEnd w:id="2"/>
    </w:p>
    <w:bookmarkEnd w:id="0"/>
    <w:sectPr w:rsidR="00803507" w:rsidRPr="00884D55" w:rsidSect="00E96C2A">
      <w:headerReference w:type="even" r:id="rId14"/>
      <w:headerReference w:type="default" r:id="rId15"/>
      <w:footerReference w:type="even" r:id="rId16"/>
      <w:footerReference w:type="default" r:id="rId17"/>
      <w:pgSz w:w="11906" w:h="16838" w:code="9"/>
      <w:pgMar w:top="1134" w:right="1134" w:bottom="1418" w:left="1134" w:header="680" w:footer="680" w:gutter="0"/>
      <w:pgNumType w:start="3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EB545" w14:textId="77777777" w:rsidR="006145FA" w:rsidRDefault="006145FA" w:rsidP="00E71A58">
      <w:r>
        <w:separator/>
      </w:r>
    </w:p>
  </w:endnote>
  <w:endnote w:type="continuationSeparator" w:id="0">
    <w:p w14:paraId="3C0B90D9" w14:textId="77777777" w:rsidR="006145FA" w:rsidRDefault="006145FA" w:rsidP="00E71A58">
      <w:r>
        <w:continuationSeparator/>
      </w:r>
    </w:p>
  </w:endnote>
  <w:endnote w:type="continuationNotice" w:id="1">
    <w:p w14:paraId="1EBDFB32" w14:textId="77777777" w:rsidR="006145FA" w:rsidRDefault="006145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19A16498" w:rsidR="006145FA" w:rsidRPr="00932443" w:rsidRDefault="006145FA"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E96C2A">
      <w:rPr>
        <w:szCs w:val="16"/>
      </w:rPr>
      <w:t>44</w:t>
    </w:r>
    <w:r w:rsidRPr="00932443">
      <w:rPr>
        <w:szCs w:val="16"/>
      </w:rPr>
      <w:fldChar w:fldCharType="end"/>
    </w:r>
    <w:r w:rsidRPr="00932443">
      <w:rPr>
        <w:szCs w:val="16"/>
      </w:rPr>
      <w:tab/>
    </w:r>
    <w:r>
      <w:rPr>
        <w:szCs w:val="16"/>
      </w:rPr>
      <w:t>Year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1E72EBAC" w:rsidR="006145FA" w:rsidRPr="00932443" w:rsidRDefault="006145FA"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Year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E96C2A">
      <w:rPr>
        <w:rStyle w:val="ZpatChar"/>
        <w:szCs w:val="16"/>
      </w:rPr>
      <w:t>43</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C6EFC" w14:textId="77777777" w:rsidR="006145FA" w:rsidRDefault="006145FA" w:rsidP="00EA4302">
      <w:pPr>
        <w:spacing w:after="0"/>
      </w:pPr>
      <w:r>
        <w:separator/>
      </w:r>
    </w:p>
  </w:footnote>
  <w:footnote w:type="continuationSeparator" w:id="0">
    <w:p w14:paraId="1A4436FD" w14:textId="77777777" w:rsidR="006145FA" w:rsidRDefault="006145FA" w:rsidP="00E71A58">
      <w:r>
        <w:continuationSeparator/>
      </w:r>
    </w:p>
  </w:footnote>
  <w:footnote w:type="continuationNotice" w:id="1">
    <w:p w14:paraId="4F32D3FB" w14:textId="77777777" w:rsidR="006145FA" w:rsidRDefault="006145FA">
      <w:pPr>
        <w:spacing w:after="0" w:line="240" w:lineRule="auto"/>
      </w:pPr>
    </w:p>
  </w:footnote>
  <w:footnote w:id="2">
    <w:p w14:paraId="62179B5D" w14:textId="5DF8E5D8" w:rsidR="006145FA" w:rsidRPr="00F5145E" w:rsidRDefault="006145FA" w:rsidP="00803507">
      <w:pPr>
        <w:pStyle w:val="Textpoznpodarou"/>
        <w:jc w:val="both"/>
        <w:rPr>
          <w:color w:val="0D0D0D" w:themeColor="text1" w:themeTint="F2"/>
          <w:spacing w:val="-2"/>
          <w:sz w:val="16"/>
          <w:szCs w:val="16"/>
          <w:lang w:val="en-GB"/>
        </w:rPr>
      </w:pPr>
      <w:r w:rsidRPr="00F72E52">
        <w:rPr>
          <w:rStyle w:val="Znakapoznpodarou"/>
          <w:color w:val="0D0D0D" w:themeColor="text1" w:themeTint="F2"/>
          <w:spacing w:val="-2"/>
          <w:sz w:val="16"/>
          <w:szCs w:val="16"/>
        </w:rPr>
        <w:footnoteRef/>
      </w:r>
      <w:r w:rsidRPr="00F72E52">
        <w:rPr>
          <w:color w:val="0D0D0D" w:themeColor="text1" w:themeTint="F2"/>
          <w:spacing w:val="-2"/>
          <w:sz w:val="16"/>
          <w:szCs w:val="16"/>
        </w:rPr>
        <w:t xml:space="preserve"> </w:t>
      </w:r>
      <w:r w:rsidRPr="009E74B3">
        <w:rPr>
          <w:sz w:val="16"/>
          <w:szCs w:val="16"/>
          <w:lang w:val="en-GB"/>
        </w:rPr>
        <w:t>Data regarding employment stem from the national accounts’ conception. They are expressed in physical persons and adjusted for seasonal effects</w:t>
      </w:r>
      <w:r w:rsidRPr="009E74B3">
        <w:rPr>
          <w:spacing w:val="-6"/>
          <w:sz w:val="16"/>
          <w:szCs w:val="16"/>
          <w:lang w:val="en-GB"/>
        </w:rPr>
        <w:t>.</w:t>
      </w:r>
      <w:r>
        <w:rPr>
          <w:spacing w:val="-6"/>
          <w:sz w:val="16"/>
          <w:szCs w:val="16"/>
          <w:lang w:val="en-GB"/>
        </w:rPr>
        <w:t xml:space="preserve"> Unlike the data from the business statistics or the labour force sample survey </w:t>
      </w:r>
      <w:r w:rsidRPr="001D1C56">
        <w:rPr>
          <w:sz w:val="16"/>
          <w:szCs w:val="16"/>
          <w:lang w:val="en-GB"/>
        </w:rPr>
        <w:t>(</w:t>
      </w:r>
      <w:r>
        <w:rPr>
          <w:sz w:val="16"/>
          <w:szCs w:val="16"/>
          <w:lang w:val="en-GB"/>
        </w:rPr>
        <w:t>LFSS</w:t>
      </w:r>
      <w:r w:rsidRPr="001D1C56">
        <w:rPr>
          <w:sz w:val="16"/>
          <w:szCs w:val="16"/>
          <w:lang w:val="en-GB"/>
        </w:rPr>
        <w:t>)</w:t>
      </w:r>
      <w:r>
        <w:rPr>
          <w:sz w:val="16"/>
          <w:szCs w:val="16"/>
          <w:lang w:val="en-GB"/>
        </w:rPr>
        <w:t xml:space="preserve"> also include for instance the estima</w:t>
      </w:r>
      <w:r w:rsidR="00BF2AAA">
        <w:rPr>
          <w:sz w:val="16"/>
          <w:szCs w:val="16"/>
          <w:lang w:val="en-GB"/>
        </w:rPr>
        <w:t>tion of the grey economy impact.</w:t>
      </w:r>
    </w:p>
  </w:footnote>
  <w:footnote w:id="3">
    <w:p w14:paraId="3EB02297" w14:textId="1FC44668" w:rsidR="006145FA" w:rsidRPr="00F5145E" w:rsidRDefault="006145FA" w:rsidP="00803507">
      <w:pPr>
        <w:pStyle w:val="Textpoznpodarou"/>
        <w:jc w:val="both"/>
        <w:rPr>
          <w:spacing w:val="-3"/>
          <w:sz w:val="16"/>
          <w:szCs w:val="16"/>
          <w:lang w:val="en-GB"/>
        </w:rPr>
      </w:pPr>
      <w:r w:rsidRPr="00F5145E">
        <w:rPr>
          <w:rStyle w:val="Znakapoznpodarou"/>
          <w:spacing w:val="-3"/>
          <w:sz w:val="16"/>
          <w:szCs w:val="16"/>
          <w:lang w:val="en-GB"/>
        </w:rPr>
        <w:footnoteRef/>
      </w:r>
      <w:r w:rsidRPr="00F5145E">
        <w:rPr>
          <w:spacing w:val="-3"/>
          <w:sz w:val="16"/>
          <w:szCs w:val="16"/>
          <w:lang w:val="en-GB"/>
        </w:rPr>
        <w:t xml:space="preserve"> </w:t>
      </w:r>
      <w:r w:rsidRPr="00D16617">
        <w:rPr>
          <w:spacing w:val="-3"/>
          <w:sz w:val="16"/>
          <w:szCs w:val="16"/>
        </w:rPr>
        <w:t xml:space="preserve">This has been true continuously since 2016, with relatively slower growth </w:t>
      </w:r>
      <w:r>
        <w:rPr>
          <w:spacing w:val="-3"/>
          <w:sz w:val="16"/>
          <w:szCs w:val="16"/>
        </w:rPr>
        <w:t>of</w:t>
      </w:r>
      <w:r w:rsidRPr="00D16617">
        <w:rPr>
          <w:spacing w:val="-3"/>
          <w:sz w:val="16"/>
          <w:szCs w:val="16"/>
        </w:rPr>
        <w:t xml:space="preserve"> employment in the Czech Republic in the category of employees. </w:t>
      </w:r>
      <w:r>
        <w:rPr>
          <w:spacing w:val="-3"/>
          <w:sz w:val="16"/>
          <w:szCs w:val="16"/>
        </w:rPr>
        <w:t>T</w:t>
      </w:r>
      <w:r w:rsidRPr="00D16617">
        <w:rPr>
          <w:spacing w:val="-3"/>
          <w:sz w:val="16"/>
          <w:szCs w:val="16"/>
        </w:rPr>
        <w:t>he number of all workers in the EU increased by 0.8%</w:t>
      </w:r>
      <w:r>
        <w:rPr>
          <w:spacing w:val="-3"/>
          <w:sz w:val="16"/>
          <w:szCs w:val="16"/>
        </w:rPr>
        <w:t>,</w:t>
      </w:r>
      <w:r w:rsidRPr="00D16617">
        <w:rPr>
          <w:spacing w:val="-3"/>
          <w:sz w:val="16"/>
          <w:szCs w:val="16"/>
        </w:rPr>
        <w:t xml:space="preserve"> year-on-year</w:t>
      </w:r>
      <w:r>
        <w:rPr>
          <w:spacing w:val="-3"/>
          <w:sz w:val="16"/>
          <w:szCs w:val="16"/>
        </w:rPr>
        <w:t>, last year</w:t>
      </w:r>
      <w:r w:rsidRPr="00D16617">
        <w:rPr>
          <w:spacing w:val="-3"/>
          <w:sz w:val="16"/>
          <w:szCs w:val="16"/>
        </w:rPr>
        <w:t xml:space="preserve"> (the l</w:t>
      </w:r>
      <w:r>
        <w:rPr>
          <w:spacing w:val="-3"/>
          <w:sz w:val="16"/>
          <w:szCs w:val="16"/>
        </w:rPr>
        <w:t xml:space="preserve">east </w:t>
      </w:r>
      <w:r w:rsidRPr="00D16617">
        <w:rPr>
          <w:spacing w:val="-3"/>
          <w:sz w:val="16"/>
          <w:szCs w:val="16"/>
        </w:rPr>
        <w:t xml:space="preserve">in the last four years). </w:t>
      </w:r>
      <w:r>
        <w:rPr>
          <w:spacing w:val="-3"/>
          <w:sz w:val="16"/>
          <w:szCs w:val="16"/>
        </w:rPr>
        <w:t xml:space="preserve">The </w:t>
      </w:r>
      <w:r w:rsidRPr="00D16617">
        <w:rPr>
          <w:spacing w:val="-3"/>
          <w:sz w:val="16"/>
          <w:szCs w:val="16"/>
        </w:rPr>
        <w:t xml:space="preserve">employment growth was also centred </w:t>
      </w:r>
      <w:r>
        <w:rPr>
          <w:spacing w:val="-3"/>
          <w:sz w:val="16"/>
          <w:szCs w:val="16"/>
        </w:rPr>
        <w:t>in</w:t>
      </w:r>
      <w:r w:rsidRPr="00D16617">
        <w:rPr>
          <w:spacing w:val="-3"/>
          <w:sz w:val="16"/>
          <w:szCs w:val="16"/>
        </w:rPr>
        <w:t xml:space="preserve"> the tertiary </w:t>
      </w:r>
      <w:r>
        <w:rPr>
          <w:spacing w:val="-3"/>
          <w:sz w:val="16"/>
          <w:szCs w:val="16"/>
        </w:rPr>
        <w:t>sphere in the Union</w:t>
      </w:r>
      <w:r w:rsidRPr="00D16617">
        <w:rPr>
          <w:spacing w:val="-3"/>
          <w:sz w:val="16"/>
          <w:szCs w:val="16"/>
        </w:rPr>
        <w:t xml:space="preserve">, with the largest increases in information and communication (+2.2%) and public services (+1.7%). On the other hand, agriculture, forestry and fishing in particular continued to lose </w:t>
      </w:r>
      <w:r>
        <w:rPr>
          <w:spacing w:val="-3"/>
          <w:sz w:val="16"/>
          <w:szCs w:val="16"/>
        </w:rPr>
        <w:t xml:space="preserve">positions </w:t>
      </w:r>
      <w:r w:rsidRPr="00D16617">
        <w:rPr>
          <w:spacing w:val="-3"/>
          <w:sz w:val="16"/>
          <w:szCs w:val="16"/>
        </w:rPr>
        <w:t>(−3.2%) and employment in manufacturing stagnated last year (as in 2023). Of the individual countrie</w:t>
      </w:r>
      <w:r w:rsidR="00BF2AAA">
        <w:rPr>
          <w:spacing w:val="-3"/>
          <w:sz w:val="16"/>
          <w:szCs w:val="16"/>
        </w:rPr>
        <w:t>s, the total number of workers</w:t>
      </w:r>
      <w:r w:rsidRPr="00D16617">
        <w:rPr>
          <w:spacing w:val="-3"/>
          <w:sz w:val="16"/>
          <w:szCs w:val="16"/>
        </w:rPr>
        <w:t xml:space="preserve"> increased </w:t>
      </w:r>
      <w:r w:rsidR="00BF2AAA">
        <w:rPr>
          <w:spacing w:val="-3"/>
          <w:sz w:val="16"/>
          <w:szCs w:val="16"/>
        </w:rPr>
        <w:t xml:space="preserve">in 2024 </w:t>
      </w:r>
      <w:r w:rsidRPr="00D16617">
        <w:rPr>
          <w:spacing w:val="-3"/>
          <w:sz w:val="16"/>
          <w:szCs w:val="16"/>
        </w:rPr>
        <w:t xml:space="preserve">the most in Croatia (+6.1%) </w:t>
      </w:r>
      <w:r>
        <w:rPr>
          <w:spacing w:val="-3"/>
          <w:sz w:val="16"/>
          <w:szCs w:val="16"/>
        </w:rPr>
        <w:t xml:space="preserve">or </w:t>
      </w:r>
      <w:r w:rsidRPr="00D16617">
        <w:rPr>
          <w:spacing w:val="-3"/>
          <w:sz w:val="16"/>
          <w:szCs w:val="16"/>
        </w:rPr>
        <w:t>Ireland (+2.7%), and among the major economies mainly in Spain (+2.2%) and Italy (</w:t>
      </w:r>
      <w:r w:rsidR="00500E92">
        <w:rPr>
          <w:spacing w:val="-3"/>
          <w:sz w:val="16"/>
          <w:szCs w:val="16"/>
        </w:rPr>
        <w:t>+1.6%). On contrary, the total employment</w:t>
      </w:r>
      <w:r w:rsidRPr="00D16617">
        <w:rPr>
          <w:spacing w:val="-3"/>
          <w:sz w:val="16"/>
          <w:szCs w:val="16"/>
        </w:rPr>
        <w:t xml:space="preserve"> decreased only in five mostly smaller countries – especially in Latvia (−0.9%) and Finland (−0.6%), but also in Poland (−0.7%) and Slovakia (−0.2%), in most cases mainly due to unfavourable developments in industry. Even very modest </w:t>
      </w:r>
      <w:r>
        <w:rPr>
          <w:spacing w:val="-3"/>
          <w:sz w:val="16"/>
          <w:szCs w:val="16"/>
        </w:rPr>
        <w:t xml:space="preserve">total </w:t>
      </w:r>
      <w:r w:rsidR="00500E92">
        <w:rPr>
          <w:spacing w:val="-3"/>
          <w:sz w:val="16"/>
          <w:szCs w:val="16"/>
        </w:rPr>
        <w:t xml:space="preserve">employment </w:t>
      </w:r>
      <w:r w:rsidRPr="00D16617">
        <w:rPr>
          <w:spacing w:val="-3"/>
          <w:sz w:val="16"/>
          <w:szCs w:val="16"/>
        </w:rPr>
        <w:t xml:space="preserve">growth in the Czech Republic meant the highest pace in the Central European region. </w:t>
      </w:r>
      <w:r>
        <w:rPr>
          <w:spacing w:val="-3"/>
          <w:sz w:val="16"/>
          <w:szCs w:val="16"/>
        </w:rPr>
        <w:t>T</w:t>
      </w:r>
      <w:r w:rsidR="00500E92">
        <w:rPr>
          <w:spacing w:val="-3"/>
          <w:sz w:val="16"/>
          <w:szCs w:val="16"/>
        </w:rPr>
        <w:t>he total number of workers increased slightly</w:t>
      </w:r>
      <w:r>
        <w:rPr>
          <w:spacing w:val="-3"/>
          <w:sz w:val="16"/>
          <w:szCs w:val="16"/>
        </w:rPr>
        <w:t xml:space="preserve"> in Germany </w:t>
      </w:r>
      <w:r w:rsidRPr="00D16617">
        <w:rPr>
          <w:spacing w:val="-3"/>
          <w:sz w:val="16"/>
          <w:szCs w:val="16"/>
        </w:rPr>
        <w:t xml:space="preserve">(+0.2%), </w:t>
      </w:r>
      <w:r>
        <w:rPr>
          <w:spacing w:val="-3"/>
          <w:sz w:val="16"/>
          <w:szCs w:val="16"/>
        </w:rPr>
        <w:t xml:space="preserve">nevertheless it fell by 1% </w:t>
      </w:r>
      <w:r w:rsidRPr="00D16617">
        <w:rPr>
          <w:spacing w:val="-3"/>
          <w:sz w:val="16"/>
          <w:szCs w:val="16"/>
        </w:rPr>
        <w:t>in manufacturing alone</w:t>
      </w:r>
      <w:r>
        <w:rPr>
          <w:spacing w:val="-3"/>
          <w:sz w:val="16"/>
          <w:szCs w:val="16"/>
        </w:rPr>
        <w:t xml:space="preserve">. </w:t>
      </w:r>
    </w:p>
  </w:footnote>
  <w:footnote w:id="4">
    <w:p w14:paraId="062BD29A" w14:textId="21D9870A" w:rsidR="006145FA" w:rsidRPr="00F5145E" w:rsidRDefault="006145FA" w:rsidP="00803507">
      <w:pPr>
        <w:pStyle w:val="Textpoznpodarou"/>
        <w:jc w:val="both"/>
        <w:rPr>
          <w:lang w:val="en-GB"/>
        </w:rPr>
      </w:pPr>
      <w:r w:rsidRPr="00F5145E">
        <w:rPr>
          <w:rStyle w:val="Znakapoznpodarou"/>
          <w:sz w:val="16"/>
          <w:szCs w:val="16"/>
          <w:lang w:val="en-GB"/>
        </w:rPr>
        <w:footnoteRef/>
      </w:r>
      <w:r w:rsidRPr="00F5145E">
        <w:rPr>
          <w:sz w:val="16"/>
          <w:szCs w:val="16"/>
          <w:lang w:val="en-GB"/>
        </w:rPr>
        <w:t xml:space="preserve"> </w:t>
      </w:r>
      <w:r w:rsidR="00500E92">
        <w:rPr>
          <w:sz w:val="16"/>
          <w:szCs w:val="16"/>
          <w:lang w:val="en-GB"/>
        </w:rPr>
        <w:t>Include branch P</w:t>
      </w:r>
      <w:r w:rsidRPr="00B92200">
        <w:rPr>
          <w:sz w:val="16"/>
          <w:szCs w:val="16"/>
          <w:lang w:val="en-GB"/>
        </w:rPr>
        <w:t>ublic administr</w:t>
      </w:r>
      <w:r w:rsidR="00500E92">
        <w:rPr>
          <w:sz w:val="16"/>
          <w:szCs w:val="16"/>
          <w:lang w:val="en-GB"/>
        </w:rPr>
        <w:t>ation, Education, H</w:t>
      </w:r>
      <w:r w:rsidRPr="00B92200">
        <w:rPr>
          <w:sz w:val="16"/>
          <w:szCs w:val="16"/>
          <w:lang w:val="en-GB"/>
        </w:rPr>
        <w:t>ealth and social work</w:t>
      </w:r>
      <w:r w:rsidRPr="00B92200">
        <w:rPr>
          <w:spacing w:val="-2"/>
          <w:sz w:val="16"/>
          <w:szCs w:val="16"/>
        </w:rPr>
        <w:t>.</w:t>
      </w:r>
      <w:r>
        <w:rPr>
          <w:spacing w:val="-2"/>
          <w:sz w:val="16"/>
          <w:szCs w:val="16"/>
        </w:rPr>
        <w:t xml:space="preserve"> </w:t>
      </w:r>
    </w:p>
  </w:footnote>
  <w:footnote w:id="5">
    <w:p w14:paraId="5A3B05F5" w14:textId="77777777" w:rsidR="006145FA" w:rsidRPr="001046FA" w:rsidRDefault="006145FA" w:rsidP="00803507">
      <w:pPr>
        <w:pStyle w:val="Textpoznpodarou"/>
        <w:jc w:val="both"/>
        <w:rPr>
          <w:lang w:val="en-GB"/>
        </w:rPr>
      </w:pPr>
      <w:r w:rsidRPr="00A4392F">
        <w:rPr>
          <w:rStyle w:val="Znakapoznpodarou"/>
          <w:sz w:val="16"/>
          <w:szCs w:val="16"/>
        </w:rPr>
        <w:footnoteRef/>
      </w:r>
      <w:r w:rsidRPr="00A4392F">
        <w:rPr>
          <w:sz w:val="16"/>
          <w:szCs w:val="16"/>
        </w:rPr>
        <w:t xml:space="preserve"> </w:t>
      </w:r>
      <w:r w:rsidRPr="0013294D">
        <w:rPr>
          <w:sz w:val="16"/>
          <w:szCs w:val="16"/>
        </w:rPr>
        <w:t xml:space="preserve">These include, for example, other services (+2.0%) including, in addition to cultural, </w:t>
      </w:r>
      <w:r>
        <w:rPr>
          <w:sz w:val="16"/>
          <w:szCs w:val="16"/>
        </w:rPr>
        <w:t xml:space="preserve">amusement and recreational </w:t>
      </w:r>
      <w:r w:rsidRPr="0013294D">
        <w:rPr>
          <w:sz w:val="16"/>
          <w:szCs w:val="16"/>
        </w:rPr>
        <w:t xml:space="preserve">activities, </w:t>
      </w:r>
      <w:r>
        <w:rPr>
          <w:sz w:val="16"/>
          <w:szCs w:val="16"/>
        </w:rPr>
        <w:t xml:space="preserve">for instance </w:t>
      </w:r>
      <w:r w:rsidRPr="0013294D">
        <w:rPr>
          <w:sz w:val="16"/>
          <w:szCs w:val="16"/>
        </w:rPr>
        <w:t xml:space="preserve">various </w:t>
      </w:r>
      <w:r>
        <w:rPr>
          <w:sz w:val="16"/>
          <w:szCs w:val="16"/>
        </w:rPr>
        <w:t xml:space="preserve">services for </w:t>
      </w:r>
      <w:r w:rsidRPr="0013294D">
        <w:rPr>
          <w:sz w:val="16"/>
          <w:szCs w:val="16"/>
        </w:rPr>
        <w:t>household</w:t>
      </w:r>
      <w:r>
        <w:rPr>
          <w:sz w:val="16"/>
          <w:szCs w:val="16"/>
        </w:rPr>
        <w:t xml:space="preserve">s </w:t>
      </w:r>
      <w:r w:rsidRPr="0013294D">
        <w:rPr>
          <w:sz w:val="16"/>
          <w:szCs w:val="16"/>
        </w:rPr>
        <w:t xml:space="preserve">(repair of </w:t>
      </w:r>
      <w:r>
        <w:rPr>
          <w:sz w:val="16"/>
          <w:szCs w:val="16"/>
        </w:rPr>
        <w:t>goods</w:t>
      </w:r>
      <w:r w:rsidRPr="0013294D">
        <w:rPr>
          <w:sz w:val="16"/>
          <w:szCs w:val="16"/>
        </w:rPr>
        <w:t>s, hairdressing and cosmetic activities, etc.). However, employment in this section (</w:t>
      </w:r>
      <w:r>
        <w:rPr>
          <w:sz w:val="16"/>
          <w:szCs w:val="16"/>
        </w:rPr>
        <w:t xml:space="preserve">comprised of nearly </w:t>
      </w:r>
      <w:r w:rsidRPr="001046FA">
        <w:rPr>
          <w:sz w:val="16"/>
          <w:szCs w:val="16"/>
          <w:lang w:val="en-GB"/>
        </w:rPr>
        <w:t>40% of small entrepreneurs), which was severely affected during the period of anti-pandemic restrictions, still lagged slightly behind the 2019 level.</w:t>
      </w:r>
    </w:p>
  </w:footnote>
  <w:footnote w:id="6">
    <w:p w14:paraId="256061B2" w14:textId="77777777" w:rsidR="006145FA" w:rsidRPr="007139C7" w:rsidRDefault="006145FA" w:rsidP="00803507">
      <w:pPr>
        <w:pStyle w:val="Textpoznpodarou"/>
        <w:jc w:val="both"/>
        <w:rPr>
          <w:sz w:val="16"/>
          <w:szCs w:val="16"/>
          <w:lang w:val="en-GB"/>
        </w:rPr>
      </w:pPr>
      <w:r w:rsidRPr="00A4392F">
        <w:rPr>
          <w:rStyle w:val="Znakapoznpodarou"/>
          <w:sz w:val="16"/>
          <w:szCs w:val="16"/>
        </w:rPr>
        <w:footnoteRef/>
      </w:r>
      <w:r w:rsidRPr="00A4392F">
        <w:rPr>
          <w:sz w:val="16"/>
          <w:szCs w:val="16"/>
        </w:rPr>
        <w:t xml:space="preserve"> </w:t>
      </w:r>
      <w:r w:rsidRPr="007139C7">
        <w:rPr>
          <w:sz w:val="16"/>
          <w:szCs w:val="16"/>
          <w:lang w:val="en-GB"/>
        </w:rPr>
        <w:t xml:space="preserve">An imminent, albeit </w:t>
      </w:r>
      <w:r>
        <w:rPr>
          <w:sz w:val="16"/>
          <w:szCs w:val="16"/>
          <w:lang w:val="en-GB"/>
        </w:rPr>
        <w:t xml:space="preserve">likely </w:t>
      </w:r>
      <w:r w:rsidRPr="007139C7">
        <w:rPr>
          <w:sz w:val="16"/>
          <w:szCs w:val="16"/>
          <w:lang w:val="en-GB"/>
        </w:rPr>
        <w:t xml:space="preserve">temporary, change in demand for workers in this </w:t>
      </w:r>
      <w:r>
        <w:rPr>
          <w:sz w:val="16"/>
          <w:szCs w:val="16"/>
          <w:lang w:val="en-GB"/>
        </w:rPr>
        <w:t xml:space="preserve">branch </w:t>
      </w:r>
      <w:r w:rsidRPr="007139C7">
        <w:rPr>
          <w:sz w:val="16"/>
          <w:szCs w:val="16"/>
          <w:lang w:val="en-GB"/>
        </w:rPr>
        <w:t>was already indicated by a halt in real sales growth during 2023.</w:t>
      </w:r>
      <w:r>
        <w:rPr>
          <w:sz w:val="16"/>
          <w:szCs w:val="16"/>
          <w:lang w:val="en-GB"/>
        </w:rPr>
        <w:t xml:space="preserve"> </w:t>
      </w:r>
    </w:p>
  </w:footnote>
  <w:footnote w:id="7">
    <w:p w14:paraId="7D90AD65" w14:textId="77777777" w:rsidR="006145FA" w:rsidRPr="00917DF3" w:rsidRDefault="006145FA" w:rsidP="00803507">
      <w:pPr>
        <w:pStyle w:val="Textpoznpodarou"/>
        <w:jc w:val="both"/>
        <w:rPr>
          <w:sz w:val="16"/>
          <w:szCs w:val="16"/>
          <w:lang w:val="en-GB"/>
        </w:rPr>
      </w:pPr>
      <w:r w:rsidRPr="007139C7">
        <w:rPr>
          <w:rStyle w:val="Znakapoznpodarou"/>
          <w:sz w:val="16"/>
          <w:szCs w:val="16"/>
          <w:lang w:val="en-GB"/>
        </w:rPr>
        <w:footnoteRef/>
      </w:r>
      <w:r w:rsidRPr="007139C7">
        <w:rPr>
          <w:sz w:val="16"/>
          <w:szCs w:val="16"/>
          <w:lang w:val="en-GB"/>
        </w:rPr>
        <w:t xml:space="preserve"> </w:t>
      </w:r>
      <w:r w:rsidRPr="00917DF3">
        <w:rPr>
          <w:sz w:val="16"/>
          <w:szCs w:val="16"/>
          <w:lang w:val="en-GB"/>
        </w:rPr>
        <w:t>A decrease of employment occurred across almost all manufacturing sectors last year. The food industry (+2.1%) and also the chemical industry, where employment gradually stabilized, represented the exceptions</w:t>
      </w:r>
      <w:r>
        <w:rPr>
          <w:sz w:val="16"/>
          <w:szCs w:val="16"/>
          <w:lang w:val="en-GB"/>
        </w:rPr>
        <w:t xml:space="preserve">. </w:t>
      </w:r>
    </w:p>
  </w:footnote>
  <w:footnote w:id="8">
    <w:p w14:paraId="325903B0" w14:textId="56B28061" w:rsidR="006145FA" w:rsidRPr="00917DF3" w:rsidRDefault="006145FA" w:rsidP="00803507">
      <w:pPr>
        <w:pStyle w:val="Textpoznpodarou"/>
        <w:jc w:val="both"/>
        <w:rPr>
          <w:color w:val="0D0D0D" w:themeColor="text1" w:themeTint="F2"/>
          <w:sz w:val="16"/>
          <w:szCs w:val="16"/>
          <w:lang w:val="en-GB"/>
        </w:rPr>
      </w:pPr>
      <w:r w:rsidRPr="00917DF3">
        <w:rPr>
          <w:rStyle w:val="Znakapoznpodarou"/>
          <w:color w:val="0D0D0D" w:themeColor="text1" w:themeTint="F2"/>
          <w:sz w:val="16"/>
          <w:szCs w:val="16"/>
          <w:lang w:val="en-GB"/>
        </w:rPr>
        <w:footnoteRef/>
      </w:r>
      <w:r w:rsidRPr="00917DF3">
        <w:rPr>
          <w:color w:val="0D0D0D" w:themeColor="text1" w:themeTint="F2"/>
          <w:sz w:val="16"/>
          <w:szCs w:val="16"/>
          <w:lang w:val="en-GB"/>
        </w:rPr>
        <w:t xml:space="preserve"> </w:t>
      </w:r>
      <w:r w:rsidRPr="00603B30">
        <w:rPr>
          <w:color w:val="0D0D0D" w:themeColor="text1" w:themeTint="F2"/>
          <w:sz w:val="16"/>
          <w:szCs w:val="16"/>
        </w:rPr>
        <w:t xml:space="preserve">According to </w:t>
      </w:r>
      <w:r>
        <w:rPr>
          <w:color w:val="0D0D0D" w:themeColor="text1" w:themeTint="F2"/>
          <w:sz w:val="16"/>
          <w:szCs w:val="16"/>
        </w:rPr>
        <w:t xml:space="preserve">LFSS </w:t>
      </w:r>
      <w:r w:rsidRPr="00603B30">
        <w:rPr>
          <w:color w:val="0D0D0D" w:themeColor="text1" w:themeTint="F2"/>
          <w:sz w:val="16"/>
          <w:szCs w:val="16"/>
        </w:rPr>
        <w:t>data</w:t>
      </w:r>
      <w:r>
        <w:rPr>
          <w:color w:val="0D0D0D" w:themeColor="text1" w:themeTint="F2"/>
          <w:sz w:val="16"/>
          <w:szCs w:val="16"/>
        </w:rPr>
        <w:t xml:space="preserve">, </w:t>
      </w:r>
      <w:r w:rsidRPr="00603B30">
        <w:rPr>
          <w:color w:val="0D0D0D" w:themeColor="text1" w:themeTint="F2"/>
          <w:sz w:val="16"/>
          <w:szCs w:val="16"/>
        </w:rPr>
        <w:t>483 pe</w:t>
      </w:r>
      <w:r>
        <w:rPr>
          <w:color w:val="0D0D0D" w:themeColor="text1" w:themeTint="F2"/>
          <w:sz w:val="16"/>
          <w:szCs w:val="16"/>
        </w:rPr>
        <w:t xml:space="preserve">rsons </w:t>
      </w:r>
      <w:r w:rsidRPr="00603B30">
        <w:rPr>
          <w:color w:val="0D0D0D" w:themeColor="text1" w:themeTint="F2"/>
          <w:sz w:val="16"/>
          <w:szCs w:val="16"/>
        </w:rPr>
        <w:t xml:space="preserve">worked part-time in the Czech Republic in </w:t>
      </w:r>
      <w:r>
        <w:rPr>
          <w:color w:val="0D0D0D" w:themeColor="text1" w:themeTint="F2"/>
          <w:sz w:val="16"/>
          <w:szCs w:val="16"/>
        </w:rPr>
        <w:t xml:space="preserve">Q4 </w:t>
      </w:r>
      <w:r w:rsidR="0002044F">
        <w:rPr>
          <w:color w:val="0D0D0D" w:themeColor="text1" w:themeTint="F2"/>
          <w:sz w:val="16"/>
          <w:szCs w:val="16"/>
        </w:rPr>
        <w:t>2024</w:t>
      </w:r>
      <w:r w:rsidRPr="00603B30">
        <w:rPr>
          <w:color w:val="0D0D0D" w:themeColor="text1" w:themeTint="F2"/>
          <w:sz w:val="16"/>
          <w:szCs w:val="16"/>
        </w:rPr>
        <w:t>, up 9%</w:t>
      </w:r>
      <w:r>
        <w:rPr>
          <w:color w:val="0D0D0D" w:themeColor="text1" w:themeTint="F2"/>
          <w:sz w:val="16"/>
          <w:szCs w:val="16"/>
        </w:rPr>
        <w:t>,</w:t>
      </w:r>
      <w:r w:rsidRPr="00603B30">
        <w:rPr>
          <w:color w:val="0D0D0D" w:themeColor="text1" w:themeTint="F2"/>
          <w:sz w:val="16"/>
          <w:szCs w:val="16"/>
        </w:rPr>
        <w:t xml:space="preserve"> year-on-year (24% more in the last six years). Women contributed mainly to the growth, of whom 14.4% </w:t>
      </w:r>
      <w:r>
        <w:rPr>
          <w:color w:val="0D0D0D" w:themeColor="text1" w:themeTint="F2"/>
          <w:sz w:val="16"/>
          <w:szCs w:val="16"/>
        </w:rPr>
        <w:t xml:space="preserve">already utilised </w:t>
      </w:r>
      <w:r w:rsidRPr="00603B30">
        <w:rPr>
          <w:color w:val="0D0D0D" w:themeColor="text1" w:themeTint="F2"/>
          <w:sz w:val="16"/>
          <w:szCs w:val="16"/>
        </w:rPr>
        <w:t xml:space="preserve">this form of work (most </w:t>
      </w:r>
      <w:r>
        <w:rPr>
          <w:color w:val="0D0D0D" w:themeColor="text1" w:themeTint="F2"/>
          <w:sz w:val="16"/>
          <w:szCs w:val="16"/>
        </w:rPr>
        <w:t xml:space="preserve">freqently </w:t>
      </w:r>
      <w:r w:rsidRPr="00603B30">
        <w:rPr>
          <w:color w:val="0D0D0D" w:themeColor="text1" w:themeTint="F2"/>
          <w:sz w:val="16"/>
          <w:szCs w:val="16"/>
        </w:rPr>
        <w:t>those aged 30 to 44). However, only 5% of working men preferred it (mostly at the end of their working careers). Despite the current increase, the representation of these jobs on the domestic labour market remains relatively low.</w:t>
      </w:r>
      <w:r>
        <w:rPr>
          <w:color w:val="0D0D0D" w:themeColor="text1" w:themeTint="F2"/>
          <w:sz w:val="16"/>
          <w:szCs w:val="16"/>
        </w:rPr>
        <w:t xml:space="preserve"> The </w:t>
      </w:r>
      <w:r w:rsidRPr="00603B30">
        <w:rPr>
          <w:color w:val="0D0D0D" w:themeColor="text1" w:themeTint="F2"/>
          <w:sz w:val="16"/>
          <w:szCs w:val="16"/>
        </w:rPr>
        <w:t xml:space="preserve">share of persons employed in this way in Czechia (9.0%) </w:t>
      </w:r>
      <w:r>
        <w:rPr>
          <w:color w:val="0D0D0D" w:themeColor="text1" w:themeTint="F2"/>
          <w:sz w:val="16"/>
          <w:szCs w:val="16"/>
        </w:rPr>
        <w:t>a</w:t>
      </w:r>
      <w:r w:rsidRPr="00603B30">
        <w:rPr>
          <w:color w:val="0D0D0D" w:themeColor="text1" w:themeTint="F2"/>
          <w:sz w:val="16"/>
          <w:szCs w:val="16"/>
        </w:rPr>
        <w:t>t the end of 2024</w:t>
      </w:r>
      <w:r>
        <w:rPr>
          <w:color w:val="0D0D0D" w:themeColor="text1" w:themeTint="F2"/>
          <w:sz w:val="16"/>
          <w:szCs w:val="16"/>
        </w:rPr>
        <w:t xml:space="preserve"> </w:t>
      </w:r>
      <w:r w:rsidRPr="00603B30">
        <w:rPr>
          <w:color w:val="0D0D0D" w:themeColor="text1" w:themeTint="F2"/>
          <w:sz w:val="16"/>
          <w:szCs w:val="16"/>
        </w:rPr>
        <w:t>was only half of the value in the EU (similar relations apply to both m</w:t>
      </w:r>
      <w:r w:rsidR="0090465F">
        <w:rPr>
          <w:color w:val="0D0D0D" w:themeColor="text1" w:themeTint="F2"/>
          <w:sz w:val="16"/>
          <w:szCs w:val="16"/>
        </w:rPr>
        <w:t>ales and</w:t>
      </w:r>
      <w:r>
        <w:rPr>
          <w:color w:val="0D0D0D" w:themeColor="text1" w:themeTint="F2"/>
          <w:sz w:val="16"/>
          <w:szCs w:val="16"/>
        </w:rPr>
        <w:t xml:space="preserve"> females</w:t>
      </w:r>
      <w:r w:rsidRPr="00603B30">
        <w:rPr>
          <w:color w:val="0D0D0D" w:themeColor="text1" w:themeTint="F2"/>
          <w:sz w:val="16"/>
          <w:szCs w:val="16"/>
        </w:rPr>
        <w:t xml:space="preserve">). On the other hand, among the countries that joined the EU after 2000, only Estonia (15%) and Malta (11%) </w:t>
      </w:r>
      <w:r>
        <w:rPr>
          <w:color w:val="0D0D0D" w:themeColor="text1" w:themeTint="F2"/>
          <w:sz w:val="16"/>
          <w:szCs w:val="16"/>
        </w:rPr>
        <w:t xml:space="preserve">featured </w:t>
      </w:r>
      <w:r w:rsidRPr="00603B30">
        <w:rPr>
          <w:color w:val="0D0D0D" w:themeColor="text1" w:themeTint="F2"/>
          <w:sz w:val="16"/>
          <w:szCs w:val="16"/>
        </w:rPr>
        <w:t>a higher share than the Czech Republic</w:t>
      </w:r>
      <w:r>
        <w:rPr>
          <w:color w:val="0D0D0D" w:themeColor="text1" w:themeTint="F2"/>
          <w:sz w:val="16"/>
          <w:szCs w:val="16"/>
        </w:rPr>
        <w:t xml:space="preserve">. </w:t>
      </w:r>
    </w:p>
  </w:footnote>
  <w:footnote w:id="9">
    <w:p w14:paraId="1BEF447E" w14:textId="61D15011" w:rsidR="006145FA" w:rsidRPr="00917DF3" w:rsidRDefault="006145FA" w:rsidP="00803507">
      <w:pPr>
        <w:pStyle w:val="Textpoznpodarou"/>
        <w:jc w:val="both"/>
        <w:rPr>
          <w:sz w:val="16"/>
          <w:szCs w:val="16"/>
          <w:lang w:val="en-GB"/>
        </w:rPr>
      </w:pPr>
      <w:r w:rsidRPr="00917DF3">
        <w:rPr>
          <w:rStyle w:val="Znakapoznpodarou"/>
          <w:color w:val="0D0D0D" w:themeColor="text1" w:themeTint="F2"/>
          <w:sz w:val="16"/>
          <w:szCs w:val="16"/>
          <w:lang w:val="en-GB"/>
        </w:rPr>
        <w:footnoteRef/>
      </w:r>
      <w:r w:rsidRPr="00917DF3">
        <w:rPr>
          <w:color w:val="0D0D0D" w:themeColor="text1" w:themeTint="F2"/>
          <w:sz w:val="16"/>
          <w:szCs w:val="16"/>
          <w:lang w:val="en-GB"/>
        </w:rPr>
        <w:t xml:space="preserve"> </w:t>
      </w:r>
      <w:r w:rsidRPr="0045654E">
        <w:rPr>
          <w:color w:val="0D0D0D" w:themeColor="text1" w:themeTint="F2"/>
          <w:sz w:val="16"/>
          <w:szCs w:val="16"/>
        </w:rPr>
        <w:t xml:space="preserve">According to </w:t>
      </w:r>
      <w:r>
        <w:rPr>
          <w:color w:val="0D0D0D" w:themeColor="text1" w:themeTint="F2"/>
          <w:sz w:val="16"/>
          <w:szCs w:val="16"/>
        </w:rPr>
        <w:t xml:space="preserve">the CZSO </w:t>
      </w:r>
      <w:r w:rsidRPr="0045654E">
        <w:rPr>
          <w:color w:val="0D0D0D" w:themeColor="text1" w:themeTint="F2"/>
          <w:sz w:val="16"/>
          <w:szCs w:val="16"/>
        </w:rPr>
        <w:t>experimental statistics</w:t>
      </w:r>
      <w:r>
        <w:rPr>
          <w:color w:val="0D0D0D" w:themeColor="text1" w:themeTint="F2"/>
          <w:sz w:val="16"/>
          <w:szCs w:val="16"/>
        </w:rPr>
        <w:t xml:space="preserve">, </w:t>
      </w:r>
      <w:r w:rsidRPr="0045654E">
        <w:rPr>
          <w:color w:val="0D0D0D" w:themeColor="text1" w:themeTint="F2"/>
          <w:sz w:val="16"/>
          <w:szCs w:val="16"/>
        </w:rPr>
        <w:t xml:space="preserve">the number of persons working on </w:t>
      </w:r>
      <w:r>
        <w:rPr>
          <w:color w:val="0D0D0D" w:themeColor="text1" w:themeTint="F2"/>
          <w:sz w:val="16"/>
          <w:szCs w:val="16"/>
        </w:rPr>
        <w:t xml:space="preserve">job </w:t>
      </w:r>
      <w:r w:rsidRPr="0045654E">
        <w:rPr>
          <w:color w:val="0D0D0D" w:themeColor="text1" w:themeTint="F2"/>
          <w:sz w:val="16"/>
          <w:szCs w:val="16"/>
        </w:rPr>
        <w:t>agreement</w:t>
      </w:r>
      <w:r>
        <w:rPr>
          <w:color w:val="0D0D0D" w:themeColor="text1" w:themeTint="F2"/>
          <w:sz w:val="16"/>
          <w:szCs w:val="16"/>
        </w:rPr>
        <w:t xml:space="preserve"> contract</w:t>
      </w:r>
      <w:r w:rsidRPr="0045654E">
        <w:rPr>
          <w:color w:val="0D0D0D" w:themeColor="text1" w:themeTint="F2"/>
          <w:sz w:val="16"/>
          <w:szCs w:val="16"/>
        </w:rPr>
        <w:t>s (to complete a job, to perform work) decreased by 4%</w:t>
      </w:r>
      <w:r>
        <w:rPr>
          <w:color w:val="0D0D0D" w:themeColor="text1" w:themeTint="F2"/>
          <w:sz w:val="16"/>
          <w:szCs w:val="16"/>
        </w:rPr>
        <w:t>,</w:t>
      </w:r>
      <w:r w:rsidRPr="0045654E">
        <w:rPr>
          <w:color w:val="0D0D0D" w:themeColor="text1" w:themeTint="F2"/>
          <w:sz w:val="16"/>
          <w:szCs w:val="16"/>
        </w:rPr>
        <w:t xml:space="preserve"> year-on-year</w:t>
      </w:r>
      <w:r>
        <w:rPr>
          <w:color w:val="0D0D0D" w:themeColor="text1" w:themeTint="F2"/>
          <w:sz w:val="16"/>
          <w:szCs w:val="16"/>
        </w:rPr>
        <w:t>, in 2024</w:t>
      </w:r>
      <w:r w:rsidRPr="0045654E">
        <w:rPr>
          <w:color w:val="0D0D0D" w:themeColor="text1" w:themeTint="F2"/>
          <w:sz w:val="16"/>
          <w:szCs w:val="16"/>
        </w:rPr>
        <w:t xml:space="preserve"> and the number of hours worked by 9%. People working on </w:t>
      </w:r>
      <w:r>
        <w:rPr>
          <w:color w:val="0D0D0D" w:themeColor="text1" w:themeTint="F2"/>
          <w:sz w:val="16"/>
          <w:szCs w:val="16"/>
        </w:rPr>
        <w:t xml:space="preserve">job agreement </w:t>
      </w:r>
      <w:r w:rsidRPr="0045654E">
        <w:rPr>
          <w:color w:val="0D0D0D" w:themeColor="text1" w:themeTint="F2"/>
          <w:sz w:val="16"/>
          <w:szCs w:val="16"/>
        </w:rPr>
        <w:t xml:space="preserve">contracts for more than one employer </w:t>
      </w:r>
      <w:r>
        <w:rPr>
          <w:color w:val="0D0D0D" w:themeColor="text1" w:themeTint="F2"/>
          <w:sz w:val="16"/>
          <w:szCs w:val="16"/>
        </w:rPr>
        <w:t>simultanously ar</w:t>
      </w:r>
      <w:r w:rsidR="0090465F">
        <w:rPr>
          <w:color w:val="0D0D0D" w:themeColor="text1" w:themeTint="F2"/>
          <w:sz w:val="16"/>
          <w:szCs w:val="16"/>
        </w:rPr>
        <w:t xml:space="preserve">e included multiple times (i.e. </w:t>
      </w:r>
      <w:r w:rsidRPr="0045654E">
        <w:rPr>
          <w:color w:val="0D0D0D" w:themeColor="text1" w:themeTint="F2"/>
          <w:sz w:val="16"/>
          <w:szCs w:val="16"/>
        </w:rPr>
        <w:t>separately for each employer).</w:t>
      </w:r>
      <w:r>
        <w:rPr>
          <w:color w:val="0D0D0D" w:themeColor="text1" w:themeTint="F2"/>
          <w:sz w:val="16"/>
          <w:szCs w:val="16"/>
        </w:rPr>
        <w:t xml:space="preserve"> </w:t>
      </w:r>
    </w:p>
  </w:footnote>
  <w:footnote w:id="10">
    <w:p w14:paraId="4523492D" w14:textId="670D0DA1" w:rsidR="006145FA" w:rsidRPr="00917DF3" w:rsidRDefault="006145FA" w:rsidP="00803507">
      <w:pPr>
        <w:pStyle w:val="Textpoznpodarou"/>
        <w:jc w:val="both"/>
        <w:rPr>
          <w:sz w:val="16"/>
          <w:szCs w:val="16"/>
          <w:lang w:val="en-GB"/>
        </w:rPr>
      </w:pPr>
      <w:r w:rsidRPr="00917DF3">
        <w:rPr>
          <w:rStyle w:val="Znakapoznpodarou"/>
          <w:sz w:val="16"/>
          <w:szCs w:val="16"/>
          <w:lang w:val="en-GB"/>
        </w:rPr>
        <w:footnoteRef/>
      </w:r>
      <w:r w:rsidRPr="00917DF3">
        <w:rPr>
          <w:sz w:val="16"/>
          <w:szCs w:val="16"/>
          <w:lang w:val="en-GB"/>
        </w:rPr>
        <w:t xml:space="preserve"> </w:t>
      </w:r>
      <w:r w:rsidRPr="00607351">
        <w:rPr>
          <w:sz w:val="16"/>
          <w:szCs w:val="16"/>
        </w:rPr>
        <w:t>Roughly less than half of this increase is accounted for by persons performing two different employment positions, and a slightly larger part by employees who "additionally" act as self-employed.</w:t>
      </w:r>
      <w:r>
        <w:rPr>
          <w:sz w:val="16"/>
          <w:szCs w:val="16"/>
        </w:rPr>
        <w:t xml:space="preserve"> </w:t>
      </w:r>
      <w:r w:rsidRPr="00607351">
        <w:rPr>
          <w:sz w:val="16"/>
          <w:szCs w:val="16"/>
        </w:rPr>
        <w:t>3.9% of workers h</w:t>
      </w:r>
      <w:r>
        <w:rPr>
          <w:sz w:val="16"/>
          <w:szCs w:val="16"/>
        </w:rPr>
        <w:t xml:space="preserve">eld </w:t>
      </w:r>
      <w:r w:rsidRPr="00607351">
        <w:rPr>
          <w:sz w:val="16"/>
          <w:szCs w:val="16"/>
        </w:rPr>
        <w:t>two or more jobs in</w:t>
      </w:r>
      <w:r>
        <w:rPr>
          <w:sz w:val="16"/>
          <w:szCs w:val="16"/>
        </w:rPr>
        <w:t xml:space="preserve"> the whole EU in </w:t>
      </w:r>
      <w:r w:rsidRPr="00607351">
        <w:rPr>
          <w:sz w:val="16"/>
          <w:szCs w:val="16"/>
        </w:rPr>
        <w:t xml:space="preserve">Q3 </w:t>
      </w:r>
      <w:r w:rsidR="0090465F">
        <w:rPr>
          <w:sz w:val="16"/>
          <w:szCs w:val="16"/>
        </w:rPr>
        <w:t>2024</w:t>
      </w:r>
      <w:r w:rsidRPr="00607351">
        <w:rPr>
          <w:sz w:val="16"/>
          <w:szCs w:val="16"/>
        </w:rPr>
        <w:t xml:space="preserve">. </w:t>
      </w:r>
      <w:r>
        <w:rPr>
          <w:sz w:val="16"/>
          <w:szCs w:val="16"/>
        </w:rPr>
        <w:t>T</w:t>
      </w:r>
      <w:r w:rsidRPr="00607351">
        <w:rPr>
          <w:sz w:val="16"/>
          <w:szCs w:val="16"/>
        </w:rPr>
        <w:t xml:space="preserve">he Netherlands (10%) and Denmark (9%) had the highest proportion of </w:t>
      </w:r>
      <w:r>
        <w:rPr>
          <w:sz w:val="16"/>
          <w:szCs w:val="16"/>
        </w:rPr>
        <w:t xml:space="preserve">such </w:t>
      </w:r>
      <w:r w:rsidRPr="00607351">
        <w:rPr>
          <w:sz w:val="16"/>
          <w:szCs w:val="16"/>
        </w:rPr>
        <w:t>employed</w:t>
      </w:r>
      <w:r>
        <w:rPr>
          <w:sz w:val="16"/>
          <w:szCs w:val="16"/>
        </w:rPr>
        <w:t xml:space="preserve"> among the member states</w:t>
      </w:r>
      <w:r w:rsidRPr="00607351">
        <w:rPr>
          <w:sz w:val="16"/>
          <w:szCs w:val="16"/>
        </w:rPr>
        <w:t xml:space="preserve">, </w:t>
      </w:r>
      <w:r>
        <w:rPr>
          <w:sz w:val="16"/>
          <w:szCs w:val="16"/>
        </w:rPr>
        <w:t xml:space="preserve">it was also above average in </w:t>
      </w:r>
      <w:r w:rsidRPr="00607351">
        <w:rPr>
          <w:sz w:val="16"/>
          <w:szCs w:val="16"/>
        </w:rPr>
        <w:t>the Nordic countries and the Baltic States</w:t>
      </w:r>
      <w:r>
        <w:rPr>
          <w:sz w:val="16"/>
          <w:szCs w:val="16"/>
        </w:rPr>
        <w:t xml:space="preserve">. </w:t>
      </w:r>
    </w:p>
  </w:footnote>
  <w:footnote w:id="11">
    <w:p w14:paraId="6CB6A2AB" w14:textId="77777777" w:rsidR="006145FA" w:rsidRPr="00272A7B" w:rsidRDefault="006145FA" w:rsidP="00803507">
      <w:pPr>
        <w:pStyle w:val="Textpoznpodarou"/>
        <w:jc w:val="both"/>
        <w:rPr>
          <w:sz w:val="16"/>
          <w:szCs w:val="16"/>
          <w:lang w:val="en-US"/>
        </w:rPr>
      </w:pPr>
      <w:r w:rsidRPr="00AD3730">
        <w:rPr>
          <w:rStyle w:val="Znakapoznpodarou"/>
          <w:sz w:val="16"/>
          <w:szCs w:val="16"/>
        </w:rPr>
        <w:footnoteRef/>
      </w:r>
      <w:r>
        <w:rPr>
          <w:sz w:val="16"/>
          <w:szCs w:val="16"/>
        </w:rPr>
        <w:t xml:space="preserve"> </w:t>
      </w:r>
      <w:r w:rsidRPr="00056527">
        <w:rPr>
          <w:sz w:val="16"/>
          <w:szCs w:val="16"/>
        </w:rPr>
        <w:t xml:space="preserve">Almost four-fifths of all Ukrainian citizens (or 67% of men and 88% of women) working in the Czech Republic </w:t>
      </w:r>
      <w:r>
        <w:rPr>
          <w:sz w:val="16"/>
          <w:szCs w:val="16"/>
        </w:rPr>
        <w:t xml:space="preserve">with the employee status </w:t>
      </w:r>
      <w:r w:rsidRPr="00056527">
        <w:rPr>
          <w:sz w:val="16"/>
          <w:szCs w:val="16"/>
        </w:rPr>
        <w:t xml:space="preserve">did not need a work permit (work permit, </w:t>
      </w:r>
      <w:r>
        <w:rPr>
          <w:sz w:val="16"/>
          <w:szCs w:val="16"/>
        </w:rPr>
        <w:t xml:space="preserve">the </w:t>
      </w:r>
      <w:r w:rsidRPr="00056527">
        <w:rPr>
          <w:sz w:val="16"/>
          <w:szCs w:val="16"/>
        </w:rPr>
        <w:t xml:space="preserve">employee </w:t>
      </w:r>
      <w:r>
        <w:rPr>
          <w:sz w:val="16"/>
          <w:szCs w:val="16"/>
        </w:rPr>
        <w:t xml:space="preserve">card </w:t>
      </w:r>
      <w:r w:rsidRPr="00056527">
        <w:rPr>
          <w:sz w:val="16"/>
          <w:szCs w:val="16"/>
        </w:rPr>
        <w:t>or blue card) at the end of 2024.</w:t>
      </w:r>
      <w:r w:rsidRPr="00272A7B">
        <w:rPr>
          <w:sz w:val="16"/>
          <w:szCs w:val="16"/>
          <w:lang w:val="en-US"/>
        </w:rPr>
        <w:t xml:space="preserve"> </w:t>
      </w:r>
    </w:p>
  </w:footnote>
  <w:footnote w:id="12">
    <w:p w14:paraId="358B7B60" w14:textId="77777777" w:rsidR="006145FA" w:rsidRPr="00272A7B" w:rsidRDefault="006145FA" w:rsidP="00803507">
      <w:pPr>
        <w:pStyle w:val="Textpoznpodarou"/>
        <w:jc w:val="both"/>
        <w:rPr>
          <w:color w:val="0D0D0D" w:themeColor="text1" w:themeTint="F2"/>
          <w:sz w:val="16"/>
          <w:szCs w:val="16"/>
          <w:lang w:val="en-US"/>
        </w:rPr>
      </w:pPr>
      <w:r w:rsidRPr="00272A7B">
        <w:rPr>
          <w:rStyle w:val="Znakapoznpodarou"/>
          <w:sz w:val="16"/>
          <w:szCs w:val="16"/>
          <w:lang w:val="en-US"/>
        </w:rPr>
        <w:footnoteRef/>
      </w:r>
      <w:r w:rsidRPr="00272A7B">
        <w:rPr>
          <w:sz w:val="16"/>
          <w:szCs w:val="16"/>
          <w:lang w:val="en-US"/>
        </w:rPr>
        <w:t xml:space="preserve"> </w:t>
      </w:r>
      <w:r>
        <w:rPr>
          <w:sz w:val="16"/>
          <w:szCs w:val="16"/>
          <w:lang w:val="en-GB"/>
        </w:rPr>
        <w:t>As of 1</w:t>
      </w:r>
      <w:r w:rsidRPr="00D5581E">
        <w:rPr>
          <w:sz w:val="16"/>
          <w:szCs w:val="16"/>
          <w:vertAlign w:val="superscript"/>
          <w:lang w:val="en-GB"/>
        </w:rPr>
        <w:t>st</w:t>
      </w:r>
      <w:r>
        <w:rPr>
          <w:sz w:val="16"/>
          <w:szCs w:val="16"/>
          <w:lang w:val="en-GB"/>
        </w:rPr>
        <w:t xml:space="preserve"> July </w:t>
      </w:r>
      <w:r w:rsidRPr="00C93DDD">
        <w:rPr>
          <w:sz w:val="16"/>
          <w:szCs w:val="16"/>
          <w:lang w:val="en-GB"/>
        </w:rPr>
        <w:t>2024</w:t>
      </w:r>
      <w:r w:rsidRPr="00F178A6">
        <w:rPr>
          <w:sz w:val="16"/>
          <w:szCs w:val="16"/>
        </w:rPr>
        <w:t xml:space="preserve">, foreigners from some economically developed countries outside the EU (USA, Great Britain, Canada, Australia, New Zealand, Japan, South Korea, Israel and Singapore) do not need a work permit or employee cards in the Czech Republic. </w:t>
      </w:r>
    </w:p>
  </w:footnote>
  <w:footnote w:id="13">
    <w:p w14:paraId="4308D217" w14:textId="1E6941DB" w:rsidR="006145FA" w:rsidRPr="00272A7B" w:rsidRDefault="006145FA" w:rsidP="00803507">
      <w:pPr>
        <w:pStyle w:val="Textpoznpodarou"/>
        <w:jc w:val="both"/>
        <w:rPr>
          <w:sz w:val="16"/>
          <w:szCs w:val="16"/>
          <w:lang w:val="en-US"/>
        </w:rPr>
      </w:pPr>
      <w:r w:rsidRPr="00272A7B">
        <w:rPr>
          <w:rStyle w:val="Znakapoznpodarou"/>
          <w:color w:val="0D0D0D" w:themeColor="text1" w:themeTint="F2"/>
          <w:sz w:val="16"/>
          <w:szCs w:val="16"/>
          <w:lang w:val="en-US"/>
        </w:rPr>
        <w:footnoteRef/>
      </w:r>
      <w:r w:rsidRPr="00272A7B">
        <w:rPr>
          <w:color w:val="0D0D0D" w:themeColor="text1" w:themeTint="F2"/>
          <w:sz w:val="16"/>
          <w:szCs w:val="16"/>
          <w:lang w:val="en-US"/>
        </w:rPr>
        <w:t xml:space="preserve"> </w:t>
      </w:r>
      <w:r w:rsidRPr="00F178A6">
        <w:rPr>
          <w:sz w:val="16"/>
          <w:szCs w:val="16"/>
        </w:rPr>
        <w:t>In addition, the Ministry of Industry and Trade registered 132</w:t>
      </w:r>
      <w:r>
        <w:rPr>
          <w:sz w:val="16"/>
          <w:szCs w:val="16"/>
        </w:rPr>
        <w:t> </w:t>
      </w:r>
      <w:r w:rsidRPr="00F178A6">
        <w:rPr>
          <w:sz w:val="16"/>
          <w:szCs w:val="16"/>
        </w:rPr>
        <w:t>thousand foreign nationals with a trade license in the Czech Republic in the same period. Unlike foreigners in employment status, their growth accelerated last year (to 11%). Ukrainians accounted for almost two-th</w:t>
      </w:r>
      <w:r w:rsidR="001C74B0">
        <w:rPr>
          <w:sz w:val="16"/>
          <w:szCs w:val="16"/>
        </w:rPr>
        <w:t>irds of this growth, with 43 thousand</w:t>
      </w:r>
      <w:r w:rsidRPr="00F178A6">
        <w:rPr>
          <w:sz w:val="16"/>
          <w:szCs w:val="16"/>
        </w:rPr>
        <w:t xml:space="preserve"> doing business in the Czech Republic, followed </w:t>
      </w:r>
      <w:r>
        <w:rPr>
          <w:sz w:val="16"/>
          <w:szCs w:val="16"/>
        </w:rPr>
        <w:t xml:space="preserve">with a margin </w:t>
      </w:r>
      <w:r w:rsidRPr="00F178A6">
        <w:rPr>
          <w:sz w:val="16"/>
          <w:szCs w:val="16"/>
        </w:rPr>
        <w:t>by Slovaks (26</w:t>
      </w:r>
      <w:r>
        <w:rPr>
          <w:sz w:val="16"/>
          <w:szCs w:val="16"/>
        </w:rPr>
        <w:t> thousand</w:t>
      </w:r>
      <w:r w:rsidRPr="00F178A6">
        <w:rPr>
          <w:sz w:val="16"/>
          <w:szCs w:val="16"/>
        </w:rPr>
        <w:t>) and Vietnamese (21</w:t>
      </w:r>
      <w:r>
        <w:rPr>
          <w:sz w:val="16"/>
          <w:szCs w:val="16"/>
        </w:rPr>
        <w:t> thousand</w:t>
      </w:r>
      <w:r w:rsidRPr="00F178A6">
        <w:rPr>
          <w:sz w:val="16"/>
          <w:szCs w:val="16"/>
        </w:rPr>
        <w:t>).</w:t>
      </w:r>
      <w:r>
        <w:rPr>
          <w:sz w:val="16"/>
          <w:szCs w:val="16"/>
        </w:rPr>
        <w:t xml:space="preserve"> </w:t>
      </w:r>
      <w:r>
        <w:rPr>
          <w:color w:val="0D0D0D" w:themeColor="text1" w:themeTint="F2"/>
          <w:spacing w:val="-6"/>
          <w:sz w:val="16"/>
          <w:szCs w:val="16"/>
          <w:lang w:val="en-US"/>
        </w:rPr>
        <w:t xml:space="preserve"> </w:t>
      </w:r>
    </w:p>
  </w:footnote>
  <w:footnote w:id="14">
    <w:p w14:paraId="44708962" w14:textId="5DE0E8EC" w:rsidR="006145FA" w:rsidRPr="00272A7B" w:rsidRDefault="006145FA" w:rsidP="00803507">
      <w:pPr>
        <w:pStyle w:val="Textpoznpodarou"/>
        <w:jc w:val="both"/>
        <w:rPr>
          <w:sz w:val="16"/>
          <w:szCs w:val="16"/>
          <w:lang w:val="en-US"/>
        </w:rPr>
      </w:pPr>
      <w:r w:rsidRPr="00272A7B">
        <w:rPr>
          <w:rStyle w:val="Znakapoznpodarou"/>
          <w:color w:val="0D0D0D" w:themeColor="text1" w:themeTint="F2"/>
          <w:sz w:val="16"/>
          <w:szCs w:val="16"/>
          <w:lang w:val="en-US"/>
        </w:rPr>
        <w:footnoteRef/>
      </w:r>
      <w:r w:rsidRPr="00272A7B">
        <w:rPr>
          <w:color w:val="0D0D0D" w:themeColor="text1" w:themeTint="F2"/>
          <w:sz w:val="16"/>
          <w:szCs w:val="16"/>
          <w:lang w:val="en-US"/>
        </w:rPr>
        <w:t xml:space="preserve"> </w:t>
      </w:r>
      <w:r w:rsidRPr="000273BF">
        <w:rPr>
          <w:color w:val="0D0D0D" w:themeColor="text1" w:themeTint="F2"/>
          <w:sz w:val="16"/>
          <w:szCs w:val="16"/>
        </w:rPr>
        <w:t xml:space="preserve">From the point of view of regions, the number of foreigners increased the most in </w:t>
      </w:r>
      <w:r w:rsidRPr="00991E92">
        <w:rPr>
          <w:i/>
          <w:iCs/>
          <w:color w:val="0D0D0D" w:themeColor="text1" w:themeTint="F2"/>
          <w:sz w:val="16"/>
          <w:szCs w:val="16"/>
        </w:rPr>
        <w:t>Prague</w:t>
      </w:r>
      <w:r w:rsidRPr="000273BF">
        <w:rPr>
          <w:color w:val="0D0D0D" w:themeColor="text1" w:themeTint="F2"/>
          <w:sz w:val="16"/>
          <w:szCs w:val="16"/>
        </w:rPr>
        <w:t xml:space="preserve"> (+7.9%) and the </w:t>
      </w:r>
      <w:r w:rsidRPr="00991E92">
        <w:rPr>
          <w:i/>
          <w:iCs/>
          <w:color w:val="0D0D0D" w:themeColor="text1" w:themeTint="F2"/>
          <w:sz w:val="16"/>
          <w:szCs w:val="16"/>
        </w:rPr>
        <w:t>Olomouc</w:t>
      </w:r>
      <w:r w:rsidRPr="000273BF">
        <w:rPr>
          <w:color w:val="0D0D0D" w:themeColor="text1" w:themeTint="F2"/>
          <w:sz w:val="16"/>
          <w:szCs w:val="16"/>
        </w:rPr>
        <w:t xml:space="preserve"> </w:t>
      </w:r>
      <w:r>
        <w:rPr>
          <w:color w:val="0D0D0D" w:themeColor="text1" w:themeTint="F2"/>
          <w:sz w:val="16"/>
          <w:szCs w:val="16"/>
        </w:rPr>
        <w:t>r</w:t>
      </w:r>
      <w:r w:rsidRPr="000273BF">
        <w:rPr>
          <w:color w:val="0D0D0D" w:themeColor="text1" w:themeTint="F2"/>
          <w:sz w:val="16"/>
          <w:szCs w:val="16"/>
        </w:rPr>
        <w:t>egion (+7.5%) last year.</w:t>
      </w:r>
      <w:r>
        <w:rPr>
          <w:color w:val="0D0D0D" w:themeColor="text1" w:themeTint="F2"/>
          <w:sz w:val="16"/>
          <w:szCs w:val="16"/>
        </w:rPr>
        <w:t xml:space="preserve"> A</w:t>
      </w:r>
      <w:r w:rsidRPr="000273BF">
        <w:rPr>
          <w:color w:val="0D0D0D" w:themeColor="text1" w:themeTint="F2"/>
          <w:sz w:val="16"/>
          <w:szCs w:val="16"/>
        </w:rPr>
        <w:t xml:space="preserve">lmost a </w:t>
      </w:r>
      <w:r w:rsidR="001C74B0">
        <w:rPr>
          <w:color w:val="0D0D0D" w:themeColor="text1" w:themeTint="F2"/>
          <w:sz w:val="16"/>
          <w:szCs w:val="16"/>
        </w:rPr>
        <w:t>third of all foreigners in employeey position</w:t>
      </w:r>
      <w:r w:rsidRPr="000273BF">
        <w:rPr>
          <w:color w:val="0D0D0D" w:themeColor="text1" w:themeTint="F2"/>
          <w:sz w:val="16"/>
          <w:szCs w:val="16"/>
        </w:rPr>
        <w:t xml:space="preserve"> in the Czech Republic (</w:t>
      </w:r>
      <w:r w:rsidR="001C74B0">
        <w:rPr>
          <w:color w:val="0D0D0D" w:themeColor="text1" w:themeTint="F2"/>
          <w:sz w:val="16"/>
          <w:szCs w:val="16"/>
        </w:rPr>
        <w:t>i.e. registered with l</w:t>
      </w:r>
      <w:r w:rsidRPr="000273BF">
        <w:rPr>
          <w:color w:val="0D0D0D" w:themeColor="text1" w:themeTint="F2"/>
          <w:sz w:val="16"/>
          <w:szCs w:val="16"/>
        </w:rPr>
        <w:t xml:space="preserve">abour offices) </w:t>
      </w:r>
      <w:r>
        <w:rPr>
          <w:color w:val="0D0D0D" w:themeColor="text1" w:themeTint="F2"/>
          <w:sz w:val="16"/>
          <w:szCs w:val="16"/>
        </w:rPr>
        <w:t xml:space="preserve">thus pertained to </w:t>
      </w:r>
      <w:r w:rsidRPr="000273BF">
        <w:rPr>
          <w:color w:val="0D0D0D" w:themeColor="text1" w:themeTint="F2"/>
          <w:sz w:val="16"/>
          <w:szCs w:val="16"/>
        </w:rPr>
        <w:t>Prague</w:t>
      </w:r>
      <w:r>
        <w:rPr>
          <w:color w:val="0D0D0D" w:themeColor="text1" w:themeTint="F2"/>
          <w:sz w:val="16"/>
          <w:szCs w:val="16"/>
        </w:rPr>
        <w:t xml:space="preserve"> i</w:t>
      </w:r>
      <w:r w:rsidRPr="000273BF">
        <w:rPr>
          <w:color w:val="0D0D0D" w:themeColor="text1" w:themeTint="F2"/>
          <w:sz w:val="16"/>
          <w:szCs w:val="16"/>
        </w:rPr>
        <w:t xml:space="preserve">n December 2024, and together with </w:t>
      </w:r>
      <w:r w:rsidRPr="005B6E30">
        <w:rPr>
          <w:i/>
          <w:iCs/>
          <w:color w:val="0D0D0D" w:themeColor="text1" w:themeTint="F2"/>
          <w:sz w:val="16"/>
          <w:szCs w:val="16"/>
        </w:rPr>
        <w:t>Central Bohemia</w:t>
      </w:r>
      <w:r w:rsidRPr="000273BF">
        <w:rPr>
          <w:color w:val="0D0D0D" w:themeColor="text1" w:themeTint="F2"/>
          <w:sz w:val="16"/>
          <w:szCs w:val="16"/>
        </w:rPr>
        <w:t xml:space="preserve">, </w:t>
      </w:r>
      <w:r>
        <w:rPr>
          <w:color w:val="0D0D0D" w:themeColor="text1" w:themeTint="F2"/>
          <w:sz w:val="16"/>
          <w:szCs w:val="16"/>
        </w:rPr>
        <w:t xml:space="preserve">then nearly one </w:t>
      </w:r>
      <w:r w:rsidRPr="000273BF">
        <w:rPr>
          <w:color w:val="0D0D0D" w:themeColor="text1" w:themeTint="F2"/>
          <w:sz w:val="16"/>
          <w:szCs w:val="16"/>
        </w:rPr>
        <w:t>half.</w:t>
      </w:r>
      <w:r>
        <w:rPr>
          <w:color w:val="0D0D0D" w:themeColor="text1" w:themeTint="F2"/>
          <w:sz w:val="16"/>
          <w:szCs w:val="16"/>
        </w:rPr>
        <w:t xml:space="preserve"> </w:t>
      </w:r>
    </w:p>
  </w:footnote>
  <w:footnote w:id="15">
    <w:p w14:paraId="09EB825A" w14:textId="77777777" w:rsidR="006145FA" w:rsidRPr="005067FE" w:rsidRDefault="006145FA" w:rsidP="00803507">
      <w:pPr>
        <w:pStyle w:val="Textpoznpodarou"/>
        <w:jc w:val="both"/>
        <w:rPr>
          <w:sz w:val="16"/>
          <w:szCs w:val="16"/>
          <w:lang w:val="en-GB"/>
        </w:rPr>
      </w:pPr>
      <w:r w:rsidRPr="00126939">
        <w:rPr>
          <w:rStyle w:val="Znakapoznpodarou"/>
          <w:sz w:val="16"/>
          <w:szCs w:val="16"/>
        </w:rPr>
        <w:footnoteRef/>
      </w:r>
      <w:r w:rsidRPr="00126939">
        <w:rPr>
          <w:sz w:val="16"/>
          <w:szCs w:val="16"/>
        </w:rPr>
        <w:t xml:space="preserve"> </w:t>
      </w:r>
      <w:r w:rsidRPr="005067FE">
        <w:rPr>
          <w:sz w:val="16"/>
          <w:szCs w:val="16"/>
          <w:lang w:val="en-GB"/>
        </w:rPr>
        <w:t xml:space="preserve">Unless stated otherwise, seasonally adjusted data are used from now on. </w:t>
      </w:r>
    </w:p>
  </w:footnote>
  <w:footnote w:id="16">
    <w:p w14:paraId="2AF46F58" w14:textId="77777777" w:rsidR="006145FA" w:rsidRDefault="006145FA" w:rsidP="00803507">
      <w:pPr>
        <w:pStyle w:val="Textpoznpodarou"/>
        <w:jc w:val="both"/>
        <w:rPr>
          <w:color w:val="0D0D0D" w:themeColor="text1" w:themeTint="F2"/>
          <w:spacing w:val="-2"/>
          <w:sz w:val="16"/>
          <w:szCs w:val="16"/>
        </w:rPr>
      </w:pPr>
      <w:r w:rsidRPr="005067FE">
        <w:rPr>
          <w:rStyle w:val="Znakapoznpodarou"/>
          <w:color w:val="0D0D0D" w:themeColor="text1" w:themeTint="F2"/>
          <w:spacing w:val="-2"/>
          <w:sz w:val="16"/>
          <w:szCs w:val="16"/>
          <w:lang w:val="en-GB"/>
        </w:rPr>
        <w:footnoteRef/>
      </w:r>
      <w:r w:rsidRPr="005067FE">
        <w:rPr>
          <w:color w:val="0D0D0D" w:themeColor="text1" w:themeTint="F2"/>
          <w:spacing w:val="-2"/>
          <w:sz w:val="16"/>
          <w:szCs w:val="16"/>
          <w:lang w:val="en-GB"/>
        </w:rPr>
        <w:t xml:space="preserve"> </w:t>
      </w:r>
      <w:r w:rsidRPr="00773FF7">
        <w:rPr>
          <w:color w:val="0D0D0D" w:themeColor="text1" w:themeTint="F2"/>
          <w:spacing w:val="-2"/>
          <w:sz w:val="16"/>
          <w:szCs w:val="16"/>
        </w:rPr>
        <w:t xml:space="preserve">The prevailing negative </w:t>
      </w:r>
      <w:r>
        <w:rPr>
          <w:color w:val="0D0D0D" w:themeColor="text1" w:themeTint="F2"/>
          <w:spacing w:val="-2"/>
          <w:sz w:val="16"/>
          <w:szCs w:val="16"/>
        </w:rPr>
        <w:t xml:space="preserve">anticipatons </w:t>
      </w:r>
      <w:r w:rsidRPr="00773FF7">
        <w:rPr>
          <w:color w:val="0D0D0D" w:themeColor="text1" w:themeTint="F2"/>
          <w:spacing w:val="-2"/>
          <w:sz w:val="16"/>
          <w:szCs w:val="16"/>
        </w:rPr>
        <w:t xml:space="preserve">of employment were expressed (according to the December 2024 survey) by enterprises in 90% of manufacturing industries. </w:t>
      </w:r>
      <w:r>
        <w:rPr>
          <w:color w:val="0D0D0D" w:themeColor="text1" w:themeTint="F2"/>
          <w:spacing w:val="-2"/>
          <w:sz w:val="16"/>
          <w:szCs w:val="16"/>
        </w:rPr>
        <w:t>M</w:t>
      </w:r>
      <w:r w:rsidRPr="00773FF7">
        <w:rPr>
          <w:color w:val="0D0D0D" w:themeColor="text1" w:themeTint="F2"/>
          <w:spacing w:val="-2"/>
          <w:sz w:val="16"/>
          <w:szCs w:val="16"/>
        </w:rPr>
        <w:t xml:space="preserve">etallurgy, electronics, clothing and </w:t>
      </w:r>
      <w:r>
        <w:rPr>
          <w:color w:val="0D0D0D" w:themeColor="text1" w:themeTint="F2"/>
          <w:spacing w:val="-2"/>
          <w:sz w:val="16"/>
          <w:szCs w:val="16"/>
        </w:rPr>
        <w:t xml:space="preserve">manufacturing of </w:t>
      </w:r>
      <w:r w:rsidRPr="00773FF7">
        <w:rPr>
          <w:color w:val="0D0D0D" w:themeColor="text1" w:themeTint="F2"/>
          <w:spacing w:val="-2"/>
          <w:sz w:val="16"/>
          <w:szCs w:val="16"/>
        </w:rPr>
        <w:t>beverages</w:t>
      </w:r>
      <w:r>
        <w:rPr>
          <w:color w:val="0D0D0D" w:themeColor="text1" w:themeTint="F2"/>
          <w:spacing w:val="-2"/>
          <w:sz w:val="16"/>
          <w:szCs w:val="16"/>
        </w:rPr>
        <w:t xml:space="preserve"> recorded t</w:t>
      </w:r>
      <w:r w:rsidRPr="00773FF7">
        <w:rPr>
          <w:color w:val="0D0D0D" w:themeColor="text1" w:themeTint="F2"/>
          <w:spacing w:val="-2"/>
          <w:sz w:val="16"/>
          <w:szCs w:val="16"/>
        </w:rPr>
        <w:t xml:space="preserve">he worst prospects. On the </w:t>
      </w:r>
      <w:r>
        <w:rPr>
          <w:color w:val="0D0D0D" w:themeColor="text1" w:themeTint="F2"/>
          <w:spacing w:val="-2"/>
          <w:sz w:val="16"/>
          <w:szCs w:val="16"/>
        </w:rPr>
        <w:t>contrary</w:t>
      </w:r>
      <w:r w:rsidRPr="00773FF7">
        <w:rPr>
          <w:color w:val="0D0D0D" w:themeColor="text1" w:themeTint="F2"/>
          <w:spacing w:val="-2"/>
          <w:sz w:val="16"/>
          <w:szCs w:val="16"/>
        </w:rPr>
        <w:t xml:space="preserve">, positive prospects persisted only in </w:t>
      </w:r>
      <w:r>
        <w:rPr>
          <w:color w:val="0D0D0D" w:themeColor="text1" w:themeTint="F2"/>
          <w:spacing w:val="-2"/>
          <w:sz w:val="16"/>
          <w:szCs w:val="16"/>
        </w:rPr>
        <w:t>manufacturing o</w:t>
      </w:r>
      <w:r w:rsidRPr="00773FF7">
        <w:rPr>
          <w:color w:val="0D0D0D" w:themeColor="text1" w:themeTint="F2"/>
          <w:spacing w:val="-2"/>
          <w:sz w:val="16"/>
          <w:szCs w:val="16"/>
        </w:rPr>
        <w:t>f rail transport equipment, the food industry and the footwear industry.</w:t>
      </w:r>
    </w:p>
    <w:p w14:paraId="7E6042BB" w14:textId="77777777" w:rsidR="006145FA" w:rsidRPr="005067FE" w:rsidRDefault="006145FA" w:rsidP="00803507">
      <w:pPr>
        <w:pStyle w:val="Textpoznpodarou"/>
        <w:jc w:val="both"/>
        <w:rPr>
          <w:color w:val="0D0D0D" w:themeColor="text1" w:themeTint="F2"/>
          <w:spacing w:val="-2"/>
          <w:sz w:val="16"/>
          <w:szCs w:val="16"/>
          <w:lang w:val="en-GB"/>
        </w:rPr>
      </w:pPr>
      <w:r w:rsidRPr="00773FF7">
        <w:rPr>
          <w:color w:val="0D0D0D" w:themeColor="text1" w:themeTint="F2"/>
          <w:spacing w:val="-2"/>
          <w:sz w:val="16"/>
          <w:szCs w:val="16"/>
        </w:rPr>
        <w:t xml:space="preserve">In services, negative expectations prevailed in less than half of the sub-sectors. It was </w:t>
      </w:r>
      <w:r>
        <w:rPr>
          <w:color w:val="0D0D0D" w:themeColor="text1" w:themeTint="F2"/>
          <w:spacing w:val="-2"/>
          <w:sz w:val="16"/>
          <w:szCs w:val="16"/>
        </w:rPr>
        <w:t xml:space="preserve">the </w:t>
      </w:r>
      <w:r w:rsidRPr="00773FF7">
        <w:rPr>
          <w:color w:val="0D0D0D" w:themeColor="text1" w:themeTint="F2"/>
          <w:spacing w:val="-2"/>
          <w:sz w:val="16"/>
          <w:szCs w:val="16"/>
        </w:rPr>
        <w:t xml:space="preserve">most evident in creative, artistic and </w:t>
      </w:r>
      <w:r>
        <w:rPr>
          <w:color w:val="0D0D0D" w:themeColor="text1" w:themeTint="F2"/>
          <w:spacing w:val="-2"/>
          <w:sz w:val="16"/>
          <w:szCs w:val="16"/>
        </w:rPr>
        <w:t>amusement a</w:t>
      </w:r>
      <w:r w:rsidRPr="00773FF7">
        <w:rPr>
          <w:color w:val="0D0D0D" w:themeColor="text1" w:themeTint="F2"/>
          <w:spacing w:val="-2"/>
          <w:sz w:val="16"/>
          <w:szCs w:val="16"/>
        </w:rPr>
        <w:t>ctivities, in veterinary activities, water a</w:t>
      </w:r>
      <w:r>
        <w:rPr>
          <w:color w:val="0D0D0D" w:themeColor="text1" w:themeTint="F2"/>
          <w:spacing w:val="-2"/>
          <w:sz w:val="16"/>
          <w:szCs w:val="16"/>
        </w:rPr>
        <w:t xml:space="preserve">s well as </w:t>
      </w:r>
      <w:r w:rsidRPr="00773FF7">
        <w:rPr>
          <w:color w:val="0D0D0D" w:themeColor="text1" w:themeTint="F2"/>
          <w:spacing w:val="-2"/>
          <w:sz w:val="16"/>
          <w:szCs w:val="16"/>
        </w:rPr>
        <w:t xml:space="preserve">air transport, publishing, and at a </w:t>
      </w:r>
      <w:r>
        <w:rPr>
          <w:color w:val="0D0D0D" w:themeColor="text1" w:themeTint="F2"/>
          <w:spacing w:val="-2"/>
          <w:sz w:val="16"/>
          <w:szCs w:val="16"/>
        </w:rPr>
        <w:t>margin</w:t>
      </w:r>
      <w:r w:rsidRPr="00773FF7">
        <w:rPr>
          <w:color w:val="0D0D0D" w:themeColor="text1" w:themeTint="F2"/>
          <w:spacing w:val="-2"/>
          <w:sz w:val="16"/>
          <w:szCs w:val="16"/>
        </w:rPr>
        <w:t xml:space="preserve"> in financ</w:t>
      </w:r>
      <w:r>
        <w:rPr>
          <w:color w:val="0D0D0D" w:themeColor="text1" w:themeTint="F2"/>
          <w:spacing w:val="-2"/>
          <w:sz w:val="16"/>
          <w:szCs w:val="16"/>
        </w:rPr>
        <w:t>ial activities</w:t>
      </w:r>
      <w:r w:rsidRPr="00773FF7">
        <w:rPr>
          <w:color w:val="0D0D0D" w:themeColor="text1" w:themeTint="F2"/>
          <w:spacing w:val="-2"/>
          <w:sz w:val="16"/>
          <w:szCs w:val="16"/>
        </w:rPr>
        <w:t xml:space="preserve">, land transport </w:t>
      </w:r>
      <w:r>
        <w:rPr>
          <w:color w:val="0D0D0D" w:themeColor="text1" w:themeTint="F2"/>
          <w:spacing w:val="-2"/>
          <w:sz w:val="16"/>
          <w:szCs w:val="16"/>
        </w:rPr>
        <w:t xml:space="preserve">or </w:t>
      </w:r>
      <w:r w:rsidRPr="00773FF7">
        <w:rPr>
          <w:color w:val="0D0D0D" w:themeColor="text1" w:themeTint="F2"/>
          <w:spacing w:val="-2"/>
          <w:sz w:val="16"/>
          <w:szCs w:val="16"/>
        </w:rPr>
        <w:t xml:space="preserve">travel agencies. </w:t>
      </w:r>
      <w:r>
        <w:rPr>
          <w:color w:val="0D0D0D" w:themeColor="text1" w:themeTint="F2"/>
          <w:spacing w:val="-2"/>
          <w:sz w:val="16"/>
          <w:szCs w:val="16"/>
        </w:rPr>
        <w:t>In contrast</w:t>
      </w:r>
      <w:r w:rsidRPr="00773FF7">
        <w:rPr>
          <w:color w:val="0D0D0D" w:themeColor="text1" w:themeTint="F2"/>
          <w:spacing w:val="-2"/>
          <w:sz w:val="16"/>
          <w:szCs w:val="16"/>
        </w:rPr>
        <w:t xml:space="preserve">, optimism prevailed in postal and courier activities, insurance, legal and accounting activities, science and research, employment </w:t>
      </w:r>
      <w:r>
        <w:rPr>
          <w:color w:val="0D0D0D" w:themeColor="text1" w:themeTint="F2"/>
          <w:spacing w:val="-2"/>
          <w:sz w:val="16"/>
          <w:szCs w:val="16"/>
        </w:rPr>
        <w:t xml:space="preserve">placement </w:t>
      </w:r>
      <w:r w:rsidRPr="00773FF7">
        <w:rPr>
          <w:color w:val="0D0D0D" w:themeColor="text1" w:themeTint="F2"/>
          <w:spacing w:val="-2"/>
          <w:sz w:val="16"/>
          <w:szCs w:val="16"/>
        </w:rPr>
        <w:t xml:space="preserve">agencies and </w:t>
      </w:r>
      <w:r>
        <w:rPr>
          <w:color w:val="0D0D0D" w:themeColor="text1" w:themeTint="F2"/>
          <w:spacing w:val="-2"/>
          <w:sz w:val="16"/>
          <w:szCs w:val="16"/>
        </w:rPr>
        <w:t xml:space="preserve">majority of </w:t>
      </w:r>
      <w:r w:rsidRPr="00773FF7">
        <w:rPr>
          <w:color w:val="0D0D0D" w:themeColor="text1" w:themeTint="F2"/>
          <w:spacing w:val="-2"/>
          <w:sz w:val="16"/>
          <w:szCs w:val="16"/>
        </w:rPr>
        <w:t>information and communication activities.</w:t>
      </w:r>
      <w:r>
        <w:rPr>
          <w:color w:val="0D0D0D" w:themeColor="text1" w:themeTint="F2"/>
          <w:spacing w:val="-2"/>
          <w:sz w:val="16"/>
          <w:szCs w:val="16"/>
        </w:rPr>
        <w:t xml:space="preserve">  </w:t>
      </w:r>
    </w:p>
  </w:footnote>
  <w:footnote w:id="17">
    <w:p w14:paraId="4DECEFE0" w14:textId="77777777" w:rsidR="006145FA" w:rsidRPr="005067FE" w:rsidRDefault="006145FA" w:rsidP="00803507">
      <w:pPr>
        <w:pStyle w:val="Textpoznpodarou"/>
        <w:jc w:val="both"/>
        <w:rPr>
          <w:sz w:val="16"/>
          <w:szCs w:val="16"/>
          <w:lang w:val="en-GB"/>
        </w:rPr>
      </w:pPr>
      <w:r w:rsidRPr="005067FE">
        <w:rPr>
          <w:rStyle w:val="Znakapoznpodarou"/>
          <w:color w:val="0D0D0D" w:themeColor="text1" w:themeTint="F2"/>
          <w:sz w:val="16"/>
          <w:szCs w:val="16"/>
          <w:lang w:val="en-GB"/>
        </w:rPr>
        <w:footnoteRef/>
      </w:r>
      <w:r w:rsidRPr="005067FE">
        <w:rPr>
          <w:color w:val="0D0D0D" w:themeColor="text1" w:themeTint="F2"/>
          <w:sz w:val="16"/>
          <w:szCs w:val="16"/>
          <w:lang w:val="en-GB"/>
        </w:rPr>
        <w:t xml:space="preserve"> Businesses could have state more barriers simultaneously. </w:t>
      </w:r>
    </w:p>
  </w:footnote>
  <w:footnote w:id="18">
    <w:p w14:paraId="7C3A689B" w14:textId="77777777" w:rsidR="006145FA" w:rsidRPr="008C5574" w:rsidRDefault="006145FA" w:rsidP="00803507">
      <w:pPr>
        <w:pStyle w:val="Textpoznpodarou"/>
        <w:jc w:val="both"/>
        <w:rPr>
          <w:spacing w:val="-3"/>
          <w:sz w:val="16"/>
          <w:szCs w:val="16"/>
          <w:lang w:val="en-GB"/>
        </w:rPr>
      </w:pPr>
      <w:r w:rsidRPr="005067FE">
        <w:rPr>
          <w:rStyle w:val="Znakapoznpodarou"/>
          <w:spacing w:val="-3"/>
          <w:sz w:val="16"/>
          <w:szCs w:val="16"/>
          <w:lang w:val="en-GB"/>
        </w:rPr>
        <w:footnoteRef/>
      </w:r>
      <w:r w:rsidRPr="005067FE">
        <w:rPr>
          <w:spacing w:val="-3"/>
          <w:sz w:val="16"/>
          <w:szCs w:val="16"/>
          <w:lang w:val="en-GB"/>
        </w:rPr>
        <w:t xml:space="preserve"> </w:t>
      </w:r>
      <w:r w:rsidRPr="008C5574">
        <w:rPr>
          <w:spacing w:val="-3"/>
          <w:sz w:val="16"/>
          <w:szCs w:val="16"/>
          <w:lang w:val="en-GB"/>
        </w:rPr>
        <w:t xml:space="preserve">Unless stated otherwise, all data regarding the unemployment rates are sourced from the LFSS (based on the ILO methodology) and are adjusted for seasonal effects. </w:t>
      </w:r>
    </w:p>
  </w:footnote>
  <w:footnote w:id="19">
    <w:p w14:paraId="67CBF120" w14:textId="252B34B8" w:rsidR="006145FA" w:rsidRPr="00E97315" w:rsidRDefault="006145FA" w:rsidP="00803507">
      <w:pPr>
        <w:pStyle w:val="paragraph"/>
        <w:spacing w:before="0" w:beforeAutospacing="0" w:after="0" w:afterAutospacing="0"/>
        <w:jc w:val="both"/>
        <w:textAlignment w:val="baseline"/>
        <w:rPr>
          <w:rFonts w:ascii="Arial" w:eastAsia="Calibri" w:hAnsi="Arial"/>
          <w:color w:val="0D0D0D" w:themeColor="text1" w:themeTint="F2"/>
          <w:spacing w:val="-2"/>
          <w:sz w:val="16"/>
          <w:szCs w:val="16"/>
          <w:lang w:val="en-GB"/>
        </w:rPr>
      </w:pPr>
      <w:r w:rsidRPr="008C5574">
        <w:rPr>
          <w:rStyle w:val="Znakapoznpodarou"/>
          <w:color w:val="0D0D0D" w:themeColor="text1" w:themeTint="F2"/>
          <w:sz w:val="16"/>
          <w:szCs w:val="16"/>
          <w:lang w:val="en-GB"/>
        </w:rPr>
        <w:footnoteRef/>
      </w:r>
      <w:r w:rsidRPr="008C5574">
        <w:rPr>
          <w:color w:val="0D0D0D" w:themeColor="text1" w:themeTint="F2"/>
          <w:sz w:val="16"/>
          <w:szCs w:val="16"/>
          <w:lang w:val="en-GB"/>
        </w:rPr>
        <w:t xml:space="preserve"> </w:t>
      </w:r>
      <w:r w:rsidRPr="00C6691A">
        <w:rPr>
          <w:rFonts w:ascii="Arial" w:eastAsia="Calibri" w:hAnsi="Arial"/>
          <w:spacing w:val="-3"/>
          <w:sz w:val="16"/>
          <w:szCs w:val="16"/>
          <w:lang w:val="en-GB"/>
        </w:rPr>
        <w:t>Unemployment also remains low in the EU</w:t>
      </w:r>
      <w:r>
        <w:rPr>
          <w:rFonts w:ascii="Arial" w:eastAsia="Calibri" w:hAnsi="Arial"/>
          <w:spacing w:val="-3"/>
          <w:sz w:val="16"/>
          <w:szCs w:val="16"/>
          <w:lang w:val="en-GB"/>
        </w:rPr>
        <w:t xml:space="preserve"> - </w:t>
      </w:r>
      <w:r w:rsidRPr="00C6691A">
        <w:rPr>
          <w:rFonts w:ascii="Arial" w:eastAsia="Calibri" w:hAnsi="Arial"/>
          <w:spacing w:val="-3"/>
          <w:sz w:val="16"/>
          <w:szCs w:val="16"/>
          <w:lang w:val="en-GB"/>
        </w:rPr>
        <w:t>reaching 5.9% in the</w:t>
      </w:r>
      <w:r w:rsidR="0038369B">
        <w:rPr>
          <w:rFonts w:ascii="Arial" w:eastAsia="Calibri" w:hAnsi="Arial"/>
          <w:spacing w:val="-3"/>
          <w:sz w:val="16"/>
          <w:szCs w:val="16"/>
          <w:lang w:val="en-GB"/>
        </w:rPr>
        <w:t xml:space="preserve"> 15- to 74-year-olds group in </w:t>
      </w:r>
      <w:r w:rsidRPr="00C6691A">
        <w:rPr>
          <w:rFonts w:ascii="Arial" w:eastAsia="Calibri" w:hAnsi="Arial"/>
          <w:spacing w:val="-3"/>
          <w:sz w:val="16"/>
          <w:szCs w:val="16"/>
          <w:lang w:val="en-GB"/>
        </w:rPr>
        <w:t xml:space="preserve">December </w:t>
      </w:r>
      <w:r w:rsidR="0038369B">
        <w:rPr>
          <w:rFonts w:ascii="Arial" w:eastAsia="Calibri" w:hAnsi="Arial"/>
          <w:spacing w:val="-3"/>
          <w:sz w:val="16"/>
          <w:szCs w:val="16"/>
          <w:lang w:val="en-GB"/>
        </w:rPr>
        <w:t xml:space="preserve">2024 </w:t>
      </w:r>
      <w:r w:rsidRPr="00C6691A">
        <w:rPr>
          <w:rFonts w:ascii="Arial" w:eastAsia="Calibri" w:hAnsi="Arial"/>
          <w:spacing w:val="-3"/>
          <w:sz w:val="16"/>
          <w:szCs w:val="16"/>
          <w:lang w:val="en-GB"/>
        </w:rPr>
        <w:t xml:space="preserve">(6.3% in the euro area). It </w:t>
      </w:r>
      <w:r>
        <w:rPr>
          <w:rFonts w:ascii="Arial" w:eastAsia="Calibri" w:hAnsi="Arial"/>
          <w:spacing w:val="-3"/>
          <w:sz w:val="16"/>
          <w:szCs w:val="16"/>
          <w:lang w:val="en-GB"/>
        </w:rPr>
        <w:t xml:space="preserve">stayed </w:t>
      </w:r>
      <w:r w:rsidRPr="00C6691A">
        <w:rPr>
          <w:rFonts w:ascii="Arial" w:eastAsia="Calibri" w:hAnsi="Arial"/>
          <w:spacing w:val="-3"/>
          <w:sz w:val="16"/>
          <w:szCs w:val="16"/>
          <w:lang w:val="en-GB"/>
        </w:rPr>
        <w:t>almost unchanged</w:t>
      </w:r>
      <w:r>
        <w:rPr>
          <w:rFonts w:ascii="Arial" w:eastAsia="Calibri" w:hAnsi="Arial"/>
          <w:spacing w:val="-3"/>
          <w:sz w:val="16"/>
          <w:szCs w:val="16"/>
          <w:lang w:val="en-GB"/>
        </w:rPr>
        <w:t>,</w:t>
      </w:r>
      <w:r w:rsidRPr="00C6691A">
        <w:rPr>
          <w:rFonts w:ascii="Arial" w:eastAsia="Calibri" w:hAnsi="Arial"/>
          <w:spacing w:val="-3"/>
          <w:sz w:val="16"/>
          <w:szCs w:val="16"/>
          <w:lang w:val="en-GB"/>
        </w:rPr>
        <w:t xml:space="preserve"> month-on-month and year-on-year, </w:t>
      </w:r>
      <w:r>
        <w:rPr>
          <w:rFonts w:ascii="Arial" w:eastAsia="Calibri" w:hAnsi="Arial"/>
          <w:spacing w:val="-3"/>
          <w:sz w:val="16"/>
          <w:szCs w:val="16"/>
          <w:lang w:val="en-GB"/>
        </w:rPr>
        <w:t xml:space="preserve">nevertheless </w:t>
      </w:r>
      <w:r w:rsidRPr="00C6691A">
        <w:rPr>
          <w:rFonts w:ascii="Arial" w:eastAsia="Calibri" w:hAnsi="Arial"/>
          <w:spacing w:val="-3"/>
          <w:sz w:val="16"/>
          <w:szCs w:val="16"/>
          <w:lang w:val="en-GB"/>
        </w:rPr>
        <w:t xml:space="preserve">there was a slight improvement </w:t>
      </w:r>
      <w:r>
        <w:rPr>
          <w:rFonts w:ascii="Arial" w:eastAsia="Calibri" w:hAnsi="Arial"/>
          <w:spacing w:val="-3"/>
          <w:sz w:val="16"/>
          <w:szCs w:val="16"/>
          <w:lang w:val="en-GB"/>
        </w:rPr>
        <w:t xml:space="preserve">for females </w:t>
      </w:r>
      <w:r w:rsidRPr="00C6691A">
        <w:rPr>
          <w:rFonts w:ascii="Arial" w:eastAsia="Calibri" w:hAnsi="Arial"/>
          <w:spacing w:val="-3"/>
          <w:sz w:val="16"/>
          <w:szCs w:val="16"/>
          <w:lang w:val="en-GB"/>
        </w:rPr>
        <w:t xml:space="preserve">(to 6.1%). </w:t>
      </w:r>
      <w:r>
        <w:rPr>
          <w:rFonts w:ascii="Arial" w:eastAsia="Calibri" w:hAnsi="Arial"/>
          <w:spacing w:val="-3"/>
          <w:sz w:val="16"/>
          <w:szCs w:val="16"/>
          <w:lang w:val="en-GB"/>
        </w:rPr>
        <w:t xml:space="preserve">Total </w:t>
      </w:r>
      <w:r w:rsidRPr="00C6691A">
        <w:rPr>
          <w:rFonts w:ascii="Arial" w:eastAsia="Calibri" w:hAnsi="Arial"/>
          <w:spacing w:val="-3"/>
          <w:sz w:val="16"/>
          <w:szCs w:val="16"/>
          <w:lang w:val="en-GB"/>
        </w:rPr>
        <w:t xml:space="preserve">unemployment in the EU has been the lowest since 2000 in the available time series and is </w:t>
      </w:r>
      <w:r w:rsidR="00845373">
        <w:rPr>
          <w:rFonts w:ascii="Arial" w:eastAsia="Calibri" w:hAnsi="Arial"/>
          <w:spacing w:val="-3"/>
          <w:sz w:val="16"/>
          <w:szCs w:val="16"/>
          <w:lang w:val="en-GB"/>
        </w:rPr>
        <w:t xml:space="preserve">about </w:t>
      </w:r>
      <w:r w:rsidRPr="00C6691A">
        <w:rPr>
          <w:rFonts w:ascii="Arial" w:eastAsia="Calibri" w:hAnsi="Arial"/>
          <w:spacing w:val="-3"/>
          <w:sz w:val="16"/>
          <w:szCs w:val="16"/>
          <w:lang w:val="en-GB"/>
        </w:rPr>
        <w:t>1 p</w:t>
      </w:r>
      <w:r>
        <w:rPr>
          <w:rFonts w:ascii="Arial" w:eastAsia="Calibri" w:hAnsi="Arial"/>
          <w:spacing w:val="-3"/>
          <w:sz w:val="16"/>
          <w:szCs w:val="16"/>
          <w:lang w:val="en-GB"/>
        </w:rPr>
        <w:t xml:space="preserve">. p. </w:t>
      </w:r>
      <w:r w:rsidR="00845373">
        <w:rPr>
          <w:rFonts w:ascii="Arial" w:eastAsia="Calibri" w:hAnsi="Arial"/>
          <w:spacing w:val="-3"/>
          <w:sz w:val="16"/>
          <w:szCs w:val="16"/>
          <w:lang w:val="en-GB"/>
        </w:rPr>
        <w:t>low</w:t>
      </w:r>
      <w:r w:rsidRPr="00C6691A">
        <w:rPr>
          <w:rFonts w:ascii="Arial" w:eastAsia="Calibri" w:hAnsi="Arial"/>
          <w:spacing w:val="-3"/>
          <w:sz w:val="16"/>
          <w:szCs w:val="16"/>
          <w:lang w:val="en-GB"/>
        </w:rPr>
        <w:t xml:space="preserve">er than at the beginning of 2008 (in both the EU and the euro area). </w:t>
      </w:r>
      <w:r>
        <w:rPr>
          <w:rFonts w:ascii="Arial" w:eastAsia="Calibri" w:hAnsi="Arial"/>
          <w:spacing w:val="-3"/>
          <w:sz w:val="16"/>
          <w:szCs w:val="16"/>
          <w:lang w:val="en-GB"/>
        </w:rPr>
        <w:t xml:space="preserve">Total </w:t>
      </w:r>
      <w:r w:rsidRPr="00C6691A">
        <w:rPr>
          <w:rFonts w:ascii="Arial" w:eastAsia="Calibri" w:hAnsi="Arial"/>
          <w:spacing w:val="-3"/>
          <w:sz w:val="16"/>
          <w:szCs w:val="16"/>
          <w:lang w:val="en-GB"/>
        </w:rPr>
        <w:t>unemployment in the Czech Republic (2.6%) has been the lowest in the EU for eight consecutive years – currently ahead of Malta and Poland (both 3.0%), Germany (3.4%) and the Netherlands (3.7%). The Czech Republic traditionally h</w:t>
      </w:r>
      <w:r>
        <w:rPr>
          <w:rFonts w:ascii="Arial" w:eastAsia="Calibri" w:hAnsi="Arial"/>
          <w:spacing w:val="-3"/>
          <w:sz w:val="16"/>
          <w:szCs w:val="16"/>
          <w:lang w:val="en-GB"/>
        </w:rPr>
        <w:t>eld</w:t>
      </w:r>
      <w:r w:rsidRPr="00C6691A">
        <w:rPr>
          <w:rFonts w:ascii="Arial" w:eastAsia="Calibri" w:hAnsi="Arial"/>
          <w:spacing w:val="-3"/>
          <w:sz w:val="16"/>
          <w:szCs w:val="16"/>
          <w:lang w:val="en-GB"/>
        </w:rPr>
        <w:t xml:space="preserve"> a privileged position thanks to m</w:t>
      </w:r>
      <w:r>
        <w:rPr>
          <w:rFonts w:ascii="Arial" w:eastAsia="Calibri" w:hAnsi="Arial"/>
          <w:spacing w:val="-3"/>
          <w:sz w:val="16"/>
          <w:szCs w:val="16"/>
          <w:lang w:val="en-GB"/>
        </w:rPr>
        <w:t xml:space="preserve">ales </w:t>
      </w:r>
      <w:r w:rsidRPr="00C6691A">
        <w:rPr>
          <w:rFonts w:ascii="Arial" w:eastAsia="Calibri" w:hAnsi="Arial"/>
          <w:spacing w:val="-3"/>
          <w:sz w:val="16"/>
          <w:szCs w:val="16"/>
          <w:lang w:val="en-GB"/>
        </w:rPr>
        <w:t xml:space="preserve">(2.4%). However, even among </w:t>
      </w:r>
      <w:r>
        <w:rPr>
          <w:rFonts w:ascii="Arial" w:eastAsia="Calibri" w:hAnsi="Arial"/>
          <w:spacing w:val="-3"/>
          <w:sz w:val="16"/>
          <w:szCs w:val="16"/>
          <w:lang w:val="en-GB"/>
        </w:rPr>
        <w:t>females</w:t>
      </w:r>
      <w:r w:rsidRPr="00C6691A">
        <w:rPr>
          <w:rFonts w:ascii="Arial" w:eastAsia="Calibri" w:hAnsi="Arial"/>
          <w:spacing w:val="-3"/>
          <w:sz w:val="16"/>
          <w:szCs w:val="16"/>
          <w:lang w:val="en-GB"/>
        </w:rPr>
        <w:t>, where unemployment traditionally fluctuates more, only Malta</w:t>
      </w:r>
      <w:r>
        <w:rPr>
          <w:rFonts w:ascii="Arial" w:eastAsia="Calibri" w:hAnsi="Arial"/>
          <w:spacing w:val="-3"/>
          <w:sz w:val="16"/>
          <w:szCs w:val="16"/>
          <w:lang w:val="en-GB"/>
        </w:rPr>
        <w:t xml:space="preserve"> </w:t>
      </w:r>
      <w:r w:rsidRPr="00C6691A">
        <w:rPr>
          <w:rFonts w:ascii="Arial" w:eastAsia="Calibri" w:hAnsi="Arial"/>
          <w:spacing w:val="-3"/>
          <w:sz w:val="16"/>
          <w:szCs w:val="16"/>
          <w:lang w:val="en-GB"/>
        </w:rPr>
        <w:t>(2.9%) has currently reached a slightly lower level than in the Czech Republic</w:t>
      </w:r>
      <w:r>
        <w:rPr>
          <w:rFonts w:ascii="Arial" w:eastAsia="Calibri" w:hAnsi="Arial"/>
          <w:spacing w:val="-3"/>
          <w:sz w:val="16"/>
          <w:szCs w:val="16"/>
          <w:lang w:val="en-GB"/>
        </w:rPr>
        <w:t xml:space="preserve">. The total </w:t>
      </w:r>
      <w:r w:rsidRPr="00C6691A">
        <w:rPr>
          <w:rFonts w:ascii="Arial" w:eastAsia="Calibri" w:hAnsi="Arial"/>
          <w:spacing w:val="-3"/>
          <w:sz w:val="16"/>
          <w:szCs w:val="16"/>
          <w:lang w:val="en-GB"/>
        </w:rPr>
        <w:t>unemployment increased</w:t>
      </w:r>
      <w:r>
        <w:rPr>
          <w:rFonts w:ascii="Arial" w:eastAsia="Calibri" w:hAnsi="Arial"/>
          <w:spacing w:val="-3"/>
          <w:sz w:val="16"/>
          <w:szCs w:val="16"/>
          <w:lang w:val="en-GB"/>
        </w:rPr>
        <w:t>,</w:t>
      </w:r>
      <w:r w:rsidRPr="00C6691A">
        <w:rPr>
          <w:rFonts w:ascii="Arial" w:eastAsia="Calibri" w:hAnsi="Arial"/>
          <w:spacing w:val="-3"/>
          <w:sz w:val="16"/>
          <w:szCs w:val="16"/>
          <w:lang w:val="en-GB"/>
        </w:rPr>
        <w:t xml:space="preserve"> year-on-year</w:t>
      </w:r>
      <w:r>
        <w:rPr>
          <w:rFonts w:ascii="Arial" w:eastAsia="Calibri" w:hAnsi="Arial"/>
          <w:spacing w:val="-3"/>
          <w:sz w:val="16"/>
          <w:szCs w:val="16"/>
          <w:lang w:val="en-GB"/>
        </w:rPr>
        <w:t>, i</w:t>
      </w:r>
      <w:r w:rsidRPr="00C6691A">
        <w:rPr>
          <w:rFonts w:ascii="Arial" w:eastAsia="Calibri" w:hAnsi="Arial"/>
          <w:spacing w:val="-3"/>
          <w:sz w:val="16"/>
          <w:szCs w:val="16"/>
          <w:lang w:val="en-GB"/>
        </w:rPr>
        <w:t xml:space="preserve">n 10 Member States – most notably in Slovenia (from 3.3% to 5.2%), Denmark (from 5.8% to 7.0%) and Finland (from 7.6% to 8.7% – the third highest level in the Union). A slight deterioration also occurred in other Nordic countries and in the Benelux region. On the </w:t>
      </w:r>
      <w:r>
        <w:rPr>
          <w:rFonts w:ascii="Arial" w:eastAsia="Calibri" w:hAnsi="Arial"/>
          <w:spacing w:val="-3"/>
          <w:sz w:val="16"/>
          <w:szCs w:val="16"/>
          <w:lang w:val="en-GB"/>
        </w:rPr>
        <w:t>contrary</w:t>
      </w:r>
      <w:r w:rsidRPr="00C6691A">
        <w:rPr>
          <w:rFonts w:ascii="Arial" w:eastAsia="Calibri" w:hAnsi="Arial"/>
          <w:spacing w:val="-3"/>
          <w:sz w:val="16"/>
          <w:szCs w:val="16"/>
          <w:lang w:val="en-GB"/>
        </w:rPr>
        <w:t>, there was an improvement mainly in the south – in Italy (from 7.1% to 6.2%), where unemployment fell below the EU level for the first time in a long time. The situation also improved by 1 p</w:t>
      </w:r>
      <w:r>
        <w:rPr>
          <w:rFonts w:ascii="Arial" w:eastAsia="Calibri" w:hAnsi="Arial"/>
          <w:spacing w:val="-3"/>
          <w:sz w:val="16"/>
          <w:szCs w:val="16"/>
          <w:lang w:val="en-GB"/>
        </w:rPr>
        <w:t xml:space="preserve">. p. </w:t>
      </w:r>
      <w:r w:rsidRPr="00C6691A">
        <w:rPr>
          <w:rFonts w:ascii="Arial" w:eastAsia="Calibri" w:hAnsi="Arial"/>
          <w:spacing w:val="-3"/>
          <w:sz w:val="16"/>
          <w:szCs w:val="16"/>
          <w:lang w:val="en-GB"/>
        </w:rPr>
        <w:t xml:space="preserve">in Croatia and Cyprus (both to 4.5%) </w:t>
      </w:r>
      <w:r>
        <w:rPr>
          <w:rFonts w:ascii="Arial" w:eastAsia="Calibri" w:hAnsi="Arial"/>
          <w:spacing w:val="-3"/>
          <w:sz w:val="16"/>
          <w:szCs w:val="16"/>
          <w:lang w:val="en-GB"/>
        </w:rPr>
        <w:t xml:space="preserve">or </w:t>
      </w:r>
      <w:r w:rsidRPr="00C6691A">
        <w:rPr>
          <w:rFonts w:ascii="Arial" w:eastAsia="Calibri" w:hAnsi="Arial"/>
          <w:spacing w:val="-3"/>
          <w:sz w:val="16"/>
          <w:szCs w:val="16"/>
          <w:lang w:val="en-GB"/>
        </w:rPr>
        <w:t>Greece (9.4%). The largest decline occurred in Spain (from 11.9% to 10.6%), which is experiencing relatively rapid economic growth, wh</w:t>
      </w:r>
      <w:r>
        <w:rPr>
          <w:rFonts w:ascii="Arial" w:eastAsia="Calibri" w:hAnsi="Arial"/>
          <w:spacing w:val="-3"/>
          <w:sz w:val="16"/>
          <w:szCs w:val="16"/>
          <w:lang w:val="en-GB"/>
        </w:rPr>
        <w:t>en</w:t>
      </w:r>
      <w:r w:rsidRPr="00C6691A">
        <w:rPr>
          <w:rFonts w:ascii="Arial" w:eastAsia="Calibri" w:hAnsi="Arial"/>
          <w:spacing w:val="-3"/>
          <w:sz w:val="16"/>
          <w:szCs w:val="16"/>
          <w:lang w:val="en-GB"/>
        </w:rPr>
        <w:t xml:space="preserve"> </w:t>
      </w:r>
      <w:r w:rsidR="0038369B">
        <w:rPr>
          <w:rFonts w:ascii="Arial" w:eastAsia="Calibri" w:hAnsi="Arial"/>
          <w:spacing w:val="-3"/>
          <w:sz w:val="16"/>
          <w:szCs w:val="16"/>
          <w:lang w:val="en-GB"/>
        </w:rPr>
        <w:t xml:space="preserve">even </w:t>
      </w:r>
      <w:r w:rsidRPr="00C6691A">
        <w:rPr>
          <w:rFonts w:ascii="Arial" w:eastAsia="Calibri" w:hAnsi="Arial"/>
          <w:spacing w:val="-3"/>
          <w:sz w:val="16"/>
          <w:szCs w:val="16"/>
          <w:lang w:val="en-GB"/>
        </w:rPr>
        <w:t>sectors that are currently in decline in the EU (e.g. ind</w:t>
      </w:r>
      <w:r w:rsidR="0038369B">
        <w:rPr>
          <w:rFonts w:ascii="Arial" w:eastAsia="Calibri" w:hAnsi="Arial"/>
          <w:spacing w:val="-3"/>
          <w:sz w:val="16"/>
          <w:szCs w:val="16"/>
          <w:lang w:val="en-GB"/>
        </w:rPr>
        <w:t xml:space="preserve">ustry and construction) are </w:t>
      </w:r>
      <w:r w:rsidR="0038369B" w:rsidRPr="0038369B">
        <w:rPr>
          <w:rFonts w:ascii="Arial" w:eastAsia="Calibri" w:hAnsi="Arial"/>
          <w:spacing w:val="-3"/>
          <w:sz w:val="16"/>
          <w:szCs w:val="16"/>
          <w:lang w:val="en-GB"/>
        </w:rPr>
        <w:t>simultaneously</w:t>
      </w:r>
      <w:r w:rsidRPr="00C6691A">
        <w:rPr>
          <w:rFonts w:ascii="Arial" w:eastAsia="Calibri" w:hAnsi="Arial"/>
          <w:spacing w:val="-3"/>
          <w:sz w:val="16"/>
          <w:szCs w:val="16"/>
          <w:lang w:val="en-GB"/>
        </w:rPr>
        <w:t xml:space="preserve"> </w:t>
      </w:r>
      <w:r>
        <w:rPr>
          <w:rFonts w:ascii="Arial" w:eastAsia="Calibri" w:hAnsi="Arial"/>
          <w:spacing w:val="-3"/>
          <w:sz w:val="16"/>
          <w:szCs w:val="16"/>
          <w:lang w:val="en-GB"/>
        </w:rPr>
        <w:t>thriving</w:t>
      </w:r>
      <w:r w:rsidR="0038369B">
        <w:rPr>
          <w:rFonts w:ascii="Arial" w:eastAsia="Calibri" w:hAnsi="Arial"/>
          <w:spacing w:val="-3"/>
          <w:sz w:val="16"/>
          <w:szCs w:val="16"/>
          <w:lang w:val="en-GB"/>
        </w:rPr>
        <w:t xml:space="preserve"> in Spain. Desptie this fact</w:t>
      </w:r>
      <w:r w:rsidRPr="00C6691A">
        <w:rPr>
          <w:rFonts w:ascii="Arial" w:eastAsia="Calibri" w:hAnsi="Arial"/>
          <w:spacing w:val="-3"/>
          <w:sz w:val="16"/>
          <w:szCs w:val="16"/>
          <w:lang w:val="en-GB"/>
        </w:rPr>
        <w:t xml:space="preserve">, unemployment remains the highest </w:t>
      </w:r>
      <w:r>
        <w:rPr>
          <w:rFonts w:ascii="Arial" w:eastAsia="Calibri" w:hAnsi="Arial"/>
          <w:spacing w:val="-3"/>
          <w:sz w:val="16"/>
          <w:szCs w:val="16"/>
          <w:lang w:val="en-GB"/>
        </w:rPr>
        <w:t xml:space="preserve">within </w:t>
      </w:r>
      <w:r w:rsidRPr="00C6691A">
        <w:rPr>
          <w:rFonts w:ascii="Arial" w:eastAsia="Calibri" w:hAnsi="Arial"/>
          <w:spacing w:val="-3"/>
          <w:sz w:val="16"/>
          <w:szCs w:val="16"/>
          <w:lang w:val="en-GB"/>
        </w:rPr>
        <w:t>EU</w:t>
      </w:r>
      <w:r w:rsidR="0038369B">
        <w:rPr>
          <w:rFonts w:ascii="Arial" w:eastAsia="Calibri" w:hAnsi="Arial"/>
          <w:spacing w:val="-3"/>
          <w:sz w:val="16"/>
          <w:szCs w:val="16"/>
          <w:lang w:val="en-GB"/>
        </w:rPr>
        <w:t xml:space="preserve"> in Spain</w:t>
      </w:r>
      <w:r w:rsidRPr="00C6691A">
        <w:rPr>
          <w:rFonts w:ascii="Arial" w:eastAsia="Calibri" w:hAnsi="Arial"/>
          <w:spacing w:val="-3"/>
          <w:sz w:val="16"/>
          <w:szCs w:val="16"/>
          <w:lang w:val="en-GB"/>
        </w:rPr>
        <w:t>. The Czech Republic also has a favourable position in terms of unemployment of persons under 25 years of age, as it has long been one of the third of the EU countries with the lowest youth unemployment.</w:t>
      </w:r>
      <w:r>
        <w:rPr>
          <w:rFonts w:ascii="Arial" w:eastAsia="Calibri" w:hAnsi="Arial"/>
          <w:spacing w:val="-3"/>
          <w:sz w:val="16"/>
          <w:szCs w:val="16"/>
          <w:lang w:val="en-GB"/>
        </w:rPr>
        <w:t xml:space="preserve"> I</w:t>
      </w:r>
      <w:r w:rsidRPr="00C6691A">
        <w:rPr>
          <w:rFonts w:ascii="Arial" w:eastAsia="Calibri" w:hAnsi="Arial"/>
          <w:spacing w:val="-3"/>
          <w:sz w:val="16"/>
          <w:szCs w:val="16"/>
          <w:lang w:val="en-GB"/>
        </w:rPr>
        <w:t xml:space="preserve">t reached 9% in the Czech Republic December </w:t>
      </w:r>
      <w:r w:rsidR="0038369B">
        <w:rPr>
          <w:rFonts w:ascii="Arial" w:eastAsia="Calibri" w:hAnsi="Arial"/>
          <w:spacing w:val="-3"/>
          <w:sz w:val="16"/>
          <w:szCs w:val="16"/>
          <w:lang w:val="en-GB"/>
        </w:rPr>
        <w:t xml:space="preserve">2024 </w:t>
      </w:r>
      <w:r w:rsidRPr="00C6691A">
        <w:rPr>
          <w:rFonts w:ascii="Arial" w:eastAsia="Calibri" w:hAnsi="Arial"/>
          <w:spacing w:val="-3"/>
          <w:sz w:val="16"/>
          <w:szCs w:val="16"/>
          <w:lang w:val="en-GB"/>
        </w:rPr>
        <w:t>(15% in the EU) and unemployment of more than 20% plagued six Member States – especially the countries of the southern wing of the euro</w:t>
      </w:r>
      <w:r>
        <w:rPr>
          <w:rFonts w:ascii="Arial" w:eastAsia="Calibri" w:hAnsi="Arial"/>
          <w:spacing w:val="-3"/>
          <w:sz w:val="16"/>
          <w:szCs w:val="16"/>
          <w:lang w:val="en-GB"/>
        </w:rPr>
        <w:t xml:space="preserve"> area. </w:t>
      </w:r>
    </w:p>
  </w:footnote>
  <w:footnote w:id="20">
    <w:p w14:paraId="15EE4B58" w14:textId="77777777" w:rsidR="006145FA" w:rsidRPr="00E97315" w:rsidRDefault="006145FA" w:rsidP="00803507">
      <w:pPr>
        <w:pStyle w:val="Textpoznpodarou"/>
        <w:jc w:val="both"/>
        <w:rPr>
          <w:sz w:val="16"/>
          <w:szCs w:val="16"/>
          <w:lang w:val="en-GB"/>
        </w:rPr>
      </w:pPr>
      <w:r w:rsidRPr="00E97315">
        <w:rPr>
          <w:rStyle w:val="Znakapoznpodarou"/>
          <w:sz w:val="16"/>
          <w:szCs w:val="16"/>
          <w:lang w:val="en-GB"/>
        </w:rPr>
        <w:footnoteRef/>
      </w:r>
      <w:r w:rsidRPr="00E97315">
        <w:rPr>
          <w:sz w:val="16"/>
          <w:szCs w:val="16"/>
          <w:lang w:val="en-GB"/>
        </w:rPr>
        <w:t xml:space="preserve"> </w:t>
      </w:r>
      <w:r w:rsidRPr="00B01F20">
        <w:rPr>
          <w:sz w:val="16"/>
          <w:szCs w:val="16"/>
        </w:rPr>
        <w:t>However, only a sixth of this number is able to start work immediately. A significant part of the work reserves is made up of students and women on parental leave.</w:t>
      </w:r>
    </w:p>
  </w:footnote>
  <w:footnote w:id="21">
    <w:p w14:paraId="2883E24B" w14:textId="77777777" w:rsidR="006145FA" w:rsidRPr="00C57064" w:rsidRDefault="006145FA" w:rsidP="00803507">
      <w:pPr>
        <w:pStyle w:val="Textpoznpodarou"/>
        <w:jc w:val="both"/>
        <w:rPr>
          <w:rFonts w:cs="Arial"/>
          <w:sz w:val="16"/>
          <w:szCs w:val="16"/>
          <w:lang w:val="en-GB"/>
        </w:rPr>
      </w:pPr>
      <w:r w:rsidRPr="00E97315">
        <w:rPr>
          <w:rStyle w:val="Znakapoznpodarou"/>
          <w:sz w:val="16"/>
          <w:szCs w:val="16"/>
          <w:lang w:val="en-GB"/>
        </w:rPr>
        <w:footnoteRef/>
      </w:r>
      <w:r w:rsidRPr="00E97315">
        <w:rPr>
          <w:sz w:val="16"/>
          <w:szCs w:val="16"/>
          <w:lang w:val="en-GB"/>
        </w:rPr>
        <w:t xml:space="preserve"> </w:t>
      </w:r>
      <w:r w:rsidRPr="005D4B8E">
        <w:rPr>
          <w:sz w:val="16"/>
          <w:szCs w:val="16"/>
        </w:rPr>
        <w:t>Only a smaller proportion of jobs can be considered active –</w:t>
      </w:r>
      <w:r>
        <w:rPr>
          <w:sz w:val="16"/>
          <w:szCs w:val="16"/>
        </w:rPr>
        <w:t xml:space="preserve"> </w:t>
      </w:r>
      <w:r w:rsidRPr="005D4B8E">
        <w:rPr>
          <w:sz w:val="16"/>
          <w:szCs w:val="16"/>
        </w:rPr>
        <w:t>only 112</w:t>
      </w:r>
      <w:r>
        <w:rPr>
          <w:sz w:val="16"/>
          <w:szCs w:val="16"/>
        </w:rPr>
        <w:t> </w:t>
      </w:r>
      <w:r w:rsidRPr="005D4B8E">
        <w:rPr>
          <w:sz w:val="16"/>
          <w:szCs w:val="16"/>
        </w:rPr>
        <w:t>thousand jobs were advertised at the Labour Office</w:t>
      </w:r>
      <w:r>
        <w:rPr>
          <w:sz w:val="16"/>
          <w:szCs w:val="16"/>
        </w:rPr>
        <w:t xml:space="preserve"> </w:t>
      </w:r>
      <w:r w:rsidRPr="005D4B8E">
        <w:rPr>
          <w:sz w:val="16"/>
          <w:szCs w:val="16"/>
        </w:rPr>
        <w:t>less than half a year, down by 10</w:t>
      </w:r>
      <w:r>
        <w:rPr>
          <w:sz w:val="16"/>
          <w:szCs w:val="16"/>
        </w:rPr>
        <w:t> </w:t>
      </w:r>
      <w:r w:rsidRPr="005D4B8E">
        <w:rPr>
          <w:sz w:val="16"/>
          <w:szCs w:val="16"/>
        </w:rPr>
        <w:t>thousand</w:t>
      </w:r>
      <w:r>
        <w:rPr>
          <w:sz w:val="16"/>
          <w:szCs w:val="16"/>
        </w:rPr>
        <w:t>,</w:t>
      </w:r>
      <w:r w:rsidRPr="005D4B8E">
        <w:rPr>
          <w:sz w:val="16"/>
          <w:szCs w:val="16"/>
        </w:rPr>
        <w:t xml:space="preserve"> year-on-year (the</w:t>
      </w:r>
      <w:r>
        <w:rPr>
          <w:sz w:val="16"/>
          <w:szCs w:val="16"/>
        </w:rPr>
        <w:t xml:space="preserve"> </w:t>
      </w:r>
      <w:r w:rsidRPr="005D4B8E">
        <w:rPr>
          <w:sz w:val="16"/>
          <w:szCs w:val="16"/>
        </w:rPr>
        <w:t>decrease</w:t>
      </w:r>
      <w:r>
        <w:rPr>
          <w:sz w:val="16"/>
          <w:szCs w:val="16"/>
        </w:rPr>
        <w:t xml:space="preserve"> manifested</w:t>
      </w:r>
      <w:r w:rsidRPr="005D4B8E">
        <w:rPr>
          <w:sz w:val="16"/>
          <w:szCs w:val="16"/>
        </w:rPr>
        <w:t xml:space="preserve"> across education</w:t>
      </w:r>
      <w:r>
        <w:rPr>
          <w:sz w:val="16"/>
          <w:szCs w:val="16"/>
        </w:rPr>
        <w:t>al</w:t>
      </w:r>
      <w:r w:rsidRPr="005D4B8E">
        <w:rPr>
          <w:sz w:val="16"/>
          <w:szCs w:val="16"/>
        </w:rPr>
        <w:t xml:space="preserve"> categories). According to experimental statistics of the C</w:t>
      </w:r>
      <w:r>
        <w:rPr>
          <w:sz w:val="16"/>
          <w:szCs w:val="16"/>
        </w:rPr>
        <w:t xml:space="preserve">ZSO </w:t>
      </w:r>
      <w:r w:rsidRPr="005D4B8E">
        <w:rPr>
          <w:sz w:val="16"/>
          <w:szCs w:val="16"/>
        </w:rPr>
        <w:t xml:space="preserve">(surveys of enterprises conducted since 2020), the offer of domestic </w:t>
      </w:r>
      <w:r>
        <w:rPr>
          <w:sz w:val="16"/>
          <w:szCs w:val="16"/>
        </w:rPr>
        <w:t xml:space="preserve">businesses </w:t>
      </w:r>
      <w:r w:rsidRPr="005D4B8E">
        <w:rPr>
          <w:sz w:val="16"/>
          <w:szCs w:val="16"/>
        </w:rPr>
        <w:t>was estimated at 101</w:t>
      </w:r>
      <w:r>
        <w:rPr>
          <w:sz w:val="16"/>
          <w:szCs w:val="16"/>
        </w:rPr>
        <w:t> </w:t>
      </w:r>
      <w:r w:rsidRPr="005D4B8E">
        <w:rPr>
          <w:sz w:val="16"/>
          <w:szCs w:val="16"/>
        </w:rPr>
        <w:t>thousand vacancies</w:t>
      </w:r>
      <w:r>
        <w:rPr>
          <w:sz w:val="16"/>
          <w:szCs w:val="16"/>
        </w:rPr>
        <w:t xml:space="preserve"> </w:t>
      </w:r>
      <w:r w:rsidRPr="005D4B8E">
        <w:rPr>
          <w:sz w:val="16"/>
          <w:szCs w:val="16"/>
        </w:rPr>
        <w:t>in Q4 2024 (these are only jobs in an employment relationship, not temporary jobs, e.g. various types of agreements). The number of jobs increased by 9%</w:t>
      </w:r>
      <w:r>
        <w:rPr>
          <w:sz w:val="16"/>
          <w:szCs w:val="16"/>
        </w:rPr>
        <w:t>,</w:t>
      </w:r>
      <w:r w:rsidRPr="005D4B8E">
        <w:rPr>
          <w:sz w:val="16"/>
          <w:szCs w:val="16"/>
        </w:rPr>
        <w:t xml:space="preserve"> year-on-year (slightly growing in all quarters of last year). Currently, </w:t>
      </w:r>
      <w:r>
        <w:rPr>
          <w:sz w:val="16"/>
          <w:szCs w:val="16"/>
        </w:rPr>
        <w:t xml:space="preserve">mainly </w:t>
      </w:r>
      <w:r w:rsidRPr="005D4B8E">
        <w:rPr>
          <w:sz w:val="16"/>
          <w:szCs w:val="16"/>
        </w:rPr>
        <w:t xml:space="preserve">the supply of jobs in public services (across </w:t>
      </w:r>
      <w:r>
        <w:rPr>
          <w:sz w:val="16"/>
          <w:szCs w:val="16"/>
        </w:rPr>
        <w:t>branches</w:t>
      </w:r>
      <w:r w:rsidRPr="005D4B8E">
        <w:rPr>
          <w:sz w:val="16"/>
          <w:szCs w:val="16"/>
        </w:rPr>
        <w:t xml:space="preserve">), as well as in trade </w:t>
      </w:r>
      <w:r>
        <w:rPr>
          <w:sz w:val="16"/>
          <w:szCs w:val="16"/>
        </w:rPr>
        <w:t xml:space="preserve">or </w:t>
      </w:r>
      <w:r w:rsidRPr="005D4B8E">
        <w:rPr>
          <w:sz w:val="16"/>
          <w:szCs w:val="16"/>
        </w:rPr>
        <w:t xml:space="preserve">advanced services for businesses, has increased. </w:t>
      </w:r>
      <w:r>
        <w:rPr>
          <w:sz w:val="16"/>
          <w:szCs w:val="16"/>
        </w:rPr>
        <w:t>In contrast</w:t>
      </w:r>
      <w:r w:rsidRPr="005D4B8E">
        <w:rPr>
          <w:sz w:val="16"/>
          <w:szCs w:val="16"/>
        </w:rPr>
        <w:t xml:space="preserve">, the number of jobs offered in </w:t>
      </w:r>
      <w:r>
        <w:rPr>
          <w:sz w:val="16"/>
          <w:szCs w:val="16"/>
        </w:rPr>
        <w:t>con</w:t>
      </w:r>
      <w:r w:rsidRPr="005D4B8E">
        <w:rPr>
          <w:sz w:val="16"/>
          <w:szCs w:val="16"/>
        </w:rPr>
        <w:t xml:space="preserve">truction decreased. In industry, where a similar development persisted for eight quarters in a row, the </w:t>
      </w:r>
      <w:r>
        <w:rPr>
          <w:sz w:val="16"/>
          <w:szCs w:val="16"/>
        </w:rPr>
        <w:t xml:space="preserve">reduction of </w:t>
      </w:r>
      <w:r w:rsidRPr="005D4B8E">
        <w:rPr>
          <w:sz w:val="16"/>
          <w:szCs w:val="16"/>
        </w:rPr>
        <w:t>jobs stopped at the very end of last year (to 25</w:t>
      </w:r>
      <w:r>
        <w:rPr>
          <w:sz w:val="16"/>
          <w:szCs w:val="16"/>
        </w:rPr>
        <w:t> </w:t>
      </w:r>
      <w:r w:rsidRPr="005D4B8E">
        <w:rPr>
          <w:sz w:val="16"/>
          <w:szCs w:val="16"/>
        </w:rPr>
        <w:t>thousand). However, the largest offer of vacancies was available in the services sector (69</w:t>
      </w:r>
      <w:r>
        <w:rPr>
          <w:sz w:val="16"/>
          <w:szCs w:val="16"/>
        </w:rPr>
        <w:t> </w:t>
      </w:r>
      <w:r w:rsidRPr="005D4B8E">
        <w:rPr>
          <w:sz w:val="16"/>
          <w:szCs w:val="16"/>
        </w:rPr>
        <w:t>thousand), of which 26</w:t>
      </w:r>
      <w:r>
        <w:rPr>
          <w:sz w:val="16"/>
          <w:szCs w:val="16"/>
        </w:rPr>
        <w:t> </w:t>
      </w:r>
      <w:r w:rsidRPr="005D4B8E">
        <w:rPr>
          <w:sz w:val="16"/>
          <w:szCs w:val="16"/>
        </w:rPr>
        <w:t xml:space="preserve">thousand were in </w:t>
      </w:r>
      <w:r>
        <w:rPr>
          <w:sz w:val="16"/>
          <w:szCs w:val="16"/>
        </w:rPr>
        <w:t xml:space="preserve">branches </w:t>
      </w:r>
      <w:r w:rsidRPr="005D4B8E">
        <w:rPr>
          <w:sz w:val="16"/>
          <w:szCs w:val="16"/>
        </w:rPr>
        <w:t>with a significant role of the state.</w:t>
      </w:r>
      <w:r>
        <w:rPr>
          <w:sz w:val="16"/>
          <w:szCs w:val="16"/>
        </w:rPr>
        <w:t xml:space="preserve"> </w:t>
      </w:r>
      <w:r w:rsidRPr="00C57064">
        <w:rPr>
          <w:rStyle w:val="eop"/>
          <w:rFonts w:cs="Arial"/>
          <w:sz w:val="16"/>
          <w:szCs w:val="16"/>
          <w:lang w:val="en-GB"/>
        </w:rPr>
        <w:t xml:space="preserve">  </w:t>
      </w:r>
    </w:p>
  </w:footnote>
  <w:footnote w:id="22">
    <w:p w14:paraId="373BC173" w14:textId="77777777" w:rsidR="006145FA" w:rsidRPr="00D17CEF" w:rsidRDefault="006145FA" w:rsidP="00803507">
      <w:pPr>
        <w:pStyle w:val="Textpoznpodarou"/>
        <w:jc w:val="both"/>
        <w:rPr>
          <w:sz w:val="16"/>
          <w:szCs w:val="16"/>
          <w:lang w:val="en-GB"/>
        </w:rPr>
      </w:pPr>
      <w:r w:rsidRPr="00FA5D12">
        <w:rPr>
          <w:rStyle w:val="Znakapoznpodarou"/>
          <w:sz w:val="16"/>
          <w:szCs w:val="16"/>
        </w:rPr>
        <w:footnoteRef/>
      </w:r>
      <w:r w:rsidRPr="00FA5D12">
        <w:rPr>
          <w:sz w:val="16"/>
          <w:szCs w:val="16"/>
        </w:rPr>
        <w:t xml:space="preserve"> </w:t>
      </w:r>
      <w:r w:rsidRPr="00D17CEF">
        <w:rPr>
          <w:sz w:val="16"/>
          <w:szCs w:val="16"/>
          <w:lang w:val="en-GB"/>
        </w:rPr>
        <w:t>For example, in 2023, only 13% of all non-EU foreigners (or 9% of Ukrainians), 24% of all foreigners from EU countries, but 44% of all employees with Czech citizenship worked in the most qualified employment classes (managers, specialists, technical and professional workers) in the Czech Republic.</w:t>
      </w:r>
    </w:p>
  </w:footnote>
  <w:footnote w:id="23">
    <w:p w14:paraId="0A791FF6" w14:textId="77777777" w:rsidR="006145FA" w:rsidRPr="00D17CEF" w:rsidRDefault="006145FA" w:rsidP="00803507">
      <w:pPr>
        <w:pStyle w:val="Textpoznpodarou"/>
        <w:jc w:val="both"/>
        <w:rPr>
          <w:lang w:val="en-GB"/>
        </w:rPr>
      </w:pPr>
      <w:r w:rsidRPr="00D17CEF">
        <w:rPr>
          <w:rStyle w:val="Znakapoznpodarou"/>
          <w:sz w:val="16"/>
          <w:szCs w:val="16"/>
          <w:lang w:val="en-GB"/>
        </w:rPr>
        <w:footnoteRef/>
      </w:r>
      <w:r w:rsidRPr="00D17CEF">
        <w:rPr>
          <w:sz w:val="16"/>
          <w:szCs w:val="16"/>
          <w:lang w:val="en-GB"/>
        </w:rPr>
        <w:t xml:space="preserve"> The minimum wage was set by a new indexation mechanism last year (it is expected to gradually increase up to 47% of the average wage in 2029). From January 2025, this wage thus increased by 10% to 20,800 CZK. On the other hand, the institute of guaranteed wages was fundamentally simplified and is now used only in the salary sphere. </w:t>
      </w:r>
    </w:p>
  </w:footnote>
  <w:footnote w:id="24">
    <w:p w14:paraId="63CBE945" w14:textId="77777777" w:rsidR="006145FA" w:rsidRPr="00D17CEF" w:rsidRDefault="006145FA" w:rsidP="00803507">
      <w:pPr>
        <w:pStyle w:val="Textpoznpodarou"/>
        <w:jc w:val="both"/>
        <w:rPr>
          <w:lang w:val="en-GB"/>
        </w:rPr>
      </w:pPr>
      <w:r w:rsidRPr="00D17CEF">
        <w:rPr>
          <w:rStyle w:val="Znakapoznpodarou"/>
          <w:sz w:val="16"/>
          <w:szCs w:val="16"/>
          <w:lang w:val="en-GB"/>
        </w:rPr>
        <w:footnoteRef/>
      </w:r>
      <w:r>
        <w:rPr>
          <w:sz w:val="16"/>
          <w:szCs w:val="16"/>
        </w:rPr>
        <w:t xml:space="preserve"> T</w:t>
      </w:r>
      <w:r w:rsidRPr="006B7FB3">
        <w:rPr>
          <w:sz w:val="16"/>
          <w:szCs w:val="16"/>
        </w:rPr>
        <w:t>here have been tariff adjustments and personal allowances have increased for a large number of employees</w:t>
      </w:r>
      <w:r>
        <w:rPr>
          <w:sz w:val="16"/>
          <w:szCs w:val="16"/>
        </w:rPr>
        <w:t xml:space="preserve"> here since </w:t>
      </w:r>
      <w:r w:rsidRPr="006B7FB3">
        <w:rPr>
          <w:sz w:val="16"/>
          <w:szCs w:val="16"/>
        </w:rPr>
        <w:t>January 2024.</w:t>
      </w:r>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6145FA" w:rsidRPr="00C27E4F" w:rsidRDefault="006145FA"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6145FA" w:rsidRPr="006F5416" w:rsidRDefault="006145FA"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02530768" o:spid="_x0000_i1026" type="#_x0000_t75" style="width:11.25pt;height:11.25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26"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9"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9"/>
  </w:num>
  <w:num w:numId="14">
    <w:abstractNumId w:val="14"/>
  </w:num>
  <w:num w:numId="15">
    <w:abstractNumId w:val="20"/>
  </w:num>
  <w:num w:numId="16">
    <w:abstractNumId w:val="16"/>
  </w:num>
  <w:num w:numId="17">
    <w:abstractNumId w:val="30"/>
  </w:num>
  <w:num w:numId="18">
    <w:abstractNumId w:val="21"/>
  </w:num>
  <w:num w:numId="19">
    <w:abstractNumId w:val="32"/>
  </w:num>
  <w:num w:numId="20">
    <w:abstractNumId w:val="37"/>
  </w:num>
  <w:num w:numId="21">
    <w:abstractNumId w:val="28"/>
  </w:num>
  <w:num w:numId="22">
    <w:abstractNumId w:val="19"/>
  </w:num>
  <w:num w:numId="23">
    <w:abstractNumId w:val="17"/>
  </w:num>
  <w:num w:numId="24">
    <w:abstractNumId w:val="18"/>
  </w:num>
  <w:num w:numId="25">
    <w:abstractNumId w:val="35"/>
  </w:num>
  <w:num w:numId="26">
    <w:abstractNumId w:val="36"/>
  </w:num>
  <w:num w:numId="27">
    <w:abstractNumId w:val="13"/>
  </w:num>
  <w:num w:numId="28">
    <w:abstractNumId w:val="23"/>
  </w:num>
  <w:num w:numId="29">
    <w:abstractNumId w:val="22"/>
  </w:num>
  <w:num w:numId="30">
    <w:abstractNumId w:val="10"/>
  </w:num>
  <w:num w:numId="31">
    <w:abstractNumId w:val="24"/>
  </w:num>
  <w:num w:numId="32">
    <w:abstractNumId w:val="12"/>
  </w:num>
  <w:num w:numId="33">
    <w:abstractNumId w:val="39"/>
  </w:num>
  <w:num w:numId="34">
    <w:abstractNumId w:val="11"/>
  </w:num>
  <w:num w:numId="35">
    <w:abstractNumId w:val="31"/>
  </w:num>
  <w:num w:numId="36">
    <w:abstractNumId w:val="26"/>
  </w:num>
  <w:num w:numId="37">
    <w:abstractNumId w:val="25"/>
  </w:num>
  <w:num w:numId="38">
    <w:abstractNumId w:val="33"/>
  </w:num>
  <w:num w:numId="39">
    <w:abstractNumId w:val="38"/>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24D3"/>
    <w:rsid w:val="00004D5A"/>
    <w:rsid w:val="000056D5"/>
    <w:rsid w:val="00006ABD"/>
    <w:rsid w:val="0000767A"/>
    <w:rsid w:val="00010256"/>
    <w:rsid w:val="00010702"/>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4335E"/>
    <w:rsid w:val="00344668"/>
    <w:rsid w:val="003462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B461F"/>
    <w:rsid w:val="003B5A32"/>
    <w:rsid w:val="003C3490"/>
    <w:rsid w:val="003C7E62"/>
    <w:rsid w:val="003D6920"/>
    <w:rsid w:val="003E0A6F"/>
    <w:rsid w:val="003E48F2"/>
    <w:rsid w:val="003E4C91"/>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41A0"/>
    <w:rsid w:val="004455BA"/>
    <w:rsid w:val="0045078A"/>
    <w:rsid w:val="0045086D"/>
    <w:rsid w:val="00451504"/>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95BEF"/>
    <w:rsid w:val="006977F6"/>
    <w:rsid w:val="00697A13"/>
    <w:rsid w:val="006A109C"/>
    <w:rsid w:val="006B0F9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2180"/>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60D1"/>
    <w:rsid w:val="009B6FD3"/>
    <w:rsid w:val="009C1750"/>
    <w:rsid w:val="009C2E29"/>
    <w:rsid w:val="009C554B"/>
    <w:rsid w:val="009C719E"/>
    <w:rsid w:val="009C7A10"/>
    <w:rsid w:val="009D3ACD"/>
    <w:rsid w:val="009E5273"/>
    <w:rsid w:val="009E5DDB"/>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A7C0C"/>
    <w:rsid w:val="00DB08A9"/>
    <w:rsid w:val="00DB2EC8"/>
    <w:rsid w:val="00DC5B3B"/>
    <w:rsid w:val="00DD129F"/>
    <w:rsid w:val="00DE02BD"/>
    <w:rsid w:val="00DF42FF"/>
    <w:rsid w:val="00E01C0E"/>
    <w:rsid w:val="00E03F9A"/>
    <w:rsid w:val="00E04694"/>
    <w:rsid w:val="00E063CE"/>
    <w:rsid w:val="00E12B1E"/>
    <w:rsid w:val="00E17262"/>
    <w:rsid w:val="00E200EF"/>
    <w:rsid w:val="00E253A2"/>
    <w:rsid w:val="00E3309D"/>
    <w:rsid w:val="00E43C1C"/>
    <w:rsid w:val="00E47EBA"/>
    <w:rsid w:val="00E50156"/>
    <w:rsid w:val="00E51643"/>
    <w:rsid w:val="00E53470"/>
    <w:rsid w:val="00E539F6"/>
    <w:rsid w:val="00E551F6"/>
    <w:rsid w:val="00E60BBE"/>
    <w:rsid w:val="00E6519D"/>
    <w:rsid w:val="00E67696"/>
    <w:rsid w:val="00E677D5"/>
    <w:rsid w:val="00E71A58"/>
    <w:rsid w:val="00E72A7A"/>
    <w:rsid w:val="00E75C94"/>
    <w:rsid w:val="00E93820"/>
    <w:rsid w:val="00E94A86"/>
    <w:rsid w:val="00E96143"/>
    <w:rsid w:val="00E96C2A"/>
    <w:rsid w:val="00EA0987"/>
    <w:rsid w:val="00EA0C68"/>
    <w:rsid w:val="00EA32BC"/>
    <w:rsid w:val="00EA4302"/>
    <w:rsid w:val="00EB4511"/>
    <w:rsid w:val="00EC03D7"/>
    <w:rsid w:val="00ED4FDC"/>
    <w:rsid w:val="00ED62C6"/>
    <w:rsid w:val="00ED64C1"/>
    <w:rsid w:val="00EE3446"/>
    <w:rsid w:val="00EE3E78"/>
    <w:rsid w:val="00EE4B1B"/>
    <w:rsid w:val="00EE7F19"/>
    <w:rsid w:val="00EF150D"/>
    <w:rsid w:val="00EF1F5A"/>
    <w:rsid w:val="00EF3741"/>
    <w:rsid w:val="00EF47BF"/>
    <w:rsid w:val="00F00320"/>
    <w:rsid w:val="00F04811"/>
    <w:rsid w:val="00F0488C"/>
    <w:rsid w:val="00F10F11"/>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F:\Qmakro-2024\Celorok\ENGL\ENGL-Grafy-Ttrh%20pr&#225;ce-rok-202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Qmakro-2024\Celorok\ENGL\ENGL-Grafy-Ttrh%20pr&#225;ce-rok-202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Qmakro-2024\Celorok\ENGL\ENGL-Grafy-Ttrh%20pr&#225;ce-rok-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2048E-2"/>
          <c:y val="1.4522051060224651E-2"/>
          <c:w val="0.84495121574960907"/>
          <c:h val="0.67557130739459548"/>
        </c:manualLayout>
      </c:layout>
      <c:barChart>
        <c:barDir val="col"/>
        <c:grouping val="stacked"/>
        <c:varyColors val="0"/>
        <c:ser>
          <c:idx val="0"/>
          <c:order val="0"/>
          <c:tx>
            <c:strRef>
              <c:f>'Trh práce 1-SNÚ'!$AC$7</c:f>
              <c:strCache>
                <c:ptCount val="1"/>
                <c:pt idx="0">
                  <c:v>Agriculture, forestry and fishing</c:v>
                </c:pt>
              </c:strCache>
            </c:strRef>
          </c:tx>
          <c:spPr>
            <a:solidFill>
              <a:srgbClr val="7DBB2D"/>
            </a:solidFill>
            <a:ln>
              <a:noFill/>
            </a:ln>
          </c:spPr>
          <c:invertIfNegative val="0"/>
          <c:cat>
            <c:multiLvlStrRef>
              <c:f>'Trh práce 1-SNÚ'!$AA$28:$AB$68</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 1-SNÚ'!$AC$28:$AC$68</c:f>
              <c:numCache>
                <c:formatCode>#\ ##0.0</c:formatCode>
                <c:ptCount val="41"/>
                <c:pt idx="0">
                  <c:v>-6.1573326356334918E-2</c:v>
                </c:pt>
                <c:pt idx="1">
                  <c:v>-5.9676888347252419E-2</c:v>
                </c:pt>
                <c:pt idx="2">
                  <c:v>-7.707844703464159E-2</c:v>
                </c:pt>
                <c:pt idx="3">
                  <c:v>-0.14243709499262253</c:v>
                </c:pt>
                <c:pt idx="4">
                  <c:v>-0.13840014711933823</c:v>
                </c:pt>
                <c:pt idx="5">
                  <c:v>-4.8650842041975666E-2</c:v>
                </c:pt>
                <c:pt idx="6">
                  <c:v>-5.6369916424211908E-2</c:v>
                </c:pt>
                <c:pt idx="7">
                  <c:v>5.3611107528481909E-2</c:v>
                </c:pt>
                <c:pt idx="8">
                  <c:v>0.11362815565462964</c:v>
                </c:pt>
                <c:pt idx="9">
                  <c:v>5.0071347365045656E-2</c:v>
                </c:pt>
                <c:pt idx="10">
                  <c:v>4.1044524794336977E-2</c:v>
                </c:pt>
                <c:pt idx="11">
                  <c:v>-6.8207996146105745E-2</c:v>
                </c:pt>
                <c:pt idx="12">
                  <c:v>1.1563918372028041E-2</c:v>
                </c:pt>
                <c:pt idx="13">
                  <c:v>9.9469652773378076E-3</c:v>
                </c:pt>
                <c:pt idx="14">
                  <c:v>-4.5877079510242644E-3</c:v>
                </c:pt>
                <c:pt idx="15">
                  <c:v>6.1002100013741969E-2</c:v>
                </c:pt>
                <c:pt idx="16">
                  <c:v>-7.7206500491187602E-2</c:v>
                </c:pt>
                <c:pt idx="17">
                  <c:v>-0.12546310619157755</c:v>
                </c:pt>
                <c:pt idx="18">
                  <c:v>-0.15916772896693915</c:v>
                </c:pt>
                <c:pt idx="19">
                  <c:v>-0.17729355041451639</c:v>
                </c:pt>
                <c:pt idx="20">
                  <c:v>-0.22963797478861914</c:v>
                </c:pt>
                <c:pt idx="21">
                  <c:v>-0.16486981249577076</c:v>
                </c:pt>
                <c:pt idx="22">
                  <c:v>-7.1458262303198058E-2</c:v>
                </c:pt>
                <c:pt idx="23">
                  <c:v>-7.1155713762608958E-2</c:v>
                </c:pt>
                <c:pt idx="24">
                  <c:v>1.988648589111628E-2</c:v>
                </c:pt>
                <c:pt idx="25">
                  <c:v>-4.5264025753272527E-2</c:v>
                </c:pt>
                <c:pt idx="26">
                  <c:v>-5.6861720003765062E-2</c:v>
                </c:pt>
                <c:pt idx="27">
                  <c:v>-7.103915889635871E-4</c:v>
                </c:pt>
                <c:pt idx="28">
                  <c:v>0.1001903961167062</c:v>
                </c:pt>
                <c:pt idx="29">
                  <c:v>0.19187936731668201</c:v>
                </c:pt>
                <c:pt idx="30">
                  <c:v>0.16694191816358248</c:v>
                </c:pt>
                <c:pt idx="31">
                  <c:v>8.0972483290481317E-2</c:v>
                </c:pt>
                <c:pt idx="32">
                  <c:v>2.6983862251070734E-2</c:v>
                </c:pt>
                <c:pt idx="33">
                  <c:v>1.5720339649167119E-3</c:v>
                </c:pt>
                <c:pt idx="34">
                  <c:v>-7.4409908857209078E-3</c:v>
                </c:pt>
                <c:pt idx="35">
                  <c:v>2.8532291098131043E-2</c:v>
                </c:pt>
                <c:pt idx="36">
                  <c:v>5.1710353470813208E-2</c:v>
                </c:pt>
                <c:pt idx="37">
                  <c:v>4.5731331942630953E-2</c:v>
                </c:pt>
                <c:pt idx="38">
                  <c:v>-1.9597614213169266E-2</c:v>
                </c:pt>
                <c:pt idx="39">
                  <c:v>1.4498178550444683E-2</c:v>
                </c:pt>
              </c:numCache>
            </c:numRef>
          </c:val>
          <c:extLst>
            <c:ext xmlns:c16="http://schemas.microsoft.com/office/drawing/2014/chart" uri="{C3380CC4-5D6E-409C-BE32-E72D297353CC}">
              <c16:uniqueId val="{00000000-E739-46ED-ADBE-BC23FCF4C7C9}"/>
            </c:ext>
          </c:extLst>
        </c:ser>
        <c:ser>
          <c:idx val="1"/>
          <c:order val="1"/>
          <c:tx>
            <c:strRef>
              <c:f>'Trh práce 1-SNÚ'!$AD$7</c:f>
              <c:strCache>
                <c:ptCount val="1"/>
                <c:pt idx="0">
                  <c:v>Manufacturing </c:v>
                </c:pt>
              </c:strCache>
            </c:strRef>
          </c:tx>
          <c:spPr>
            <a:solidFill>
              <a:srgbClr val="A6CDE8"/>
            </a:solidFill>
            <a:ln>
              <a:noFill/>
            </a:ln>
          </c:spPr>
          <c:invertIfNegative val="0"/>
          <c:cat>
            <c:multiLvlStrRef>
              <c:f>'Trh práce 1-SNÚ'!$AA$28:$AB$68</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 1-SNÚ'!$AD$28:$AD$68</c:f>
              <c:numCache>
                <c:formatCode>#\ ##0.0</c:formatCode>
                <c:ptCount val="41"/>
                <c:pt idx="0">
                  <c:v>0.88665589953122292</c:v>
                </c:pt>
                <c:pt idx="1">
                  <c:v>0.90523042979145274</c:v>
                </c:pt>
                <c:pt idx="2">
                  <c:v>0.77326960941049294</c:v>
                </c:pt>
                <c:pt idx="3">
                  <c:v>0.91244318301403449</c:v>
                </c:pt>
                <c:pt idx="4">
                  <c:v>0.62615046214619641</c:v>
                </c:pt>
                <c:pt idx="5">
                  <c:v>0.36311412514139912</c:v>
                </c:pt>
                <c:pt idx="6">
                  <c:v>0.36892459176709286</c:v>
                </c:pt>
                <c:pt idx="7">
                  <c:v>0.20801494720027841</c:v>
                </c:pt>
                <c:pt idx="8">
                  <c:v>0.34123025002420737</c:v>
                </c:pt>
                <c:pt idx="9">
                  <c:v>0.52235302041005405</c:v>
                </c:pt>
                <c:pt idx="10">
                  <c:v>0.6007043202184712</c:v>
                </c:pt>
                <c:pt idx="11">
                  <c:v>0.58624629993025279</c:v>
                </c:pt>
                <c:pt idx="12">
                  <c:v>0.11964573015131148</c:v>
                </c:pt>
                <c:pt idx="13">
                  <c:v>7.6152907170797243E-2</c:v>
                </c:pt>
                <c:pt idx="14">
                  <c:v>-0.12298441683462999</c:v>
                </c:pt>
                <c:pt idx="15">
                  <c:v>-0.10363777422981803</c:v>
                </c:pt>
                <c:pt idx="16">
                  <c:v>-4.3879683818856575E-2</c:v>
                </c:pt>
                <c:pt idx="17">
                  <c:v>-0.13090182754073737</c:v>
                </c:pt>
                <c:pt idx="18">
                  <c:v>-0.222700438793799</c:v>
                </c:pt>
                <c:pt idx="19">
                  <c:v>-0.5875860652367344</c:v>
                </c:pt>
                <c:pt idx="20">
                  <c:v>-1.0288745963154016</c:v>
                </c:pt>
                <c:pt idx="21">
                  <c:v>-1.3602085728947291</c:v>
                </c:pt>
                <c:pt idx="22">
                  <c:v>-1.3450219745832801</c:v>
                </c:pt>
                <c:pt idx="23">
                  <c:v>-1.0779931429042369</c:v>
                </c:pt>
                <c:pt idx="24">
                  <c:v>-0.34893294500656458</c:v>
                </c:pt>
                <c:pt idx="25">
                  <c:v>2.32270870065563E-3</c:v>
                </c:pt>
                <c:pt idx="26">
                  <c:v>0.30744821432919089</c:v>
                </c:pt>
                <c:pt idx="27">
                  <c:v>0.30287641394325915</c:v>
                </c:pt>
                <c:pt idx="28">
                  <c:v>-3.0965857946131374E-2</c:v>
                </c:pt>
                <c:pt idx="29">
                  <c:v>0.16543682902296636</c:v>
                </c:pt>
                <c:pt idx="30">
                  <c:v>-2.5206250094264231E-2</c:v>
                </c:pt>
                <c:pt idx="31">
                  <c:v>-8.6847696031558105E-2</c:v>
                </c:pt>
                <c:pt idx="32">
                  <c:v>0.20649178400959525</c:v>
                </c:pt>
                <c:pt idx="33">
                  <c:v>-2.3355933193048291E-2</c:v>
                </c:pt>
                <c:pt idx="34">
                  <c:v>-0.23908389810703257</c:v>
                </c:pt>
                <c:pt idx="35">
                  <c:v>-0.18167614037140023</c:v>
                </c:pt>
                <c:pt idx="36">
                  <c:v>-0.56719163916873283</c:v>
                </c:pt>
                <c:pt idx="37">
                  <c:v>-0.66004724155549699</c:v>
                </c:pt>
                <c:pt idx="38">
                  <c:v>-0.39451230447202923</c:v>
                </c:pt>
                <c:pt idx="39">
                  <c:v>-0.39793977545619524</c:v>
                </c:pt>
              </c:numCache>
            </c:numRef>
          </c:val>
          <c:extLst>
            <c:ext xmlns:c16="http://schemas.microsoft.com/office/drawing/2014/chart" uri="{C3380CC4-5D6E-409C-BE32-E72D297353CC}">
              <c16:uniqueId val="{00000001-E739-46ED-ADBE-BC23FCF4C7C9}"/>
            </c:ext>
          </c:extLst>
        </c:ser>
        <c:ser>
          <c:idx val="2"/>
          <c:order val="2"/>
          <c:tx>
            <c:strRef>
              <c:f>'Trh práce 1-SNÚ'!$AE$7</c:f>
              <c:strCache>
                <c:ptCount val="1"/>
                <c:pt idx="0">
                  <c:v>Construction</c:v>
                </c:pt>
              </c:strCache>
            </c:strRef>
          </c:tx>
          <c:spPr>
            <a:solidFill>
              <a:srgbClr val="48AEE7"/>
            </a:solidFill>
            <a:ln w="19050">
              <a:noFill/>
            </a:ln>
          </c:spPr>
          <c:invertIfNegative val="0"/>
          <c:cat>
            <c:multiLvlStrRef>
              <c:f>'Trh práce 1-SNÚ'!$AA$28:$AB$68</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 1-SNÚ'!$AE$28:$AE$68</c:f>
              <c:numCache>
                <c:formatCode>#\ ##0.0</c:formatCode>
                <c:ptCount val="41"/>
                <c:pt idx="0">
                  <c:v>-0.10117304071905125</c:v>
                </c:pt>
                <c:pt idx="1">
                  <c:v>-9.1106454297089121E-2</c:v>
                </c:pt>
                <c:pt idx="2">
                  <c:v>-0.14253348773808819</c:v>
                </c:pt>
                <c:pt idx="3">
                  <c:v>-0.16445842723255458</c:v>
                </c:pt>
                <c:pt idx="4">
                  <c:v>-0.1244766301438134</c:v>
                </c:pt>
                <c:pt idx="5">
                  <c:v>-0.14361558611517708</c:v>
                </c:pt>
                <c:pt idx="6">
                  <c:v>-5.3202850205105789E-2</c:v>
                </c:pt>
                <c:pt idx="7">
                  <c:v>-1.892269971292557E-2</c:v>
                </c:pt>
                <c:pt idx="8">
                  <c:v>-2.522295323322548E-2</c:v>
                </c:pt>
                <c:pt idx="9">
                  <c:v>-4.955475341057251E-3</c:v>
                </c:pt>
                <c:pt idx="10">
                  <c:v>4.3264182079252173E-2</c:v>
                </c:pt>
                <c:pt idx="11">
                  <c:v>-9.7203529235831032E-2</c:v>
                </c:pt>
                <c:pt idx="12">
                  <c:v>5.0774905955341509E-2</c:v>
                </c:pt>
                <c:pt idx="13">
                  <c:v>9.1527209015807957E-3</c:v>
                </c:pt>
                <c:pt idx="14">
                  <c:v>-5.7910411840798107E-3</c:v>
                </c:pt>
                <c:pt idx="15">
                  <c:v>5.1320718963795246E-2</c:v>
                </c:pt>
                <c:pt idx="16">
                  <c:v>-4.7853409991260497E-2</c:v>
                </c:pt>
                <c:pt idx="17">
                  <c:v>2.6839717342942881E-2</c:v>
                </c:pt>
                <c:pt idx="18">
                  <c:v>4.1303727040787566E-2</c:v>
                </c:pt>
                <c:pt idx="19">
                  <c:v>5.3863451406236225E-2</c:v>
                </c:pt>
                <c:pt idx="20">
                  <c:v>-5.219809701293044E-2</c:v>
                </c:pt>
                <c:pt idx="21">
                  <c:v>-0.28539533059612732</c:v>
                </c:pt>
                <c:pt idx="22">
                  <c:v>-0.16438202614531755</c:v>
                </c:pt>
                <c:pt idx="23">
                  <c:v>-8.379854260961106E-2</c:v>
                </c:pt>
                <c:pt idx="24">
                  <c:v>0.10062675606296018</c:v>
                </c:pt>
                <c:pt idx="25">
                  <c:v>0.31345049895046107</c:v>
                </c:pt>
                <c:pt idx="26">
                  <c:v>0.17250227801546797</c:v>
                </c:pt>
                <c:pt idx="27">
                  <c:v>0.23625320276207945</c:v>
                </c:pt>
                <c:pt idx="28">
                  <c:v>0.12256523305435475</c:v>
                </c:pt>
                <c:pt idx="29">
                  <c:v>0.14558592922631924</c:v>
                </c:pt>
                <c:pt idx="30">
                  <c:v>0.1425086346017527</c:v>
                </c:pt>
                <c:pt idx="31">
                  <c:v>0.1263359047432184</c:v>
                </c:pt>
                <c:pt idx="32">
                  <c:v>0.27042481713564304</c:v>
                </c:pt>
                <c:pt idx="33">
                  <c:v>0.23488807492463867</c:v>
                </c:pt>
                <c:pt idx="34">
                  <c:v>0.19670016358962225</c:v>
                </c:pt>
                <c:pt idx="35">
                  <c:v>9.2659876591769372E-2</c:v>
                </c:pt>
                <c:pt idx="36">
                  <c:v>-9.4069627171328066E-2</c:v>
                </c:pt>
                <c:pt idx="37">
                  <c:v>-6.1061511233521E-2</c:v>
                </c:pt>
                <c:pt idx="38">
                  <c:v>1.6943770621802592E-2</c:v>
                </c:pt>
                <c:pt idx="39">
                  <c:v>7.1990316254957429E-2</c:v>
                </c:pt>
              </c:numCache>
            </c:numRef>
          </c:val>
          <c:extLst>
            <c:ext xmlns:c16="http://schemas.microsoft.com/office/drawing/2014/chart" uri="{C3380CC4-5D6E-409C-BE32-E72D297353CC}">
              <c16:uniqueId val="{00000002-E739-46ED-ADBE-BC23FCF4C7C9}"/>
            </c:ext>
          </c:extLst>
        </c:ser>
        <c:ser>
          <c:idx val="3"/>
          <c:order val="3"/>
          <c:tx>
            <c:strRef>
              <c:f>'Trh práce 1-SNÚ'!$AF$7</c:f>
              <c:strCache>
                <c:ptCount val="1"/>
                <c:pt idx="0">
                  <c:v>Trade,transport,accommod.,food service</c:v>
                </c:pt>
              </c:strCache>
            </c:strRef>
          </c:tx>
          <c:spPr>
            <a:solidFill>
              <a:srgbClr val="FDDEB3"/>
            </a:solidFill>
            <a:ln w="19050">
              <a:noFill/>
            </a:ln>
          </c:spPr>
          <c:invertIfNegative val="0"/>
          <c:cat>
            <c:multiLvlStrRef>
              <c:f>'Trh práce 1-SNÚ'!$AA$28:$AB$68</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 1-SNÚ'!$AF$28:$AF$68</c:f>
              <c:numCache>
                <c:formatCode>#\ ##0.0</c:formatCode>
                <c:ptCount val="41"/>
                <c:pt idx="0">
                  <c:v>0.25998500994419238</c:v>
                </c:pt>
                <c:pt idx="1">
                  <c:v>0.48955477662614383</c:v>
                </c:pt>
                <c:pt idx="2">
                  <c:v>0.32600328194900458</c:v>
                </c:pt>
                <c:pt idx="3">
                  <c:v>0.15828076146259132</c:v>
                </c:pt>
                <c:pt idx="4">
                  <c:v>-5.6703862717618583E-2</c:v>
                </c:pt>
                <c:pt idx="5">
                  <c:v>7.8393714906065587E-2</c:v>
                </c:pt>
                <c:pt idx="6">
                  <c:v>-0.13956333881390184</c:v>
                </c:pt>
                <c:pt idx="7">
                  <c:v>-7.6460796805432718E-2</c:v>
                </c:pt>
                <c:pt idx="8">
                  <c:v>0.15973256369708291</c:v>
                </c:pt>
                <c:pt idx="9">
                  <c:v>-1.5191688883395588E-2</c:v>
                </c:pt>
                <c:pt idx="10">
                  <c:v>0.35531738037577776</c:v>
                </c:pt>
                <c:pt idx="11">
                  <c:v>0.17142372253177482</c:v>
                </c:pt>
                <c:pt idx="12">
                  <c:v>0.11459482327617278</c:v>
                </c:pt>
                <c:pt idx="13">
                  <c:v>0.34360524541678317</c:v>
                </c:pt>
                <c:pt idx="14">
                  <c:v>0.13954905087091021</c:v>
                </c:pt>
                <c:pt idx="15">
                  <c:v>0.16123729177746221</c:v>
                </c:pt>
                <c:pt idx="16">
                  <c:v>9.5669331999762464E-2</c:v>
                </c:pt>
                <c:pt idx="17">
                  <c:v>-0.18752413199774384</c:v>
                </c:pt>
                <c:pt idx="18">
                  <c:v>-0.32173233019841657</c:v>
                </c:pt>
                <c:pt idx="19">
                  <c:v>-0.34416791851901818</c:v>
                </c:pt>
                <c:pt idx="20">
                  <c:v>-0.17007381394220211</c:v>
                </c:pt>
                <c:pt idx="21">
                  <c:v>-0.68801691905386031</c:v>
                </c:pt>
                <c:pt idx="22">
                  <c:v>-0.5805213183815886</c:v>
                </c:pt>
                <c:pt idx="23">
                  <c:v>-1.024799611162776</c:v>
                </c:pt>
                <c:pt idx="24">
                  <c:v>-0.89384919901442583</c:v>
                </c:pt>
                <c:pt idx="25">
                  <c:v>-0.27162254639898481</c:v>
                </c:pt>
                <c:pt idx="26">
                  <c:v>0.18479100442221555</c:v>
                </c:pt>
                <c:pt idx="27">
                  <c:v>0.62815896259788329</c:v>
                </c:pt>
                <c:pt idx="28">
                  <c:v>6.9644543642100654E-2</c:v>
                </c:pt>
                <c:pt idx="29">
                  <c:v>0.38341680525887634</c:v>
                </c:pt>
                <c:pt idx="30">
                  <c:v>-5.4710948222554075E-2</c:v>
                </c:pt>
                <c:pt idx="31">
                  <c:v>-0.15716194082380397</c:v>
                </c:pt>
                <c:pt idx="32">
                  <c:v>0.2259118446485929</c:v>
                </c:pt>
                <c:pt idx="33">
                  <c:v>0.16575600984842043</c:v>
                </c:pt>
                <c:pt idx="34">
                  <c:v>0.26144426267819387</c:v>
                </c:pt>
                <c:pt idx="35">
                  <c:v>0.30554029079020223</c:v>
                </c:pt>
                <c:pt idx="36">
                  <c:v>0.34271148528675127</c:v>
                </c:pt>
                <c:pt idx="37">
                  <c:v>0.38114380541336057</c:v>
                </c:pt>
                <c:pt idx="38">
                  <c:v>0.21822759993622859</c:v>
                </c:pt>
                <c:pt idx="39">
                  <c:v>-4.0231518483970538E-2</c:v>
                </c:pt>
              </c:numCache>
            </c:numRef>
          </c:val>
          <c:extLst>
            <c:ext xmlns:c16="http://schemas.microsoft.com/office/drawing/2014/chart" uri="{C3380CC4-5D6E-409C-BE32-E72D297353CC}">
              <c16:uniqueId val="{00000003-E739-46ED-ADBE-BC23FCF4C7C9}"/>
            </c:ext>
          </c:extLst>
        </c:ser>
        <c:ser>
          <c:idx val="4"/>
          <c:order val="4"/>
          <c:tx>
            <c:strRef>
              <c:f>'Trh práce 1-SNÚ'!$AG$7</c:f>
              <c:strCache>
                <c:ptCount val="1"/>
                <c:pt idx="0">
                  <c:v>Information and communication</c:v>
                </c:pt>
              </c:strCache>
            </c:strRef>
          </c:tx>
          <c:spPr>
            <a:solidFill>
              <a:srgbClr val="F8A124"/>
            </a:solidFill>
            <a:ln w="19050">
              <a:noFill/>
            </a:ln>
          </c:spPr>
          <c:invertIfNegative val="0"/>
          <c:cat>
            <c:multiLvlStrRef>
              <c:f>'Trh práce 1-SNÚ'!$AA$28:$AB$68</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 1-SNÚ'!$AG$28:$AG$68</c:f>
              <c:numCache>
                <c:formatCode>#\ ##0.0</c:formatCode>
                <c:ptCount val="41"/>
                <c:pt idx="0">
                  <c:v>1.4183504250133379E-2</c:v>
                </c:pt>
                <c:pt idx="1">
                  <c:v>5.629821000764499E-2</c:v>
                </c:pt>
                <c:pt idx="2">
                  <c:v>6.26372452292175E-2</c:v>
                </c:pt>
                <c:pt idx="3">
                  <c:v>9.4516337489973887E-2</c:v>
                </c:pt>
                <c:pt idx="4">
                  <c:v>0.10299907118296198</c:v>
                </c:pt>
                <c:pt idx="5">
                  <c:v>9.0773702896897832E-2</c:v>
                </c:pt>
                <c:pt idx="6">
                  <c:v>0.11426543181982249</c:v>
                </c:pt>
                <c:pt idx="7">
                  <c:v>0.13630888775913119</c:v>
                </c:pt>
                <c:pt idx="8">
                  <c:v>0.10306256214490077</c:v>
                </c:pt>
                <c:pt idx="9">
                  <c:v>0.113076676701345</c:v>
                </c:pt>
                <c:pt idx="10">
                  <c:v>0.14247903571964249</c:v>
                </c:pt>
                <c:pt idx="11">
                  <c:v>0.13951722056886845</c:v>
                </c:pt>
                <c:pt idx="12">
                  <c:v>0.13227299733915818</c:v>
                </c:pt>
                <c:pt idx="13">
                  <c:v>0.14892082045443958</c:v>
                </c:pt>
                <c:pt idx="14">
                  <c:v>0.10555488703709108</c:v>
                </c:pt>
                <c:pt idx="15">
                  <c:v>0.12454203777844085</c:v>
                </c:pt>
                <c:pt idx="16">
                  <c:v>0.1256784621979638</c:v>
                </c:pt>
                <c:pt idx="17">
                  <c:v>7.6458736775003838E-2</c:v>
                </c:pt>
                <c:pt idx="18">
                  <c:v>0.11512037432787062</c:v>
                </c:pt>
                <c:pt idx="19">
                  <c:v>0.12022992158448997</c:v>
                </c:pt>
                <c:pt idx="20">
                  <c:v>9.8320126142908748E-2</c:v>
                </c:pt>
                <c:pt idx="21">
                  <c:v>5.3757438014449162E-2</c:v>
                </c:pt>
                <c:pt idx="22">
                  <c:v>7.7959563030390977E-2</c:v>
                </c:pt>
                <c:pt idx="23">
                  <c:v>5.8793836667762431E-2</c:v>
                </c:pt>
                <c:pt idx="24">
                  <c:v>2.8455305359929017E-2</c:v>
                </c:pt>
                <c:pt idx="25">
                  <c:v>8.2292993386038724E-2</c:v>
                </c:pt>
                <c:pt idx="26">
                  <c:v>6.4760246180956965E-2</c:v>
                </c:pt>
                <c:pt idx="27">
                  <c:v>-2.2214136984618119E-2</c:v>
                </c:pt>
                <c:pt idx="28">
                  <c:v>0.19577982320442494</c:v>
                </c:pt>
                <c:pt idx="29">
                  <c:v>0.1773093767482338</c:v>
                </c:pt>
                <c:pt idx="30">
                  <c:v>0.17446420222312728</c:v>
                </c:pt>
                <c:pt idx="31">
                  <c:v>0.25679575689123113</c:v>
                </c:pt>
                <c:pt idx="32">
                  <c:v>0.14193473725055147</c:v>
                </c:pt>
                <c:pt idx="33">
                  <c:v>6.7279310760423566E-2</c:v>
                </c:pt>
                <c:pt idx="34">
                  <c:v>2.942743631689625E-2</c:v>
                </c:pt>
                <c:pt idx="35">
                  <c:v>1.8012526927700279E-2</c:v>
                </c:pt>
                <c:pt idx="36">
                  <c:v>5.1356428140861686E-2</c:v>
                </c:pt>
                <c:pt idx="37">
                  <c:v>2.0588356728828187E-2</c:v>
                </c:pt>
                <c:pt idx="38">
                  <c:v>9.4276401707291541E-3</c:v>
                </c:pt>
                <c:pt idx="39">
                  <c:v>-0.11798773439262143</c:v>
                </c:pt>
              </c:numCache>
            </c:numRef>
          </c:val>
          <c:extLst>
            <c:ext xmlns:c16="http://schemas.microsoft.com/office/drawing/2014/chart" uri="{C3380CC4-5D6E-409C-BE32-E72D297353CC}">
              <c16:uniqueId val="{00000004-E739-46ED-ADBE-BC23FCF4C7C9}"/>
            </c:ext>
          </c:extLst>
        </c:ser>
        <c:ser>
          <c:idx val="5"/>
          <c:order val="5"/>
          <c:tx>
            <c:strRef>
              <c:f>'Trh práce 1-SNÚ'!$AH$7</c:f>
              <c:strCache>
                <c:ptCount val="1"/>
                <c:pt idx="0">
                  <c:v>Professional,scientific,technic+admin.act.</c:v>
                </c:pt>
              </c:strCache>
            </c:strRef>
          </c:tx>
          <c:spPr>
            <a:solidFill>
              <a:srgbClr val="E8C0BE"/>
            </a:solidFill>
            <a:ln w="19050">
              <a:noFill/>
            </a:ln>
          </c:spPr>
          <c:invertIfNegative val="0"/>
          <c:cat>
            <c:multiLvlStrRef>
              <c:f>'Trh práce 1-SNÚ'!$AA$28:$AB$68</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 1-SNÚ'!$AH$28:$AH$68</c:f>
              <c:numCache>
                <c:formatCode>#\ ##0.0</c:formatCode>
                <c:ptCount val="41"/>
                <c:pt idx="0">
                  <c:v>0.11759915174382432</c:v>
                </c:pt>
                <c:pt idx="1">
                  <c:v>0.14665821211342547</c:v>
                </c:pt>
                <c:pt idx="2">
                  <c:v>0.27033225330885341</c:v>
                </c:pt>
                <c:pt idx="3">
                  <c:v>0.34628057749677232</c:v>
                </c:pt>
                <c:pt idx="4">
                  <c:v>0.1873751956720211</c:v>
                </c:pt>
                <c:pt idx="5">
                  <c:v>0.20516788210079692</c:v>
                </c:pt>
                <c:pt idx="6">
                  <c:v>0.18977292521436465</c:v>
                </c:pt>
                <c:pt idx="7">
                  <c:v>0.2038377083012908</c:v>
                </c:pt>
                <c:pt idx="8">
                  <c:v>0.29841078105477886</c:v>
                </c:pt>
                <c:pt idx="9">
                  <c:v>0.23426579179886092</c:v>
                </c:pt>
                <c:pt idx="10">
                  <c:v>0.20577753829291368</c:v>
                </c:pt>
                <c:pt idx="11">
                  <c:v>5.6773405997204894E-2</c:v>
                </c:pt>
                <c:pt idx="12">
                  <c:v>0.10777799783190666</c:v>
                </c:pt>
                <c:pt idx="13">
                  <c:v>0.10518064804667848</c:v>
                </c:pt>
                <c:pt idx="14">
                  <c:v>9.8748533437620648E-2</c:v>
                </c:pt>
                <c:pt idx="15">
                  <c:v>0.22141224467237378</c:v>
                </c:pt>
                <c:pt idx="16">
                  <c:v>3.724431087059718E-2</c:v>
                </c:pt>
                <c:pt idx="17">
                  <c:v>2.5573165795878261E-2</c:v>
                </c:pt>
                <c:pt idx="18">
                  <c:v>2.2396959985967045E-2</c:v>
                </c:pt>
                <c:pt idx="19">
                  <c:v>-0.18724759065711963</c:v>
                </c:pt>
                <c:pt idx="20">
                  <c:v>-0.19133070373579164</c:v>
                </c:pt>
                <c:pt idx="21">
                  <c:v>-0.3504112611767094</c:v>
                </c:pt>
                <c:pt idx="22">
                  <c:v>-0.52251402310016892</c:v>
                </c:pt>
                <c:pt idx="23">
                  <c:v>-0.24405342203916677</c:v>
                </c:pt>
                <c:pt idx="24">
                  <c:v>-0.10997283570482894</c:v>
                </c:pt>
                <c:pt idx="25">
                  <c:v>0.14882612029903389</c:v>
                </c:pt>
                <c:pt idx="26">
                  <c:v>0.28609151976270597</c:v>
                </c:pt>
                <c:pt idx="27">
                  <c:v>0.12335853943489318</c:v>
                </c:pt>
                <c:pt idx="28">
                  <c:v>0.16279030253185092</c:v>
                </c:pt>
                <c:pt idx="29">
                  <c:v>0.11160194861751378</c:v>
                </c:pt>
                <c:pt idx="30">
                  <c:v>0.16264347012955688</c:v>
                </c:pt>
                <c:pt idx="31">
                  <c:v>0.22346522307166092</c:v>
                </c:pt>
                <c:pt idx="32">
                  <c:v>0.24935962964601949</c:v>
                </c:pt>
                <c:pt idx="33">
                  <c:v>0.2471274822229188</c:v>
                </c:pt>
                <c:pt idx="34">
                  <c:v>0.29077821921009361</c:v>
                </c:pt>
                <c:pt idx="35">
                  <c:v>0.28952707961070101</c:v>
                </c:pt>
                <c:pt idx="36">
                  <c:v>0.16679196865189538</c:v>
                </c:pt>
                <c:pt idx="37">
                  <c:v>6.0320922861980417E-2</c:v>
                </c:pt>
                <c:pt idx="38">
                  <c:v>8.0431874999882177E-2</c:v>
                </c:pt>
                <c:pt idx="39">
                  <c:v>2.3007979003966565E-2</c:v>
                </c:pt>
              </c:numCache>
            </c:numRef>
          </c:val>
          <c:extLst>
            <c:ext xmlns:c16="http://schemas.microsoft.com/office/drawing/2014/chart" uri="{C3380CC4-5D6E-409C-BE32-E72D297353CC}">
              <c16:uniqueId val="{00000005-E739-46ED-ADBE-BC23FCF4C7C9}"/>
            </c:ext>
          </c:extLst>
        </c:ser>
        <c:ser>
          <c:idx val="6"/>
          <c:order val="6"/>
          <c:tx>
            <c:strRef>
              <c:f>'Trh práce 1-SNÚ'!$AI$7</c:f>
              <c:strCache>
                <c:ptCount val="1"/>
                <c:pt idx="0">
                  <c:v>Public admin, education, health+soc.work</c:v>
                </c:pt>
              </c:strCache>
            </c:strRef>
          </c:tx>
          <c:spPr>
            <a:solidFill>
              <a:srgbClr val="D58D8B"/>
            </a:solidFill>
            <a:ln>
              <a:noFill/>
            </a:ln>
          </c:spPr>
          <c:invertIfNegative val="0"/>
          <c:cat>
            <c:multiLvlStrRef>
              <c:f>'Trh práce 1-SNÚ'!$AA$28:$AB$68</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 1-SNÚ'!$AI$28:$AI$68</c:f>
              <c:numCache>
                <c:formatCode>#\ ##0.0</c:formatCode>
                <c:ptCount val="41"/>
                <c:pt idx="0">
                  <c:v>0.29810932511306687</c:v>
                </c:pt>
                <c:pt idx="1">
                  <c:v>0.22837508358300088</c:v>
                </c:pt>
                <c:pt idx="2">
                  <c:v>8.7664748087127292E-2</c:v>
                </c:pt>
                <c:pt idx="3">
                  <c:v>6.3608520735520563E-2</c:v>
                </c:pt>
                <c:pt idx="4">
                  <c:v>0.31886213213126613</c:v>
                </c:pt>
                <c:pt idx="5">
                  <c:v>0.28817753636693877</c:v>
                </c:pt>
                <c:pt idx="6">
                  <c:v>0.36508162726951909</c:v>
                </c:pt>
                <c:pt idx="7">
                  <c:v>0.46049727622848979</c:v>
                </c:pt>
                <c:pt idx="8">
                  <c:v>0.25543763072520886</c:v>
                </c:pt>
                <c:pt idx="9">
                  <c:v>0.32021171933565312</c:v>
                </c:pt>
                <c:pt idx="10">
                  <c:v>0.40612074323310393</c:v>
                </c:pt>
                <c:pt idx="11">
                  <c:v>0.45188510919558089</c:v>
                </c:pt>
                <c:pt idx="12">
                  <c:v>0.60669746453968465</c:v>
                </c:pt>
                <c:pt idx="13">
                  <c:v>0.67766064774410706</c:v>
                </c:pt>
                <c:pt idx="14">
                  <c:v>0.54779865226677038</c:v>
                </c:pt>
                <c:pt idx="15">
                  <c:v>0.53702526690063701</c:v>
                </c:pt>
                <c:pt idx="16">
                  <c:v>0.28440258119756973</c:v>
                </c:pt>
                <c:pt idx="17">
                  <c:v>0.27707677667843045</c:v>
                </c:pt>
                <c:pt idx="18">
                  <c:v>0.33524516272328342</c:v>
                </c:pt>
                <c:pt idx="19">
                  <c:v>0.37920241903644225</c:v>
                </c:pt>
                <c:pt idx="20">
                  <c:v>0.39000877571158382</c:v>
                </c:pt>
                <c:pt idx="21">
                  <c:v>0.31581562839071159</c:v>
                </c:pt>
                <c:pt idx="22">
                  <c:v>0.4292913488797877</c:v>
                </c:pt>
                <c:pt idx="23">
                  <c:v>0.43905266815196531</c:v>
                </c:pt>
                <c:pt idx="24">
                  <c:v>0.48013825373146052</c:v>
                </c:pt>
                <c:pt idx="25">
                  <c:v>0.61638162295910981</c:v>
                </c:pt>
                <c:pt idx="26">
                  <c:v>0.58629302803612371</c:v>
                </c:pt>
                <c:pt idx="27">
                  <c:v>0.47863113300738547</c:v>
                </c:pt>
                <c:pt idx="28">
                  <c:v>0.23949857455870413</c:v>
                </c:pt>
                <c:pt idx="29">
                  <c:v>0.19858498227191301</c:v>
                </c:pt>
                <c:pt idx="30">
                  <c:v>0.21793885646200037</c:v>
                </c:pt>
                <c:pt idx="31">
                  <c:v>0.27781094092662112</c:v>
                </c:pt>
                <c:pt idx="32">
                  <c:v>0.47869409452407552</c:v>
                </c:pt>
                <c:pt idx="33">
                  <c:v>0.43457381784917815</c:v>
                </c:pt>
                <c:pt idx="34">
                  <c:v>0.2684926384669295</c:v>
                </c:pt>
                <c:pt idx="35">
                  <c:v>0.25836017617148521</c:v>
                </c:pt>
                <c:pt idx="36">
                  <c:v>0.31972496648884663</c:v>
                </c:pt>
                <c:pt idx="37">
                  <c:v>0.29247686263066441</c:v>
                </c:pt>
                <c:pt idx="38">
                  <c:v>0.42578415046661211</c:v>
                </c:pt>
                <c:pt idx="39">
                  <c:v>0.51948716494048597</c:v>
                </c:pt>
              </c:numCache>
            </c:numRef>
          </c:val>
          <c:extLst>
            <c:ext xmlns:c16="http://schemas.microsoft.com/office/drawing/2014/chart" uri="{C3380CC4-5D6E-409C-BE32-E72D297353CC}">
              <c16:uniqueId val="{00000006-E739-46ED-ADBE-BC23FCF4C7C9}"/>
            </c:ext>
          </c:extLst>
        </c:ser>
        <c:ser>
          <c:idx val="7"/>
          <c:order val="7"/>
          <c:tx>
            <c:strRef>
              <c:f>'Trh práce 1-SNÚ'!$AJ$7</c:f>
              <c:strCache>
                <c:ptCount val="1"/>
                <c:pt idx="0">
                  <c:v>Other branches*</c:v>
                </c:pt>
              </c:strCache>
            </c:strRef>
          </c:tx>
          <c:spPr>
            <a:solidFill>
              <a:schemeClr val="bg1">
                <a:lumMod val="85000"/>
              </a:schemeClr>
            </a:solidFill>
            <a:ln>
              <a:noFill/>
            </a:ln>
          </c:spPr>
          <c:invertIfNegative val="0"/>
          <c:cat>
            <c:multiLvlStrRef>
              <c:f>'Trh práce 1-SNÚ'!$AA$28:$AB$68</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 1-SNÚ'!$AJ$28:$AJ$68</c:f>
              <c:numCache>
                <c:formatCode>#\ ##0.0</c:formatCode>
                <c:ptCount val="41"/>
                <c:pt idx="0">
                  <c:v>-0.11167788297920554</c:v>
                </c:pt>
                <c:pt idx="1">
                  <c:v>3.2922470332453942E-2</c:v>
                </c:pt>
                <c:pt idx="2">
                  <c:v>2.8686723369582272E-2</c:v>
                </c:pt>
                <c:pt idx="3">
                  <c:v>-3.2096578937316919E-2</c:v>
                </c:pt>
                <c:pt idx="4">
                  <c:v>0.1719564056042851</c:v>
                </c:pt>
                <c:pt idx="5">
                  <c:v>0.10973961273620712</c:v>
                </c:pt>
                <c:pt idx="6">
                  <c:v>0.13297815844368727</c:v>
                </c:pt>
                <c:pt idx="7">
                  <c:v>0.21049819060105912</c:v>
                </c:pt>
                <c:pt idx="8">
                  <c:v>-7.8204602142011373E-2</c:v>
                </c:pt>
                <c:pt idx="9">
                  <c:v>-4.3087762424945671E-2</c:v>
                </c:pt>
                <c:pt idx="10">
                  <c:v>-2.4186610414937963E-2</c:v>
                </c:pt>
                <c:pt idx="11">
                  <c:v>-3.215383918742503E-2</c:v>
                </c:pt>
                <c:pt idx="12">
                  <c:v>0.16045174095835293</c:v>
                </c:pt>
                <c:pt idx="13">
                  <c:v>0.15856521644577473</c:v>
                </c:pt>
                <c:pt idx="14">
                  <c:v>-1.9178123401822754E-2</c:v>
                </c:pt>
                <c:pt idx="15">
                  <c:v>-1.4963843331568139E-2</c:v>
                </c:pt>
                <c:pt idx="16">
                  <c:v>-0.11518182702557608</c:v>
                </c:pt>
                <c:pt idx="17">
                  <c:v>-3.7866166105623093E-2</c:v>
                </c:pt>
                <c:pt idx="18">
                  <c:v>9.4440514607494364E-2</c:v>
                </c:pt>
                <c:pt idx="19">
                  <c:v>7.8646220757913818E-2</c:v>
                </c:pt>
                <c:pt idx="20">
                  <c:v>-0.19809850857772601</c:v>
                </c:pt>
                <c:pt idx="21">
                  <c:v>-0.41738438003451656</c:v>
                </c:pt>
                <c:pt idx="22">
                  <c:v>-0.37552484458995661</c:v>
                </c:pt>
                <c:pt idx="23">
                  <c:v>-0.44219932777610815</c:v>
                </c:pt>
                <c:pt idx="24">
                  <c:v>2.3886532147575315E-2</c:v>
                </c:pt>
                <c:pt idx="25">
                  <c:v>0.20574208143493422</c:v>
                </c:pt>
                <c:pt idx="26">
                  <c:v>0.14351545379237532</c:v>
                </c:pt>
                <c:pt idx="27">
                  <c:v>0.21300227805302802</c:v>
                </c:pt>
                <c:pt idx="28">
                  <c:v>0.10114495400653761</c:v>
                </c:pt>
                <c:pt idx="29">
                  <c:v>0.12974320154172242</c:v>
                </c:pt>
                <c:pt idx="30">
                  <c:v>5.4560125484518086E-2</c:v>
                </c:pt>
                <c:pt idx="31">
                  <c:v>5.7942402577863039E-2</c:v>
                </c:pt>
                <c:pt idx="32">
                  <c:v>-8.6700075978387789E-2</c:v>
                </c:pt>
                <c:pt idx="33">
                  <c:v>-4.7722459649257365E-2</c:v>
                </c:pt>
                <c:pt idx="34">
                  <c:v>-5.881748071979391E-2</c:v>
                </c:pt>
                <c:pt idx="35">
                  <c:v>-2.7112216361092401E-2</c:v>
                </c:pt>
                <c:pt idx="36">
                  <c:v>4.4156424997580948E-2</c:v>
                </c:pt>
                <c:pt idx="37">
                  <c:v>0.14876132132077546</c:v>
                </c:pt>
                <c:pt idx="38">
                  <c:v>0.10913734518859322</c:v>
                </c:pt>
                <c:pt idx="39">
                  <c:v>0.14907909683392032</c:v>
                </c:pt>
              </c:numCache>
            </c:numRef>
          </c:val>
          <c:extLst>
            <c:ext xmlns:c16="http://schemas.microsoft.com/office/drawing/2014/chart" uri="{C3380CC4-5D6E-409C-BE32-E72D297353CC}">
              <c16:uniqueId val="{00000007-E739-46ED-ADBE-BC23FCF4C7C9}"/>
            </c:ext>
          </c:extLst>
        </c:ser>
        <c:dLbls>
          <c:showLegendKey val="0"/>
          <c:showVal val="0"/>
          <c:showCatName val="0"/>
          <c:showSerName val="0"/>
          <c:showPercent val="0"/>
          <c:showBubbleSize val="0"/>
        </c:dLbls>
        <c:gapWidth val="47"/>
        <c:overlap val="100"/>
        <c:axId val="101898496"/>
        <c:axId val="101781504"/>
      </c:barChart>
      <c:lineChart>
        <c:grouping val="standard"/>
        <c:varyColors val="0"/>
        <c:ser>
          <c:idx val="8"/>
          <c:order val="8"/>
          <c:tx>
            <c:strRef>
              <c:f>'Trh práce 1-SNÚ'!$AK$7</c:f>
              <c:strCache>
                <c:ptCount val="1"/>
                <c:pt idx="0">
                  <c:v>Total employment</c:v>
                </c:pt>
              </c:strCache>
            </c:strRef>
          </c:tx>
          <c:spPr>
            <a:ln w="19050">
              <a:solidFill>
                <a:schemeClr val="tx1">
                  <a:lumMod val="95000"/>
                  <a:lumOff val="5000"/>
                </a:schemeClr>
              </a:solidFill>
            </a:ln>
          </c:spPr>
          <c:marker>
            <c:symbol val="none"/>
          </c:marker>
          <c:cat>
            <c:multiLvlStrRef>
              <c:f>'Trh práce 1-SNÚ'!$AA$28:$AB$68</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 1-SNÚ'!$AK$28:$AK$68</c:f>
              <c:numCache>
                <c:formatCode>#\ ##0.0</c:formatCode>
                <c:ptCount val="41"/>
                <c:pt idx="0">
                  <c:v>1.3021086405278481</c:v>
                </c:pt>
                <c:pt idx="1">
                  <c:v>1.7082558398097802</c:v>
                </c:pt>
                <c:pt idx="2">
                  <c:v>1.3289819265815481</c:v>
                </c:pt>
                <c:pt idx="3">
                  <c:v>1.2361372790363987</c:v>
                </c:pt>
                <c:pt idx="4">
                  <c:v>1.0877626267559606</c:v>
                </c:pt>
                <c:pt idx="5">
                  <c:v>0.94310014599115277</c:v>
                </c:pt>
                <c:pt idx="6">
                  <c:v>0.92188662907126684</c:v>
                </c:pt>
                <c:pt idx="7">
                  <c:v>1.1773846211003729</c:v>
                </c:pt>
                <c:pt idx="8">
                  <c:v>1.1680743879255715</c:v>
                </c:pt>
                <c:pt idx="9">
                  <c:v>1.1767436289615603</c:v>
                </c:pt>
                <c:pt idx="10">
                  <c:v>1.7705211142985604</c:v>
                </c:pt>
                <c:pt idx="11">
                  <c:v>1.2082803936543201</c:v>
                </c:pt>
                <c:pt idx="12">
                  <c:v>1.3037795784239563</c:v>
                </c:pt>
                <c:pt idx="13">
                  <c:v>1.5291851714574989</c:v>
                </c:pt>
                <c:pt idx="14">
                  <c:v>0.73910983424083554</c:v>
                </c:pt>
                <c:pt idx="15">
                  <c:v>1.0379380425450648</c:v>
                </c:pt>
                <c:pt idx="16">
                  <c:v>0.25887326493901242</c:v>
                </c:pt>
                <c:pt idx="17">
                  <c:v>-7.5806835243426463E-2</c:v>
                </c:pt>
                <c:pt idx="18">
                  <c:v>-9.5093759273751743E-2</c:v>
                </c:pt>
                <c:pt idx="19">
                  <c:v>-0.66435311204230629</c:v>
                </c:pt>
                <c:pt idx="20">
                  <c:v>-1.3818847925181785</c:v>
                </c:pt>
                <c:pt idx="21">
                  <c:v>-2.8967132098465527</c:v>
                </c:pt>
                <c:pt idx="22">
                  <c:v>-2.5521715371933311</c:v>
                </c:pt>
                <c:pt idx="23">
                  <c:v>-2.4461532554347798</c:v>
                </c:pt>
                <c:pt idx="24">
                  <c:v>-0.69976164653277806</c:v>
                </c:pt>
                <c:pt idx="25">
                  <c:v>1.0521294535779759</c:v>
                </c:pt>
                <c:pt idx="26">
                  <c:v>1.6885400245352713</c:v>
                </c:pt>
                <c:pt idx="27">
                  <c:v>1.9593560012249469</c:v>
                </c:pt>
                <c:pt idx="28">
                  <c:v>0.96064796916854789</c:v>
                </c:pt>
                <c:pt idx="29">
                  <c:v>1.5035584400042268</c:v>
                </c:pt>
                <c:pt idx="30">
                  <c:v>0.83914000874771943</c:v>
                </c:pt>
                <c:pt idx="31">
                  <c:v>0.77931307464571375</c:v>
                </c:pt>
                <c:pt idx="32">
                  <c:v>1.5131006934871607</c:v>
                </c:pt>
                <c:pt idx="33">
                  <c:v>1.0801183367281908</c:v>
                </c:pt>
                <c:pt idx="34">
                  <c:v>0.74150035054918817</c:v>
                </c:pt>
                <c:pt idx="35">
                  <c:v>0.78384388445749664</c:v>
                </c:pt>
                <c:pt idx="36">
                  <c:v>0.31519036069668971</c:v>
                </c:pt>
                <c:pt idx="37">
                  <c:v>0.22791384810922466</c:v>
                </c:pt>
                <c:pt idx="38">
                  <c:v>0.44584246269864991</c:v>
                </c:pt>
                <c:pt idx="39">
                  <c:v>0.22190370725098774</c:v>
                </c:pt>
              </c:numCache>
            </c:numRef>
          </c:val>
          <c:smooth val="0"/>
          <c:extLst>
            <c:ext xmlns:c16="http://schemas.microsoft.com/office/drawing/2014/chart" uri="{C3380CC4-5D6E-409C-BE32-E72D297353CC}">
              <c16:uniqueId val="{00000008-E739-46ED-ADBE-BC23FCF4C7C9}"/>
            </c:ext>
          </c:extLst>
        </c:ser>
        <c:dLbls>
          <c:showLegendKey val="0"/>
          <c:showVal val="0"/>
          <c:showCatName val="0"/>
          <c:showSerName val="0"/>
          <c:showPercent val="0"/>
          <c:showBubbleSize val="0"/>
        </c:dLbls>
        <c:marker val="1"/>
        <c:smooth val="0"/>
        <c:axId val="101898496"/>
        <c:axId val="101781504"/>
      </c:lineChart>
      <c:lineChart>
        <c:grouping val="standard"/>
        <c:varyColors val="0"/>
        <c:ser>
          <c:idx val="9"/>
          <c:order val="9"/>
          <c:tx>
            <c:strRef>
              <c:f>'Trh práce 1-SNÚ'!$AL$7</c:f>
              <c:strCache>
                <c:ptCount val="1"/>
              </c:strCache>
            </c:strRef>
          </c:tx>
          <c:spPr>
            <a:ln>
              <a:noFill/>
            </a:ln>
          </c:spPr>
          <c:marker>
            <c:symbol val="none"/>
          </c:marker>
          <c:cat>
            <c:multiLvlStrRef>
              <c:f>'Trh práce 1-SNÚ'!$AA$28:$AB$68</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 1-SNÚ'!$AL$28:$AL$68</c:f>
              <c:numCache>
                <c:formatCode>General</c:formatCode>
                <c:ptCount val="41"/>
              </c:numCache>
            </c:numRef>
          </c:val>
          <c:smooth val="0"/>
          <c:extLst>
            <c:ext xmlns:c16="http://schemas.microsoft.com/office/drawing/2014/chart" uri="{C3380CC4-5D6E-409C-BE32-E72D297353CC}">
              <c16:uniqueId val="{00000009-E739-46ED-ADBE-BC23FCF4C7C9}"/>
            </c:ext>
          </c:extLst>
        </c:ser>
        <c:ser>
          <c:idx val="10"/>
          <c:order val="10"/>
          <c:tx>
            <c:strRef>
              <c:f>'Trh práce 1-SNÚ'!$AM$7</c:f>
              <c:strCache>
                <c:ptCount val="1"/>
                <c:pt idx="0">
                  <c:v>Employment expectations (industry)</c:v>
                </c:pt>
              </c:strCache>
            </c:strRef>
          </c:tx>
          <c:spPr>
            <a:ln w="15875">
              <a:solidFill>
                <a:schemeClr val="tx1">
                  <a:lumMod val="95000"/>
                  <a:lumOff val="5000"/>
                </a:schemeClr>
              </a:solidFill>
              <a:prstDash val="sysDot"/>
            </a:ln>
          </c:spPr>
          <c:marker>
            <c:symbol val="none"/>
          </c:marker>
          <c:cat>
            <c:multiLvlStrRef>
              <c:f>'Trh práce 1-SNÚ'!$AA$28:$AB$68</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 1-SNÚ'!$AM$28:$AM$68</c:f>
              <c:numCache>
                <c:formatCode>#\ ##0.0</c:formatCode>
                <c:ptCount val="41"/>
                <c:pt idx="0">
                  <c:v>-3</c:v>
                </c:pt>
                <c:pt idx="1">
                  <c:v>4.3</c:v>
                </c:pt>
                <c:pt idx="2">
                  <c:v>5.5</c:v>
                </c:pt>
                <c:pt idx="3">
                  <c:v>7.8</c:v>
                </c:pt>
                <c:pt idx="4">
                  <c:v>8.1999999999999993</c:v>
                </c:pt>
                <c:pt idx="5">
                  <c:v>9.9</c:v>
                </c:pt>
                <c:pt idx="6">
                  <c:v>3.8</c:v>
                </c:pt>
                <c:pt idx="7">
                  <c:v>9.5</c:v>
                </c:pt>
                <c:pt idx="8">
                  <c:v>11.1</c:v>
                </c:pt>
                <c:pt idx="9">
                  <c:v>5.7</c:v>
                </c:pt>
                <c:pt idx="10">
                  <c:v>8.1999999999999993</c:v>
                </c:pt>
                <c:pt idx="11">
                  <c:v>7.3</c:v>
                </c:pt>
                <c:pt idx="12">
                  <c:v>9.8000000000000007</c:v>
                </c:pt>
                <c:pt idx="13">
                  <c:v>9.4</c:v>
                </c:pt>
                <c:pt idx="14">
                  <c:v>6.2</c:v>
                </c:pt>
                <c:pt idx="15">
                  <c:v>6.3</c:v>
                </c:pt>
                <c:pt idx="16">
                  <c:v>2.5</c:v>
                </c:pt>
                <c:pt idx="17">
                  <c:v>2.6</c:v>
                </c:pt>
                <c:pt idx="18">
                  <c:v>0.5</c:v>
                </c:pt>
                <c:pt idx="19">
                  <c:v>-2.8</c:v>
                </c:pt>
                <c:pt idx="20">
                  <c:v>2.9</c:v>
                </c:pt>
                <c:pt idx="21">
                  <c:v>-19</c:v>
                </c:pt>
                <c:pt idx="22">
                  <c:v>-10.9</c:v>
                </c:pt>
                <c:pt idx="23">
                  <c:v>-3.5</c:v>
                </c:pt>
                <c:pt idx="24">
                  <c:v>4.4000000000000004</c:v>
                </c:pt>
                <c:pt idx="25">
                  <c:v>8.6</c:v>
                </c:pt>
                <c:pt idx="26">
                  <c:v>4.7</c:v>
                </c:pt>
                <c:pt idx="27">
                  <c:v>1.8</c:v>
                </c:pt>
                <c:pt idx="28">
                  <c:v>11.2</c:v>
                </c:pt>
                <c:pt idx="29">
                  <c:v>2.2999999999999998</c:v>
                </c:pt>
                <c:pt idx="30">
                  <c:v>2.1</c:v>
                </c:pt>
                <c:pt idx="31">
                  <c:v>-9.9</c:v>
                </c:pt>
                <c:pt idx="32">
                  <c:v>-13.6</c:v>
                </c:pt>
                <c:pt idx="33">
                  <c:v>-5.8</c:v>
                </c:pt>
                <c:pt idx="34">
                  <c:v>-4.3</c:v>
                </c:pt>
                <c:pt idx="35">
                  <c:v>-8.3000000000000007</c:v>
                </c:pt>
                <c:pt idx="36">
                  <c:v>-6</c:v>
                </c:pt>
                <c:pt idx="37">
                  <c:v>-9.6</c:v>
                </c:pt>
                <c:pt idx="38">
                  <c:v>-10.7</c:v>
                </c:pt>
                <c:pt idx="39">
                  <c:v>-13.2</c:v>
                </c:pt>
                <c:pt idx="40">
                  <c:v>-13</c:v>
                </c:pt>
              </c:numCache>
            </c:numRef>
          </c:val>
          <c:smooth val="0"/>
          <c:extLst>
            <c:ext xmlns:c16="http://schemas.microsoft.com/office/drawing/2014/chart" uri="{C3380CC4-5D6E-409C-BE32-E72D297353CC}">
              <c16:uniqueId val="{0000000A-E739-46ED-ADBE-BC23FCF4C7C9}"/>
            </c:ext>
          </c:extLst>
        </c:ser>
        <c:ser>
          <c:idx val="11"/>
          <c:order val="11"/>
          <c:tx>
            <c:strRef>
              <c:f>'Trh práce 1-SNÚ'!$AN$7</c:f>
              <c:strCache>
                <c:ptCount val="1"/>
                <c:pt idx="0">
                  <c:v>Employment expectations (construction)</c:v>
                </c:pt>
              </c:strCache>
            </c:strRef>
          </c:tx>
          <c:spPr>
            <a:ln w="15875">
              <a:solidFill>
                <a:srgbClr val="00B0F0"/>
              </a:solidFill>
              <a:prstDash val="sysDot"/>
            </a:ln>
          </c:spPr>
          <c:marker>
            <c:symbol val="none"/>
          </c:marker>
          <c:cat>
            <c:multiLvlStrRef>
              <c:f>'Trh práce 1-SNÚ'!$AA$28:$AB$68</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 1-SNÚ'!$AN$28:$AN$68</c:f>
              <c:numCache>
                <c:formatCode>#\ ##0.0</c:formatCode>
                <c:ptCount val="41"/>
                <c:pt idx="0">
                  <c:v>-4.0999999999999996</c:v>
                </c:pt>
                <c:pt idx="1">
                  <c:v>7.5</c:v>
                </c:pt>
                <c:pt idx="2">
                  <c:v>1.1000000000000001</c:v>
                </c:pt>
                <c:pt idx="3">
                  <c:v>-0.5</c:v>
                </c:pt>
                <c:pt idx="4">
                  <c:v>-3.4</c:v>
                </c:pt>
                <c:pt idx="5">
                  <c:v>-6.1</c:v>
                </c:pt>
                <c:pt idx="6">
                  <c:v>-4.5</c:v>
                </c:pt>
                <c:pt idx="7">
                  <c:v>-7.5</c:v>
                </c:pt>
                <c:pt idx="8">
                  <c:v>-7.4</c:v>
                </c:pt>
                <c:pt idx="9">
                  <c:v>-11.8</c:v>
                </c:pt>
                <c:pt idx="10">
                  <c:v>-6</c:v>
                </c:pt>
                <c:pt idx="11">
                  <c:v>-3.6</c:v>
                </c:pt>
                <c:pt idx="12">
                  <c:v>4.4000000000000004</c:v>
                </c:pt>
                <c:pt idx="13">
                  <c:v>6</c:v>
                </c:pt>
                <c:pt idx="14">
                  <c:v>9.1999999999999993</c:v>
                </c:pt>
                <c:pt idx="15">
                  <c:v>8.4</c:v>
                </c:pt>
                <c:pt idx="16">
                  <c:v>6.5</c:v>
                </c:pt>
                <c:pt idx="17">
                  <c:v>10.4</c:v>
                </c:pt>
                <c:pt idx="18">
                  <c:v>4.3</c:v>
                </c:pt>
                <c:pt idx="19">
                  <c:v>9.1</c:v>
                </c:pt>
                <c:pt idx="20">
                  <c:v>5.6</c:v>
                </c:pt>
                <c:pt idx="21">
                  <c:v>-3.1</c:v>
                </c:pt>
                <c:pt idx="22">
                  <c:v>1.9</c:v>
                </c:pt>
                <c:pt idx="23">
                  <c:v>-3.6</c:v>
                </c:pt>
                <c:pt idx="24">
                  <c:v>3.4</c:v>
                </c:pt>
                <c:pt idx="25">
                  <c:v>5.6</c:v>
                </c:pt>
                <c:pt idx="26">
                  <c:v>4.8</c:v>
                </c:pt>
                <c:pt idx="27">
                  <c:v>6</c:v>
                </c:pt>
                <c:pt idx="28">
                  <c:v>9.3000000000000007</c:v>
                </c:pt>
                <c:pt idx="29">
                  <c:v>9.1</c:v>
                </c:pt>
                <c:pt idx="30">
                  <c:v>2.2000000000000002</c:v>
                </c:pt>
                <c:pt idx="31">
                  <c:v>-3.4</c:v>
                </c:pt>
                <c:pt idx="32">
                  <c:v>-12.7</c:v>
                </c:pt>
                <c:pt idx="33">
                  <c:v>-11.8</c:v>
                </c:pt>
                <c:pt idx="34">
                  <c:v>-7.3</c:v>
                </c:pt>
                <c:pt idx="35">
                  <c:v>-2.5</c:v>
                </c:pt>
                <c:pt idx="36">
                  <c:v>-0.5</c:v>
                </c:pt>
                <c:pt idx="37">
                  <c:v>-7.5</c:v>
                </c:pt>
                <c:pt idx="38">
                  <c:v>-5.5</c:v>
                </c:pt>
                <c:pt idx="39">
                  <c:v>7.1</c:v>
                </c:pt>
                <c:pt idx="40">
                  <c:v>2.2000000000000002</c:v>
                </c:pt>
              </c:numCache>
            </c:numRef>
          </c:val>
          <c:smooth val="0"/>
          <c:extLst>
            <c:ext xmlns:c16="http://schemas.microsoft.com/office/drawing/2014/chart" uri="{C3380CC4-5D6E-409C-BE32-E72D297353CC}">
              <c16:uniqueId val="{0000000B-E739-46ED-ADBE-BC23FCF4C7C9}"/>
            </c:ext>
          </c:extLst>
        </c:ser>
        <c:ser>
          <c:idx val="12"/>
          <c:order val="12"/>
          <c:tx>
            <c:strRef>
              <c:f>'Trh práce 1-SNÚ'!$AO$7</c:f>
              <c:strCache>
                <c:ptCount val="1"/>
                <c:pt idx="0">
                  <c:v>Employment expectations (trade)</c:v>
                </c:pt>
              </c:strCache>
            </c:strRef>
          </c:tx>
          <c:spPr>
            <a:ln w="15875">
              <a:solidFill>
                <a:schemeClr val="accent6">
                  <a:lumMod val="75000"/>
                </a:schemeClr>
              </a:solidFill>
              <a:prstDash val="sysDot"/>
            </a:ln>
          </c:spPr>
          <c:marker>
            <c:symbol val="none"/>
          </c:marker>
          <c:cat>
            <c:multiLvlStrRef>
              <c:f>'Trh práce 1-SNÚ'!$AA$28:$AB$68</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 1-SNÚ'!$AO$28:$AO$68</c:f>
              <c:numCache>
                <c:formatCode>#\ ##0.0</c:formatCode>
                <c:ptCount val="41"/>
                <c:pt idx="0">
                  <c:v>12</c:v>
                </c:pt>
                <c:pt idx="1">
                  <c:v>3.7</c:v>
                </c:pt>
                <c:pt idx="2">
                  <c:v>1</c:v>
                </c:pt>
                <c:pt idx="3">
                  <c:v>2</c:v>
                </c:pt>
                <c:pt idx="4">
                  <c:v>14.9</c:v>
                </c:pt>
                <c:pt idx="5">
                  <c:v>18.100000000000001</c:v>
                </c:pt>
                <c:pt idx="6">
                  <c:v>18.899999999999999</c:v>
                </c:pt>
                <c:pt idx="7">
                  <c:v>21</c:v>
                </c:pt>
                <c:pt idx="8">
                  <c:v>14.7</c:v>
                </c:pt>
                <c:pt idx="9">
                  <c:v>17</c:v>
                </c:pt>
                <c:pt idx="10">
                  <c:v>19</c:v>
                </c:pt>
                <c:pt idx="11">
                  <c:v>14.9</c:v>
                </c:pt>
                <c:pt idx="12">
                  <c:v>30.1</c:v>
                </c:pt>
                <c:pt idx="13">
                  <c:v>32.5</c:v>
                </c:pt>
                <c:pt idx="14">
                  <c:v>27.5</c:v>
                </c:pt>
                <c:pt idx="15">
                  <c:v>14.7</c:v>
                </c:pt>
                <c:pt idx="16">
                  <c:v>12.2</c:v>
                </c:pt>
                <c:pt idx="17">
                  <c:v>15.8</c:v>
                </c:pt>
                <c:pt idx="18">
                  <c:v>14.1</c:v>
                </c:pt>
                <c:pt idx="19">
                  <c:v>12.3</c:v>
                </c:pt>
                <c:pt idx="20">
                  <c:v>11.7</c:v>
                </c:pt>
                <c:pt idx="21">
                  <c:v>-5.9</c:v>
                </c:pt>
                <c:pt idx="22">
                  <c:v>-3.1</c:v>
                </c:pt>
                <c:pt idx="23">
                  <c:v>-0.2</c:v>
                </c:pt>
                <c:pt idx="24">
                  <c:v>6</c:v>
                </c:pt>
                <c:pt idx="25">
                  <c:v>13.2</c:v>
                </c:pt>
                <c:pt idx="26">
                  <c:v>11.4</c:v>
                </c:pt>
                <c:pt idx="27">
                  <c:v>8.5</c:v>
                </c:pt>
                <c:pt idx="28">
                  <c:v>10.5</c:v>
                </c:pt>
                <c:pt idx="29">
                  <c:v>3.2</c:v>
                </c:pt>
                <c:pt idx="30">
                  <c:v>5.9</c:v>
                </c:pt>
                <c:pt idx="31">
                  <c:v>12.5</c:v>
                </c:pt>
                <c:pt idx="32">
                  <c:v>11.3</c:v>
                </c:pt>
                <c:pt idx="33">
                  <c:v>9.1999999999999993</c:v>
                </c:pt>
                <c:pt idx="34">
                  <c:v>11.7</c:v>
                </c:pt>
                <c:pt idx="35">
                  <c:v>10.4</c:v>
                </c:pt>
                <c:pt idx="36">
                  <c:v>6.3</c:v>
                </c:pt>
                <c:pt idx="37">
                  <c:v>9.3000000000000007</c:v>
                </c:pt>
                <c:pt idx="38">
                  <c:v>3</c:v>
                </c:pt>
                <c:pt idx="39">
                  <c:v>7.3</c:v>
                </c:pt>
                <c:pt idx="40">
                  <c:v>4.3</c:v>
                </c:pt>
              </c:numCache>
            </c:numRef>
          </c:val>
          <c:smooth val="0"/>
          <c:extLst>
            <c:ext xmlns:c16="http://schemas.microsoft.com/office/drawing/2014/chart" uri="{C3380CC4-5D6E-409C-BE32-E72D297353CC}">
              <c16:uniqueId val="{0000000C-E739-46ED-ADBE-BC23FCF4C7C9}"/>
            </c:ext>
          </c:extLst>
        </c:ser>
        <c:ser>
          <c:idx val="13"/>
          <c:order val="13"/>
          <c:tx>
            <c:strRef>
              <c:f>'Trh práce 1-SNÚ'!$AP$7</c:f>
              <c:strCache>
                <c:ptCount val="1"/>
                <c:pt idx="0">
                  <c:v>Employment expect. (selected services)</c:v>
                </c:pt>
              </c:strCache>
            </c:strRef>
          </c:tx>
          <c:spPr>
            <a:ln w="15875">
              <a:solidFill>
                <a:srgbClr val="C00000"/>
              </a:solidFill>
              <a:prstDash val="sysDot"/>
            </a:ln>
          </c:spPr>
          <c:marker>
            <c:symbol val="none"/>
          </c:marker>
          <c:cat>
            <c:multiLvlStrRef>
              <c:f>'Trh práce 1-SNÚ'!$AA$28:$AB$68</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 1-SNÚ'!$AP$28:$AP$68</c:f>
              <c:numCache>
                <c:formatCode>#\ ##0.0</c:formatCode>
                <c:ptCount val="41"/>
                <c:pt idx="0">
                  <c:v>-16.2</c:v>
                </c:pt>
                <c:pt idx="1">
                  <c:v>-24.6</c:v>
                </c:pt>
                <c:pt idx="2">
                  <c:v>5.2</c:v>
                </c:pt>
                <c:pt idx="3">
                  <c:v>5.2</c:v>
                </c:pt>
                <c:pt idx="4">
                  <c:v>2.8</c:v>
                </c:pt>
                <c:pt idx="5">
                  <c:v>21.8</c:v>
                </c:pt>
                <c:pt idx="6">
                  <c:v>-4.8</c:v>
                </c:pt>
                <c:pt idx="7">
                  <c:v>7.9</c:v>
                </c:pt>
                <c:pt idx="8">
                  <c:v>11.1</c:v>
                </c:pt>
                <c:pt idx="9">
                  <c:v>11</c:v>
                </c:pt>
                <c:pt idx="10">
                  <c:v>19.7</c:v>
                </c:pt>
                <c:pt idx="11">
                  <c:v>3.1</c:v>
                </c:pt>
                <c:pt idx="12">
                  <c:v>15.7</c:v>
                </c:pt>
                <c:pt idx="13">
                  <c:v>10.5</c:v>
                </c:pt>
                <c:pt idx="14">
                  <c:v>9.5</c:v>
                </c:pt>
                <c:pt idx="15">
                  <c:v>-7.6</c:v>
                </c:pt>
                <c:pt idx="16">
                  <c:v>-6.5</c:v>
                </c:pt>
                <c:pt idx="17">
                  <c:v>-1.1000000000000001</c:v>
                </c:pt>
                <c:pt idx="18">
                  <c:v>-4.5999999999999996</c:v>
                </c:pt>
                <c:pt idx="19">
                  <c:v>-15.4</c:v>
                </c:pt>
                <c:pt idx="20">
                  <c:v>-20.5</c:v>
                </c:pt>
                <c:pt idx="21">
                  <c:v>-32.299999999999997</c:v>
                </c:pt>
                <c:pt idx="22">
                  <c:v>-28.6</c:v>
                </c:pt>
                <c:pt idx="23">
                  <c:v>-30.1</c:v>
                </c:pt>
                <c:pt idx="24">
                  <c:v>-27</c:v>
                </c:pt>
                <c:pt idx="25">
                  <c:v>-27.7</c:v>
                </c:pt>
                <c:pt idx="26">
                  <c:v>-12.1</c:v>
                </c:pt>
                <c:pt idx="27">
                  <c:v>-15.8</c:v>
                </c:pt>
                <c:pt idx="28">
                  <c:v>-6.8</c:v>
                </c:pt>
                <c:pt idx="29">
                  <c:v>-3.5</c:v>
                </c:pt>
                <c:pt idx="30">
                  <c:v>-6.1</c:v>
                </c:pt>
                <c:pt idx="31">
                  <c:v>-6.4</c:v>
                </c:pt>
                <c:pt idx="32">
                  <c:v>-10.7</c:v>
                </c:pt>
                <c:pt idx="33">
                  <c:v>-16.7</c:v>
                </c:pt>
                <c:pt idx="34">
                  <c:v>-14.5</c:v>
                </c:pt>
                <c:pt idx="35">
                  <c:v>-15.2</c:v>
                </c:pt>
                <c:pt idx="36">
                  <c:v>-23.7</c:v>
                </c:pt>
                <c:pt idx="37">
                  <c:v>-16</c:v>
                </c:pt>
                <c:pt idx="38">
                  <c:v>-15.7</c:v>
                </c:pt>
                <c:pt idx="39">
                  <c:v>-6.6</c:v>
                </c:pt>
                <c:pt idx="40">
                  <c:v>-14.3</c:v>
                </c:pt>
              </c:numCache>
            </c:numRef>
          </c:val>
          <c:smooth val="0"/>
          <c:extLst>
            <c:ext xmlns:c16="http://schemas.microsoft.com/office/drawing/2014/chart" uri="{C3380CC4-5D6E-409C-BE32-E72D297353CC}">
              <c16:uniqueId val="{0000000D-E739-46ED-ADBE-BC23FCF4C7C9}"/>
            </c:ext>
          </c:extLst>
        </c:ser>
        <c:dLbls>
          <c:showLegendKey val="0"/>
          <c:showVal val="0"/>
          <c:showCatName val="0"/>
          <c:showSerName val="0"/>
          <c:showPercent val="0"/>
          <c:showBubbleSize val="0"/>
        </c:dLbls>
        <c:marker val="1"/>
        <c:smooth val="0"/>
        <c:axId val="332941824"/>
        <c:axId val="332936832"/>
      </c:lineChart>
      <c:catAx>
        <c:axId val="101898496"/>
        <c:scaling>
          <c:orientation val="minMax"/>
        </c:scaling>
        <c:delete val="0"/>
        <c:axPos val="b"/>
        <c:numFmt formatCode="General" sourceLinked="1"/>
        <c:majorTickMark val="out"/>
        <c:minorTickMark val="none"/>
        <c:tickLblPos val="low"/>
        <c:spPr>
          <a:ln>
            <a:solidFill>
              <a:schemeClr val="tx1"/>
            </a:solidFill>
          </a:ln>
        </c:spPr>
        <c:crossAx val="101781504"/>
        <c:crosses val="autoZero"/>
        <c:auto val="1"/>
        <c:lblAlgn val="ctr"/>
        <c:lblOffset val="10"/>
        <c:noMultiLvlLbl val="0"/>
      </c:catAx>
      <c:valAx>
        <c:axId val="101781504"/>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Contribution to the employment growth</a:t>
                </a:r>
              </a:p>
            </c:rich>
          </c:tx>
          <c:layout/>
          <c:overlay val="0"/>
        </c:title>
        <c:numFmt formatCode="0.0" sourceLinked="0"/>
        <c:majorTickMark val="out"/>
        <c:minorTickMark val="none"/>
        <c:tickLblPos val="nextTo"/>
        <c:spPr>
          <a:ln>
            <a:solidFill>
              <a:schemeClr val="tx1"/>
            </a:solidFill>
          </a:ln>
        </c:spPr>
        <c:crossAx val="101898496"/>
        <c:crosses val="autoZero"/>
        <c:crossBetween val="between"/>
        <c:majorUnit val="0.5"/>
      </c:valAx>
      <c:valAx>
        <c:axId val="332936832"/>
        <c:scaling>
          <c:orientation val="minMax"/>
          <c:max val="100"/>
          <c:min val="-40"/>
        </c:scaling>
        <c:delete val="0"/>
        <c:axPos val="r"/>
        <c:title>
          <c:tx>
            <c:rich>
              <a:bodyPr/>
              <a:lstStyle/>
              <a:p>
                <a:pPr>
                  <a:defRPr sz="700" b="0" i="1"/>
                </a:pPr>
                <a:r>
                  <a:rPr lang="cs-CZ" sz="700" b="0" i="1"/>
                  <a:t>Expectations of the employment</a:t>
                </a:r>
              </a:p>
            </c:rich>
          </c:tx>
          <c:layout/>
          <c:overlay val="0"/>
        </c:title>
        <c:numFmt formatCode="#,##0" sourceLinked="0"/>
        <c:majorTickMark val="out"/>
        <c:minorTickMark val="none"/>
        <c:tickLblPos val="nextTo"/>
        <c:crossAx val="332941824"/>
        <c:crosses val="max"/>
        <c:crossBetween val="between"/>
        <c:majorUnit val="10"/>
      </c:valAx>
      <c:catAx>
        <c:axId val="332941824"/>
        <c:scaling>
          <c:orientation val="minMax"/>
        </c:scaling>
        <c:delete val="1"/>
        <c:axPos val="b"/>
        <c:numFmt formatCode="General" sourceLinked="1"/>
        <c:majorTickMark val="out"/>
        <c:minorTickMark val="none"/>
        <c:tickLblPos val="nextTo"/>
        <c:crossAx val="332936832"/>
        <c:crosses val="autoZero"/>
        <c:auto val="1"/>
        <c:lblAlgn val="ctr"/>
        <c:lblOffset val="100"/>
        <c:noMultiLvlLbl val="0"/>
      </c:catAx>
      <c:spPr>
        <a:ln>
          <a:solidFill>
            <a:schemeClr val="tx1"/>
          </a:solidFill>
        </a:ln>
      </c:spPr>
    </c:plotArea>
    <c:legend>
      <c:legendPos val="b"/>
      <c:layout>
        <c:manualLayout>
          <c:xMode val="edge"/>
          <c:yMode val="edge"/>
          <c:x val="1.5472441370721637E-2"/>
          <c:y val="0.77992823117070742"/>
          <c:w val="0.96005692595618608"/>
          <c:h val="0.2119461831534994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036417007492182E-2"/>
          <c:y val="1.6081916099773243E-2"/>
          <c:w val="0.84656372322027451"/>
          <c:h val="0.76494082349138992"/>
        </c:manualLayout>
      </c:layout>
      <c:barChart>
        <c:barDir val="col"/>
        <c:grouping val="clustered"/>
        <c:varyColors val="0"/>
        <c:ser>
          <c:idx val="0"/>
          <c:order val="0"/>
          <c:tx>
            <c:strRef>
              <c:f>'Trh práce-2b'!$A$32</c:f>
              <c:strCache>
                <c:ptCount val="1"/>
                <c:pt idx="0">
                  <c:v>Male unemployment rate</c:v>
                </c:pt>
              </c:strCache>
            </c:strRef>
          </c:tx>
          <c:spPr>
            <a:solidFill>
              <a:srgbClr val="BCBCBC"/>
            </a:solidFill>
          </c:spPr>
          <c:invertIfNegative val="0"/>
          <c:cat>
            <c:multiLvlStrRef>
              <c:f>'Trh práce-2b'!$B$30:$AP$31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práce-2b'!$B$32:$AP$32</c:f>
              <c:numCache>
                <c:formatCode>0.0</c:formatCode>
                <c:ptCount val="41"/>
                <c:pt idx="0">
                  <c:v>5.0058051640958512</c:v>
                </c:pt>
                <c:pt idx="1">
                  <c:v>4.3524444937807516</c:v>
                </c:pt>
                <c:pt idx="2">
                  <c:v>4.0807151898674574</c:v>
                </c:pt>
                <c:pt idx="3">
                  <c:v>3.7845567377550418</c:v>
                </c:pt>
                <c:pt idx="4">
                  <c:v>3.6309206389179773</c:v>
                </c:pt>
                <c:pt idx="5">
                  <c:v>3.5715167595159865</c:v>
                </c:pt>
                <c:pt idx="6">
                  <c:v>3.3849739455714514</c:v>
                </c:pt>
                <c:pt idx="7">
                  <c:v>3.1694993005821241</c:v>
                </c:pt>
                <c:pt idx="8">
                  <c:v>2.6988706435551912</c:v>
                </c:pt>
                <c:pt idx="9">
                  <c:v>2.4615719861358922</c:v>
                </c:pt>
                <c:pt idx="10">
                  <c:v>2.264323659014273</c:v>
                </c:pt>
                <c:pt idx="11">
                  <c:v>2.0528790539390447</c:v>
                </c:pt>
                <c:pt idx="12">
                  <c:v>1.891926718244531</c:v>
                </c:pt>
                <c:pt idx="13">
                  <c:v>1.8517464771970182</c:v>
                </c:pt>
                <c:pt idx="14">
                  <c:v>1.8812597941053213</c:v>
                </c:pt>
                <c:pt idx="15">
                  <c:v>1.6734969649939924</c:v>
                </c:pt>
                <c:pt idx="16">
                  <c:v>1.7964733039298741</c:v>
                </c:pt>
                <c:pt idx="17">
                  <c:v>1.6817598444088826</c:v>
                </c:pt>
                <c:pt idx="18">
                  <c:v>1.7697285460098422</c:v>
                </c:pt>
                <c:pt idx="19">
                  <c:v>1.8671073609881972</c:v>
                </c:pt>
                <c:pt idx="20">
                  <c:v>1.8419377261115273</c:v>
                </c:pt>
                <c:pt idx="21">
                  <c:v>2.2515285483985372</c:v>
                </c:pt>
                <c:pt idx="22">
                  <c:v>2.5210724110543103</c:v>
                </c:pt>
                <c:pt idx="23">
                  <c:v>2.5497226022391533</c:v>
                </c:pt>
                <c:pt idx="24">
                  <c:v>2.6716954602833582</c:v>
                </c:pt>
                <c:pt idx="25">
                  <c:v>2.5549914989531142</c:v>
                </c:pt>
                <c:pt idx="26">
                  <c:v>2.273705517368287</c:v>
                </c:pt>
                <c:pt idx="27">
                  <c:v>1.9813967726510178</c:v>
                </c:pt>
                <c:pt idx="28">
                  <c:v>1.9652125011822994</c:v>
                </c:pt>
                <c:pt idx="29">
                  <c:v>1.8990081705700053</c:v>
                </c:pt>
                <c:pt idx="30">
                  <c:v>1.9241256937035081</c:v>
                </c:pt>
                <c:pt idx="31">
                  <c:v>2.1039897404255146</c:v>
                </c:pt>
                <c:pt idx="32">
                  <c:v>2.1574118637930568</c:v>
                </c:pt>
                <c:pt idx="33">
                  <c:v>2.2427710400973342</c:v>
                </c:pt>
                <c:pt idx="34">
                  <c:v>2.3151063484266534</c:v>
                </c:pt>
                <c:pt idx="35">
                  <c:v>2.3406054642843581</c:v>
                </c:pt>
                <c:pt idx="36">
                  <c:v>2.3832603352200188</c:v>
                </c:pt>
                <c:pt idx="37">
                  <c:v>2.437940868173516</c:v>
                </c:pt>
                <c:pt idx="38">
                  <c:v>2.3821902878118024</c:v>
                </c:pt>
                <c:pt idx="39">
                  <c:v>2.2218618221886914</c:v>
                </c:pt>
              </c:numCache>
            </c:numRef>
          </c:val>
          <c:extLst>
            <c:ext xmlns:c16="http://schemas.microsoft.com/office/drawing/2014/chart" uri="{C3380CC4-5D6E-409C-BE32-E72D297353CC}">
              <c16:uniqueId val="{00000000-F583-40F7-A520-7C8FD1A0DEB4}"/>
            </c:ext>
          </c:extLst>
        </c:ser>
        <c:ser>
          <c:idx val="1"/>
          <c:order val="1"/>
          <c:tx>
            <c:strRef>
              <c:f>'Trh práce-2b'!$A$33</c:f>
              <c:strCache>
                <c:ptCount val="1"/>
                <c:pt idx="0">
                  <c:v>Female unemployment rate</c:v>
                </c:pt>
              </c:strCache>
            </c:strRef>
          </c:tx>
          <c:spPr>
            <a:solidFill>
              <a:schemeClr val="bg1">
                <a:lumMod val="95000"/>
              </a:schemeClr>
            </a:solidFill>
            <a:ln>
              <a:solidFill>
                <a:schemeClr val="bg1">
                  <a:lumMod val="65000"/>
                </a:schemeClr>
              </a:solidFill>
            </a:ln>
          </c:spPr>
          <c:invertIfNegative val="0"/>
          <c:cat>
            <c:multiLvlStrRef>
              <c:f>'Trh práce-2b'!$B$30:$AP$31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práce-2b'!$B$33:$AP$33</c:f>
              <c:numCache>
                <c:formatCode>0.0</c:formatCode>
                <c:ptCount val="41"/>
                <c:pt idx="0">
                  <c:v>6.9207856651438</c:v>
                </c:pt>
                <c:pt idx="1">
                  <c:v>6.1558591808040193</c:v>
                </c:pt>
                <c:pt idx="2">
                  <c:v>5.9813130938267003</c:v>
                </c:pt>
                <c:pt idx="3">
                  <c:v>5.6625073058713324</c:v>
                </c:pt>
                <c:pt idx="4">
                  <c:v>5.0654757792210923</c:v>
                </c:pt>
                <c:pt idx="5">
                  <c:v>4.8024068700366636</c:v>
                </c:pt>
                <c:pt idx="6">
                  <c:v>4.8139599778297599</c:v>
                </c:pt>
                <c:pt idx="7">
                  <c:v>4.3661039623264601</c:v>
                </c:pt>
                <c:pt idx="8">
                  <c:v>4.2644083530687276</c:v>
                </c:pt>
                <c:pt idx="9">
                  <c:v>3.8930864281784365</c:v>
                </c:pt>
                <c:pt idx="10">
                  <c:v>3.4142177691688596</c:v>
                </c:pt>
                <c:pt idx="11">
                  <c:v>3.0265212200029379</c:v>
                </c:pt>
                <c:pt idx="12">
                  <c:v>2.93560923470057</c:v>
                </c:pt>
                <c:pt idx="13">
                  <c:v>2.8906425825901452</c:v>
                </c:pt>
                <c:pt idx="14">
                  <c:v>2.8627693038037862</c:v>
                </c:pt>
                <c:pt idx="15">
                  <c:v>2.6813344350612236</c:v>
                </c:pt>
                <c:pt idx="16">
                  <c:v>2.2407108468132892</c:v>
                </c:pt>
                <c:pt idx="17">
                  <c:v>2.4706939951473177</c:v>
                </c:pt>
                <c:pt idx="18">
                  <c:v>2.5703902808520014</c:v>
                </c:pt>
                <c:pt idx="19">
                  <c:v>2.4360025139376575</c:v>
                </c:pt>
                <c:pt idx="20">
                  <c:v>2.0392822170403488</c:v>
                </c:pt>
                <c:pt idx="21">
                  <c:v>2.8104501806370918</c:v>
                </c:pt>
                <c:pt idx="22">
                  <c:v>3.3742996821413196</c:v>
                </c:pt>
                <c:pt idx="23">
                  <c:v>3.8980522491060001</c:v>
                </c:pt>
                <c:pt idx="24">
                  <c:v>4.1461427222181015</c:v>
                </c:pt>
                <c:pt idx="25">
                  <c:v>3.9050486236993525</c:v>
                </c:pt>
                <c:pt idx="26">
                  <c:v>3.2655737597165539</c:v>
                </c:pt>
                <c:pt idx="27">
                  <c:v>2.7366851884066157</c:v>
                </c:pt>
                <c:pt idx="28">
                  <c:v>2.9894048219769354</c:v>
                </c:pt>
                <c:pt idx="29">
                  <c:v>3.2092569970214662</c:v>
                </c:pt>
                <c:pt idx="30">
                  <c:v>2.9004106049239446</c:v>
                </c:pt>
                <c:pt idx="31">
                  <c:v>2.7986304810578915</c:v>
                </c:pt>
                <c:pt idx="32">
                  <c:v>3.0206028735083259</c:v>
                </c:pt>
                <c:pt idx="33">
                  <c:v>3.1938796182703673</c:v>
                </c:pt>
                <c:pt idx="34">
                  <c:v>3.2180965554616203</c:v>
                </c:pt>
                <c:pt idx="35">
                  <c:v>3.3001116125059653</c:v>
                </c:pt>
                <c:pt idx="36">
                  <c:v>3.5280274888123544</c:v>
                </c:pt>
                <c:pt idx="37">
                  <c:v>3.2159817769687629</c:v>
                </c:pt>
                <c:pt idx="38">
                  <c:v>3.3040067122227668</c:v>
                </c:pt>
                <c:pt idx="39">
                  <c:v>3.3436373122328811</c:v>
                </c:pt>
              </c:numCache>
            </c:numRef>
          </c:val>
          <c:extLst>
            <c:ext xmlns:c16="http://schemas.microsoft.com/office/drawing/2014/chart" uri="{C3380CC4-5D6E-409C-BE32-E72D297353CC}">
              <c16:uniqueId val="{00000001-F583-40F7-A520-7C8FD1A0DEB4}"/>
            </c:ext>
          </c:extLst>
        </c:ser>
        <c:dLbls>
          <c:showLegendKey val="0"/>
          <c:showVal val="0"/>
          <c:showCatName val="0"/>
          <c:showSerName val="0"/>
          <c:showPercent val="0"/>
          <c:showBubbleSize val="0"/>
        </c:dLbls>
        <c:gapWidth val="68"/>
        <c:axId val="100654464"/>
        <c:axId val="101647488"/>
      </c:barChart>
      <c:lineChart>
        <c:grouping val="standard"/>
        <c:varyColors val="0"/>
        <c:ser>
          <c:idx val="4"/>
          <c:order val="2"/>
          <c:tx>
            <c:strRef>
              <c:f>'Trh práce-2b'!$A$34</c:f>
              <c:strCache>
                <c:ptCount val="1"/>
                <c:pt idx="0">
                  <c:v>Vacancies for lower qualifications</c:v>
                </c:pt>
              </c:strCache>
            </c:strRef>
          </c:tx>
          <c:spPr>
            <a:ln w="19050">
              <a:noFill/>
              <a:prstDash val="sysDash"/>
            </a:ln>
          </c:spPr>
          <c:marker>
            <c:symbol val="circle"/>
            <c:size val="4"/>
            <c:spPr>
              <a:solidFill>
                <a:schemeClr val="tx2">
                  <a:lumMod val="60000"/>
                  <a:lumOff val="40000"/>
                </a:schemeClr>
              </a:solidFill>
              <a:ln>
                <a:noFill/>
              </a:ln>
            </c:spPr>
          </c:marker>
          <c:cat>
            <c:multiLvlStrRef>
              <c:f>'Trh práce-2b'!$B$30:$AP$31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práce-2b'!$B$34:$AP$34</c:f>
              <c:numCache>
                <c:formatCode>0.0</c:formatCode>
                <c:ptCount val="41"/>
                <c:pt idx="0">
                  <c:v>31.7</c:v>
                </c:pt>
                <c:pt idx="1">
                  <c:v>39.700000000000003</c:v>
                </c:pt>
                <c:pt idx="2">
                  <c:v>44.4</c:v>
                </c:pt>
                <c:pt idx="3">
                  <c:v>41.2</c:v>
                </c:pt>
                <c:pt idx="4">
                  <c:v>45.3</c:v>
                </c:pt>
                <c:pt idx="5">
                  <c:v>51.4</c:v>
                </c:pt>
                <c:pt idx="6">
                  <c:v>52.8</c:v>
                </c:pt>
                <c:pt idx="7">
                  <c:v>47.2</c:v>
                </c:pt>
                <c:pt idx="8">
                  <c:v>51.5</c:v>
                </c:pt>
                <c:pt idx="9">
                  <c:v>59.1</c:v>
                </c:pt>
                <c:pt idx="10">
                  <c:v>63.1</c:v>
                </c:pt>
                <c:pt idx="11">
                  <c:v>60.9</c:v>
                </c:pt>
                <c:pt idx="12">
                  <c:v>65.3</c:v>
                </c:pt>
                <c:pt idx="13">
                  <c:v>73.3</c:v>
                </c:pt>
                <c:pt idx="14">
                  <c:v>74.2</c:v>
                </c:pt>
                <c:pt idx="15">
                  <c:v>70.400000000000006</c:v>
                </c:pt>
                <c:pt idx="16">
                  <c:v>70.2</c:v>
                </c:pt>
                <c:pt idx="17">
                  <c:v>68</c:v>
                </c:pt>
                <c:pt idx="18">
                  <c:v>65.8</c:v>
                </c:pt>
                <c:pt idx="19">
                  <c:v>59.1</c:v>
                </c:pt>
                <c:pt idx="20">
                  <c:v>57.7</c:v>
                </c:pt>
                <c:pt idx="21">
                  <c:v>54.3</c:v>
                </c:pt>
                <c:pt idx="22">
                  <c:v>49.1</c:v>
                </c:pt>
                <c:pt idx="23">
                  <c:v>46.6</c:v>
                </c:pt>
                <c:pt idx="24">
                  <c:v>47.9</c:v>
                </c:pt>
                <c:pt idx="25">
                  <c:v>53.9</c:v>
                </c:pt>
                <c:pt idx="26">
                  <c:v>55.5</c:v>
                </c:pt>
                <c:pt idx="27">
                  <c:v>48.9</c:v>
                </c:pt>
                <c:pt idx="28">
                  <c:v>53.7</c:v>
                </c:pt>
                <c:pt idx="29">
                  <c:v>51.3</c:v>
                </c:pt>
                <c:pt idx="30">
                  <c:v>48.2</c:v>
                </c:pt>
                <c:pt idx="31">
                  <c:v>43.887</c:v>
                </c:pt>
                <c:pt idx="32">
                  <c:v>43.122</c:v>
                </c:pt>
                <c:pt idx="33">
                  <c:v>42.853999999999999</c:v>
                </c:pt>
                <c:pt idx="34">
                  <c:v>41.186</c:v>
                </c:pt>
                <c:pt idx="35">
                  <c:v>38.177999999999997</c:v>
                </c:pt>
                <c:pt idx="36">
                  <c:v>37.228000000000002</c:v>
                </c:pt>
                <c:pt idx="37">
                  <c:v>36.956000000000003</c:v>
                </c:pt>
                <c:pt idx="38">
                  <c:v>37.122999999999998</c:v>
                </c:pt>
                <c:pt idx="39">
                  <c:v>34.851999999999997</c:v>
                </c:pt>
              </c:numCache>
            </c:numRef>
          </c:val>
          <c:smooth val="0"/>
          <c:extLst>
            <c:ext xmlns:c16="http://schemas.microsoft.com/office/drawing/2014/chart" uri="{C3380CC4-5D6E-409C-BE32-E72D297353CC}">
              <c16:uniqueId val="{00000002-F583-40F7-A520-7C8FD1A0DEB4}"/>
            </c:ext>
          </c:extLst>
        </c:ser>
        <c:ser>
          <c:idx val="5"/>
          <c:order val="3"/>
          <c:tx>
            <c:strRef>
              <c:f>'Trh práce-2b'!$A$35</c:f>
              <c:strCache>
                <c:ptCount val="1"/>
                <c:pt idx="0">
                  <c:v>Vacancies for higher qualifications</c:v>
                </c:pt>
              </c:strCache>
            </c:strRef>
          </c:tx>
          <c:spPr>
            <a:ln w="19050">
              <a:noFill/>
              <a:prstDash val="dash"/>
            </a:ln>
          </c:spPr>
          <c:marker>
            <c:symbol val="triangle"/>
            <c:size val="5"/>
            <c:spPr>
              <a:solidFill>
                <a:srgbClr val="00B050"/>
              </a:solidFill>
              <a:ln>
                <a:noFill/>
              </a:ln>
            </c:spPr>
          </c:marker>
          <c:cat>
            <c:multiLvlStrRef>
              <c:f>'Trh práce-2b'!$B$30:$AP$31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práce-2b'!$B$35:$AP$35</c:f>
              <c:numCache>
                <c:formatCode>0.0</c:formatCode>
                <c:ptCount val="41"/>
                <c:pt idx="0">
                  <c:v>16.600000000000001</c:v>
                </c:pt>
                <c:pt idx="1">
                  <c:v>19.3</c:v>
                </c:pt>
                <c:pt idx="2">
                  <c:v>20</c:v>
                </c:pt>
                <c:pt idx="3">
                  <c:v>19.600000000000001</c:v>
                </c:pt>
                <c:pt idx="4">
                  <c:v>23.4</c:v>
                </c:pt>
                <c:pt idx="5">
                  <c:v>24.8</c:v>
                </c:pt>
                <c:pt idx="6">
                  <c:v>25.2</c:v>
                </c:pt>
                <c:pt idx="7">
                  <c:v>23.5</c:v>
                </c:pt>
                <c:pt idx="8">
                  <c:v>25.9</c:v>
                </c:pt>
                <c:pt idx="9">
                  <c:v>30.3</c:v>
                </c:pt>
                <c:pt idx="10">
                  <c:v>31.4</c:v>
                </c:pt>
                <c:pt idx="11">
                  <c:v>31.8</c:v>
                </c:pt>
                <c:pt idx="12">
                  <c:v>34.299999999999997</c:v>
                </c:pt>
                <c:pt idx="13">
                  <c:v>38</c:v>
                </c:pt>
                <c:pt idx="14">
                  <c:v>37.200000000000003</c:v>
                </c:pt>
                <c:pt idx="15">
                  <c:v>36.6</c:v>
                </c:pt>
                <c:pt idx="16">
                  <c:v>37.299999999999997</c:v>
                </c:pt>
                <c:pt idx="17">
                  <c:v>38.299999999999997</c:v>
                </c:pt>
                <c:pt idx="18">
                  <c:v>38.6</c:v>
                </c:pt>
                <c:pt idx="19">
                  <c:v>36.299999999999997</c:v>
                </c:pt>
                <c:pt idx="20">
                  <c:v>37.700000000000003</c:v>
                </c:pt>
                <c:pt idx="21">
                  <c:v>38.1</c:v>
                </c:pt>
                <c:pt idx="22">
                  <c:v>34.4</c:v>
                </c:pt>
                <c:pt idx="23">
                  <c:v>34.1</c:v>
                </c:pt>
                <c:pt idx="24">
                  <c:v>36.299999999999997</c:v>
                </c:pt>
                <c:pt idx="25">
                  <c:v>39.6</c:v>
                </c:pt>
                <c:pt idx="26">
                  <c:v>40.299999999999997</c:v>
                </c:pt>
                <c:pt idx="27">
                  <c:v>39.200000000000003</c:v>
                </c:pt>
                <c:pt idx="28">
                  <c:v>42.5</c:v>
                </c:pt>
                <c:pt idx="29">
                  <c:v>41</c:v>
                </c:pt>
                <c:pt idx="30">
                  <c:v>38.5</c:v>
                </c:pt>
                <c:pt idx="31">
                  <c:v>36.56</c:v>
                </c:pt>
                <c:pt idx="32">
                  <c:v>37.613</c:v>
                </c:pt>
                <c:pt idx="33">
                  <c:v>38.130000000000003</c:v>
                </c:pt>
                <c:pt idx="34">
                  <c:v>36.289000000000001</c:v>
                </c:pt>
                <c:pt idx="35">
                  <c:v>34.274000000000001</c:v>
                </c:pt>
                <c:pt idx="36">
                  <c:v>35.200000000000003</c:v>
                </c:pt>
                <c:pt idx="37">
                  <c:v>33.491999999999997</c:v>
                </c:pt>
                <c:pt idx="38">
                  <c:v>32.277000000000001</c:v>
                </c:pt>
                <c:pt idx="39">
                  <c:v>29.664999999999999</c:v>
                </c:pt>
              </c:numCache>
            </c:numRef>
          </c:val>
          <c:smooth val="0"/>
          <c:extLst>
            <c:ext xmlns:c16="http://schemas.microsoft.com/office/drawing/2014/chart" uri="{C3380CC4-5D6E-409C-BE32-E72D297353CC}">
              <c16:uniqueId val="{00000003-F583-40F7-A520-7C8FD1A0DEB4}"/>
            </c:ext>
          </c:extLst>
        </c:ser>
        <c:ser>
          <c:idx val="6"/>
          <c:order val="4"/>
          <c:tx>
            <c:strRef>
              <c:f>'Trh práce-2b'!$A$36</c:f>
              <c:strCache>
                <c:ptCount val="1"/>
                <c:pt idx="0">
                  <c:v>Working foreigners (Ukrainians</c:v>
                </c:pt>
              </c:strCache>
            </c:strRef>
          </c:tx>
          <c:spPr>
            <a:ln w="15875">
              <a:solidFill>
                <a:srgbClr val="FFC000"/>
              </a:solidFill>
              <a:prstDash val="sysDash"/>
            </a:ln>
          </c:spPr>
          <c:marker>
            <c:symbol val="none"/>
          </c:marker>
          <c:cat>
            <c:multiLvlStrRef>
              <c:f>'Trh práce-2b'!$B$30:$AP$31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práce-2b'!$B$36:$AP$36</c:f>
              <c:numCache>
                <c:formatCode>#,##0</c:formatCode>
                <c:ptCount val="41"/>
                <c:pt idx="0">
                  <c:v>35.723999999999997</c:v>
                </c:pt>
                <c:pt idx="1">
                  <c:v>38.613999999999997</c:v>
                </c:pt>
                <c:pt idx="2">
                  <c:v>40.725999999999999</c:v>
                </c:pt>
                <c:pt idx="3">
                  <c:v>41.776000000000003</c:v>
                </c:pt>
                <c:pt idx="4">
                  <c:v>43.104999999999997</c:v>
                </c:pt>
                <c:pt idx="5">
                  <c:v>49.847000000000001</c:v>
                </c:pt>
                <c:pt idx="6">
                  <c:v>54.764000000000003</c:v>
                </c:pt>
                <c:pt idx="7">
                  <c:v>54.540999999999997</c:v>
                </c:pt>
                <c:pt idx="8">
                  <c:v>59.363</c:v>
                </c:pt>
                <c:pt idx="9">
                  <c:v>69.864000000000004</c:v>
                </c:pt>
                <c:pt idx="10">
                  <c:v>76.724000000000004</c:v>
                </c:pt>
                <c:pt idx="11">
                  <c:v>81.688999999999993</c:v>
                </c:pt>
                <c:pt idx="12">
                  <c:v>97.317999999999998</c:v>
                </c:pt>
                <c:pt idx="13">
                  <c:v>115.39100000000001</c:v>
                </c:pt>
                <c:pt idx="14">
                  <c:v>134.202</c:v>
                </c:pt>
                <c:pt idx="15">
                  <c:v>121.08499999999999</c:v>
                </c:pt>
                <c:pt idx="16">
                  <c:v>146.08500000000001</c:v>
                </c:pt>
                <c:pt idx="17">
                  <c:v>152.69800000000001</c:v>
                </c:pt>
                <c:pt idx="18">
                  <c:v>164.92400000000001</c:v>
                </c:pt>
                <c:pt idx="19">
                  <c:v>144.114</c:v>
                </c:pt>
                <c:pt idx="20">
                  <c:v>169.14699999999999</c:v>
                </c:pt>
                <c:pt idx="21">
                  <c:v>133.08600000000001</c:v>
                </c:pt>
                <c:pt idx="22">
                  <c:v>173.584</c:v>
                </c:pt>
                <c:pt idx="23">
                  <c:v>159.46799999999999</c:v>
                </c:pt>
                <c:pt idx="24">
                  <c:v>186.35599999999999</c:v>
                </c:pt>
                <c:pt idx="25">
                  <c:v>191.58500000000001</c:v>
                </c:pt>
                <c:pt idx="26">
                  <c:v>214.10599999999999</c:v>
                </c:pt>
                <c:pt idx="27">
                  <c:v>195.11600000000001</c:v>
                </c:pt>
                <c:pt idx="28">
                  <c:v>238.024</c:v>
                </c:pt>
                <c:pt idx="29">
                  <c:v>248.58799999999999</c:v>
                </c:pt>
                <c:pt idx="30">
                  <c:v>262.17899999999997</c:v>
                </c:pt>
                <c:pt idx="31">
                  <c:v>269.911</c:v>
                </c:pt>
                <c:pt idx="32">
                  <c:v>261.31299999999999</c:v>
                </c:pt>
                <c:pt idx="33">
                  <c:v>269.04500000000002</c:v>
                </c:pt>
                <c:pt idx="34">
                  <c:v>282.22300000000001</c:v>
                </c:pt>
                <c:pt idx="35">
                  <c:v>285.54500000000002</c:v>
                </c:pt>
                <c:pt idx="36">
                  <c:v>283.649</c:v>
                </c:pt>
                <c:pt idx="37">
                  <c:v>286.25599999999997</c:v>
                </c:pt>
                <c:pt idx="38">
                  <c:v>291.79199999999997</c:v>
                </c:pt>
                <c:pt idx="39">
                  <c:v>304.68200000000002</c:v>
                </c:pt>
              </c:numCache>
            </c:numRef>
          </c:val>
          <c:smooth val="0"/>
          <c:extLst>
            <c:ext xmlns:c16="http://schemas.microsoft.com/office/drawing/2014/chart" uri="{C3380CC4-5D6E-409C-BE32-E72D297353CC}">
              <c16:uniqueId val="{00000004-F583-40F7-A520-7C8FD1A0DEB4}"/>
            </c:ext>
          </c:extLst>
        </c:ser>
        <c:ser>
          <c:idx val="7"/>
          <c:order val="5"/>
          <c:tx>
            <c:strRef>
              <c:f>'Trh práce-2b'!$A$37</c:f>
              <c:strCache>
                <c:ptCount val="1"/>
                <c:pt idx="0">
                  <c:v>Working foreigners (Slovakians) </c:v>
                </c:pt>
              </c:strCache>
            </c:strRef>
          </c:tx>
          <c:spPr>
            <a:ln w="19050">
              <a:solidFill>
                <a:schemeClr val="accent2">
                  <a:lumMod val="60000"/>
                  <a:lumOff val="40000"/>
                </a:schemeClr>
              </a:solidFill>
              <a:prstDash val="sysDash"/>
            </a:ln>
          </c:spPr>
          <c:marker>
            <c:symbol val="none"/>
          </c:marker>
          <c:cat>
            <c:multiLvlStrRef>
              <c:f>'Trh práce-2b'!$B$30:$AP$31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práce-2b'!$B$37:$AP$37</c:f>
              <c:numCache>
                <c:formatCode>#,##0</c:formatCode>
                <c:ptCount val="41"/>
                <c:pt idx="0">
                  <c:v>132.65199999999999</c:v>
                </c:pt>
                <c:pt idx="1">
                  <c:v>141.858</c:v>
                </c:pt>
                <c:pt idx="2">
                  <c:v>148.23099999999999</c:v>
                </c:pt>
                <c:pt idx="3">
                  <c:v>150.31700000000001</c:v>
                </c:pt>
                <c:pt idx="4">
                  <c:v>148.67500000000001</c:v>
                </c:pt>
                <c:pt idx="5">
                  <c:v>153.64599999999999</c:v>
                </c:pt>
                <c:pt idx="6">
                  <c:v>159.30099999999999</c:v>
                </c:pt>
                <c:pt idx="7">
                  <c:v>161.559</c:v>
                </c:pt>
                <c:pt idx="8">
                  <c:v>159.88200000000001</c:v>
                </c:pt>
                <c:pt idx="9">
                  <c:v>165.69800000000001</c:v>
                </c:pt>
                <c:pt idx="10">
                  <c:v>170.643</c:v>
                </c:pt>
                <c:pt idx="11">
                  <c:v>177.059</c:v>
                </c:pt>
                <c:pt idx="12">
                  <c:v>180.01900000000001</c:v>
                </c:pt>
                <c:pt idx="13">
                  <c:v>187.33799999999999</c:v>
                </c:pt>
                <c:pt idx="14">
                  <c:v>192.66499999999999</c:v>
                </c:pt>
                <c:pt idx="15">
                  <c:v>191.81800000000001</c:v>
                </c:pt>
                <c:pt idx="16">
                  <c:v>187.18299999999999</c:v>
                </c:pt>
                <c:pt idx="17">
                  <c:v>191.41800000000001</c:v>
                </c:pt>
                <c:pt idx="18">
                  <c:v>199.02799999999999</c:v>
                </c:pt>
                <c:pt idx="19">
                  <c:v>201.952</c:v>
                </c:pt>
                <c:pt idx="20">
                  <c:v>198.05799999999999</c:v>
                </c:pt>
                <c:pt idx="21">
                  <c:v>199.249</c:v>
                </c:pt>
                <c:pt idx="22">
                  <c:v>202.91</c:v>
                </c:pt>
                <c:pt idx="23">
                  <c:v>204.29400000000001</c:v>
                </c:pt>
                <c:pt idx="24">
                  <c:v>201.91800000000001</c:v>
                </c:pt>
                <c:pt idx="25">
                  <c:v>204.476</c:v>
                </c:pt>
                <c:pt idx="26">
                  <c:v>208.249</c:v>
                </c:pt>
                <c:pt idx="27">
                  <c:v>209.273</c:v>
                </c:pt>
                <c:pt idx="28">
                  <c:v>207.86</c:v>
                </c:pt>
                <c:pt idx="29">
                  <c:v>211.31700000000001</c:v>
                </c:pt>
                <c:pt idx="30">
                  <c:v>212.55099999999999</c:v>
                </c:pt>
                <c:pt idx="31">
                  <c:v>213.447</c:v>
                </c:pt>
                <c:pt idx="32">
                  <c:v>209.79599999999999</c:v>
                </c:pt>
                <c:pt idx="33">
                  <c:v>212.12299999999999</c:v>
                </c:pt>
                <c:pt idx="34">
                  <c:v>215.20599999999999</c:v>
                </c:pt>
                <c:pt idx="35">
                  <c:v>216.239</c:v>
                </c:pt>
                <c:pt idx="36">
                  <c:v>213.9</c:v>
                </c:pt>
                <c:pt idx="37">
                  <c:v>216.68</c:v>
                </c:pt>
                <c:pt idx="38">
                  <c:v>212.44300000000001</c:v>
                </c:pt>
                <c:pt idx="39">
                  <c:v>215.61099999999999</c:v>
                </c:pt>
              </c:numCache>
            </c:numRef>
          </c:val>
          <c:smooth val="0"/>
          <c:extLst>
            <c:ext xmlns:c16="http://schemas.microsoft.com/office/drawing/2014/chart" uri="{C3380CC4-5D6E-409C-BE32-E72D297353CC}">
              <c16:uniqueId val="{00000005-F583-40F7-A520-7C8FD1A0DEB4}"/>
            </c:ext>
          </c:extLst>
        </c:ser>
        <c:ser>
          <c:idx val="2"/>
          <c:order val="6"/>
          <c:tx>
            <c:strRef>
              <c:f>'Trh práce-2b'!$A$38</c:f>
              <c:strCache>
                <c:ptCount val="1"/>
                <c:pt idx="0">
                  <c:v>Working foreigners (other citizens)</c:v>
                </c:pt>
              </c:strCache>
            </c:strRef>
          </c:tx>
          <c:spPr>
            <a:ln w="19050">
              <a:solidFill>
                <a:srgbClr val="D4A97E"/>
              </a:solidFill>
              <a:prstDash val="sysDash"/>
            </a:ln>
          </c:spPr>
          <c:marker>
            <c:symbol val="none"/>
          </c:marker>
          <c:cat>
            <c:multiLvlStrRef>
              <c:f>'Trh práce-2b'!$B$30:$AP$31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práce-2b'!$B$38:$AP$38</c:f>
              <c:numCache>
                <c:formatCode>#,##0</c:formatCode>
                <c:ptCount val="41"/>
                <c:pt idx="0">
                  <c:v>100.735</c:v>
                </c:pt>
                <c:pt idx="1">
                  <c:v>113.586</c:v>
                </c:pt>
                <c:pt idx="2">
                  <c:v>124.599</c:v>
                </c:pt>
                <c:pt idx="3">
                  <c:v>129.863</c:v>
                </c:pt>
                <c:pt idx="4">
                  <c:v>134.048</c:v>
                </c:pt>
                <c:pt idx="5">
                  <c:v>145.23599999999999</c:v>
                </c:pt>
                <c:pt idx="6">
                  <c:v>159.786</c:v>
                </c:pt>
                <c:pt idx="7">
                  <c:v>165.274</c:v>
                </c:pt>
                <c:pt idx="8">
                  <c:v>173.614</c:v>
                </c:pt>
                <c:pt idx="9">
                  <c:v>187.52799999999999</c:v>
                </c:pt>
                <c:pt idx="10">
                  <c:v>199.11799999999999</c:v>
                </c:pt>
                <c:pt idx="11">
                  <c:v>213.59899999999999</c:v>
                </c:pt>
                <c:pt idx="12">
                  <c:v>228.61600000000001</c:v>
                </c:pt>
                <c:pt idx="13">
                  <c:v>244.029</c:v>
                </c:pt>
                <c:pt idx="14">
                  <c:v>258.82100000000003</c:v>
                </c:pt>
                <c:pt idx="15">
                  <c:v>255.77199999999999</c:v>
                </c:pt>
                <c:pt idx="16">
                  <c:v>255.12200000000001</c:v>
                </c:pt>
                <c:pt idx="17">
                  <c:v>262.36599999999999</c:v>
                </c:pt>
                <c:pt idx="18">
                  <c:v>277.37400000000002</c:v>
                </c:pt>
                <c:pt idx="19">
                  <c:v>275.80399999999997</c:v>
                </c:pt>
                <c:pt idx="20">
                  <c:v>277.709</c:v>
                </c:pt>
                <c:pt idx="21">
                  <c:v>270.178</c:v>
                </c:pt>
                <c:pt idx="22">
                  <c:v>278.71699999999998</c:v>
                </c:pt>
                <c:pt idx="23">
                  <c:v>280.40199999999999</c:v>
                </c:pt>
                <c:pt idx="24">
                  <c:v>281.459</c:v>
                </c:pt>
                <c:pt idx="25">
                  <c:v>285.55</c:v>
                </c:pt>
                <c:pt idx="26">
                  <c:v>297.53500000000003</c:v>
                </c:pt>
                <c:pt idx="27">
                  <c:v>297.44099999999997</c:v>
                </c:pt>
                <c:pt idx="28">
                  <c:v>300.39299999999997</c:v>
                </c:pt>
                <c:pt idx="29">
                  <c:v>307.61</c:v>
                </c:pt>
                <c:pt idx="30">
                  <c:v>310.33499999999998</c:v>
                </c:pt>
                <c:pt idx="31">
                  <c:v>309.93200000000002</c:v>
                </c:pt>
                <c:pt idx="32">
                  <c:v>308.2</c:v>
                </c:pt>
                <c:pt idx="33">
                  <c:v>314.923</c:v>
                </c:pt>
                <c:pt idx="34">
                  <c:v>320.48399999999998</c:v>
                </c:pt>
                <c:pt idx="35">
                  <c:v>322.161</c:v>
                </c:pt>
                <c:pt idx="36">
                  <c:v>320.39100000000002</c:v>
                </c:pt>
                <c:pt idx="37">
                  <c:v>324.68299999999999</c:v>
                </c:pt>
                <c:pt idx="38">
                  <c:v>319.55900000000003</c:v>
                </c:pt>
                <c:pt idx="39">
                  <c:v>325.17500000000001</c:v>
                </c:pt>
              </c:numCache>
            </c:numRef>
          </c:val>
          <c:smooth val="0"/>
          <c:extLst>
            <c:ext xmlns:c16="http://schemas.microsoft.com/office/drawing/2014/chart" uri="{C3380CC4-5D6E-409C-BE32-E72D297353CC}">
              <c16:uniqueId val="{00000006-F583-40F7-A520-7C8FD1A0DEB4}"/>
            </c:ext>
          </c:extLst>
        </c:ser>
        <c:ser>
          <c:idx val="3"/>
          <c:order val="7"/>
          <c:tx>
            <c:strRef>
              <c:f>'Trh práce-2b'!$A$39</c:f>
              <c:strCache>
                <c:ptCount val="1"/>
                <c:pt idx="0">
                  <c:v>Unemployment expectations</c:v>
                </c:pt>
              </c:strCache>
            </c:strRef>
          </c:tx>
          <c:spPr>
            <a:ln w="15875">
              <a:solidFill>
                <a:schemeClr val="bg2">
                  <a:lumMod val="50000"/>
                </a:schemeClr>
              </a:solidFill>
              <a:prstDash val="solid"/>
            </a:ln>
          </c:spPr>
          <c:marker>
            <c:symbol val="none"/>
          </c:marker>
          <c:cat>
            <c:multiLvlStrRef>
              <c:f>'Trh práce-2b'!$B$30:$AP$31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'Trh práce-2b'!$B$39:$AP$39</c:f>
              <c:numCache>
                <c:formatCode>0.0</c:formatCode>
                <c:ptCount val="41"/>
                <c:pt idx="0">
                  <c:v>6</c:v>
                </c:pt>
                <c:pt idx="1">
                  <c:v>9</c:v>
                </c:pt>
                <c:pt idx="2">
                  <c:v>10</c:v>
                </c:pt>
                <c:pt idx="3">
                  <c:v>4</c:v>
                </c:pt>
                <c:pt idx="4">
                  <c:v>2</c:v>
                </c:pt>
                <c:pt idx="5">
                  <c:v>10</c:v>
                </c:pt>
                <c:pt idx="6">
                  <c:v>5</c:v>
                </c:pt>
                <c:pt idx="7">
                  <c:v>4</c:v>
                </c:pt>
                <c:pt idx="8">
                  <c:v>1</c:v>
                </c:pt>
                <c:pt idx="9">
                  <c:v>-3</c:v>
                </c:pt>
                <c:pt idx="10">
                  <c:v>0</c:v>
                </c:pt>
                <c:pt idx="11">
                  <c:v>-1</c:v>
                </c:pt>
                <c:pt idx="12">
                  <c:v>-1</c:v>
                </c:pt>
                <c:pt idx="13">
                  <c:v>-2</c:v>
                </c:pt>
                <c:pt idx="14">
                  <c:v>-2</c:v>
                </c:pt>
                <c:pt idx="15">
                  <c:v>4</c:v>
                </c:pt>
                <c:pt idx="16">
                  <c:v>8</c:v>
                </c:pt>
                <c:pt idx="17">
                  <c:v>8</c:v>
                </c:pt>
                <c:pt idx="18">
                  <c:v>11</c:v>
                </c:pt>
                <c:pt idx="19">
                  <c:v>12</c:v>
                </c:pt>
                <c:pt idx="20">
                  <c:v>18</c:v>
                </c:pt>
                <c:pt idx="21">
                  <c:v>49</c:v>
                </c:pt>
                <c:pt idx="22">
                  <c:v>46</c:v>
                </c:pt>
                <c:pt idx="23">
                  <c:v>60</c:v>
                </c:pt>
                <c:pt idx="24">
                  <c:v>57</c:v>
                </c:pt>
                <c:pt idx="25">
                  <c:v>24</c:v>
                </c:pt>
                <c:pt idx="26">
                  <c:v>16</c:v>
                </c:pt>
                <c:pt idx="27">
                  <c:v>20</c:v>
                </c:pt>
                <c:pt idx="28">
                  <c:v>14</c:v>
                </c:pt>
                <c:pt idx="29">
                  <c:v>20</c:v>
                </c:pt>
                <c:pt idx="30">
                  <c:v>26</c:v>
                </c:pt>
                <c:pt idx="31">
                  <c:v>40</c:v>
                </c:pt>
                <c:pt idx="32">
                  <c:v>35</c:v>
                </c:pt>
                <c:pt idx="33">
                  <c:v>29</c:v>
                </c:pt>
                <c:pt idx="34">
                  <c:v>25</c:v>
                </c:pt>
                <c:pt idx="35">
                  <c:v>17</c:v>
                </c:pt>
                <c:pt idx="36">
                  <c:v>25</c:v>
                </c:pt>
                <c:pt idx="37">
                  <c:v>22</c:v>
                </c:pt>
                <c:pt idx="38">
                  <c:v>24</c:v>
                </c:pt>
                <c:pt idx="39">
                  <c:v>19</c:v>
                </c:pt>
                <c:pt idx="40">
                  <c:v>30</c:v>
                </c:pt>
              </c:numCache>
            </c:numRef>
          </c:val>
          <c:smooth val="0"/>
          <c:extLst>
            <c:ext xmlns:c16="http://schemas.microsoft.com/office/drawing/2014/chart" uri="{C3380CC4-5D6E-409C-BE32-E72D297353CC}">
              <c16:uniqueId val="{00000007-F583-40F7-A520-7C8FD1A0DEB4}"/>
            </c:ext>
          </c:extLst>
        </c:ser>
        <c:dLbls>
          <c:showLegendKey val="0"/>
          <c:showVal val="0"/>
          <c:showCatName val="0"/>
          <c:showSerName val="0"/>
          <c:showPercent val="0"/>
          <c:showBubbleSize val="0"/>
        </c:dLbls>
        <c:marker val="1"/>
        <c:smooth val="0"/>
        <c:axId val="331670576"/>
        <c:axId val="323971328"/>
      </c:lineChart>
      <c:catAx>
        <c:axId val="100654464"/>
        <c:scaling>
          <c:orientation val="minMax"/>
        </c:scaling>
        <c:delete val="0"/>
        <c:axPos val="b"/>
        <c:numFmt formatCode="General" sourceLinked="0"/>
        <c:majorTickMark val="out"/>
        <c:minorTickMark val="none"/>
        <c:tickLblPos val="low"/>
        <c:spPr>
          <a:ln>
            <a:solidFill>
              <a:schemeClr val="tx1"/>
            </a:solidFill>
          </a:ln>
        </c:spPr>
        <c:crossAx val="101647488"/>
        <c:crossesAt val="-50"/>
        <c:auto val="1"/>
        <c:lblAlgn val="ctr"/>
        <c:lblOffset val="0"/>
        <c:noMultiLvlLbl val="0"/>
      </c:catAx>
      <c:valAx>
        <c:axId val="101647488"/>
        <c:scaling>
          <c:orientation val="minMax"/>
          <c:max val="7.5"/>
          <c:min val="0"/>
        </c:scaling>
        <c:delete val="0"/>
        <c:axPos val="l"/>
        <c:majorGridlines>
          <c:spPr>
            <a:ln w="6350">
              <a:solidFill>
                <a:schemeClr val="bg1">
                  <a:lumMod val="75000"/>
                </a:schemeClr>
              </a:solidFill>
            </a:ln>
          </c:spPr>
        </c:majorGridlines>
        <c:title>
          <c:tx>
            <c:rich>
              <a:bodyPr/>
              <a:lstStyle/>
              <a:p>
                <a:pPr>
                  <a:defRPr sz="700" b="0" i="1"/>
                </a:pPr>
                <a:r>
                  <a:rPr lang="cs-CZ" sz="700" b="0" i="1"/>
                  <a:t>Unemployment rate</a:t>
                </a:r>
              </a:p>
            </c:rich>
          </c:tx>
          <c:layout/>
          <c:overlay val="0"/>
        </c:title>
        <c:numFmt formatCode="0.0" sourceLinked="0"/>
        <c:majorTickMark val="out"/>
        <c:minorTickMark val="none"/>
        <c:tickLblPos val="nextTo"/>
        <c:spPr>
          <a:ln>
            <a:solidFill>
              <a:schemeClr val="tx1"/>
            </a:solidFill>
          </a:ln>
        </c:spPr>
        <c:crossAx val="100654464"/>
        <c:crosses val="autoZero"/>
        <c:crossBetween val="between"/>
        <c:majorUnit val="0.5"/>
      </c:valAx>
      <c:valAx>
        <c:axId val="323971328"/>
        <c:scaling>
          <c:orientation val="minMax"/>
          <c:max val="350"/>
          <c:min val="-25"/>
        </c:scaling>
        <c:delete val="0"/>
        <c:axPos val="r"/>
        <c:title>
          <c:tx>
            <c:rich>
              <a:bodyPr/>
              <a:lstStyle/>
              <a:p>
                <a:pPr>
                  <a:defRPr sz="700" b="0" i="1"/>
                </a:pPr>
                <a:r>
                  <a:rPr lang="cs-CZ" sz="700" b="0" i="1"/>
                  <a:t>Job vacancies, employed foreigners</a:t>
                </a:r>
              </a:p>
            </c:rich>
          </c:tx>
          <c:layout/>
          <c:overlay val="0"/>
        </c:title>
        <c:numFmt formatCode="#,##0" sourceLinked="0"/>
        <c:majorTickMark val="out"/>
        <c:minorTickMark val="none"/>
        <c:tickLblPos val="nextTo"/>
        <c:crossAx val="331670576"/>
        <c:crosses val="max"/>
        <c:crossBetween val="between"/>
        <c:majorUnit val="25"/>
      </c:valAx>
      <c:catAx>
        <c:axId val="331670576"/>
        <c:scaling>
          <c:orientation val="minMax"/>
        </c:scaling>
        <c:delete val="1"/>
        <c:axPos val="b"/>
        <c:numFmt formatCode="General" sourceLinked="1"/>
        <c:majorTickMark val="out"/>
        <c:minorTickMark val="none"/>
        <c:tickLblPos val="nextTo"/>
        <c:crossAx val="323971328"/>
        <c:crosses val="autoZero"/>
        <c:auto val="1"/>
        <c:lblAlgn val="ctr"/>
        <c:lblOffset val="100"/>
        <c:noMultiLvlLbl val="0"/>
      </c:catAx>
      <c:spPr>
        <a:ln>
          <a:solidFill>
            <a:schemeClr val="tx1"/>
          </a:solidFill>
        </a:ln>
      </c:spPr>
    </c:plotArea>
    <c:legend>
      <c:legendPos val="b"/>
      <c:layout>
        <c:manualLayout>
          <c:xMode val="edge"/>
          <c:yMode val="edge"/>
          <c:x val="7.2346890231882358E-2"/>
          <c:y val="0.87065667466923102"/>
          <c:w val="0.85260043993190393"/>
          <c:h val="0.12573975955987693"/>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11162452186132E-2"/>
          <c:y val="1.6620151538667759E-2"/>
          <c:w val="0.94100987714831696"/>
          <c:h val="0.76753601512564729"/>
        </c:manualLayout>
      </c:layout>
      <c:barChart>
        <c:barDir val="col"/>
        <c:grouping val="clustered"/>
        <c:varyColors val="0"/>
        <c:ser>
          <c:idx val="4"/>
          <c:order val="1"/>
          <c:tx>
            <c:strRef>
              <c:f>'Trh práce 3'!$D$96</c:f>
              <c:strCache>
                <c:ptCount val="1"/>
                <c:pt idx="0">
                  <c:v>Total average wage (real)</c:v>
                </c:pt>
              </c:strCache>
            </c:strRef>
          </c:tx>
          <c:spPr>
            <a:solidFill>
              <a:srgbClr val="DBDBDB"/>
            </a:solidFill>
            <a:ln w="19050">
              <a:noFill/>
            </a:ln>
          </c:spPr>
          <c:invertIfNegative val="0"/>
          <c:cat>
            <c:multiLvlStrRef>
              <c:f>'Trh práce 3'!$A$97:$B$130</c:f>
              <c:multiLvlStrCache>
                <c:ptCount val="34"/>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lvl>
              </c:multiLvlStrCache>
            </c:multiLvlStrRef>
          </c:cat>
          <c:val>
            <c:numRef>
              <c:f>'Trh práce 3'!$D$97:$D$130</c:f>
              <c:numCache>
                <c:formatCode>0.0</c:formatCode>
                <c:ptCount val="34"/>
                <c:pt idx="0">
                  <c:v>1.4000000000000057</c:v>
                </c:pt>
                <c:pt idx="1">
                  <c:v>1.5</c:v>
                </c:pt>
                <c:pt idx="2">
                  <c:v>0.59999999999999432</c:v>
                </c:pt>
                <c:pt idx="3">
                  <c:v>4.0999999999999943</c:v>
                </c:pt>
                <c:pt idx="4">
                  <c:v>2</c:v>
                </c:pt>
                <c:pt idx="5">
                  <c:v>-0.55000000000001137</c:v>
                </c:pt>
                <c:pt idx="6">
                  <c:v>0.94999999999998863</c:v>
                </c:pt>
                <c:pt idx="7">
                  <c:v>0.15000000000000568</c:v>
                </c:pt>
                <c:pt idx="8">
                  <c:v>-0.90000000000000568</c:v>
                </c:pt>
                <c:pt idx="9">
                  <c:v>-0.69999999999998863</c:v>
                </c:pt>
                <c:pt idx="10">
                  <c:v>-1.4500000000000028</c:v>
                </c:pt>
                <c:pt idx="11">
                  <c:v>-1.5499999999999972</c:v>
                </c:pt>
                <c:pt idx="12">
                  <c:v>3.1500000000000057</c:v>
                </c:pt>
                <c:pt idx="13">
                  <c:v>1.9499999999999886</c:v>
                </c:pt>
                <c:pt idx="14">
                  <c:v>2.4000000000000057</c:v>
                </c:pt>
                <c:pt idx="15">
                  <c:v>3.3499999999999943</c:v>
                </c:pt>
                <c:pt idx="16">
                  <c:v>4</c:v>
                </c:pt>
                <c:pt idx="17">
                  <c:v>3.5999999999999943</c:v>
                </c:pt>
                <c:pt idx="18">
                  <c:v>3.75</c:v>
                </c:pt>
                <c:pt idx="19">
                  <c:v>4.5999999999999943</c:v>
                </c:pt>
                <c:pt idx="20">
                  <c:v>6.4000000000000057</c:v>
                </c:pt>
                <c:pt idx="21">
                  <c:v>5.4000000000000057</c:v>
                </c:pt>
                <c:pt idx="22">
                  <c:v>5.2999999999999972</c:v>
                </c:pt>
                <c:pt idx="23">
                  <c:v>4.6500000000000057</c:v>
                </c:pt>
                <c:pt idx="24">
                  <c:v>-0.15000000000000568</c:v>
                </c:pt>
                <c:pt idx="25">
                  <c:v>3</c:v>
                </c:pt>
                <c:pt idx="26">
                  <c:v>4.4499999999999886</c:v>
                </c:pt>
                <c:pt idx="27">
                  <c:v>-0.44999999999998863</c:v>
                </c:pt>
                <c:pt idx="28">
                  <c:v>-8.4000000000000057</c:v>
                </c:pt>
                <c:pt idx="29">
                  <c:v>-10.150000000000006</c:v>
                </c:pt>
                <c:pt idx="30">
                  <c:v>-4.4000000000000057</c:v>
                </c:pt>
                <c:pt idx="31">
                  <c:v>-0.34999999999999432</c:v>
                </c:pt>
                <c:pt idx="32">
                  <c:v>4.5499999999999972</c:v>
                </c:pt>
                <c:pt idx="33">
                  <c:v>4.4500000000000028</c:v>
                </c:pt>
              </c:numCache>
            </c:numRef>
          </c:val>
          <c:extLst>
            <c:ext xmlns:c16="http://schemas.microsoft.com/office/drawing/2014/chart" uri="{C3380CC4-5D6E-409C-BE32-E72D297353CC}">
              <c16:uniqueId val="{00000000-EE35-4F73-A9A8-4EABA06811E3}"/>
            </c:ext>
          </c:extLst>
        </c:ser>
        <c:dLbls>
          <c:showLegendKey val="0"/>
          <c:showVal val="0"/>
          <c:showCatName val="0"/>
          <c:showSerName val="0"/>
          <c:showPercent val="0"/>
          <c:showBubbleSize val="0"/>
        </c:dLbls>
        <c:gapWidth val="37"/>
        <c:axId val="100688640"/>
        <c:axId val="100690560"/>
      </c:barChart>
      <c:lineChart>
        <c:grouping val="standard"/>
        <c:varyColors val="0"/>
        <c:ser>
          <c:idx val="0"/>
          <c:order val="0"/>
          <c:tx>
            <c:strRef>
              <c:f>'Trh práce 3'!$C$96</c:f>
              <c:strCache>
                <c:ptCount val="1"/>
                <c:pt idx="0">
                  <c:v>Total average wage (nominal)</c:v>
                </c:pt>
              </c:strCache>
            </c:strRef>
          </c:tx>
          <c:spPr>
            <a:ln w="19050">
              <a:solidFill>
                <a:schemeClr val="tx1">
                  <a:lumMod val="95000"/>
                  <a:lumOff val="5000"/>
                </a:schemeClr>
              </a:solidFill>
              <a:prstDash val="sysDash"/>
            </a:ln>
          </c:spPr>
          <c:marker>
            <c:symbol val="none"/>
          </c:marker>
          <c:cat>
            <c:multiLvlStrRef>
              <c:f>'Trh práce 3'!$A$97:$B$130</c:f>
              <c:multiLvlStrCache>
                <c:ptCount val="34"/>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lvl>
              </c:multiLvlStrCache>
            </c:multiLvlStrRef>
          </c:cat>
          <c:val>
            <c:numRef>
              <c:f>'Trh práce 3'!$C$97:$C$130</c:f>
              <c:numCache>
                <c:formatCode>0.0</c:formatCode>
                <c:ptCount val="34"/>
                <c:pt idx="0">
                  <c:v>8.5999999999999943</c:v>
                </c:pt>
                <c:pt idx="1">
                  <c:v>7.2000000000000028</c:v>
                </c:pt>
                <c:pt idx="2">
                  <c:v>2.3499999999999943</c:v>
                </c:pt>
                <c:pt idx="3">
                  <c:v>4.3499999999999943</c:v>
                </c:pt>
                <c:pt idx="4">
                  <c:v>2.9499999999999886</c:v>
                </c:pt>
                <c:pt idx="5">
                  <c:v>1.4500000000000028</c:v>
                </c:pt>
                <c:pt idx="6">
                  <c:v>2.6999999999999886</c:v>
                </c:pt>
                <c:pt idx="7">
                  <c:v>2.25</c:v>
                </c:pt>
                <c:pt idx="8">
                  <c:v>2.6500000000000057</c:v>
                </c:pt>
                <c:pt idx="9">
                  <c:v>2.3000000000000114</c:v>
                </c:pt>
                <c:pt idx="10">
                  <c:v>0.20000000000000284</c:v>
                </c:pt>
                <c:pt idx="11">
                  <c:v>-0.40000000000000568</c:v>
                </c:pt>
                <c:pt idx="12">
                  <c:v>3.3499999999999943</c:v>
                </c:pt>
                <c:pt idx="13">
                  <c:v>2.5</c:v>
                </c:pt>
                <c:pt idx="14">
                  <c:v>2.7999999999999972</c:v>
                </c:pt>
                <c:pt idx="15">
                  <c:v>3.5999999999999943</c:v>
                </c:pt>
                <c:pt idx="16">
                  <c:v>4.3499999999999943</c:v>
                </c:pt>
                <c:pt idx="17">
                  <c:v>4.5500000000000114</c:v>
                </c:pt>
                <c:pt idx="18">
                  <c:v>6.1500000000000057</c:v>
                </c:pt>
                <c:pt idx="19">
                  <c:v>7.25</c:v>
                </c:pt>
                <c:pt idx="20">
                  <c:v>8.5999999999999943</c:v>
                </c:pt>
                <c:pt idx="21">
                  <c:v>7.75</c:v>
                </c:pt>
                <c:pt idx="22">
                  <c:v>8.1500000000000057</c:v>
                </c:pt>
                <c:pt idx="23">
                  <c:v>7.6500000000000057</c:v>
                </c:pt>
                <c:pt idx="24">
                  <c:v>3.2000000000000028</c:v>
                </c:pt>
                <c:pt idx="25">
                  <c:v>6.0500000000000114</c:v>
                </c:pt>
                <c:pt idx="26">
                  <c:v>7.0999999999999943</c:v>
                </c:pt>
                <c:pt idx="27">
                  <c:v>4.5999999999999943</c:v>
                </c:pt>
                <c:pt idx="28">
                  <c:v>3.9000000000000057</c:v>
                </c:pt>
                <c:pt idx="29">
                  <c:v>4.75</c:v>
                </c:pt>
                <c:pt idx="30">
                  <c:v>8.6500000000000057</c:v>
                </c:pt>
                <c:pt idx="31">
                  <c:v>7.4499999999999886</c:v>
                </c:pt>
                <c:pt idx="32">
                  <c:v>6.9499999999999886</c:v>
                </c:pt>
                <c:pt idx="33">
                  <c:v>7.1500000000000057</c:v>
                </c:pt>
              </c:numCache>
            </c:numRef>
          </c:val>
          <c:smooth val="0"/>
          <c:extLst>
            <c:ext xmlns:c16="http://schemas.microsoft.com/office/drawing/2014/chart" uri="{C3380CC4-5D6E-409C-BE32-E72D297353CC}">
              <c16:uniqueId val="{00000001-EE35-4F73-A9A8-4EABA06811E3}"/>
            </c:ext>
          </c:extLst>
        </c:ser>
        <c:ser>
          <c:idx val="5"/>
          <c:order val="2"/>
          <c:tx>
            <c:strRef>
              <c:f>'Trh práce 3'!$E$96</c:f>
              <c:strCache>
                <c:ptCount val="1"/>
                <c:pt idx="0">
                  <c:v>Wage in industry (nominal)</c:v>
                </c:pt>
              </c:strCache>
            </c:strRef>
          </c:tx>
          <c:spPr>
            <a:ln w="9525">
              <a:solidFill>
                <a:srgbClr val="C00000"/>
              </a:solidFill>
              <a:prstDash val="solid"/>
            </a:ln>
          </c:spPr>
          <c:marker>
            <c:symbol val="none"/>
          </c:marker>
          <c:cat>
            <c:multiLvlStrRef>
              <c:f>'Trh práce 3'!$A$97:$B$130</c:f>
              <c:multiLvlStrCache>
                <c:ptCount val="34"/>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lvl>
              </c:multiLvlStrCache>
            </c:multiLvlStrRef>
          </c:cat>
          <c:val>
            <c:numRef>
              <c:f>'Trh práce 3'!$E$97:$E$130</c:f>
              <c:numCache>
                <c:formatCode>0.0</c:formatCode>
                <c:ptCount val="34"/>
                <c:pt idx="0">
                  <c:v>10.965779626599343</c:v>
                </c:pt>
                <c:pt idx="1">
                  <c:v>7.2045848058037194</c:v>
                </c:pt>
                <c:pt idx="2">
                  <c:v>-0.10207158875207512</c:v>
                </c:pt>
                <c:pt idx="3">
                  <c:v>4.775678798547176</c:v>
                </c:pt>
                <c:pt idx="4">
                  <c:v>5.2247862331461405</c:v>
                </c:pt>
                <c:pt idx="5">
                  <c:v>3.4322578877170642</c:v>
                </c:pt>
                <c:pt idx="6">
                  <c:v>4.0718748809917713</c:v>
                </c:pt>
                <c:pt idx="7">
                  <c:v>2.4423868557449282</c:v>
                </c:pt>
                <c:pt idx="8">
                  <c:v>3.3491932249592722</c:v>
                </c:pt>
                <c:pt idx="9">
                  <c:v>2.7243464773580328</c:v>
                </c:pt>
                <c:pt idx="10">
                  <c:v>0.82649064706659914</c:v>
                </c:pt>
                <c:pt idx="11">
                  <c:v>0.83258081439371523</c:v>
                </c:pt>
                <c:pt idx="12">
                  <c:v>3.8171645430344086</c:v>
                </c:pt>
                <c:pt idx="13">
                  <c:v>2.8172030641298562</c:v>
                </c:pt>
                <c:pt idx="14">
                  <c:v>2.1650997607555382</c:v>
                </c:pt>
                <c:pt idx="15">
                  <c:v>2.9944452782884241</c:v>
                </c:pt>
                <c:pt idx="16">
                  <c:v>4.2995514923439941</c:v>
                </c:pt>
                <c:pt idx="17">
                  <c:v>4.275871439841552</c:v>
                </c:pt>
                <c:pt idx="18">
                  <c:v>6.6237644181187676</c:v>
                </c:pt>
                <c:pt idx="19">
                  <c:v>6.957870030534707</c:v>
                </c:pt>
                <c:pt idx="20">
                  <c:v>8.0477489864729392</c:v>
                </c:pt>
                <c:pt idx="21">
                  <c:v>7.4868067232467439</c:v>
                </c:pt>
                <c:pt idx="22">
                  <c:v>7.1445354202982472</c:v>
                </c:pt>
                <c:pt idx="23">
                  <c:v>6.1891260339134462</c:v>
                </c:pt>
                <c:pt idx="24">
                  <c:v>0.68490810298792582</c:v>
                </c:pt>
                <c:pt idx="25">
                  <c:v>3.4815846936054058</c:v>
                </c:pt>
                <c:pt idx="26">
                  <c:v>6.0344055023863206</c:v>
                </c:pt>
                <c:pt idx="27">
                  <c:v>4.2384595160887315</c:v>
                </c:pt>
                <c:pt idx="28">
                  <c:v>5.3935361837117028</c:v>
                </c:pt>
                <c:pt idx="29">
                  <c:v>6.5020185510501705</c:v>
                </c:pt>
                <c:pt idx="30">
                  <c:v>10.305502657517472</c:v>
                </c:pt>
                <c:pt idx="31">
                  <c:v>8.3069563442154859</c:v>
                </c:pt>
                <c:pt idx="32">
                  <c:v>7.8173267774648849</c:v>
                </c:pt>
                <c:pt idx="33">
                  <c:v>6.9651532720757316</c:v>
                </c:pt>
              </c:numCache>
            </c:numRef>
          </c:val>
          <c:smooth val="0"/>
          <c:extLst>
            <c:ext xmlns:c16="http://schemas.microsoft.com/office/drawing/2014/chart" uri="{C3380CC4-5D6E-409C-BE32-E72D297353CC}">
              <c16:uniqueId val="{00000002-EE35-4F73-A9A8-4EABA06811E3}"/>
            </c:ext>
          </c:extLst>
        </c:ser>
        <c:ser>
          <c:idx val="1"/>
          <c:order val="3"/>
          <c:tx>
            <c:strRef>
              <c:f>'Trh práce 3'!$F$96</c:f>
              <c:strCache>
                <c:ptCount val="1"/>
                <c:pt idx="0">
                  <c:v>Wage in trade (nominal)</c:v>
                </c:pt>
              </c:strCache>
            </c:strRef>
          </c:tx>
          <c:spPr>
            <a:ln w="9525">
              <a:solidFill>
                <a:srgbClr val="0070C0"/>
              </a:solidFill>
              <a:prstDash val="solid"/>
            </a:ln>
          </c:spPr>
          <c:marker>
            <c:symbol val="none"/>
          </c:marker>
          <c:cat>
            <c:multiLvlStrRef>
              <c:f>'Trh práce 3'!$A$97:$B$130</c:f>
              <c:multiLvlStrCache>
                <c:ptCount val="34"/>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lvl>
              </c:multiLvlStrCache>
            </c:multiLvlStrRef>
          </c:cat>
          <c:val>
            <c:numRef>
              <c:f>'Trh práce 3'!$F$97:$F$130</c:f>
              <c:numCache>
                <c:formatCode>0.0</c:formatCode>
                <c:ptCount val="34"/>
                <c:pt idx="0">
                  <c:v>9.5236281670593428</c:v>
                </c:pt>
                <c:pt idx="1">
                  <c:v>6.1173932151438422</c:v>
                </c:pt>
                <c:pt idx="2">
                  <c:v>-0.56987922579376971</c:v>
                </c:pt>
                <c:pt idx="3">
                  <c:v>0.86090696307550729</c:v>
                </c:pt>
                <c:pt idx="4">
                  <c:v>3.1242388374649579</c:v>
                </c:pt>
                <c:pt idx="5">
                  <c:v>3.1449702537917474</c:v>
                </c:pt>
                <c:pt idx="6">
                  <c:v>3.4890379198127093</c:v>
                </c:pt>
                <c:pt idx="7">
                  <c:v>3.5017847929104704</c:v>
                </c:pt>
                <c:pt idx="8">
                  <c:v>2.4115907095162967</c:v>
                </c:pt>
                <c:pt idx="9">
                  <c:v>2.0776709847314265</c:v>
                </c:pt>
                <c:pt idx="10">
                  <c:v>0.23379388629743403</c:v>
                </c:pt>
                <c:pt idx="11">
                  <c:v>-1.6674125328935219</c:v>
                </c:pt>
                <c:pt idx="12">
                  <c:v>3.8180889226283057</c:v>
                </c:pt>
                <c:pt idx="13">
                  <c:v>2.8255381000689113</c:v>
                </c:pt>
                <c:pt idx="14">
                  <c:v>3.5098256642731656</c:v>
                </c:pt>
                <c:pt idx="15">
                  <c:v>4.8703883325637847</c:v>
                </c:pt>
                <c:pt idx="16">
                  <c:v>4.8006939294931357</c:v>
                </c:pt>
                <c:pt idx="17">
                  <c:v>4.7464148837768363</c:v>
                </c:pt>
                <c:pt idx="18">
                  <c:v>6.7757963852022343</c:v>
                </c:pt>
                <c:pt idx="19">
                  <c:v>8.0429381053703324</c:v>
                </c:pt>
                <c:pt idx="20">
                  <c:v>7.140432936852541</c:v>
                </c:pt>
                <c:pt idx="21">
                  <c:v>6.7676237129747037</c:v>
                </c:pt>
                <c:pt idx="22">
                  <c:v>8.4786853865892482</c:v>
                </c:pt>
                <c:pt idx="23">
                  <c:v>7.232378367973638</c:v>
                </c:pt>
                <c:pt idx="24">
                  <c:v>3.6410633902801095</c:v>
                </c:pt>
                <c:pt idx="25">
                  <c:v>3.5929532276403506</c:v>
                </c:pt>
                <c:pt idx="26">
                  <c:v>6.061000040897909</c:v>
                </c:pt>
                <c:pt idx="27">
                  <c:v>7.6602746826361425</c:v>
                </c:pt>
                <c:pt idx="28">
                  <c:v>6.1888233099539818</c:v>
                </c:pt>
                <c:pt idx="29">
                  <c:v>4.4014967849833369</c:v>
                </c:pt>
                <c:pt idx="30">
                  <c:v>7.4395454698724777</c:v>
                </c:pt>
                <c:pt idx="31">
                  <c:v>5.7970253198096273</c:v>
                </c:pt>
                <c:pt idx="32">
                  <c:v>6.8182045381084322</c:v>
                </c:pt>
                <c:pt idx="33">
                  <c:v>8.0210643606135363</c:v>
                </c:pt>
              </c:numCache>
            </c:numRef>
          </c:val>
          <c:smooth val="0"/>
          <c:extLst>
            <c:ext xmlns:c16="http://schemas.microsoft.com/office/drawing/2014/chart" uri="{C3380CC4-5D6E-409C-BE32-E72D297353CC}">
              <c16:uniqueId val="{00000003-EE35-4F73-A9A8-4EABA06811E3}"/>
            </c:ext>
          </c:extLst>
        </c:ser>
        <c:ser>
          <c:idx val="2"/>
          <c:order val="4"/>
          <c:tx>
            <c:strRef>
              <c:f>'Trh práce 3'!$G$96</c:f>
              <c:strCache>
                <c:ptCount val="1"/>
                <c:pt idx="0">
                  <c:v>Average wage in public services (nominal)*</c:v>
                </c:pt>
              </c:strCache>
            </c:strRef>
          </c:tx>
          <c:spPr>
            <a:ln w="9525">
              <a:solidFill>
                <a:srgbClr val="00B050"/>
              </a:solidFill>
              <a:prstDash val="solid"/>
            </a:ln>
          </c:spPr>
          <c:marker>
            <c:symbol val="none"/>
          </c:marker>
          <c:cat>
            <c:multiLvlStrRef>
              <c:f>'Trh práce 3'!$A$97:$B$130</c:f>
              <c:multiLvlStrCache>
                <c:ptCount val="34"/>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lvl>
              </c:multiLvlStrCache>
            </c:multiLvlStrRef>
          </c:cat>
          <c:val>
            <c:numRef>
              <c:f>'Trh práce 3'!$G$97:$G$130</c:f>
              <c:numCache>
                <c:formatCode>0.0</c:formatCode>
                <c:ptCount val="34"/>
                <c:pt idx="0">
                  <c:v>3.5657045736146955</c:v>
                </c:pt>
                <c:pt idx="1">
                  <c:v>5.270641590760583</c:v>
                </c:pt>
                <c:pt idx="2">
                  <c:v>4.9793477923024483</c:v>
                </c:pt>
                <c:pt idx="3">
                  <c:v>6.1469428778748991</c:v>
                </c:pt>
                <c:pt idx="4">
                  <c:v>2.8386853624388522</c:v>
                </c:pt>
                <c:pt idx="5">
                  <c:v>-2.1753764637075363</c:v>
                </c:pt>
                <c:pt idx="6">
                  <c:v>0.19348481132529827</c:v>
                </c:pt>
                <c:pt idx="7">
                  <c:v>2.4787428508100575</c:v>
                </c:pt>
                <c:pt idx="8">
                  <c:v>2.4926987811426713</c:v>
                </c:pt>
                <c:pt idx="9">
                  <c:v>1.4759480783641123</c:v>
                </c:pt>
                <c:pt idx="10">
                  <c:v>0.81328517016101642</c:v>
                </c:pt>
                <c:pt idx="11">
                  <c:v>0.40922312282597773</c:v>
                </c:pt>
                <c:pt idx="12">
                  <c:v>2.0274703102504361</c:v>
                </c:pt>
                <c:pt idx="13">
                  <c:v>3.0167538052527476</c:v>
                </c:pt>
                <c:pt idx="14">
                  <c:v>3.8030490245786126</c:v>
                </c:pt>
                <c:pt idx="15">
                  <c:v>3.7263593007908256</c:v>
                </c:pt>
                <c:pt idx="16">
                  <c:v>4.2239545746046758</c:v>
                </c:pt>
                <c:pt idx="17">
                  <c:v>5.4939178255430079</c:v>
                </c:pt>
                <c:pt idx="18">
                  <c:v>6.3879284532635694</c:v>
                </c:pt>
                <c:pt idx="19">
                  <c:v>9.2411219451734112</c:v>
                </c:pt>
                <c:pt idx="20">
                  <c:v>12.035938363262254</c:v>
                </c:pt>
                <c:pt idx="21">
                  <c:v>8.7447651066878649</c:v>
                </c:pt>
                <c:pt idx="22">
                  <c:v>9.3592646182937287</c:v>
                </c:pt>
                <c:pt idx="23">
                  <c:v>9.7167924346275427</c:v>
                </c:pt>
                <c:pt idx="24">
                  <c:v>5.1117019583668011</c:v>
                </c:pt>
                <c:pt idx="25">
                  <c:v>11.379812548838132</c:v>
                </c:pt>
                <c:pt idx="26">
                  <c:v>11.167111313827647</c:v>
                </c:pt>
                <c:pt idx="27">
                  <c:v>2.5296257137618738</c:v>
                </c:pt>
                <c:pt idx="28">
                  <c:v>-2.3632409229601805</c:v>
                </c:pt>
                <c:pt idx="29">
                  <c:v>1.8533165396900202</c:v>
                </c:pt>
                <c:pt idx="30">
                  <c:v>6.4698068573460148</c:v>
                </c:pt>
                <c:pt idx="31">
                  <c:v>5.1051107198494066</c:v>
                </c:pt>
                <c:pt idx="32">
                  <c:v>5.591285515726959</c:v>
                </c:pt>
                <c:pt idx="33">
                  <c:v>5.2915564103289583</c:v>
                </c:pt>
              </c:numCache>
            </c:numRef>
          </c:val>
          <c:smooth val="0"/>
          <c:extLst>
            <c:ext xmlns:c16="http://schemas.microsoft.com/office/drawing/2014/chart" uri="{C3380CC4-5D6E-409C-BE32-E72D297353CC}">
              <c16:uniqueId val="{00000004-EE35-4F73-A9A8-4EABA06811E3}"/>
            </c:ext>
          </c:extLst>
        </c:ser>
        <c:ser>
          <c:idx val="3"/>
          <c:order val="5"/>
          <c:tx>
            <c:strRef>
              <c:f>'Trh práce 3'!$H$96</c:f>
              <c:strCache>
                <c:ptCount val="1"/>
                <c:pt idx="0">
                  <c:v>Labour productivity (real)**</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3'!$A$97:$B$130</c:f>
              <c:multiLvlStrCache>
                <c:ptCount val="34"/>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2</c:v>
                  </c:pt>
                  <c:pt idx="32">
                    <c:v>1</c:v>
                  </c:pt>
                  <c:pt idx="33">
                    <c:v>2</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pt idx="32">
                    <c:v>2024</c:v>
                  </c:pt>
                </c:lvl>
              </c:multiLvlStrCache>
            </c:multiLvlStrRef>
          </c:cat>
          <c:val>
            <c:numRef>
              <c:f>'Trh práce 3'!$H$97:$H$130</c:f>
              <c:numCache>
                <c:formatCode>#\ ##0.0</c:formatCode>
                <c:ptCount val="34"/>
                <c:pt idx="0">
                  <c:v>2.6043310494786382</c:v>
                </c:pt>
                <c:pt idx="1">
                  <c:v>0.11019089000820514</c:v>
                </c:pt>
                <c:pt idx="2">
                  <c:v>-5.0073946867922601</c:v>
                </c:pt>
                <c:pt idx="3">
                  <c:v>-2.3639851732210673</c:v>
                </c:pt>
                <c:pt idx="4">
                  <c:v>4.5679613561260481</c:v>
                </c:pt>
                <c:pt idx="5">
                  <c:v>4.1211850538912245</c:v>
                </c:pt>
                <c:pt idx="6">
                  <c:v>3.091964741880993</c:v>
                </c:pt>
                <c:pt idx="7">
                  <c:v>1.5568725472929188</c:v>
                </c:pt>
                <c:pt idx="8">
                  <c:v>-0.21156955642562991</c:v>
                </c:pt>
                <c:pt idx="9">
                  <c:v>-2.3789942590695787</c:v>
                </c:pt>
                <c:pt idx="10">
                  <c:v>-1.4715364618832822</c:v>
                </c:pt>
                <c:pt idx="11">
                  <c:v>0.6737870010327569</c:v>
                </c:pt>
                <c:pt idx="12">
                  <c:v>2.0290083708460855</c:v>
                </c:pt>
                <c:pt idx="13">
                  <c:v>2.5203545074903602</c:v>
                </c:pt>
                <c:pt idx="14">
                  <c:v>2.7374136873296706</c:v>
                </c:pt>
                <c:pt idx="15">
                  <c:v>3.0839020524035874</c:v>
                </c:pt>
                <c:pt idx="16">
                  <c:v>2.0395081016606866</c:v>
                </c:pt>
                <c:pt idx="17">
                  <c:v>0.97451928855153369</c:v>
                </c:pt>
                <c:pt idx="18">
                  <c:v>3.5823247243180631</c:v>
                </c:pt>
                <c:pt idx="19">
                  <c:v>4.0468969940137143</c:v>
                </c:pt>
                <c:pt idx="20">
                  <c:v>1.7938403063772626</c:v>
                </c:pt>
                <c:pt idx="21">
                  <c:v>1.8356024783068889</c:v>
                </c:pt>
                <c:pt idx="22">
                  <c:v>3.3440362024166106</c:v>
                </c:pt>
                <c:pt idx="23">
                  <c:v>4.1557082362080209</c:v>
                </c:pt>
                <c:pt idx="24">
                  <c:v>-3.7289870530664047</c:v>
                </c:pt>
                <c:pt idx="25">
                  <c:v>-1.76429176990478</c:v>
                </c:pt>
                <c:pt idx="26">
                  <c:v>4.1943628572136049</c:v>
                </c:pt>
                <c:pt idx="27">
                  <c:v>1.7136554110200777</c:v>
                </c:pt>
                <c:pt idx="28">
                  <c:v>2.8820461633566765</c:v>
                </c:pt>
                <c:pt idx="29">
                  <c:v>0.93470359421954896</c:v>
                </c:pt>
                <c:pt idx="30">
                  <c:v>-0.26418679110465604</c:v>
                </c:pt>
                <c:pt idx="31">
                  <c:v>-0.80194758181473702</c:v>
                </c:pt>
                <c:pt idx="32">
                  <c:v>-0.75049633768783508</c:v>
                </c:pt>
                <c:pt idx="33">
                  <c:v>1.0370396608171504</c:v>
                </c:pt>
              </c:numCache>
            </c:numRef>
          </c:val>
          <c:smooth val="0"/>
          <c:extLst>
            <c:ext xmlns:c16="http://schemas.microsoft.com/office/drawing/2014/chart" uri="{C3380CC4-5D6E-409C-BE32-E72D297353CC}">
              <c16:uniqueId val="{00000005-EE35-4F73-A9A8-4EABA06811E3}"/>
            </c:ext>
          </c:extLst>
        </c:ser>
        <c:dLbls>
          <c:showLegendKey val="0"/>
          <c:showVal val="0"/>
          <c:showCatName val="0"/>
          <c:showSerName val="0"/>
          <c:showPercent val="0"/>
          <c:showBubbleSize val="0"/>
        </c:dLbls>
        <c:marker val="1"/>
        <c:smooth val="0"/>
        <c:axId val="100688640"/>
        <c:axId val="100690560"/>
      </c:lineChart>
      <c:catAx>
        <c:axId val="100688640"/>
        <c:scaling>
          <c:orientation val="minMax"/>
        </c:scaling>
        <c:delete val="0"/>
        <c:axPos val="b"/>
        <c:numFmt formatCode="General" sourceLinked="1"/>
        <c:majorTickMark val="none"/>
        <c:minorTickMark val="none"/>
        <c:tickLblPos val="low"/>
        <c:spPr>
          <a:ln>
            <a:solidFill>
              <a:schemeClr val="tx1"/>
            </a:solidFill>
          </a:ln>
        </c:spPr>
        <c:txPr>
          <a:bodyPr rot="0" vert="horz"/>
          <a:lstStyle/>
          <a:p>
            <a:pPr>
              <a:defRPr/>
            </a:pPr>
            <a:endParaRPr lang="cs-CZ"/>
          </a:p>
        </c:txPr>
        <c:crossAx val="100690560"/>
        <c:crosses val="autoZero"/>
        <c:auto val="1"/>
        <c:lblAlgn val="ctr"/>
        <c:lblOffset val="0"/>
        <c:tickMarkSkip val="1"/>
        <c:noMultiLvlLbl val="0"/>
      </c:catAx>
      <c:valAx>
        <c:axId val="100690560"/>
        <c:scaling>
          <c:orientation val="minMax"/>
          <c:max val="14"/>
          <c:min val="-12"/>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00688640"/>
        <c:crosses val="autoZero"/>
        <c:crossBetween val="midCat"/>
        <c:majorUnit val="2"/>
      </c:valAx>
      <c:spPr>
        <a:ln>
          <a:solidFill>
            <a:schemeClr val="tx1"/>
          </a:solidFill>
        </a:ln>
      </c:spPr>
    </c:plotArea>
    <c:legend>
      <c:legendPos val="b"/>
      <c:layout>
        <c:manualLayout>
          <c:xMode val="edge"/>
          <c:yMode val="edge"/>
          <c:x val="1.8875442035332712E-2"/>
          <c:y val="0.87578175045503925"/>
          <c:w val="0.97559048893060707"/>
          <c:h val="0.11341893424036281"/>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681AD-41B0-431A-9D34-CF6700A12FAC}">
  <ds:schemaRefs>
    <ds:schemaRef ds:uri="b8c0c86d-151e-4fca-b0d5-747e6692fa1d"/>
    <ds:schemaRef ds:uri="http://schemas.microsoft.com/office/infopath/2007/PartnerControls"/>
    <ds:schemaRef ds:uri="http://schemas.microsoft.com/office/2006/metadata/properties"/>
    <ds:schemaRef ds:uri="http://www.w3.org/XML/1998/namespace"/>
    <ds:schemaRef ds:uri="http://purl.org/dc/elements/1.1/"/>
    <ds:schemaRef ds:uri="http://purl.org/dc/terms/"/>
    <ds:schemaRef ds:uri="http://purl.org/dc/dcmitype/"/>
    <ds:schemaRef ds:uri="http://schemas.microsoft.com/office/2006/documentManagement/types"/>
    <ds:schemaRef ds:uri="http://schemas.openxmlformats.org/package/2006/metadata/core-properties"/>
  </ds:schemaRefs>
</ds:datastoreItem>
</file>

<file path=customXml/itemProps4.xml><?xml version="1.0" encoding="utf-8"?>
<ds:datastoreItem xmlns:ds="http://schemas.openxmlformats.org/officeDocument/2006/customXml" ds:itemID="{87C9CE1A-7DFA-4A81-8960-220441C61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3921</Words>
  <Characters>23134</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3</cp:revision>
  <cp:lastPrinted>2014-07-17T14:07:00Z</cp:lastPrinted>
  <dcterms:created xsi:type="dcterms:W3CDTF">2025-04-24T09:24:00Z</dcterms:created>
  <dcterms:modified xsi:type="dcterms:W3CDTF">2025-04-24T09:38:00Z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