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95" w:rsidRPr="00CE46F6" w:rsidRDefault="00216395" w:rsidP="00216395">
      <w:pPr>
        <w:pStyle w:val="Nadpis1"/>
        <w:numPr>
          <w:ilvl w:val="0"/>
          <w:numId w:val="19"/>
        </w:numPr>
        <w:spacing w:before="0" w:after="0"/>
        <w:rPr>
          <w:lang w:val="en-GB"/>
        </w:rPr>
      </w:pPr>
      <w:bookmarkStart w:id="0" w:name="_Toc353430679"/>
      <w:bookmarkStart w:id="1" w:name="_Toc353896481"/>
      <w:r w:rsidRPr="00CE46F6">
        <w:rPr>
          <w:lang w:val="en-GB"/>
        </w:rPr>
        <w:t>Industry Performance</w:t>
      </w:r>
    </w:p>
    <w:p w:rsidR="00216395" w:rsidRPr="00CE46F6" w:rsidRDefault="00216395" w:rsidP="00216395">
      <w:pPr>
        <w:rPr>
          <w:lang w:val="en-GB"/>
        </w:rPr>
      </w:pPr>
    </w:p>
    <w:tbl>
      <w:tblPr>
        <w:tblW w:w="5000" w:type="pct"/>
        <w:tblCellMar>
          <w:left w:w="28" w:type="dxa"/>
          <w:right w:w="28" w:type="dxa"/>
        </w:tblCellMar>
        <w:tblLook w:val="04A0"/>
      </w:tblPr>
      <w:tblGrid>
        <w:gridCol w:w="2115"/>
        <w:gridCol w:w="283"/>
        <w:gridCol w:w="7296"/>
      </w:tblGrid>
      <w:tr w:rsidR="00216395" w:rsidRPr="00CE46F6" w:rsidTr="002336B2">
        <w:tc>
          <w:tcPr>
            <w:tcW w:w="1091" w:type="pct"/>
          </w:tcPr>
          <w:p w:rsidR="00216395" w:rsidRPr="00CE46F6" w:rsidRDefault="00216395" w:rsidP="002336B2">
            <w:pPr>
              <w:jc w:val="left"/>
              <w:rPr>
                <w:spacing w:val="-2"/>
                <w:sz w:val="16"/>
                <w:szCs w:val="16"/>
                <w:lang w:val="en-GB"/>
              </w:rPr>
            </w:pPr>
            <w:r w:rsidRPr="00CE46F6">
              <w:rPr>
                <w:spacing w:val="-2"/>
                <w:sz w:val="16"/>
                <w:szCs w:val="16"/>
                <w:lang w:val="en-GB"/>
              </w:rPr>
              <w:t>Depth of the year-on-year drop of GVA for the whole year 2013 comparable  to year 2012</w:t>
            </w:r>
          </w:p>
          <w:p w:rsidR="00216395" w:rsidRPr="00CE46F6" w:rsidRDefault="00216395" w:rsidP="002336B2">
            <w:pPr>
              <w:jc w:val="left"/>
              <w:rPr>
                <w:spacing w:val="-2"/>
                <w:sz w:val="16"/>
                <w:szCs w:val="16"/>
                <w:lang w:val="en-GB"/>
              </w:rPr>
            </w:pPr>
          </w:p>
          <w:p w:rsidR="00216395" w:rsidRPr="00CE46F6" w:rsidRDefault="00216395" w:rsidP="002336B2">
            <w:pPr>
              <w:jc w:val="left"/>
              <w:rPr>
                <w:sz w:val="16"/>
                <w:szCs w:val="16"/>
                <w:lang w:val="en-GB"/>
              </w:rPr>
            </w:pPr>
            <w:r w:rsidRPr="00CE46F6">
              <w:rPr>
                <w:spacing w:val="-2"/>
                <w:sz w:val="16"/>
                <w:szCs w:val="16"/>
                <w:lang w:val="en-GB"/>
              </w:rPr>
              <w:t xml:space="preserve">Marked recovery of foreign demand of the manufacturing industry led in Q4 2013 to the highest quarter-on-quarter growth of GVA (+3 %) in the economy for the last  three years  </w:t>
            </w:r>
            <w:r w:rsidRPr="00CE46F6">
              <w:rPr>
                <w:sz w:val="16"/>
                <w:szCs w:val="16"/>
                <w:lang w:val="en-GB"/>
              </w:rPr>
              <w:t xml:space="preserve"> </w:t>
            </w: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rFonts w:cs="Arial"/>
                <w:spacing w:val="-4"/>
                <w:lang w:val="en-GB"/>
              </w:rPr>
            </w:pPr>
            <w:r w:rsidRPr="00CE46F6">
              <w:rPr>
                <w:rFonts w:cs="Arial"/>
                <w:spacing w:val="-4"/>
                <w:lang w:val="en-GB"/>
              </w:rPr>
              <w:t>Seasonally adjusted size of the gross value added (G</w:t>
            </w:r>
            <w:r>
              <w:rPr>
                <w:rFonts w:cs="Arial"/>
                <w:spacing w:val="-4"/>
                <w:lang w:val="en-GB"/>
              </w:rPr>
              <w:t>VA), reflecting the performance</w:t>
            </w:r>
            <w:r w:rsidRPr="00CE46F6">
              <w:rPr>
                <w:rFonts w:cs="Arial"/>
                <w:spacing w:val="-4"/>
                <w:lang w:val="en-GB"/>
              </w:rPr>
              <w:t xml:space="preserve"> of the industries in the Czech economy</w:t>
            </w:r>
            <w:r>
              <w:rPr>
                <w:rFonts w:cs="Arial"/>
                <w:spacing w:val="-4"/>
                <w:lang w:val="en-GB"/>
              </w:rPr>
              <w:t>, fell in real terms</w:t>
            </w:r>
            <w:r w:rsidRPr="00CE46F6">
              <w:rPr>
                <w:rFonts w:cs="Arial"/>
                <w:spacing w:val="-4"/>
                <w:lang w:val="en-GB"/>
              </w:rPr>
              <w:t xml:space="preserve"> in 2013</w:t>
            </w:r>
            <w:r>
              <w:rPr>
                <w:rFonts w:cs="Arial"/>
                <w:spacing w:val="-4"/>
                <w:lang w:val="en-GB"/>
              </w:rPr>
              <w:t xml:space="preserve"> </w:t>
            </w:r>
            <w:r w:rsidRPr="00CE46F6">
              <w:rPr>
                <w:rFonts w:cs="Arial"/>
                <w:spacing w:val="-4"/>
                <w:lang w:val="en-GB"/>
              </w:rPr>
              <w:t xml:space="preserve">(-0.8 %) similarly to the preceding year. The adverse result was affected mostly by the development in the first half of the year, when the inadequate demand curbed performances especially of the investment-oriented industrial activities. In Q3 </w:t>
            </w:r>
            <w:r>
              <w:rPr>
                <w:rFonts w:cs="Arial"/>
                <w:spacing w:val="-4"/>
                <w:lang w:val="en-GB"/>
              </w:rPr>
              <w:t xml:space="preserve">the quarter-on-quarter growth of the GVA creation </w:t>
            </w:r>
            <w:r w:rsidRPr="00CE46F6">
              <w:rPr>
                <w:rFonts w:cs="Arial"/>
                <w:spacing w:val="-4"/>
                <w:lang w:val="en-GB"/>
              </w:rPr>
              <w:t xml:space="preserve">renewed after a year and a half, which </w:t>
            </w:r>
            <w:r>
              <w:rPr>
                <w:rFonts w:cs="Arial"/>
                <w:spacing w:val="-4"/>
                <w:lang w:val="en-GB"/>
              </w:rPr>
              <w:t xml:space="preserve">turned </w:t>
            </w:r>
            <w:r w:rsidRPr="00CE46F6">
              <w:rPr>
                <w:rFonts w:cs="Arial"/>
                <w:spacing w:val="-4"/>
                <w:lang w:val="en-GB"/>
              </w:rPr>
              <w:t>even in the mild year-on-year growth (+0.6 %)</w:t>
            </w:r>
            <w:r>
              <w:rPr>
                <w:rFonts w:cs="Arial"/>
                <w:spacing w:val="-4"/>
                <w:lang w:val="en-GB"/>
              </w:rPr>
              <w:t xml:space="preserve"> </w:t>
            </w:r>
            <w:r w:rsidRPr="00CE46F6">
              <w:rPr>
                <w:rFonts w:cs="Arial"/>
                <w:spacing w:val="-4"/>
                <w:lang w:val="en-GB"/>
              </w:rPr>
              <w:t xml:space="preserve">in the last quarter after the same duration of time. </w:t>
            </w:r>
            <w:r>
              <w:rPr>
                <w:rFonts w:cs="Arial"/>
                <w:spacing w:val="-4"/>
                <w:lang w:val="en-GB"/>
              </w:rPr>
              <w:t xml:space="preserve">The manufacturing industry </w:t>
            </w:r>
            <w:r w:rsidRPr="00CE46F6">
              <w:rPr>
                <w:rFonts w:cs="Arial"/>
                <w:spacing w:val="-4"/>
                <w:lang w:val="en-GB"/>
              </w:rPr>
              <w:t xml:space="preserve">participated by a decisive way </w:t>
            </w:r>
            <w:r>
              <w:rPr>
                <w:rFonts w:cs="Arial"/>
                <w:spacing w:val="-4"/>
                <w:lang w:val="en-GB"/>
              </w:rPr>
              <w:t>o</w:t>
            </w:r>
            <w:r w:rsidRPr="00CE46F6">
              <w:rPr>
                <w:rFonts w:cs="Arial"/>
                <w:spacing w:val="-4"/>
                <w:lang w:val="en-GB"/>
              </w:rPr>
              <w:t>n this revival</w:t>
            </w:r>
            <w:r>
              <w:rPr>
                <w:rFonts w:cs="Arial"/>
                <w:spacing w:val="-4"/>
                <w:lang w:val="en-GB"/>
              </w:rPr>
              <w:t>.</w:t>
            </w:r>
            <w:r w:rsidRPr="00CE46F6">
              <w:rPr>
                <w:rFonts w:cs="Arial"/>
                <w:spacing w:val="-4"/>
                <w:lang w:val="en-GB"/>
              </w:rPr>
              <w:t xml:space="preserve"> The growth of GVA however has not been reflected yet in a more significant increase of the hours worked, including the manufacturing industry itself. </w:t>
            </w:r>
          </w:p>
          <w:p w:rsidR="00216395" w:rsidRPr="00CE46F6" w:rsidRDefault="00216395" w:rsidP="002336B2">
            <w:pPr>
              <w:pStyle w:val="Textpoznpodarou"/>
              <w:jc w:val="both"/>
              <w:rPr>
                <w:spacing w:val="-4"/>
                <w:sz w:val="16"/>
                <w:lang w:val="en-GB"/>
              </w:rPr>
            </w:pPr>
          </w:p>
        </w:tc>
      </w:tr>
      <w:tr w:rsidR="00216395" w:rsidRPr="00CE46F6" w:rsidTr="002336B2">
        <w:tc>
          <w:tcPr>
            <w:tcW w:w="1091" w:type="pct"/>
          </w:tcPr>
          <w:p w:rsidR="00216395" w:rsidRPr="00CE46F6" w:rsidRDefault="00216395" w:rsidP="002336B2">
            <w:pPr>
              <w:spacing w:after="120"/>
              <w:jc w:val="left"/>
              <w:rPr>
                <w:sz w:val="16"/>
                <w:szCs w:val="16"/>
                <w:lang w:val="en-GB"/>
              </w:rPr>
            </w:pPr>
            <w:r w:rsidRPr="00CE46F6">
              <w:rPr>
                <w:sz w:val="16"/>
                <w:szCs w:val="16"/>
                <w:lang w:val="en-GB"/>
              </w:rPr>
              <w:t>Year-on-year growth of GVA was in 2013 limited only to the manufacture of transport vehicles and associated industrial activities and also on some segments of the financial sector</w:t>
            </w:r>
          </w:p>
          <w:p w:rsidR="00216395" w:rsidRPr="00CE46F6" w:rsidRDefault="00216395" w:rsidP="002336B2">
            <w:pPr>
              <w:jc w:val="left"/>
              <w:rPr>
                <w:sz w:val="16"/>
                <w:szCs w:val="16"/>
                <w:lang w:val="en-GB"/>
              </w:rPr>
            </w:pPr>
            <w:r w:rsidRPr="00CE46F6">
              <w:rPr>
                <w:sz w:val="16"/>
                <w:szCs w:val="16"/>
                <w:lang w:val="en-GB"/>
              </w:rPr>
              <w:t>Long-term fall of GVA continued in agriculture (also due to higher intermediate consumption) and construction (lack of large both public and private orders being at fault)</w:t>
            </w: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rFonts w:cs="Arial"/>
                <w:spacing w:val="-4"/>
                <w:lang w:val="en-GB"/>
              </w:rPr>
            </w:pPr>
            <w:r w:rsidRPr="00CE46F6">
              <w:rPr>
                <w:rFonts w:cs="Arial"/>
                <w:spacing w:val="-4"/>
                <w:lang w:val="en-GB"/>
              </w:rPr>
              <w:t xml:space="preserve">Eccentric development of GVA in the financial sector (in 2013 year-on-year by +8 %) is somewhat </w:t>
            </w:r>
            <w:proofErr w:type="spellStart"/>
            <w:r w:rsidRPr="00CE46F6">
              <w:rPr>
                <w:rFonts w:cs="Arial"/>
                <w:spacing w:val="-4"/>
                <w:lang w:val="en-GB"/>
              </w:rPr>
              <w:t>relativized</w:t>
            </w:r>
            <w:proofErr w:type="spellEnd"/>
            <w:r w:rsidRPr="00CE46F6">
              <w:rPr>
                <w:rFonts w:cs="Arial"/>
                <w:spacing w:val="-4"/>
                <w:lang w:val="en-GB"/>
              </w:rPr>
              <w:t xml:space="preserve"> by a low comparative basis (against the year 2011 the GVA only stagnated) and a low weight of financial and insurance activities in the creation of value added of the whole economy. </w:t>
            </w:r>
            <w:r>
              <w:rPr>
                <w:rFonts w:cs="Arial"/>
                <w:spacing w:val="-4"/>
                <w:lang w:val="en-GB"/>
              </w:rPr>
              <w:t>The manufacturing industry also had a n</w:t>
            </w:r>
            <w:r w:rsidRPr="00CE46F6">
              <w:rPr>
                <w:rFonts w:cs="Arial"/>
                <w:spacing w:val="-4"/>
                <w:lang w:val="en-GB"/>
              </w:rPr>
              <w:t xml:space="preserve">egligible contribution to the year-on-year change of GVA, however for the reason of </w:t>
            </w:r>
            <w:r w:rsidRPr="00F02332">
              <w:rPr>
                <w:rFonts w:cs="Arial"/>
                <w:spacing w:val="-2"/>
                <w:lang w:val="en-GB"/>
              </w:rPr>
              <w:t>differentiated development within year 2013. Regardless of good harvest of grain the value added in the agriculture fell by one tenth, the volume of inputs in this economic activity grew faster than the production. The fall of value added in the agrarian sector is a more long-term phenomenon, for the last four years the GVA decreased in real terms by more than one third. Negative trends also prevail in the construction in the long term, when in 2013 the depths of year-on-year decreases of hours worked</w:t>
            </w:r>
            <w:r>
              <w:rPr>
                <w:rFonts w:cs="Arial"/>
                <w:spacing w:val="-4"/>
                <w:lang w:val="en-GB"/>
              </w:rPr>
              <w:t xml:space="preserve"> (</w:t>
            </w:r>
            <w:r>
              <w:t>-</w:t>
            </w:r>
            <w:r>
              <w:rPr>
                <w:rFonts w:cs="Arial"/>
                <w:spacing w:val="-4"/>
                <w:lang w:val="en-GB"/>
              </w:rPr>
              <w:t>5.8</w:t>
            </w:r>
            <w:r>
              <w:t> </w:t>
            </w:r>
            <w:r w:rsidRPr="00CE46F6">
              <w:rPr>
                <w:rFonts w:cs="Arial"/>
                <w:spacing w:val="-4"/>
                <w:lang w:val="en-GB"/>
              </w:rPr>
              <w:t xml:space="preserve">%) as well as aggregate employment (-2.5 %) reached four-year lows. Due to the mild recovery of new orders in the civil engineering construction accompanied by favourable climatic conditions at the end of year 2013 the depth of fall of value added was on the contrary mitigated, however still the performance of construction was </w:t>
            </w:r>
            <w:r>
              <w:rPr>
                <w:rFonts w:cs="Arial"/>
                <w:spacing w:val="-4"/>
                <w:lang w:val="en-GB"/>
              </w:rPr>
              <w:t xml:space="preserve">weaker </w:t>
            </w:r>
            <w:r w:rsidRPr="00CE46F6">
              <w:rPr>
                <w:rFonts w:cs="Arial"/>
                <w:spacing w:val="-4"/>
                <w:lang w:val="en-GB"/>
              </w:rPr>
              <w:t xml:space="preserve">compared to year 2007 by one tenth in real terms.  </w:t>
            </w:r>
            <w:r w:rsidRPr="00CE46F6">
              <w:rPr>
                <w:rFonts w:cs="Arial"/>
                <w:spacing w:val="-4"/>
                <w:szCs w:val="16"/>
                <w:lang w:val="en-GB"/>
              </w:rPr>
              <w:t xml:space="preserve"> </w:t>
            </w:r>
          </w:p>
          <w:p w:rsidR="00216395" w:rsidRPr="00CE46F6" w:rsidRDefault="00216395" w:rsidP="002336B2">
            <w:pPr>
              <w:pStyle w:val="Textpoznpodarou"/>
              <w:jc w:val="both"/>
              <w:rPr>
                <w:spacing w:val="-4"/>
                <w:sz w:val="12"/>
                <w:szCs w:val="12"/>
                <w:lang w:val="en-GB"/>
              </w:rPr>
            </w:pPr>
          </w:p>
        </w:tc>
      </w:tr>
      <w:tr w:rsidR="00216395" w:rsidRPr="00CE46F6" w:rsidTr="002336B2">
        <w:tc>
          <w:tcPr>
            <w:tcW w:w="1091" w:type="pct"/>
          </w:tcPr>
          <w:p w:rsidR="00216395" w:rsidRPr="003B294B" w:rsidRDefault="00216395" w:rsidP="002336B2">
            <w:pPr>
              <w:pStyle w:val="Zkladntext"/>
              <w:rPr>
                <w:sz w:val="16"/>
                <w:szCs w:val="16"/>
                <w:lang w:val="en-GB"/>
              </w:rPr>
            </w:pPr>
            <w:r w:rsidRPr="003B294B">
              <w:rPr>
                <w:sz w:val="16"/>
                <w:szCs w:val="16"/>
                <w:lang w:val="en-GB"/>
              </w:rPr>
              <w:t>Services apart from the financial sector remained free from substantial signs of revival during 2013 due to still tightened final consumption expenditures</w:t>
            </w:r>
          </w:p>
          <w:p w:rsidR="00216395" w:rsidRPr="00CE46F6" w:rsidRDefault="00216395" w:rsidP="002336B2">
            <w:pPr>
              <w:jc w:val="left"/>
              <w:rPr>
                <w:spacing w:val="-2"/>
                <w:sz w:val="16"/>
                <w:szCs w:val="16"/>
                <w:lang w:val="en-GB"/>
              </w:rPr>
            </w:pPr>
          </w:p>
          <w:p w:rsidR="00216395" w:rsidRPr="00CE46F6" w:rsidRDefault="00216395" w:rsidP="002336B2">
            <w:pPr>
              <w:jc w:val="left"/>
              <w:rPr>
                <w:sz w:val="16"/>
                <w:szCs w:val="16"/>
                <w:lang w:val="en-GB"/>
              </w:rPr>
            </w:pPr>
            <w:r w:rsidRPr="00CE46F6">
              <w:rPr>
                <w:sz w:val="16"/>
                <w:szCs w:val="16"/>
                <w:lang w:val="en-GB"/>
              </w:rPr>
              <w:t>Shallow year-on-year drop of GVA contrasted for most services with mild growth of both employment and hours worked</w:t>
            </w:r>
          </w:p>
        </w:tc>
        <w:tc>
          <w:tcPr>
            <w:tcW w:w="146" w:type="pct"/>
          </w:tcPr>
          <w:p w:rsidR="00216395" w:rsidRPr="00CE46F6" w:rsidRDefault="00216395" w:rsidP="002336B2">
            <w:pPr>
              <w:pStyle w:val="Textpoznpodarou"/>
              <w:jc w:val="both"/>
              <w:rPr>
                <w:spacing w:val="-2"/>
                <w:lang w:val="en-GB"/>
              </w:rPr>
            </w:pPr>
          </w:p>
        </w:tc>
        <w:tc>
          <w:tcPr>
            <w:tcW w:w="3763" w:type="pct"/>
          </w:tcPr>
          <w:p w:rsidR="00216395" w:rsidRPr="006F7D89" w:rsidRDefault="00216395" w:rsidP="002336B2">
            <w:pPr>
              <w:pStyle w:val="Textbubliny"/>
              <w:rPr>
                <w:rFonts w:ascii="Arial" w:hAnsi="Arial" w:cs="Arial"/>
                <w:spacing w:val="-2"/>
                <w:sz w:val="20"/>
                <w:szCs w:val="20"/>
                <w:lang w:val="en-GB"/>
              </w:rPr>
            </w:pPr>
            <w:r w:rsidRPr="006F7D89">
              <w:rPr>
                <w:rFonts w:ascii="Arial" w:hAnsi="Arial" w:cs="Arial"/>
                <w:spacing w:val="-2"/>
                <w:sz w:val="20"/>
                <w:szCs w:val="20"/>
                <w:lang w:val="en-GB"/>
              </w:rPr>
              <w:t xml:space="preserve">The dynamics of value added apart from the value in the financial sector did not differ much within the services sector in 2013, in contrast to the industry there were no noticeable signs of revival during the year. The cluster of economic activities significant by weight </w:t>
            </w:r>
            <w:r>
              <w:rPr>
                <w:rFonts w:ascii="Arial" w:hAnsi="Arial" w:cs="Arial"/>
                <w:spacing w:val="-2"/>
                <w:sz w:val="20"/>
                <w:szCs w:val="20"/>
                <w:lang w:val="en-GB"/>
              </w:rPr>
              <w:t>-</w:t>
            </w:r>
            <w:r w:rsidRPr="006F7D89">
              <w:rPr>
                <w:rFonts w:ascii="Arial" w:hAnsi="Arial" w:cs="Arial"/>
                <w:spacing w:val="-2"/>
                <w:sz w:val="20"/>
                <w:szCs w:val="20"/>
                <w:lang w:val="en-GB"/>
              </w:rPr>
              <w:t xml:space="preserve"> trade, food service activities, accommodation and transportation (with the drop of GVA in the activity by 1.6 %) contributed the most to the year-on-year fall of the total GVA among the services. Contrary to the industry, the employment in the conception of national accounts grew more significantly across the services activities in 2013 (with higher dynamics the positions of the employee nature) supported also by the growth of hours worked (except for trade, transportation, accommodation and food service activities with year-on-year fall of 2.6 %).</w:t>
            </w:r>
          </w:p>
          <w:p w:rsidR="00216395" w:rsidRPr="00CE46F6" w:rsidRDefault="00216395" w:rsidP="002336B2">
            <w:pPr>
              <w:pStyle w:val="Textbubliny"/>
              <w:rPr>
                <w:rFonts w:ascii="Arial" w:hAnsi="Arial"/>
                <w:spacing w:val="-4"/>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r w:rsidRPr="00CE46F6">
              <w:rPr>
                <w:sz w:val="16"/>
                <w:szCs w:val="16"/>
                <w:lang w:val="en-GB"/>
              </w:rPr>
              <w:t xml:space="preserve">Notably uneven year-on-year development of industrial production within year 2013 </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spacing w:val="-2"/>
                <w:lang w:val="en-GB"/>
              </w:rPr>
            </w:pPr>
          </w:p>
        </w:tc>
        <w:tc>
          <w:tcPr>
            <w:tcW w:w="3763" w:type="pct"/>
          </w:tcPr>
          <w:p w:rsidR="00216395" w:rsidRPr="00CE46F6" w:rsidRDefault="00216395" w:rsidP="002336B2">
            <w:pPr>
              <w:rPr>
                <w:spacing w:val="-4"/>
                <w:szCs w:val="20"/>
                <w:lang w:val="en-GB"/>
              </w:rPr>
            </w:pPr>
            <w:r w:rsidRPr="00CE46F6">
              <w:rPr>
                <w:spacing w:val="-4"/>
                <w:szCs w:val="20"/>
                <w:lang w:val="en-GB"/>
              </w:rPr>
              <w:t>Marked change of the dynamics of the industrial performance (according to the index of production) during 2013 was to the major extent affected by the considerable revival of foreign demand especially for transportation vehicles, noticeable already since the beginning of summer. Industrial production (adjusted for calendar effects) similarly being situated nearly 3 % below the last year's level</w:t>
            </w:r>
            <w:r>
              <w:rPr>
                <w:spacing w:val="-4"/>
                <w:szCs w:val="20"/>
                <w:lang w:val="en-GB"/>
              </w:rPr>
              <w:t xml:space="preserve"> </w:t>
            </w:r>
            <w:r w:rsidRPr="00CE46F6">
              <w:rPr>
                <w:spacing w:val="-4"/>
                <w:szCs w:val="20"/>
                <w:lang w:val="en-GB"/>
              </w:rPr>
              <w:t>in both Q1 and Q2, expanded in the last quarter (+7.2 %), partially also due to the effect of low year-on-year comparative basis. In the quarter-on-quarter expression, the industry was gaining pace by 2.5 % (in Q3 +2.3 %)</w:t>
            </w:r>
            <w:r>
              <w:rPr>
                <w:spacing w:val="-4"/>
                <w:szCs w:val="20"/>
                <w:lang w:val="en-GB"/>
              </w:rPr>
              <w:t xml:space="preserve"> </w:t>
            </w:r>
            <w:r w:rsidRPr="00CE46F6">
              <w:rPr>
                <w:spacing w:val="-4"/>
                <w:szCs w:val="20"/>
                <w:lang w:val="en-GB"/>
              </w:rPr>
              <w:t>towards the end of the year, mild growth was apparent throughout the whole year 2013.</w:t>
            </w:r>
          </w:p>
          <w:p w:rsidR="00216395" w:rsidRPr="00CE46F6" w:rsidRDefault="00216395" w:rsidP="002336B2">
            <w:pPr>
              <w:rPr>
                <w:spacing w:val="-4"/>
                <w:sz w:val="12"/>
                <w:szCs w:val="12"/>
                <w:lang w:val="en-GB"/>
              </w:rPr>
            </w:pPr>
          </w:p>
        </w:tc>
      </w:tr>
      <w:tr w:rsidR="00216395" w:rsidRPr="00CE46F6" w:rsidTr="002336B2">
        <w:trPr>
          <w:cantSplit/>
          <w:trHeight w:val="854"/>
        </w:trPr>
        <w:tc>
          <w:tcPr>
            <w:tcW w:w="1091" w:type="pct"/>
          </w:tcPr>
          <w:p w:rsidR="00216395" w:rsidRPr="00CE46F6" w:rsidRDefault="00216395" w:rsidP="002336B2">
            <w:pPr>
              <w:jc w:val="left"/>
              <w:rPr>
                <w:szCs w:val="16"/>
                <w:lang w:val="en-GB"/>
              </w:rPr>
            </w:pPr>
            <w:r w:rsidRPr="00CE46F6">
              <w:rPr>
                <w:sz w:val="16"/>
                <w:szCs w:val="16"/>
                <w:lang w:val="en-GB"/>
              </w:rPr>
              <w:t>Improvement of year-on-year dynamics of production during 2013 nearly in all manufacturing branches</w:t>
            </w:r>
          </w:p>
        </w:tc>
        <w:tc>
          <w:tcPr>
            <w:tcW w:w="146" w:type="pct"/>
          </w:tcPr>
          <w:p w:rsidR="00216395" w:rsidRPr="00CE46F6" w:rsidRDefault="00216395" w:rsidP="002336B2">
            <w:pPr>
              <w:jc w:val="left"/>
              <w:rPr>
                <w:szCs w:val="16"/>
                <w:lang w:val="en-GB"/>
              </w:rPr>
            </w:pPr>
          </w:p>
        </w:tc>
        <w:tc>
          <w:tcPr>
            <w:tcW w:w="3763" w:type="pct"/>
          </w:tcPr>
          <w:p w:rsidR="00216395" w:rsidRPr="00CE46F6" w:rsidRDefault="00216395" w:rsidP="002336B2">
            <w:pPr>
              <w:rPr>
                <w:spacing w:val="-4"/>
                <w:szCs w:val="20"/>
                <w:lang w:val="en-GB"/>
              </w:rPr>
            </w:pPr>
            <w:r w:rsidRPr="00CE46F6">
              <w:rPr>
                <w:spacing w:val="-4"/>
                <w:szCs w:val="20"/>
                <w:lang w:val="en-GB"/>
              </w:rPr>
              <w:t xml:space="preserve">Revival during 2013 occurred in the form of more favourable year-on-year dynamics of production nearly in all manufacturing activities, mainly in the manufacture of motor vehicles, rubber </w:t>
            </w:r>
            <w:r>
              <w:rPr>
                <w:spacing w:val="-4"/>
                <w:szCs w:val="20"/>
                <w:lang w:val="en-GB"/>
              </w:rPr>
              <w:t xml:space="preserve">and plastic </w:t>
            </w:r>
            <w:r w:rsidRPr="00CE46F6">
              <w:rPr>
                <w:spacing w:val="-4"/>
                <w:szCs w:val="20"/>
                <w:lang w:val="en-GB"/>
              </w:rPr>
              <w:t xml:space="preserve">products, basic metals, metallurgy or manufacture of other non-metallic mineral products. The exception was formed by manufacturing of food products (with long-time stagnating production), long-time dampened manufacture of leather products and also coke and refined petroleum products (hit by a long-time recession of the mining industry). In the last quarter </w:t>
            </w:r>
            <w:r>
              <w:rPr>
                <w:spacing w:val="-4"/>
                <w:szCs w:val="20"/>
                <w:lang w:val="en-GB"/>
              </w:rPr>
              <w:t xml:space="preserve">the production </w:t>
            </w:r>
            <w:r w:rsidRPr="00CE46F6">
              <w:rPr>
                <w:spacing w:val="-4"/>
                <w:szCs w:val="20"/>
                <w:lang w:val="en-GB"/>
              </w:rPr>
              <w:t>increased year-on-yea</w:t>
            </w:r>
            <w:r>
              <w:rPr>
                <w:spacing w:val="-4"/>
                <w:szCs w:val="20"/>
                <w:lang w:val="en-GB"/>
              </w:rPr>
              <w:t>r in ¾ of manufacturing branch</w:t>
            </w:r>
            <w:r w:rsidRPr="00CE46F6">
              <w:rPr>
                <w:spacing w:val="-4"/>
                <w:szCs w:val="20"/>
                <w:lang w:val="en-GB"/>
              </w:rPr>
              <w:t>es.</w:t>
            </w:r>
          </w:p>
          <w:p w:rsidR="00216395" w:rsidRPr="00CE46F6" w:rsidRDefault="00216395" w:rsidP="002336B2">
            <w:pPr>
              <w:rPr>
                <w:lang w:val="en-GB"/>
              </w:rPr>
            </w:pPr>
          </w:p>
        </w:tc>
      </w:tr>
      <w:tr w:rsidR="00216395" w:rsidRPr="00CE46F6" w:rsidTr="002336B2">
        <w:trPr>
          <w:cantSplit/>
          <w:trHeight w:val="852"/>
        </w:trPr>
        <w:tc>
          <w:tcPr>
            <w:tcW w:w="1091" w:type="pct"/>
          </w:tcPr>
          <w:p w:rsidR="00216395" w:rsidRPr="00CE46F6" w:rsidRDefault="00216395" w:rsidP="002336B2">
            <w:pPr>
              <w:jc w:val="left"/>
              <w:rPr>
                <w:sz w:val="16"/>
                <w:szCs w:val="16"/>
                <w:lang w:val="en-GB"/>
              </w:rPr>
            </w:pPr>
            <w:r w:rsidRPr="00CE46F6">
              <w:rPr>
                <w:sz w:val="16"/>
                <w:szCs w:val="16"/>
                <w:lang w:val="en-GB"/>
              </w:rPr>
              <w:lastRenderedPageBreak/>
              <w:t xml:space="preserve">Marked revival of foreign demand for transport vehicles and machinery </w:t>
            </w:r>
            <w:r>
              <w:rPr>
                <w:sz w:val="16"/>
                <w:szCs w:val="16"/>
                <w:lang w:val="en-GB"/>
              </w:rPr>
              <w:t xml:space="preserve">assisted </w:t>
            </w:r>
            <w:r w:rsidRPr="00CE46F6">
              <w:rPr>
                <w:sz w:val="16"/>
                <w:szCs w:val="16"/>
                <w:lang w:val="en-GB"/>
              </w:rPr>
              <w:t xml:space="preserve">in the second half of the year to the export-oriented industry of the CR to lift the industrial production in 2013 to a mild growth </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bCs/>
                <w:iCs/>
                <w:sz w:val="16"/>
                <w:szCs w:val="16"/>
                <w:lang w:val="en-GB"/>
              </w:rPr>
            </w:pPr>
          </w:p>
        </w:tc>
        <w:tc>
          <w:tcPr>
            <w:tcW w:w="146" w:type="pct"/>
          </w:tcPr>
          <w:p w:rsidR="00216395" w:rsidRPr="00CE46F6" w:rsidRDefault="00216395" w:rsidP="002336B2">
            <w:pPr>
              <w:jc w:val="left"/>
              <w:rPr>
                <w:bCs/>
                <w:iCs/>
                <w:sz w:val="16"/>
                <w:szCs w:val="16"/>
                <w:lang w:val="en-GB"/>
              </w:rPr>
            </w:pPr>
          </w:p>
        </w:tc>
        <w:tc>
          <w:tcPr>
            <w:tcW w:w="3763" w:type="pct"/>
          </w:tcPr>
          <w:p w:rsidR="00216395" w:rsidRPr="00CE46F6" w:rsidRDefault="00216395" w:rsidP="002336B2">
            <w:pPr>
              <w:rPr>
                <w:spacing w:val="-4"/>
                <w:lang w:val="en-GB"/>
              </w:rPr>
            </w:pPr>
            <w:r w:rsidRPr="00CE46F6">
              <w:rPr>
                <w:rFonts w:cs="Arial"/>
                <w:spacing w:val="-4"/>
                <w:szCs w:val="16"/>
                <w:lang w:val="en-GB"/>
              </w:rPr>
              <w:t xml:space="preserve">Production of the manufacturing industry following the actual stagnation in 2012 returned a year later to a mild growth (year-on-year by +1.5 %), especially thanks to the manufacture of basic metals, motor vehicles and machinery. Deep fall of the foreign demand on the contrary takes its toll on the manufacturers of computer, electronic and optical products, whose production has been falling for already ten quarters in a row (it weakened by one quarter in the last two years). The chemical industry did not in 2013 continue </w:t>
            </w:r>
            <w:r>
              <w:rPr>
                <w:rFonts w:cs="Arial"/>
                <w:spacing w:val="-4"/>
                <w:szCs w:val="16"/>
                <w:lang w:val="en-GB"/>
              </w:rPr>
              <w:t xml:space="preserve">(-2 %) </w:t>
            </w:r>
            <w:r w:rsidRPr="00CE46F6">
              <w:rPr>
                <w:rFonts w:cs="Arial"/>
                <w:spacing w:val="-4"/>
                <w:szCs w:val="16"/>
                <w:lang w:val="en-GB"/>
              </w:rPr>
              <w:t>in</w:t>
            </w:r>
            <w:r>
              <w:rPr>
                <w:rFonts w:cs="Arial"/>
                <w:spacing w:val="-4"/>
                <w:szCs w:val="16"/>
                <w:lang w:val="en-GB"/>
              </w:rPr>
              <w:t xml:space="preserve"> the successful previous year (+5</w:t>
            </w:r>
            <w:r w:rsidRPr="00CE46F6">
              <w:rPr>
                <w:rFonts w:cs="Arial"/>
                <w:spacing w:val="-4"/>
                <w:szCs w:val="16"/>
                <w:lang w:val="en-GB"/>
              </w:rPr>
              <w:t xml:space="preserve"> %). Real production in the manufacturing industry attained the level of boom from year 2007 </w:t>
            </w:r>
            <w:r>
              <w:rPr>
                <w:rFonts w:cs="Arial"/>
                <w:spacing w:val="-4"/>
                <w:szCs w:val="16"/>
                <w:lang w:val="en-GB"/>
              </w:rPr>
              <w:t xml:space="preserve">in 2013 </w:t>
            </w:r>
            <w:r w:rsidRPr="00CE46F6">
              <w:rPr>
                <w:rFonts w:cs="Arial"/>
                <w:spacing w:val="-4"/>
                <w:szCs w:val="16"/>
                <w:lang w:val="en-GB"/>
              </w:rPr>
              <w:t>(exceeded the level however only in one third of manufacturing activities: apart from the manufacture of motor vehicles with some subcontractor branches also in the chemical and pharmaceutical industry), it was lower by one eighth</w:t>
            </w:r>
            <w:r>
              <w:rPr>
                <w:rFonts w:cs="Arial"/>
                <w:spacing w:val="-4"/>
                <w:szCs w:val="16"/>
                <w:lang w:val="en-GB"/>
              </w:rPr>
              <w:t xml:space="preserve"> </w:t>
            </w:r>
            <w:r w:rsidRPr="00CE46F6">
              <w:rPr>
                <w:rFonts w:cs="Arial"/>
                <w:spacing w:val="-4"/>
                <w:szCs w:val="16"/>
                <w:lang w:val="en-GB"/>
              </w:rPr>
              <w:t>in the energy industry, even by one sixth</w:t>
            </w:r>
            <w:r>
              <w:rPr>
                <w:rFonts w:cs="Arial"/>
                <w:spacing w:val="-4"/>
                <w:szCs w:val="16"/>
                <w:lang w:val="en-GB"/>
              </w:rPr>
              <w:t xml:space="preserve"> </w:t>
            </w:r>
            <w:r w:rsidRPr="00CE46F6">
              <w:rPr>
                <w:rFonts w:cs="Arial"/>
                <w:spacing w:val="-4"/>
                <w:szCs w:val="16"/>
                <w:lang w:val="en-GB"/>
              </w:rPr>
              <w:t>in mining and quarrying.</w:t>
            </w:r>
          </w:p>
          <w:p w:rsidR="00216395" w:rsidRPr="00CE46F6" w:rsidRDefault="00216395" w:rsidP="002336B2">
            <w:pPr>
              <w:pStyle w:val="Textbubliny"/>
              <w:rPr>
                <w:rFonts w:ascii="Arial" w:hAnsi="Arial" w:cs="Arial"/>
                <w:spacing w:val="-4"/>
                <w:sz w:val="12"/>
                <w:szCs w:val="12"/>
                <w:lang w:val="en-GB"/>
              </w:rPr>
            </w:pPr>
          </w:p>
        </w:tc>
      </w:tr>
      <w:tr w:rsidR="00216395" w:rsidRPr="00CE46F6" w:rsidTr="002336B2">
        <w:trPr>
          <w:cantSplit/>
          <w:trHeight w:val="852"/>
        </w:trPr>
        <w:tc>
          <w:tcPr>
            <w:tcW w:w="1091" w:type="pct"/>
          </w:tcPr>
          <w:p w:rsidR="00216395" w:rsidRPr="00CE46F6" w:rsidRDefault="00216395" w:rsidP="002336B2">
            <w:pPr>
              <w:jc w:val="left"/>
              <w:rPr>
                <w:sz w:val="16"/>
                <w:szCs w:val="16"/>
                <w:lang w:val="en-GB"/>
              </w:rPr>
            </w:pPr>
          </w:p>
        </w:tc>
        <w:tc>
          <w:tcPr>
            <w:tcW w:w="146" w:type="pct"/>
          </w:tcPr>
          <w:p w:rsidR="00216395" w:rsidRPr="00CE46F6" w:rsidRDefault="00216395" w:rsidP="002336B2">
            <w:pPr>
              <w:jc w:val="left"/>
              <w:rPr>
                <w:sz w:val="16"/>
                <w:szCs w:val="16"/>
                <w:lang w:val="en-GB"/>
              </w:rPr>
            </w:pPr>
          </w:p>
        </w:tc>
        <w:tc>
          <w:tcPr>
            <w:tcW w:w="3763" w:type="pct"/>
          </w:tcPr>
          <w:p w:rsidR="00216395" w:rsidRPr="00CE46F6" w:rsidRDefault="00216395" w:rsidP="002336B2">
            <w:pPr>
              <w:rPr>
                <w:lang w:val="en-GB"/>
              </w:rPr>
            </w:pPr>
            <w:r w:rsidRPr="00CE46F6">
              <w:rPr>
                <w:lang w:val="en-GB"/>
              </w:rPr>
              <w:t xml:space="preserve">The dynamics of industrial production of activities oriented on short-term, long-term consumption or investment (year-on-year +1.3 %) did not </w:t>
            </w:r>
            <w:r>
              <w:rPr>
                <w:lang w:val="en-GB"/>
              </w:rPr>
              <w:t xml:space="preserve">differ </w:t>
            </w:r>
            <w:r w:rsidRPr="00CE46F6">
              <w:rPr>
                <w:lang w:val="en-GB"/>
              </w:rPr>
              <w:t>in total in 2013 opposed to the previous years</w:t>
            </w:r>
            <w:r>
              <w:rPr>
                <w:lang w:val="en-GB"/>
              </w:rPr>
              <w:t>.</w:t>
            </w:r>
            <w:r w:rsidRPr="00CE46F6">
              <w:rPr>
                <w:lang w:val="en-GB"/>
              </w:rPr>
              <w:t xml:space="preserve"> The production of activities focused predominantly on the manufacture of intermediate products </w:t>
            </w:r>
            <w:r>
              <w:rPr>
                <w:lang w:val="en-GB"/>
              </w:rPr>
              <w:t xml:space="preserve">increased the most </w:t>
            </w:r>
            <w:r w:rsidRPr="00CE46F6">
              <w:rPr>
                <w:lang w:val="en-GB"/>
              </w:rPr>
              <w:t xml:space="preserve">(+2.0 %), e.g. manufacture of rubber products, basic metals or electrical appliances. Mild decreases from the previous two years deepened (-4 %) </w:t>
            </w:r>
            <w:r>
              <w:rPr>
                <w:lang w:val="en-GB"/>
              </w:rPr>
              <w:t xml:space="preserve">in </w:t>
            </w:r>
            <w:r w:rsidRPr="00CE46F6">
              <w:rPr>
                <w:lang w:val="en-GB"/>
              </w:rPr>
              <w:t>the branches focused on manufacture of energies</w:t>
            </w:r>
            <w:r>
              <w:rPr>
                <w:lang w:val="en-GB"/>
              </w:rPr>
              <w:t xml:space="preserve"> </w:t>
            </w:r>
            <w:r w:rsidRPr="00CE46F6">
              <w:rPr>
                <w:lang w:val="en-GB"/>
              </w:rPr>
              <w:t>in 2013.</w:t>
            </w:r>
          </w:p>
          <w:p w:rsidR="00216395" w:rsidRPr="00CE46F6" w:rsidRDefault="00216395" w:rsidP="002336B2">
            <w:pPr>
              <w:jc w:val="left"/>
              <w:rPr>
                <w:spacing w:val="-4"/>
                <w:sz w:val="12"/>
                <w:szCs w:val="12"/>
                <w:lang w:val="en-GB"/>
              </w:rPr>
            </w:pPr>
          </w:p>
        </w:tc>
      </w:tr>
      <w:tr w:rsidR="00216395" w:rsidRPr="00CE46F6" w:rsidTr="002336B2">
        <w:trPr>
          <w:cantSplit/>
          <w:trHeight w:val="852"/>
        </w:trPr>
        <w:tc>
          <w:tcPr>
            <w:tcW w:w="1091" w:type="pct"/>
          </w:tcPr>
          <w:p w:rsidR="00216395" w:rsidRPr="00CE46F6" w:rsidRDefault="00216395" w:rsidP="002336B2">
            <w:pPr>
              <w:jc w:val="left"/>
              <w:rPr>
                <w:sz w:val="16"/>
                <w:szCs w:val="16"/>
                <w:lang w:val="en-GB"/>
              </w:rPr>
            </w:pPr>
            <w:r w:rsidRPr="00CE46F6">
              <w:rPr>
                <w:sz w:val="16"/>
                <w:szCs w:val="16"/>
                <w:lang w:val="en-GB"/>
              </w:rPr>
              <w:t>In H2 2013 record value of new foreign orders in manufacture of transport vehicles, but also a notable revival of domestic demand in key manufacturing activities</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Cs w:val="16"/>
                <w:lang w:val="en-GB"/>
              </w:rPr>
            </w:pPr>
          </w:p>
        </w:tc>
        <w:tc>
          <w:tcPr>
            <w:tcW w:w="146" w:type="pct"/>
          </w:tcPr>
          <w:p w:rsidR="00216395" w:rsidRPr="00CE46F6" w:rsidRDefault="00216395" w:rsidP="002336B2">
            <w:pPr>
              <w:jc w:val="left"/>
              <w:rPr>
                <w:szCs w:val="16"/>
                <w:lang w:val="en-GB"/>
              </w:rPr>
            </w:pPr>
          </w:p>
        </w:tc>
        <w:tc>
          <w:tcPr>
            <w:tcW w:w="3763" w:type="pct"/>
          </w:tcPr>
          <w:p w:rsidR="00216395" w:rsidRPr="00CE46F6" w:rsidRDefault="00216395" w:rsidP="002336B2">
            <w:pPr>
              <w:pStyle w:val="Textbubliny"/>
              <w:rPr>
                <w:rFonts w:ascii="Arial" w:hAnsi="Arial"/>
                <w:sz w:val="20"/>
                <w:szCs w:val="24"/>
                <w:lang w:val="en-GB"/>
              </w:rPr>
            </w:pPr>
            <w:r w:rsidRPr="00CE46F6">
              <w:rPr>
                <w:rFonts w:ascii="Arial" w:hAnsi="Arial"/>
                <w:sz w:val="20"/>
                <w:szCs w:val="24"/>
                <w:lang w:val="en-GB"/>
              </w:rPr>
              <w:t>Important point of turn in the demand for industrial products is evident from the sharp growth of nominal value of foreign orders</w:t>
            </w:r>
            <w:r>
              <w:rPr>
                <w:rFonts w:ascii="Arial" w:hAnsi="Arial"/>
                <w:sz w:val="20"/>
                <w:szCs w:val="24"/>
                <w:lang w:val="en-GB"/>
              </w:rPr>
              <w:t xml:space="preserve"> </w:t>
            </w:r>
            <w:r w:rsidRPr="00CE46F6">
              <w:rPr>
                <w:rFonts w:ascii="Arial" w:hAnsi="Arial"/>
                <w:sz w:val="20"/>
                <w:szCs w:val="24"/>
                <w:lang w:val="en-GB"/>
              </w:rPr>
              <w:t xml:space="preserve">during the year 2013. This value increased year-on-year for motor vehicles as well as other transportation vehicles (manufacture of railway locomotives and rolling stock) by whole one third in the second half of the year and reached the highest rate of growth for the last decade. After five quarters of stagnation the manufacturing of machinery and equipment </w:t>
            </w:r>
            <w:r>
              <w:rPr>
                <w:rFonts w:ascii="Arial" w:hAnsi="Arial"/>
                <w:sz w:val="20"/>
                <w:szCs w:val="24"/>
                <w:lang w:val="en-GB"/>
              </w:rPr>
              <w:t xml:space="preserve">also fared well </w:t>
            </w:r>
            <w:r w:rsidRPr="00CE46F6">
              <w:rPr>
                <w:rFonts w:ascii="Arial" w:hAnsi="Arial"/>
                <w:sz w:val="20"/>
                <w:szCs w:val="24"/>
                <w:lang w:val="en-GB"/>
              </w:rPr>
              <w:t xml:space="preserve">(H2 +11 %), </w:t>
            </w:r>
            <w:r>
              <w:rPr>
                <w:rFonts w:ascii="Arial" w:hAnsi="Arial"/>
                <w:sz w:val="20"/>
                <w:szCs w:val="24"/>
                <w:lang w:val="en-GB"/>
              </w:rPr>
              <w:t xml:space="preserve">as well as the </w:t>
            </w:r>
            <w:r w:rsidRPr="00CE46F6">
              <w:rPr>
                <w:rFonts w:ascii="Arial" w:hAnsi="Arial"/>
                <w:sz w:val="20"/>
                <w:szCs w:val="24"/>
                <w:lang w:val="en-GB"/>
              </w:rPr>
              <w:t>metallic constructions (+17</w:t>
            </w:r>
            <w:r>
              <w:t> </w:t>
            </w:r>
            <w:r w:rsidRPr="00CE46F6">
              <w:rPr>
                <w:rFonts w:ascii="Arial" w:hAnsi="Arial"/>
                <w:sz w:val="20"/>
                <w:szCs w:val="24"/>
                <w:lang w:val="en-GB"/>
              </w:rPr>
              <w:t xml:space="preserve">%), where the foreign demand have grown already 16 months in a row. Branches mentioned above </w:t>
            </w:r>
            <w:r>
              <w:rPr>
                <w:rFonts w:ascii="Arial" w:hAnsi="Arial"/>
                <w:sz w:val="20"/>
                <w:szCs w:val="24"/>
                <w:lang w:val="en-GB"/>
              </w:rPr>
              <w:t xml:space="preserve">also </w:t>
            </w:r>
            <w:r w:rsidRPr="00CE46F6">
              <w:rPr>
                <w:rFonts w:ascii="Arial" w:hAnsi="Arial"/>
                <w:sz w:val="20"/>
                <w:szCs w:val="24"/>
                <w:lang w:val="en-GB"/>
              </w:rPr>
              <w:t>revived also due to the growth of the domestic demand at the same time (+15 % for manufacturers of motor vehicles), which also proves the strong interconnectedness of subcontractor relations.</w:t>
            </w:r>
          </w:p>
          <w:p w:rsidR="00216395" w:rsidRPr="00CE46F6" w:rsidRDefault="00216395" w:rsidP="002336B2">
            <w:pPr>
              <w:pStyle w:val="Textbubliny"/>
              <w:rPr>
                <w:rFonts w:ascii="Arial" w:hAnsi="Arial"/>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r w:rsidRPr="00CE46F6">
              <w:rPr>
                <w:sz w:val="16"/>
                <w:szCs w:val="16"/>
                <w:lang w:val="en-GB"/>
              </w:rPr>
              <w:t>Long-term trend of faster dynamics of sales on direct exports continued</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bubliny"/>
              <w:rPr>
                <w:rFonts w:ascii="Arial" w:hAnsi="Arial"/>
                <w:sz w:val="20"/>
                <w:lang w:val="en-GB"/>
              </w:rPr>
            </w:pPr>
            <w:r w:rsidRPr="00CE46F6">
              <w:rPr>
                <w:rFonts w:ascii="Arial" w:hAnsi="Arial"/>
                <w:sz w:val="20"/>
                <w:lang w:val="en-GB"/>
              </w:rPr>
              <w:t xml:space="preserve">In total for 2013 only the manufacturers of </w:t>
            </w:r>
            <w:proofErr w:type="gramStart"/>
            <w:r w:rsidRPr="00CE46F6">
              <w:rPr>
                <w:rFonts w:ascii="Arial" w:hAnsi="Arial"/>
                <w:sz w:val="20"/>
                <w:lang w:val="en-GB"/>
              </w:rPr>
              <w:t>computers,</w:t>
            </w:r>
            <w:proofErr w:type="gramEnd"/>
            <w:r w:rsidRPr="00CE46F6">
              <w:rPr>
                <w:rFonts w:ascii="Arial" w:hAnsi="Arial"/>
                <w:sz w:val="20"/>
                <w:lang w:val="en-GB"/>
              </w:rPr>
              <w:t xml:space="preserve"> electronic and optical appliances</w:t>
            </w:r>
            <w:r>
              <w:rPr>
                <w:rFonts w:ascii="Arial" w:hAnsi="Arial"/>
                <w:sz w:val="20"/>
                <w:lang w:val="en-GB"/>
              </w:rPr>
              <w:t xml:space="preserve"> </w:t>
            </w:r>
            <w:r w:rsidRPr="00CE46F6">
              <w:rPr>
                <w:rFonts w:ascii="Arial" w:hAnsi="Arial"/>
                <w:sz w:val="20"/>
                <w:lang w:val="en-GB"/>
              </w:rPr>
              <w:t xml:space="preserve">faced the falling demand to a larger extent. </w:t>
            </w:r>
            <w:r>
              <w:rPr>
                <w:rFonts w:ascii="Arial" w:hAnsi="Arial"/>
                <w:sz w:val="20"/>
                <w:lang w:val="en-GB"/>
              </w:rPr>
              <w:t>T</w:t>
            </w:r>
            <w:r w:rsidRPr="00CE46F6">
              <w:rPr>
                <w:rFonts w:ascii="Arial" w:hAnsi="Arial"/>
                <w:sz w:val="20"/>
                <w:lang w:val="en-GB"/>
              </w:rPr>
              <w:t>he long-term growth of new foreign orders compensates the larger fluctuations of the domestic demand</w:t>
            </w:r>
            <w:r>
              <w:rPr>
                <w:rFonts w:ascii="Arial" w:hAnsi="Arial"/>
                <w:sz w:val="20"/>
                <w:lang w:val="en-GB"/>
              </w:rPr>
              <w:t xml:space="preserve"> i</w:t>
            </w:r>
            <w:r w:rsidRPr="00CE46F6">
              <w:rPr>
                <w:rFonts w:ascii="Arial" w:hAnsi="Arial"/>
                <w:sz w:val="20"/>
                <w:lang w:val="en-GB"/>
              </w:rPr>
              <w:t xml:space="preserve">n the textile and pharmaceutical industry. The advance of the dynamics of the value of new orders from abroad over the domestic orders represents for the CR industry a long-term phenomenon, which is also apparent from the development of nominal sales. These in 2013 for the direct exports accelerated the year-on-year growth to 5.1 % (from last year's +2.9 %), while the domestic sales </w:t>
            </w:r>
            <w:r>
              <w:rPr>
                <w:rFonts w:ascii="Arial" w:hAnsi="Arial"/>
                <w:sz w:val="20"/>
                <w:lang w:val="en-GB"/>
              </w:rPr>
              <w:t xml:space="preserve">fell </w:t>
            </w:r>
            <w:r w:rsidRPr="00CE46F6">
              <w:rPr>
                <w:rFonts w:ascii="Arial" w:hAnsi="Arial"/>
                <w:sz w:val="20"/>
                <w:lang w:val="en-GB"/>
              </w:rPr>
              <w:t>by 2.3 % (after last year's stagnation).</w:t>
            </w:r>
          </w:p>
          <w:p w:rsidR="00216395" w:rsidRPr="00CE46F6" w:rsidRDefault="00216395" w:rsidP="002336B2">
            <w:pPr>
              <w:pStyle w:val="Textbubliny"/>
              <w:rPr>
                <w:rFonts w:ascii="Arial" w:hAnsi="Arial"/>
                <w:sz w:val="12"/>
                <w:szCs w:val="12"/>
                <w:lang w:val="en-GB"/>
              </w:rPr>
            </w:pPr>
          </w:p>
        </w:tc>
      </w:tr>
      <w:tr w:rsidR="00216395" w:rsidRPr="00CE46F6" w:rsidTr="002336B2">
        <w:trPr>
          <w:cantSplit/>
          <w:trHeight w:val="110"/>
        </w:trPr>
        <w:tc>
          <w:tcPr>
            <w:tcW w:w="1091" w:type="pct"/>
          </w:tcPr>
          <w:p w:rsidR="00216395" w:rsidRPr="00CE46F6" w:rsidRDefault="00216395" w:rsidP="002336B2">
            <w:pPr>
              <w:jc w:val="left"/>
              <w:rPr>
                <w:sz w:val="16"/>
                <w:szCs w:val="16"/>
                <w:lang w:val="en-GB"/>
              </w:rPr>
            </w:pPr>
            <w:r w:rsidRPr="00CE46F6">
              <w:rPr>
                <w:sz w:val="16"/>
                <w:szCs w:val="16"/>
                <w:lang w:val="en-GB"/>
              </w:rPr>
              <w:t>CR belonged to one third of the EU countries with the fastest growth of industrial production</w:t>
            </w:r>
            <w:r>
              <w:rPr>
                <w:sz w:val="16"/>
                <w:szCs w:val="16"/>
                <w:lang w:val="en-GB"/>
              </w:rPr>
              <w:t xml:space="preserve"> in 2013</w:t>
            </w:r>
          </w:p>
        </w:tc>
        <w:tc>
          <w:tcPr>
            <w:tcW w:w="146" w:type="pct"/>
          </w:tcPr>
          <w:p w:rsidR="00216395" w:rsidRPr="00CE46F6" w:rsidRDefault="00216395" w:rsidP="002336B2">
            <w:pPr>
              <w:jc w:val="left"/>
              <w:rPr>
                <w:sz w:val="16"/>
                <w:szCs w:val="16"/>
                <w:lang w:val="en-GB"/>
              </w:rPr>
            </w:pPr>
          </w:p>
        </w:tc>
        <w:tc>
          <w:tcPr>
            <w:tcW w:w="3763" w:type="pct"/>
          </w:tcPr>
          <w:p w:rsidR="00216395" w:rsidRPr="00CE46F6" w:rsidRDefault="00216395" w:rsidP="002336B2">
            <w:pPr>
              <w:rPr>
                <w:spacing w:val="-4"/>
                <w:szCs w:val="20"/>
                <w:lang w:val="en-GB"/>
              </w:rPr>
            </w:pPr>
            <w:r w:rsidRPr="00CE46F6">
              <w:rPr>
                <w:spacing w:val="-4"/>
                <w:szCs w:val="20"/>
                <w:lang w:val="en-GB"/>
              </w:rPr>
              <w:t>Real value of industrial production in the CR was even in spite of a slight growth (+0.7</w:t>
            </w:r>
            <w:r>
              <w:t> </w:t>
            </w:r>
            <w:r w:rsidRPr="00CE46F6">
              <w:rPr>
                <w:spacing w:val="-4"/>
                <w:szCs w:val="20"/>
                <w:lang w:val="en-GB"/>
              </w:rPr>
              <w:t>%) the eight highest in the EU28</w:t>
            </w:r>
            <w:r>
              <w:rPr>
                <w:spacing w:val="-4"/>
                <w:szCs w:val="20"/>
                <w:lang w:val="en-GB"/>
              </w:rPr>
              <w:t xml:space="preserve"> </w:t>
            </w:r>
            <w:r w:rsidRPr="00CE46F6">
              <w:rPr>
                <w:spacing w:val="-4"/>
                <w:szCs w:val="20"/>
                <w:lang w:val="en-GB"/>
              </w:rPr>
              <w:t xml:space="preserve">in 2013. We can find higher year-on-year dynamics in the newer countries of the Union, next to Romania (+7.3 %) also in Poland (+5.2 %) and Slovakia (+2.4 %), </w:t>
            </w:r>
            <w:r>
              <w:rPr>
                <w:spacing w:val="-4"/>
                <w:szCs w:val="20"/>
                <w:lang w:val="en-GB"/>
              </w:rPr>
              <w:t xml:space="preserve">it stagnated </w:t>
            </w:r>
            <w:r w:rsidRPr="00CE46F6">
              <w:rPr>
                <w:spacing w:val="-4"/>
                <w:szCs w:val="20"/>
                <w:lang w:val="en-GB"/>
              </w:rPr>
              <w:t>in Austria and Germany</w:t>
            </w:r>
            <w:r>
              <w:rPr>
                <w:spacing w:val="-4"/>
                <w:szCs w:val="20"/>
                <w:lang w:val="en-GB"/>
              </w:rPr>
              <w:t>,</w:t>
            </w:r>
            <w:r w:rsidRPr="00CE46F6">
              <w:rPr>
                <w:spacing w:val="-4"/>
                <w:szCs w:val="20"/>
                <w:lang w:val="en-GB"/>
              </w:rPr>
              <w:t xml:space="preserve"> weakened by 0.5 %</w:t>
            </w:r>
            <w:r>
              <w:rPr>
                <w:spacing w:val="-4"/>
                <w:szCs w:val="20"/>
                <w:lang w:val="en-GB"/>
              </w:rPr>
              <w:t xml:space="preserve"> </w:t>
            </w:r>
            <w:r w:rsidRPr="00CE46F6">
              <w:rPr>
                <w:spacing w:val="-4"/>
                <w:szCs w:val="20"/>
                <w:lang w:val="en-GB"/>
              </w:rPr>
              <w:t>in the whole EU. Compared to year 2007 the industry in Slovakia and Poland strengthened the most (by one quarter, resp. one fifth), it was lower by 3</w:t>
            </w:r>
            <w:r>
              <w:t> </w:t>
            </w:r>
            <w:r w:rsidRPr="00CE46F6">
              <w:rPr>
                <w:spacing w:val="-4"/>
                <w:szCs w:val="20"/>
                <w:lang w:val="en-GB"/>
              </w:rPr>
              <w:t>%</w:t>
            </w:r>
            <w:r>
              <w:rPr>
                <w:spacing w:val="-4"/>
                <w:szCs w:val="20"/>
                <w:lang w:val="en-GB"/>
              </w:rPr>
              <w:t xml:space="preserve"> </w:t>
            </w:r>
            <w:r w:rsidRPr="00CE46F6">
              <w:rPr>
                <w:spacing w:val="-4"/>
                <w:szCs w:val="20"/>
                <w:lang w:val="en-GB"/>
              </w:rPr>
              <w:t>in the CR and it stagnated</w:t>
            </w:r>
            <w:r>
              <w:rPr>
                <w:spacing w:val="-4"/>
                <w:szCs w:val="20"/>
                <w:lang w:val="en-GB"/>
              </w:rPr>
              <w:t xml:space="preserve"> </w:t>
            </w:r>
            <w:r w:rsidRPr="00CE46F6">
              <w:rPr>
                <w:spacing w:val="-4"/>
                <w:szCs w:val="20"/>
                <w:lang w:val="en-GB"/>
              </w:rPr>
              <w:t>in Germany. It was lower by one tenth</w:t>
            </w:r>
            <w:r>
              <w:rPr>
                <w:spacing w:val="-4"/>
                <w:szCs w:val="20"/>
                <w:lang w:val="en-GB"/>
              </w:rPr>
              <w:t xml:space="preserve"> in the whole EU</w:t>
            </w:r>
            <w:r w:rsidRPr="00CE46F6">
              <w:rPr>
                <w:spacing w:val="-4"/>
                <w:szCs w:val="20"/>
                <w:lang w:val="en-GB"/>
              </w:rPr>
              <w:t>, mostly because of South European countries – it fell by one quarter</w:t>
            </w:r>
            <w:r>
              <w:rPr>
                <w:spacing w:val="-4"/>
                <w:szCs w:val="20"/>
                <w:lang w:val="en-GB"/>
              </w:rPr>
              <w:t xml:space="preserve"> in Italy</w:t>
            </w:r>
            <w:r w:rsidRPr="00CE46F6">
              <w:rPr>
                <w:spacing w:val="-4"/>
                <w:szCs w:val="20"/>
                <w:lang w:val="en-GB"/>
              </w:rPr>
              <w:t>, nearly by one third</w:t>
            </w:r>
            <w:r>
              <w:rPr>
                <w:spacing w:val="-4"/>
                <w:szCs w:val="20"/>
                <w:lang w:val="en-GB"/>
              </w:rPr>
              <w:t xml:space="preserve"> </w:t>
            </w:r>
            <w:r w:rsidRPr="00CE46F6">
              <w:rPr>
                <w:spacing w:val="-4"/>
                <w:szCs w:val="20"/>
                <w:lang w:val="en-GB"/>
              </w:rPr>
              <w:t xml:space="preserve">in Greece and Spain. </w:t>
            </w:r>
          </w:p>
          <w:p w:rsidR="00216395" w:rsidRPr="00CE46F6" w:rsidRDefault="00216395" w:rsidP="002336B2">
            <w:pPr>
              <w:rPr>
                <w:spacing w:val="-4"/>
                <w:sz w:val="12"/>
                <w:szCs w:val="12"/>
                <w:lang w:val="en-GB"/>
              </w:rPr>
            </w:pPr>
          </w:p>
        </w:tc>
      </w:tr>
      <w:tr w:rsidR="00216395" w:rsidRPr="00CE46F6" w:rsidTr="002336B2">
        <w:tc>
          <w:tcPr>
            <w:tcW w:w="1091" w:type="pct"/>
          </w:tcPr>
          <w:p w:rsidR="00216395" w:rsidRPr="00CE46F6" w:rsidRDefault="00216395" w:rsidP="002336B2">
            <w:pPr>
              <w:jc w:val="left"/>
              <w:rPr>
                <w:spacing w:val="-2"/>
                <w:sz w:val="16"/>
                <w:szCs w:val="16"/>
                <w:lang w:val="en-GB"/>
              </w:rPr>
            </w:pPr>
            <w:r w:rsidRPr="00CE46F6">
              <w:rPr>
                <w:spacing w:val="-2"/>
                <w:sz w:val="16"/>
                <w:szCs w:val="16"/>
                <w:lang w:val="en-GB"/>
              </w:rPr>
              <w:t xml:space="preserve">Deep downswings of production </w:t>
            </w:r>
            <w:r>
              <w:rPr>
                <w:spacing w:val="-2"/>
                <w:sz w:val="16"/>
                <w:szCs w:val="16"/>
                <w:lang w:val="en-GB"/>
              </w:rPr>
              <w:t xml:space="preserve">also continued </w:t>
            </w:r>
            <w:r w:rsidRPr="00CE46F6">
              <w:rPr>
                <w:spacing w:val="-2"/>
                <w:sz w:val="16"/>
                <w:szCs w:val="16"/>
                <w:lang w:val="en-GB"/>
              </w:rPr>
              <w:t>in both building construction and civil engineering construct</w:t>
            </w:r>
            <w:r>
              <w:rPr>
                <w:spacing w:val="-2"/>
                <w:sz w:val="16"/>
                <w:szCs w:val="16"/>
                <w:lang w:val="en-GB"/>
              </w:rPr>
              <w:t>ion to the lowest level in the l</w:t>
            </w:r>
            <w:r w:rsidRPr="00CE46F6">
              <w:rPr>
                <w:spacing w:val="-2"/>
                <w:sz w:val="16"/>
                <w:szCs w:val="16"/>
                <w:lang w:val="en-GB"/>
              </w:rPr>
              <w:t>ast decade</w:t>
            </w:r>
            <w:r>
              <w:rPr>
                <w:spacing w:val="-2"/>
                <w:sz w:val="16"/>
                <w:szCs w:val="16"/>
                <w:lang w:val="en-GB"/>
              </w:rPr>
              <w:t xml:space="preserve"> in 2013</w:t>
            </w:r>
          </w:p>
          <w:p w:rsidR="00216395" w:rsidRPr="00CE46F6" w:rsidRDefault="00216395" w:rsidP="002336B2">
            <w:pPr>
              <w:jc w:val="left"/>
              <w:rPr>
                <w:sz w:val="16"/>
                <w:szCs w:val="16"/>
                <w:lang w:val="en-GB"/>
              </w:rPr>
            </w:pPr>
          </w:p>
        </w:tc>
        <w:tc>
          <w:tcPr>
            <w:tcW w:w="146" w:type="pct"/>
          </w:tcPr>
          <w:p w:rsidR="00216395" w:rsidRPr="00CE46F6" w:rsidRDefault="00216395" w:rsidP="002336B2">
            <w:pPr>
              <w:jc w:val="left"/>
              <w:rPr>
                <w:sz w:val="16"/>
                <w:szCs w:val="16"/>
                <w:lang w:val="en-GB"/>
              </w:rPr>
            </w:pPr>
          </w:p>
        </w:tc>
        <w:tc>
          <w:tcPr>
            <w:tcW w:w="3763" w:type="pct"/>
          </w:tcPr>
          <w:p w:rsidR="00216395" w:rsidRPr="00CE46F6" w:rsidRDefault="00216395" w:rsidP="002336B2">
            <w:pPr>
              <w:rPr>
                <w:spacing w:val="-4"/>
                <w:lang w:val="en-GB"/>
              </w:rPr>
            </w:pPr>
            <w:r w:rsidRPr="00CE46F6">
              <w:rPr>
                <w:spacing w:val="-4"/>
                <w:lang w:val="en-GB"/>
              </w:rPr>
              <w:t xml:space="preserve">Adverse tendencies in the construction prevailed as a result of long-term fall of investment activities in the economy also in year 2013. Construction production year-on-year dropped by 6.7 % in real terms (comparable rate of fall as in 2012), without larger differences between (more significant by weight) building construction (-5.6 %) and civil engineering construction (-9.3 %). Yearly development was affected by deep falls of production in H1 (in both quarters it was year-on-year by near one eight lower). On the contrary in H2 the revival of new orders in the civil engineering construction as well as the favourable climatic conditions </w:t>
            </w:r>
            <w:r>
              <w:rPr>
                <w:spacing w:val="-4"/>
                <w:lang w:val="en-GB"/>
              </w:rPr>
              <w:t xml:space="preserve">helped </w:t>
            </w:r>
            <w:r w:rsidRPr="00CE46F6">
              <w:rPr>
                <w:spacing w:val="-4"/>
                <w:lang w:val="en-GB"/>
              </w:rPr>
              <w:t>and the production in the whole construction did not fall quarter-on-quarter anymore.</w:t>
            </w:r>
          </w:p>
          <w:p w:rsidR="00216395" w:rsidRPr="00CE46F6" w:rsidRDefault="00216395" w:rsidP="002336B2">
            <w:pPr>
              <w:jc w:val="left"/>
              <w:rPr>
                <w:spacing w:val="-4"/>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spacing w:val="-4"/>
                <w:lang w:val="en-GB"/>
              </w:rPr>
            </w:pPr>
            <w:r w:rsidRPr="00CE46F6">
              <w:rPr>
                <w:rFonts w:cs="Arial"/>
                <w:spacing w:val="-4"/>
                <w:szCs w:val="16"/>
                <w:lang w:val="en-GB"/>
              </w:rPr>
              <w:t xml:space="preserve">Gauged year-on-year however, the construction production has been falling already seventeen quarters in a row </w:t>
            </w:r>
            <w:r w:rsidRPr="00CE46F6">
              <w:rPr>
                <w:spacing w:val="-4"/>
                <w:lang w:val="en-GB"/>
              </w:rPr>
              <w:t xml:space="preserve">(if we do not take into account the Q1 2011, when the </w:t>
            </w:r>
            <w:r w:rsidRPr="00CE46F6">
              <w:rPr>
                <w:spacing w:val="-4"/>
                <w:lang w:val="en-GB"/>
              </w:rPr>
              <w:lastRenderedPageBreak/>
              <w:t>mild growth of production was the result of very low comparative basis of the preceding year). The whole year</w:t>
            </w:r>
            <w:r>
              <w:rPr>
                <w:spacing w:val="-4"/>
                <w:lang w:val="en-GB"/>
              </w:rPr>
              <w:t xml:space="preserve"> growth in production was last recorded in 2007. The current</w:t>
            </w:r>
            <w:r w:rsidRPr="00CE46F6">
              <w:rPr>
                <w:spacing w:val="-4"/>
                <w:lang w:val="en-GB"/>
              </w:rPr>
              <w:t xml:space="preserve"> year´s performance of construction corresponded to the level in real terms of year </w:t>
            </w:r>
            <w:proofErr w:type="gramStart"/>
            <w:r w:rsidRPr="00CE46F6">
              <w:rPr>
                <w:spacing w:val="-4"/>
                <w:lang w:val="en-GB"/>
              </w:rPr>
              <w:t>2003,</w:t>
            </w:r>
            <w:proofErr w:type="gramEnd"/>
            <w:r w:rsidRPr="00CE46F6">
              <w:rPr>
                <w:spacing w:val="-4"/>
                <w:lang w:val="en-GB"/>
              </w:rPr>
              <w:t xml:space="preserve"> it was lower by 27 %</w:t>
            </w:r>
            <w:r>
              <w:rPr>
                <w:spacing w:val="-4"/>
                <w:lang w:val="en-GB"/>
              </w:rPr>
              <w:t xml:space="preserve"> </w:t>
            </w:r>
            <w:r w:rsidRPr="00CE46F6">
              <w:rPr>
                <w:spacing w:val="-4"/>
                <w:lang w:val="en-GB"/>
              </w:rPr>
              <w:t xml:space="preserve">against the boom year (2007) (in building construction), resp. by 14 % (in civil engineering construction). </w:t>
            </w:r>
          </w:p>
          <w:p w:rsidR="00216395" w:rsidRPr="00CE46F6" w:rsidRDefault="00216395" w:rsidP="002336B2">
            <w:pPr>
              <w:pStyle w:val="Textpoznpodarou"/>
              <w:jc w:val="both"/>
              <w:rPr>
                <w:spacing w:val="-4"/>
                <w:sz w:val="12"/>
                <w:szCs w:val="12"/>
                <w:lang w:val="en-GB"/>
              </w:rPr>
            </w:pPr>
          </w:p>
        </w:tc>
      </w:tr>
      <w:tr w:rsidR="00216395" w:rsidRPr="00CE46F6" w:rsidTr="002336B2">
        <w:tc>
          <w:tcPr>
            <w:tcW w:w="1091" w:type="pct"/>
          </w:tcPr>
          <w:p w:rsidR="00216395" w:rsidRPr="00CE46F6" w:rsidRDefault="00216395" w:rsidP="002336B2">
            <w:pPr>
              <w:jc w:val="left"/>
              <w:rPr>
                <w:spacing w:val="-2"/>
                <w:sz w:val="16"/>
                <w:szCs w:val="16"/>
                <w:lang w:val="en-GB"/>
              </w:rPr>
            </w:pPr>
            <w:r w:rsidRPr="00CE46F6">
              <w:rPr>
                <w:sz w:val="16"/>
                <w:szCs w:val="16"/>
                <w:lang w:val="en-GB"/>
              </w:rPr>
              <w:lastRenderedPageBreak/>
              <w:t>Lasting low investment activity in the economy pushes the value of new orders to historical lows</w:t>
            </w: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spacing w:val="-4"/>
                <w:lang w:val="en-GB"/>
              </w:rPr>
            </w:pPr>
            <w:r>
              <w:rPr>
                <w:spacing w:val="-4"/>
                <w:lang w:val="en-GB"/>
              </w:rPr>
              <w:t>T</w:t>
            </w:r>
            <w:r w:rsidRPr="00CE46F6">
              <w:rPr>
                <w:spacing w:val="-4"/>
                <w:lang w:val="en-GB"/>
              </w:rPr>
              <w:t>he value of new construction orders (for businesses with 50 and more employees)</w:t>
            </w:r>
            <w:r>
              <w:rPr>
                <w:spacing w:val="-4"/>
                <w:lang w:val="en-GB"/>
              </w:rPr>
              <w:t xml:space="preserve"> remained </w:t>
            </w:r>
            <w:r w:rsidRPr="00CE46F6">
              <w:rPr>
                <w:spacing w:val="-4"/>
                <w:lang w:val="en-GB"/>
              </w:rPr>
              <w:t>practically on the last year´s (historically the lowest) level</w:t>
            </w:r>
            <w:r>
              <w:rPr>
                <w:spacing w:val="-4"/>
                <w:lang w:val="en-GB"/>
              </w:rPr>
              <w:t xml:space="preserve"> m</w:t>
            </w:r>
            <w:r w:rsidRPr="00CE46F6">
              <w:rPr>
                <w:spacing w:val="-4"/>
                <w:lang w:val="en-GB"/>
              </w:rPr>
              <w:t>ainly because of continued downturn of building construction</w:t>
            </w:r>
            <w:r>
              <w:rPr>
                <w:spacing w:val="-4"/>
                <w:lang w:val="en-GB"/>
              </w:rPr>
              <w:t xml:space="preserve"> in 2013</w:t>
            </w:r>
            <w:r w:rsidRPr="00CE46F6">
              <w:rPr>
                <w:spacing w:val="-4"/>
                <w:lang w:val="en-GB"/>
              </w:rPr>
              <w:t xml:space="preserve">. </w:t>
            </w:r>
            <w:r>
              <w:rPr>
                <w:spacing w:val="-4"/>
                <w:lang w:val="en-GB"/>
              </w:rPr>
              <w:t>The new orders i</w:t>
            </w:r>
            <w:r w:rsidRPr="00CE46F6">
              <w:rPr>
                <w:spacing w:val="-4"/>
                <w:lang w:val="en-GB"/>
              </w:rPr>
              <w:t>n the civil engineering construction did increase year-on-year by one sixth, nevertheless their nominal value was still the third lowest for the last decade. The value of new orders decreased nearly by one half</w:t>
            </w:r>
            <w:r>
              <w:rPr>
                <w:spacing w:val="-4"/>
                <w:lang w:val="en-GB"/>
              </w:rPr>
              <w:t xml:space="preserve"> </w:t>
            </w:r>
            <w:r w:rsidRPr="00CE46F6">
              <w:rPr>
                <w:spacing w:val="-4"/>
                <w:lang w:val="en-GB"/>
              </w:rPr>
              <w:t xml:space="preserve">in five years (for building constructions), resp. by near 40 % (for civil engineering constructions). </w:t>
            </w:r>
            <w:r>
              <w:rPr>
                <w:spacing w:val="-4"/>
                <w:lang w:val="en-GB"/>
              </w:rPr>
              <w:t>The average value of newly closed order still displays a s</w:t>
            </w:r>
            <w:r w:rsidRPr="00CE46F6">
              <w:rPr>
                <w:spacing w:val="-4"/>
                <w:lang w:val="en-GB"/>
              </w:rPr>
              <w:t>low rate of fall</w:t>
            </w:r>
            <w:r>
              <w:rPr>
                <w:spacing w:val="-4"/>
                <w:lang w:val="en-GB"/>
              </w:rPr>
              <w:t xml:space="preserve"> </w:t>
            </w:r>
            <w:r w:rsidRPr="00CE46F6">
              <w:rPr>
                <w:spacing w:val="-4"/>
                <w:lang w:val="en-GB"/>
              </w:rPr>
              <w:t xml:space="preserve">(in 2013 it amounted to 3.6 mil crowns) as well as the approximate value of one issued construction permit (mostly for non-housing constructions). </w:t>
            </w:r>
          </w:p>
          <w:p w:rsidR="00216395" w:rsidRPr="00CE46F6" w:rsidRDefault="00216395" w:rsidP="002336B2">
            <w:pPr>
              <w:pStyle w:val="Textpoznpodarou"/>
              <w:jc w:val="both"/>
              <w:rPr>
                <w:spacing w:val="-4"/>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r w:rsidRPr="00CE46F6">
              <w:rPr>
                <w:sz w:val="16"/>
                <w:szCs w:val="16"/>
                <w:lang w:val="en-GB"/>
              </w:rPr>
              <w:t>The average size of orders keeps declining, as well as their total stock negatively marked mostly by the lack of large public orders</w:t>
            </w:r>
          </w:p>
        </w:tc>
        <w:tc>
          <w:tcPr>
            <w:tcW w:w="146" w:type="pct"/>
          </w:tcPr>
          <w:p w:rsidR="00216395" w:rsidRPr="00CE46F6" w:rsidRDefault="00216395" w:rsidP="002336B2">
            <w:pPr>
              <w:pStyle w:val="Textpoznpodarou"/>
              <w:jc w:val="both"/>
              <w:rPr>
                <w:lang w:val="en-GB"/>
              </w:rPr>
            </w:pPr>
          </w:p>
        </w:tc>
        <w:tc>
          <w:tcPr>
            <w:tcW w:w="3763" w:type="pct"/>
          </w:tcPr>
          <w:p w:rsidR="00216395" w:rsidRPr="006F7D89" w:rsidRDefault="00216395" w:rsidP="002336B2">
            <w:pPr>
              <w:pStyle w:val="Textpoznpodarou"/>
              <w:jc w:val="both"/>
              <w:rPr>
                <w:spacing w:val="-2"/>
                <w:lang w:val="en-GB"/>
              </w:rPr>
            </w:pPr>
            <w:r w:rsidRPr="006F7D89">
              <w:rPr>
                <w:rFonts w:cs="Arial"/>
                <w:spacing w:val="-2"/>
                <w:lang w:val="en-GB"/>
              </w:rPr>
              <w:t xml:space="preserve">Lack of new orders towards the end of 2013 transferred also to a low value of all construction orders (141 </w:t>
            </w:r>
            <w:proofErr w:type="spellStart"/>
            <w:r w:rsidRPr="006F7D89">
              <w:rPr>
                <w:rFonts w:cs="Arial"/>
                <w:spacing w:val="-2"/>
                <w:lang w:val="en-GB"/>
              </w:rPr>
              <w:t>bn</w:t>
            </w:r>
            <w:proofErr w:type="spellEnd"/>
            <w:r w:rsidRPr="006F7D89">
              <w:rPr>
                <w:rFonts w:cs="Arial"/>
                <w:spacing w:val="-2"/>
                <w:lang w:val="en-GB"/>
              </w:rPr>
              <w:t xml:space="preserve"> crowns). Notable slump of the value of total public orders (by one tenth) was also accompanied by year-on-year slower downswing (-2.6 %) of private orders. Lower volume of these orders could not be compensated by a</w:t>
            </w:r>
            <w:r w:rsidRPr="006F7D89">
              <w:rPr>
                <w:spacing w:val="-2"/>
              </w:rPr>
              <w:t> </w:t>
            </w:r>
            <w:r w:rsidRPr="006F7D89">
              <w:rPr>
                <w:rFonts w:cs="Arial"/>
                <w:spacing w:val="-2"/>
                <w:lang w:val="en-GB"/>
              </w:rPr>
              <w:t>dynamic boost of by weight so far marginal orders from abroad (+58 %), these shared in nearly 17 % on the value of all orders of construction businesses towards the end of 2013. On the contrary, the stock of public construction orders was compared to year 2008 lower by more than one half and their proportion on all orders of construction businesses fell below the 50% boundary for the first time in history.</w:t>
            </w:r>
          </w:p>
          <w:p w:rsidR="00216395" w:rsidRPr="00CE46F6" w:rsidRDefault="00216395" w:rsidP="002336B2">
            <w:pPr>
              <w:pStyle w:val="Textpoznpodarou"/>
              <w:jc w:val="both"/>
              <w:rPr>
                <w:spacing w:val="-4"/>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r w:rsidRPr="00CE46F6">
              <w:rPr>
                <w:sz w:val="16"/>
                <w:szCs w:val="16"/>
                <w:lang w:val="en-GB"/>
              </w:rPr>
              <w:t>Number of started dwellings</w:t>
            </w:r>
            <w:r>
              <w:rPr>
                <w:sz w:val="16"/>
                <w:szCs w:val="16"/>
                <w:lang w:val="en-GB"/>
              </w:rPr>
              <w:t xml:space="preserve"> </w:t>
            </w:r>
            <w:r w:rsidRPr="00CE46F6">
              <w:rPr>
                <w:sz w:val="16"/>
                <w:szCs w:val="16"/>
                <w:lang w:val="en-GB"/>
              </w:rPr>
              <w:t>attained after continuous falls the level of middle 90s</w:t>
            </w:r>
            <w:r>
              <w:rPr>
                <w:sz w:val="16"/>
                <w:szCs w:val="16"/>
                <w:lang w:val="en-GB"/>
              </w:rPr>
              <w:t xml:space="preserve"> </w:t>
            </w:r>
            <w:r w:rsidRPr="00CE46F6">
              <w:rPr>
                <w:sz w:val="16"/>
                <w:szCs w:val="16"/>
                <w:lang w:val="en-GB"/>
              </w:rPr>
              <w:t>in 2013</w:t>
            </w: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lang w:val="en-GB"/>
              </w:rPr>
            </w:pPr>
            <w:r w:rsidRPr="00CE46F6">
              <w:rPr>
                <w:lang w:val="en-GB"/>
              </w:rPr>
              <w:t xml:space="preserve">Saturation of the market with dwellings due to intensive housing construction from boom years in combination with the drop of real household incomes is reflected in the current low frequency of both started and completed construction. The number of started dwellings has been declining already sixth year in a row, its size was one half compared to the top of boom (for housing constructions only one third). In 2013 only dwellings in </w:t>
            </w:r>
            <w:r w:rsidRPr="007739D7">
              <w:rPr>
                <w:lang w:val="en-GB"/>
              </w:rPr>
              <w:t xml:space="preserve">multi-dwelling buildings </w:t>
            </w:r>
            <w:r w:rsidRPr="00CE46F6">
              <w:rPr>
                <w:lang w:val="en-GB"/>
              </w:rPr>
              <w:t>increased year-on-year (because of extremely low comparative basis) and among regions significantly only dwellings started in Prague (+19 %).</w:t>
            </w:r>
          </w:p>
          <w:p w:rsidR="00216395" w:rsidRPr="00CE46F6" w:rsidRDefault="00216395" w:rsidP="002336B2">
            <w:pPr>
              <w:pStyle w:val="Textpoznpodarou"/>
              <w:jc w:val="both"/>
              <w:rPr>
                <w:spacing w:val="-4"/>
                <w:sz w:val="12"/>
                <w:szCs w:val="12"/>
                <w:lang w:val="en-GB"/>
              </w:rPr>
            </w:pPr>
          </w:p>
        </w:tc>
      </w:tr>
      <w:tr w:rsidR="00216395" w:rsidRPr="00CE46F6" w:rsidTr="002336B2">
        <w:tc>
          <w:tcPr>
            <w:tcW w:w="1091" w:type="pct"/>
          </w:tcPr>
          <w:p w:rsidR="00216395" w:rsidRPr="00CE46F6" w:rsidRDefault="00216395" w:rsidP="002336B2">
            <w:pPr>
              <w:jc w:val="left"/>
              <w:rPr>
                <w:sz w:val="16"/>
                <w:szCs w:val="16"/>
                <w:lang w:val="en-GB"/>
              </w:rPr>
            </w:pPr>
            <w:r w:rsidRPr="00CE46F6">
              <w:rPr>
                <w:sz w:val="16"/>
                <w:szCs w:val="16"/>
                <w:lang w:val="en-GB"/>
              </w:rPr>
              <w:t xml:space="preserve">More than third of completed dwellings in the CR is </w:t>
            </w:r>
            <w:r>
              <w:rPr>
                <w:sz w:val="16"/>
                <w:szCs w:val="16"/>
                <w:lang w:val="en-GB"/>
              </w:rPr>
              <w:t xml:space="preserve">located </w:t>
            </w:r>
            <w:r w:rsidRPr="00CE46F6">
              <w:rPr>
                <w:sz w:val="16"/>
                <w:szCs w:val="16"/>
                <w:lang w:val="en-GB"/>
              </w:rPr>
              <w:t xml:space="preserve">in Prague and Central Bohemia in the </w:t>
            </w:r>
            <w:r>
              <w:rPr>
                <w:sz w:val="16"/>
                <w:szCs w:val="16"/>
                <w:lang w:val="en-GB"/>
              </w:rPr>
              <w:t>long term</w:t>
            </w:r>
          </w:p>
        </w:tc>
        <w:tc>
          <w:tcPr>
            <w:tcW w:w="146" w:type="pct"/>
          </w:tcPr>
          <w:p w:rsidR="00216395" w:rsidRPr="00CE46F6" w:rsidRDefault="00216395" w:rsidP="002336B2">
            <w:pPr>
              <w:pStyle w:val="Textpoznpodarou"/>
              <w:jc w:val="both"/>
              <w:rPr>
                <w:spacing w:val="-2"/>
                <w:lang w:val="en-GB"/>
              </w:rPr>
            </w:pPr>
          </w:p>
        </w:tc>
        <w:tc>
          <w:tcPr>
            <w:tcW w:w="3763" w:type="pct"/>
          </w:tcPr>
          <w:p w:rsidR="00216395" w:rsidRDefault="00216395" w:rsidP="002336B2">
            <w:pPr>
              <w:rPr>
                <w:rFonts w:cs="Arial"/>
                <w:spacing w:val="-4"/>
                <w:szCs w:val="20"/>
                <w:lang w:val="en-GB"/>
              </w:rPr>
            </w:pPr>
            <w:r w:rsidRPr="00CE46F6">
              <w:rPr>
                <w:rFonts w:cs="Arial"/>
                <w:spacing w:val="-4"/>
                <w:szCs w:val="20"/>
                <w:lang w:val="en-GB"/>
              </w:rPr>
              <w:t>Number of completed dwellings fell by one seventh</w:t>
            </w:r>
            <w:r>
              <w:rPr>
                <w:rFonts w:cs="Arial"/>
                <w:spacing w:val="-4"/>
                <w:szCs w:val="20"/>
                <w:lang w:val="en-GB"/>
              </w:rPr>
              <w:t xml:space="preserve"> </w:t>
            </w:r>
            <w:r w:rsidRPr="00CE46F6">
              <w:rPr>
                <w:rFonts w:cs="Arial"/>
                <w:spacing w:val="-4"/>
                <w:szCs w:val="20"/>
                <w:lang w:val="en-GB"/>
              </w:rPr>
              <w:t>year-on-year (to 15-year minimum) without significant differences in types of buildings. More than third of completed dwellings was located in Prague and the Central Bohemia</w:t>
            </w:r>
            <w:r>
              <w:rPr>
                <w:rFonts w:cs="Arial"/>
                <w:spacing w:val="-4"/>
                <w:szCs w:val="20"/>
                <w:lang w:val="en-GB"/>
              </w:rPr>
              <w:t xml:space="preserve"> </w:t>
            </w:r>
            <w:r w:rsidRPr="00CE46F6">
              <w:rPr>
                <w:rFonts w:cs="Arial"/>
                <w:spacing w:val="-4"/>
                <w:szCs w:val="20"/>
                <w:lang w:val="en-GB"/>
              </w:rPr>
              <w:t>in 2013. Protracted lack of orders led to further deepening of the registered number of employees in 2013 („core“ lab</w:t>
            </w:r>
            <w:r>
              <w:rPr>
                <w:rFonts w:cs="Arial"/>
                <w:spacing w:val="-4"/>
                <w:szCs w:val="20"/>
                <w:lang w:val="en-GB"/>
              </w:rPr>
              <w:t>our force in this</w:t>
            </w:r>
            <w:r w:rsidRPr="00CE46F6">
              <w:rPr>
                <w:rFonts w:cs="Arial"/>
                <w:spacing w:val="-4"/>
                <w:szCs w:val="20"/>
                <w:lang w:val="en-GB"/>
              </w:rPr>
              <w:t xml:space="preserve"> economic activity), the construction thus lost in physical persons over 50 thousand employees</w:t>
            </w:r>
            <w:r>
              <w:rPr>
                <w:rFonts w:cs="Arial"/>
                <w:spacing w:val="-4"/>
                <w:szCs w:val="20"/>
                <w:lang w:val="en-GB"/>
              </w:rPr>
              <w:t xml:space="preserve"> </w:t>
            </w:r>
            <w:r w:rsidRPr="00CE46F6">
              <w:rPr>
                <w:rFonts w:cs="Arial"/>
                <w:spacing w:val="-4"/>
                <w:szCs w:val="20"/>
                <w:lang w:val="en-GB"/>
              </w:rPr>
              <w:t>for five years of continuous decreases.</w:t>
            </w:r>
          </w:p>
          <w:p w:rsidR="00216395" w:rsidRPr="00CE46F6" w:rsidRDefault="00216395" w:rsidP="002336B2">
            <w:pPr>
              <w:rPr>
                <w:spacing w:val="-4"/>
                <w:sz w:val="12"/>
                <w:szCs w:val="12"/>
                <w:lang w:val="en-GB"/>
              </w:rPr>
            </w:pPr>
          </w:p>
        </w:tc>
      </w:tr>
      <w:tr w:rsidR="00216395" w:rsidRPr="00CE46F6" w:rsidTr="002336B2">
        <w:trPr>
          <w:cantSplit/>
          <w:trHeight w:val="852"/>
        </w:trPr>
        <w:tc>
          <w:tcPr>
            <w:tcW w:w="1091" w:type="pct"/>
          </w:tcPr>
          <w:p w:rsidR="00216395" w:rsidRPr="00CE46F6" w:rsidRDefault="00216395" w:rsidP="002336B2">
            <w:pPr>
              <w:jc w:val="left"/>
              <w:rPr>
                <w:sz w:val="16"/>
                <w:szCs w:val="16"/>
                <w:lang w:val="en-GB"/>
              </w:rPr>
            </w:pPr>
            <w:r w:rsidRPr="00CE46F6">
              <w:rPr>
                <w:sz w:val="16"/>
                <w:szCs w:val="16"/>
                <w:lang w:val="en-GB"/>
              </w:rPr>
              <w:t>The depth of construction production slump in the CR in 2013 the fifth highest in the whole EU</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spacing w:val="-2"/>
                <w:lang w:val="en-GB"/>
              </w:rPr>
            </w:pPr>
          </w:p>
        </w:tc>
        <w:tc>
          <w:tcPr>
            <w:tcW w:w="3763" w:type="pct"/>
          </w:tcPr>
          <w:p w:rsidR="00216395" w:rsidRPr="00CE46F6" w:rsidRDefault="00216395" w:rsidP="002336B2">
            <w:pPr>
              <w:rPr>
                <w:spacing w:val="-4"/>
                <w:lang w:val="en-GB"/>
              </w:rPr>
            </w:pPr>
            <w:r w:rsidRPr="00CE46F6">
              <w:rPr>
                <w:spacing w:val="-4"/>
                <w:lang w:val="en-GB"/>
              </w:rPr>
              <w:t xml:space="preserve">The depth of year-on-year slumps of construction production was deeper </w:t>
            </w:r>
            <w:r>
              <w:rPr>
                <w:spacing w:val="-4"/>
                <w:lang w:val="en-GB"/>
              </w:rPr>
              <w:t xml:space="preserve">in the CR </w:t>
            </w:r>
            <w:r w:rsidRPr="00CE46F6">
              <w:rPr>
                <w:spacing w:val="-4"/>
                <w:lang w:val="en-GB"/>
              </w:rPr>
              <w:t>compared to the EU28</w:t>
            </w:r>
            <w:r>
              <w:rPr>
                <w:spacing w:val="-4"/>
                <w:lang w:val="en-GB"/>
              </w:rPr>
              <w:t xml:space="preserve"> in the last four years</w:t>
            </w:r>
            <w:r w:rsidRPr="00CE46F6">
              <w:rPr>
                <w:spacing w:val="-4"/>
                <w:lang w:val="en-GB"/>
              </w:rPr>
              <w:t xml:space="preserve">. Against the top of boom the production </w:t>
            </w:r>
            <w:r>
              <w:rPr>
                <w:spacing w:val="-4"/>
                <w:lang w:val="en-GB"/>
              </w:rPr>
              <w:t xml:space="preserve">cut </w:t>
            </w:r>
            <w:r w:rsidRPr="00CE46F6">
              <w:rPr>
                <w:spacing w:val="-4"/>
                <w:lang w:val="en-GB"/>
              </w:rPr>
              <w:t>in real terms a whole quarter</w:t>
            </w:r>
            <w:r>
              <w:rPr>
                <w:spacing w:val="-4"/>
                <w:lang w:val="en-GB"/>
              </w:rPr>
              <w:t xml:space="preserve"> </w:t>
            </w:r>
            <w:r w:rsidRPr="00CE46F6">
              <w:rPr>
                <w:spacing w:val="-4"/>
                <w:lang w:val="en-GB"/>
              </w:rPr>
              <w:t>in the CR, comparably to Slovakia or the whole EU. This level exceeded only in five member countries (in Germany by 5 %, in Poland by 17 %)</w:t>
            </w:r>
            <w:r>
              <w:rPr>
                <w:spacing w:val="-4"/>
                <w:lang w:val="en-GB"/>
              </w:rPr>
              <w:t xml:space="preserve"> </w:t>
            </w:r>
            <w:r w:rsidRPr="00CE46F6">
              <w:rPr>
                <w:spacing w:val="-4"/>
                <w:lang w:val="en-GB"/>
              </w:rPr>
              <w:t>in 2013.</w:t>
            </w:r>
          </w:p>
          <w:p w:rsidR="00216395" w:rsidRPr="00CE46F6" w:rsidRDefault="00216395" w:rsidP="002336B2">
            <w:pPr>
              <w:rPr>
                <w:spacing w:val="-4"/>
                <w:sz w:val="12"/>
                <w:szCs w:val="12"/>
                <w:lang w:val="en-GB"/>
              </w:rPr>
            </w:pPr>
          </w:p>
        </w:tc>
      </w:tr>
      <w:tr w:rsidR="00216395" w:rsidRPr="00CE46F6" w:rsidTr="002336B2">
        <w:trPr>
          <w:cantSplit/>
          <w:trHeight w:val="852"/>
        </w:trPr>
        <w:tc>
          <w:tcPr>
            <w:tcW w:w="1091" w:type="pct"/>
          </w:tcPr>
          <w:p w:rsidR="00216395" w:rsidRPr="00CE46F6" w:rsidRDefault="00216395" w:rsidP="002336B2">
            <w:pPr>
              <w:jc w:val="left"/>
              <w:rPr>
                <w:sz w:val="16"/>
                <w:szCs w:val="16"/>
                <w:lang w:val="en-GB"/>
              </w:rPr>
            </w:pPr>
            <w:r w:rsidRPr="00CE46F6">
              <w:rPr>
                <w:sz w:val="16"/>
                <w:szCs w:val="16"/>
                <w:lang w:val="en-GB"/>
              </w:rPr>
              <w:t>Mild year-on-year drop of sales in services lasted also during 2013</w:t>
            </w:r>
          </w:p>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lang w:val="en-GB"/>
              </w:rPr>
            </w:pPr>
          </w:p>
        </w:tc>
        <w:tc>
          <w:tcPr>
            <w:tcW w:w="3763" w:type="pct"/>
          </w:tcPr>
          <w:p w:rsidR="00216395" w:rsidRPr="006F7D89" w:rsidRDefault="00216395" w:rsidP="002336B2">
            <w:pPr>
              <w:pStyle w:val="Textpoznpodarou"/>
              <w:jc w:val="both"/>
              <w:rPr>
                <w:rFonts w:cs="Arial"/>
                <w:iCs/>
                <w:spacing w:val="-2"/>
                <w:szCs w:val="16"/>
                <w:lang w:val="en-GB"/>
              </w:rPr>
            </w:pPr>
            <w:r w:rsidRPr="006F7D89">
              <w:rPr>
                <w:rFonts w:cs="Arial"/>
                <w:iCs/>
                <w:spacing w:val="-2"/>
                <w:szCs w:val="16"/>
                <w:lang w:val="en-GB"/>
              </w:rPr>
              <w:t>Sales in selected services</w:t>
            </w:r>
            <w:r w:rsidRPr="006F7D89">
              <w:rPr>
                <w:rStyle w:val="Znakapoznpodarou"/>
                <w:rFonts w:cs="Arial"/>
                <w:iCs/>
                <w:spacing w:val="-2"/>
                <w:szCs w:val="16"/>
                <w:lang w:val="en-GB"/>
              </w:rPr>
              <w:footnoteReference w:id="1"/>
            </w:r>
            <w:r w:rsidRPr="006F7D89">
              <w:rPr>
                <w:rFonts w:cs="Arial"/>
                <w:iCs/>
                <w:spacing w:val="-2"/>
                <w:szCs w:val="16"/>
                <w:lang w:val="en-GB"/>
              </w:rPr>
              <w:t xml:space="preserve"> in the aggregate continued in tendencies of the last four years and mildly weakened in real terms in 2013 (year-on-year by -0.9 %). The growth of sales in transportation and storage already continues for nearly four years (+4.2 %), mostly thanks to the warehousing and support activities for transportation (+7.9 %), however all main types of transportation generated higher sales year-on-year, except for the postal and courier activities (-8.5 %), which fell already for second year. The rate of growth of sales of the most significant activities by weight - land transport and transport via pipelines (similarly to warehousing) was strengthening in connection with the revival in industry and foreign trade during the year 2013.</w:t>
            </w:r>
          </w:p>
          <w:p w:rsidR="00216395" w:rsidRPr="006F7D89" w:rsidRDefault="00216395" w:rsidP="002336B2">
            <w:pPr>
              <w:pStyle w:val="Textpoznpodarou"/>
              <w:jc w:val="both"/>
              <w:rPr>
                <w:spacing w:val="-2"/>
                <w:sz w:val="14"/>
                <w:szCs w:val="14"/>
                <w:lang w:val="en-GB"/>
              </w:rPr>
            </w:pPr>
          </w:p>
        </w:tc>
      </w:tr>
      <w:tr w:rsidR="00216395" w:rsidRPr="00CE46F6" w:rsidTr="002336B2">
        <w:trPr>
          <w:trHeight w:val="1026"/>
        </w:trPr>
        <w:tc>
          <w:tcPr>
            <w:tcW w:w="1091" w:type="pct"/>
          </w:tcPr>
          <w:p w:rsidR="00216395" w:rsidRPr="00CE46F6" w:rsidRDefault="00216395" w:rsidP="002336B2">
            <w:pPr>
              <w:jc w:val="left"/>
              <w:rPr>
                <w:sz w:val="16"/>
                <w:szCs w:val="16"/>
                <w:lang w:val="en-GB"/>
              </w:rPr>
            </w:pPr>
            <w:r w:rsidRPr="00CE46F6">
              <w:rPr>
                <w:sz w:val="16"/>
                <w:szCs w:val="16"/>
                <w:lang w:val="en-GB"/>
              </w:rPr>
              <w:lastRenderedPageBreak/>
              <w:t>Recovering industry contributed to higher sales in transportation and storage, foreign tourism to accommodation activities, shifts in the labour market then to job agencies and management consultancy activities</w:t>
            </w:r>
          </w:p>
          <w:p w:rsidR="00216395"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r w:rsidRPr="00CE46F6">
              <w:rPr>
                <w:sz w:val="16"/>
                <w:szCs w:val="16"/>
                <w:lang w:val="en-GB"/>
              </w:rPr>
              <w:t>Deep slump of sales in advertising activities, long-term reduction for real estate activities</w:t>
            </w:r>
          </w:p>
        </w:tc>
        <w:tc>
          <w:tcPr>
            <w:tcW w:w="146" w:type="pct"/>
          </w:tcPr>
          <w:p w:rsidR="00216395" w:rsidRPr="00CE46F6" w:rsidRDefault="00216395" w:rsidP="002336B2">
            <w:pPr>
              <w:pStyle w:val="Textpoznpodarou"/>
              <w:jc w:val="both"/>
              <w:rPr>
                <w:lang w:val="en-GB"/>
              </w:rPr>
            </w:pPr>
          </w:p>
        </w:tc>
        <w:tc>
          <w:tcPr>
            <w:tcW w:w="3763" w:type="pct"/>
          </w:tcPr>
          <w:p w:rsidR="00216395" w:rsidRPr="006F7D89" w:rsidRDefault="00216395" w:rsidP="002336B2">
            <w:pPr>
              <w:pStyle w:val="Textbubliny"/>
              <w:rPr>
                <w:rFonts w:ascii="Arial" w:hAnsi="Arial" w:cs="Arial"/>
                <w:iCs/>
                <w:spacing w:val="-2"/>
                <w:sz w:val="20"/>
                <w:lang w:val="en-GB"/>
              </w:rPr>
            </w:pPr>
            <w:r w:rsidRPr="006F7D89">
              <w:rPr>
                <w:rFonts w:ascii="Arial" w:hAnsi="Arial" w:cs="Arial"/>
                <w:iCs/>
                <w:spacing w:val="-2"/>
                <w:sz w:val="20"/>
                <w:lang w:val="en-GB"/>
              </w:rPr>
              <w:t>The differentiated development continued in the area of accommodation, restaurants and food service activities, where the sales in real terms for accommodation have been growing for more than four years (+2.1 %), which was the result both of the discount strategies of accommodators and the rising frequency of overnight stays of non-</w:t>
            </w:r>
            <w:proofErr w:type="spellStart"/>
            <w:r w:rsidRPr="006F7D89">
              <w:rPr>
                <w:rFonts w:ascii="Arial" w:hAnsi="Arial" w:cs="Arial"/>
                <w:iCs/>
                <w:spacing w:val="-2"/>
                <w:sz w:val="20"/>
                <w:lang w:val="en-GB"/>
              </w:rPr>
              <w:t>rezidents</w:t>
            </w:r>
            <w:proofErr w:type="spellEnd"/>
            <w:r w:rsidRPr="006F7D89">
              <w:rPr>
                <w:rFonts w:ascii="Arial" w:hAnsi="Arial" w:cs="Arial"/>
                <w:iCs/>
                <w:spacing w:val="-2"/>
                <w:sz w:val="20"/>
                <w:lang w:val="en-GB"/>
              </w:rPr>
              <w:t xml:space="preserve">. Restaurants and food service activities on the contrary face long-term difficulties, despite the depth of falls of sales in real terms slowing down this year (to -0.8 %) and recorded growth in Q3 for the first time since 2007. However, for the last six years the sales in this </w:t>
            </w:r>
            <w:proofErr w:type="spellStart"/>
            <w:r w:rsidRPr="006F7D89">
              <w:rPr>
                <w:rFonts w:ascii="Arial" w:hAnsi="Arial" w:cs="Arial"/>
                <w:iCs/>
                <w:spacing w:val="-2"/>
                <w:sz w:val="20"/>
                <w:lang w:val="en-GB"/>
              </w:rPr>
              <w:t>branche</w:t>
            </w:r>
            <w:proofErr w:type="spellEnd"/>
            <w:r w:rsidRPr="006F7D89">
              <w:rPr>
                <w:rFonts w:ascii="Arial" w:hAnsi="Arial" w:cs="Arial"/>
                <w:iCs/>
                <w:spacing w:val="-2"/>
                <w:sz w:val="20"/>
                <w:lang w:val="en-GB"/>
              </w:rPr>
              <w:t xml:space="preserve"> slumped by 30 %. The growth dynamics of sales of job agencies mildly weakened (+6 %, still in four years the sales were raised by two thirds). The demand for management consultancy activities and telecommunication activities or security and investigative activities increased. The market research and public opinion polling still experience a mild growth. A larger reduction of sales occurred in majority of information and communication activities, real estate activities, architectural and engineering activities, travel agencies and especially advertising activities (year-on-year by one eight, since the beginning of deep recession by two fifths).</w:t>
            </w:r>
          </w:p>
          <w:p w:rsidR="00216395" w:rsidRPr="006F7D89" w:rsidRDefault="00216395" w:rsidP="002336B2">
            <w:pPr>
              <w:pStyle w:val="Textbubliny"/>
              <w:rPr>
                <w:rFonts w:ascii="Arial" w:hAnsi="Arial"/>
                <w:spacing w:val="-2"/>
                <w:szCs w:val="24"/>
                <w:lang w:val="en-GB"/>
              </w:rPr>
            </w:pPr>
          </w:p>
        </w:tc>
      </w:tr>
      <w:tr w:rsidR="00216395" w:rsidRPr="00CE46F6" w:rsidTr="002336B2">
        <w:tc>
          <w:tcPr>
            <w:tcW w:w="1091" w:type="pct"/>
          </w:tcPr>
          <w:p w:rsidR="00216395" w:rsidRPr="003B294B" w:rsidRDefault="00216395" w:rsidP="002336B2">
            <w:pPr>
              <w:pStyle w:val="Zkladntext"/>
              <w:rPr>
                <w:sz w:val="16"/>
                <w:szCs w:val="16"/>
                <w:lang w:val="en-GB"/>
              </w:rPr>
            </w:pPr>
            <w:r w:rsidRPr="003B294B">
              <w:rPr>
                <w:sz w:val="16"/>
                <w:szCs w:val="16"/>
                <w:lang w:val="en-GB"/>
              </w:rPr>
              <w:t xml:space="preserve">Since Q2 a mild growth of retail sales renewed due to marked revival in the </w:t>
            </w:r>
            <w:proofErr w:type="spellStart"/>
            <w:r w:rsidRPr="003B294B">
              <w:rPr>
                <w:sz w:val="16"/>
                <w:szCs w:val="16"/>
                <w:lang w:val="en-GB"/>
              </w:rPr>
              <w:t>motoristic</w:t>
            </w:r>
            <w:proofErr w:type="spellEnd"/>
            <w:r w:rsidRPr="003B294B">
              <w:rPr>
                <w:sz w:val="16"/>
                <w:szCs w:val="16"/>
                <w:lang w:val="en-GB"/>
              </w:rPr>
              <w:t xml:space="preserve"> segment and internet sales</w:t>
            </w: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p w:rsidR="00216395" w:rsidRPr="00CE46F6" w:rsidRDefault="00216395" w:rsidP="002336B2">
            <w:pPr>
              <w:jc w:val="left"/>
              <w:rPr>
                <w:sz w:val="16"/>
                <w:szCs w:val="16"/>
                <w:lang w:val="en-GB"/>
              </w:rPr>
            </w:pP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spacing w:val="-4"/>
                <w:lang w:val="en-GB"/>
              </w:rPr>
            </w:pPr>
            <w:r w:rsidRPr="00CE46F6">
              <w:rPr>
                <w:spacing w:val="-4"/>
                <w:lang w:val="en-GB"/>
              </w:rPr>
              <w:t xml:space="preserve">The development of real retail sales (incl. the </w:t>
            </w:r>
            <w:proofErr w:type="spellStart"/>
            <w:r w:rsidRPr="00CE46F6">
              <w:rPr>
                <w:spacing w:val="-4"/>
                <w:lang w:val="en-GB"/>
              </w:rPr>
              <w:t>motoristic</w:t>
            </w:r>
            <w:proofErr w:type="spellEnd"/>
            <w:r w:rsidRPr="00CE46F6">
              <w:rPr>
                <w:spacing w:val="-4"/>
                <w:lang w:val="en-GB"/>
              </w:rPr>
              <w:t xml:space="preserve"> segment) was </w:t>
            </w:r>
            <w:r>
              <w:rPr>
                <w:spacing w:val="-4"/>
                <w:lang w:val="en-GB"/>
              </w:rPr>
              <w:t xml:space="preserve">uneven </w:t>
            </w:r>
            <w:r w:rsidRPr="00CE46F6">
              <w:rPr>
                <w:spacing w:val="-4"/>
                <w:lang w:val="en-GB"/>
              </w:rPr>
              <w:t xml:space="preserve">during the year 2013. A year lasting year-on-year slump in sales halted in Q2, the dynamics of sales growth strengthened for the remaining part of the year up to 3.6 % in Q4 (after adjusting for calendar variations by 4.2 %). </w:t>
            </w:r>
            <w:r>
              <w:rPr>
                <w:spacing w:val="-4"/>
                <w:lang w:val="en-GB"/>
              </w:rPr>
              <w:t>T</w:t>
            </w:r>
            <w:r w:rsidRPr="00CE46F6">
              <w:rPr>
                <w:spacing w:val="-4"/>
                <w:lang w:val="en-GB"/>
              </w:rPr>
              <w:t xml:space="preserve">he </w:t>
            </w:r>
            <w:proofErr w:type="spellStart"/>
            <w:r w:rsidRPr="00CE46F6">
              <w:rPr>
                <w:spacing w:val="-4"/>
                <w:lang w:val="en-GB"/>
              </w:rPr>
              <w:t>motoristic</w:t>
            </w:r>
            <w:proofErr w:type="spellEnd"/>
            <w:r w:rsidRPr="00CE46F6">
              <w:rPr>
                <w:spacing w:val="-4"/>
                <w:lang w:val="en-GB"/>
              </w:rPr>
              <w:t xml:space="preserve"> segment gaining strength </w:t>
            </w:r>
            <w:r>
              <w:rPr>
                <w:spacing w:val="-4"/>
                <w:lang w:val="en-GB"/>
              </w:rPr>
              <w:t>contributed t</w:t>
            </w:r>
            <w:r w:rsidRPr="00CE46F6">
              <w:rPr>
                <w:spacing w:val="-4"/>
                <w:lang w:val="en-GB"/>
              </w:rPr>
              <w:t>o a more favourable result during the year (Q2 +3.6 %,</w:t>
            </w:r>
            <w:r>
              <w:rPr>
                <w:spacing w:val="-4"/>
                <w:lang w:val="en-GB"/>
              </w:rPr>
              <w:t xml:space="preserve"> </w:t>
            </w:r>
            <w:r w:rsidRPr="00CE46F6">
              <w:rPr>
                <w:spacing w:val="-4"/>
                <w:lang w:val="en-GB"/>
              </w:rPr>
              <w:t xml:space="preserve">Q4 </w:t>
            </w:r>
            <w:r>
              <w:rPr>
                <w:spacing w:val="-4"/>
                <w:lang w:val="en-GB"/>
              </w:rPr>
              <w:t>+</w:t>
            </w:r>
            <w:r w:rsidRPr="00CE46F6">
              <w:rPr>
                <w:spacing w:val="-4"/>
                <w:lang w:val="en-GB"/>
              </w:rPr>
              <w:t>10.3 %), both in case of trades and maintenance of motor vehicles. The dynamics was also strengthening for sales of non-food products, which were boosted also due to the pre-stocking (because of fears from price rises)</w:t>
            </w:r>
            <w:r>
              <w:rPr>
                <w:spacing w:val="-4"/>
                <w:lang w:val="en-GB"/>
              </w:rPr>
              <w:t xml:space="preserve"> </w:t>
            </w:r>
            <w:r w:rsidRPr="00CE46F6">
              <w:rPr>
                <w:spacing w:val="-4"/>
                <w:lang w:val="en-GB"/>
              </w:rPr>
              <w:t>towards the end of the year, mainly in specialised shops with computer and communication equipment and products predominantly for households.</w:t>
            </w:r>
            <w:r>
              <w:rPr>
                <w:spacing w:val="-4"/>
                <w:lang w:val="en-GB"/>
              </w:rPr>
              <w:t xml:space="preserve"> On the contrary</w:t>
            </w:r>
            <w:r w:rsidRPr="00CE46F6">
              <w:rPr>
                <w:spacing w:val="-4"/>
                <w:lang w:val="en-GB"/>
              </w:rPr>
              <w:t xml:space="preserve"> </w:t>
            </w:r>
            <w:r>
              <w:rPr>
                <w:spacing w:val="-4"/>
                <w:lang w:val="en-GB"/>
              </w:rPr>
              <w:t>t</w:t>
            </w:r>
            <w:r w:rsidRPr="00CE46F6">
              <w:rPr>
                <w:spacing w:val="-4"/>
                <w:lang w:val="en-GB"/>
              </w:rPr>
              <w:t xml:space="preserve">he mild decrease of sales in businesses predominantly with food </w:t>
            </w:r>
            <w:r>
              <w:rPr>
                <w:spacing w:val="-4"/>
                <w:lang w:val="en-GB"/>
              </w:rPr>
              <w:t xml:space="preserve">has continued for already ten quarters </w:t>
            </w:r>
            <w:r w:rsidRPr="00CE46F6">
              <w:rPr>
                <w:spacing w:val="-4"/>
                <w:lang w:val="en-GB"/>
              </w:rPr>
              <w:t xml:space="preserve">(for the whole year 2013 year-on-year by 1.1 %), the long-term weakening of real sales at petrol stations </w:t>
            </w:r>
            <w:r>
              <w:rPr>
                <w:spacing w:val="-4"/>
                <w:lang w:val="en-GB"/>
              </w:rPr>
              <w:t xml:space="preserve">also lasted </w:t>
            </w:r>
            <w:r w:rsidRPr="00CE46F6">
              <w:rPr>
                <w:spacing w:val="-4"/>
                <w:lang w:val="en-GB"/>
              </w:rPr>
              <w:t>(-3 %), not even the mild reduction of prices did improve the results.</w:t>
            </w:r>
          </w:p>
          <w:p w:rsidR="00216395" w:rsidRPr="00CE46F6" w:rsidRDefault="00216395" w:rsidP="002336B2">
            <w:pPr>
              <w:pStyle w:val="Textpoznpodarou"/>
              <w:jc w:val="both"/>
              <w:rPr>
                <w:spacing w:val="-4"/>
                <w:sz w:val="16"/>
                <w:lang w:val="en-GB"/>
              </w:rPr>
            </w:pPr>
          </w:p>
        </w:tc>
      </w:tr>
      <w:tr w:rsidR="00216395" w:rsidRPr="00CE46F6" w:rsidTr="002336B2">
        <w:tc>
          <w:tcPr>
            <w:tcW w:w="1091" w:type="pct"/>
          </w:tcPr>
          <w:p w:rsidR="00216395" w:rsidRPr="00CE46F6" w:rsidRDefault="00216395" w:rsidP="002336B2">
            <w:pPr>
              <w:jc w:val="left"/>
              <w:rPr>
                <w:sz w:val="16"/>
                <w:szCs w:val="16"/>
                <w:lang w:val="en-GB"/>
              </w:rPr>
            </w:pPr>
            <w:r>
              <w:rPr>
                <w:sz w:val="16"/>
                <w:szCs w:val="16"/>
                <w:lang w:val="en-GB"/>
              </w:rPr>
              <w:t>T</w:t>
            </w:r>
            <w:r w:rsidRPr="00CE46F6">
              <w:rPr>
                <w:sz w:val="16"/>
                <w:szCs w:val="16"/>
                <w:lang w:val="en-GB"/>
              </w:rPr>
              <w:t>he decreasing retail sales on automotive fuels</w:t>
            </w:r>
            <w:r>
              <w:rPr>
                <w:sz w:val="16"/>
                <w:szCs w:val="16"/>
                <w:lang w:val="en-GB"/>
              </w:rPr>
              <w:t xml:space="preserve"> continued to display stronger rates of fall</w:t>
            </w:r>
            <w:r w:rsidRPr="00CE46F6">
              <w:rPr>
                <w:sz w:val="16"/>
                <w:szCs w:val="16"/>
                <w:lang w:val="en-GB"/>
              </w:rPr>
              <w:t>, in five years the sales were in real terms lower by one sixth</w:t>
            </w:r>
          </w:p>
        </w:tc>
        <w:tc>
          <w:tcPr>
            <w:tcW w:w="146" w:type="pct"/>
          </w:tcPr>
          <w:p w:rsidR="00216395" w:rsidRPr="00CE46F6" w:rsidRDefault="00216395" w:rsidP="002336B2">
            <w:pPr>
              <w:pStyle w:val="Textpoznpodarou"/>
              <w:jc w:val="both"/>
              <w:rPr>
                <w:lang w:val="en-GB"/>
              </w:rPr>
            </w:pPr>
          </w:p>
        </w:tc>
        <w:tc>
          <w:tcPr>
            <w:tcW w:w="3763" w:type="pct"/>
          </w:tcPr>
          <w:p w:rsidR="00216395" w:rsidRPr="00835816" w:rsidRDefault="00216395" w:rsidP="002336B2">
            <w:pPr>
              <w:pStyle w:val="Textpoznpodarou"/>
              <w:jc w:val="both"/>
              <w:rPr>
                <w:color w:val="000000"/>
                <w:spacing w:val="-2"/>
                <w:lang w:val="en-GB"/>
              </w:rPr>
            </w:pPr>
            <w:r w:rsidRPr="00835816">
              <w:rPr>
                <w:color w:val="000000"/>
                <w:spacing w:val="-2"/>
                <w:lang w:val="en-GB"/>
              </w:rPr>
              <w:t xml:space="preserve">In the whole retail the sales strengthened by 1 % in 2013, stagnating against the year 2011. Internet sellers returned to high rises from times of top of boom (+27 %) during 2013, their sales more than doubled in real terms compared to 2007. Discount strategies assist also the information </w:t>
            </w:r>
            <w:r>
              <w:rPr>
                <w:color w:val="000000"/>
                <w:spacing w:val="-2"/>
                <w:lang w:val="en-GB"/>
              </w:rPr>
              <w:t>and communication equipment (+9</w:t>
            </w:r>
            <w:r>
              <w:t> </w:t>
            </w:r>
            <w:r w:rsidRPr="00835816">
              <w:rPr>
                <w:color w:val="000000"/>
                <w:spacing w:val="-2"/>
                <w:lang w:val="en-GB"/>
              </w:rPr>
              <w:t>%), clothes and footwear (+3 %) in the long term. In other specialized stores the sales stagnated in 2013 (books, paper products, furniture, electrical appliances and electronics, cultural and recreational goods) or slightly weakened (pharmaceutical, medical, cosmetic and chemist articles). </w:t>
            </w:r>
          </w:p>
          <w:p w:rsidR="00216395" w:rsidRPr="00CE46F6" w:rsidRDefault="00216395" w:rsidP="002336B2">
            <w:pPr>
              <w:pStyle w:val="Textpoznpodarou"/>
              <w:jc w:val="both"/>
              <w:rPr>
                <w:spacing w:val="-4"/>
                <w:sz w:val="16"/>
                <w:lang w:val="en-GB"/>
              </w:rPr>
            </w:pPr>
          </w:p>
        </w:tc>
      </w:tr>
      <w:tr w:rsidR="00216395" w:rsidRPr="00CE46F6" w:rsidTr="002336B2">
        <w:tc>
          <w:tcPr>
            <w:tcW w:w="1091" w:type="pct"/>
          </w:tcPr>
          <w:p w:rsidR="00216395" w:rsidRPr="00CE46F6" w:rsidRDefault="00216395" w:rsidP="002336B2">
            <w:pPr>
              <w:jc w:val="left"/>
              <w:rPr>
                <w:spacing w:val="-2"/>
                <w:sz w:val="16"/>
                <w:szCs w:val="16"/>
                <w:lang w:val="en-GB"/>
              </w:rPr>
            </w:pPr>
            <w:r w:rsidRPr="00CE46F6">
              <w:rPr>
                <w:spacing w:val="-2"/>
                <w:sz w:val="16"/>
                <w:szCs w:val="16"/>
                <w:lang w:val="en-GB"/>
              </w:rPr>
              <w:t xml:space="preserve">Dynamics of retail sales in the CR (excl. </w:t>
            </w:r>
            <w:proofErr w:type="spellStart"/>
            <w:r w:rsidRPr="00CE46F6">
              <w:rPr>
                <w:spacing w:val="-2"/>
                <w:sz w:val="16"/>
                <w:szCs w:val="16"/>
                <w:lang w:val="en-GB"/>
              </w:rPr>
              <w:t>motoristic</w:t>
            </w:r>
            <w:proofErr w:type="spellEnd"/>
            <w:r w:rsidRPr="00CE46F6">
              <w:rPr>
                <w:spacing w:val="-2"/>
                <w:sz w:val="16"/>
                <w:szCs w:val="16"/>
                <w:lang w:val="en-GB"/>
              </w:rPr>
              <w:t xml:space="preserve"> segment) above the EU level</w:t>
            </w:r>
            <w:r>
              <w:rPr>
                <w:spacing w:val="-2"/>
                <w:sz w:val="16"/>
                <w:szCs w:val="16"/>
                <w:lang w:val="en-GB"/>
              </w:rPr>
              <w:t xml:space="preserve"> </w:t>
            </w:r>
            <w:r w:rsidRPr="00CE46F6">
              <w:rPr>
                <w:spacing w:val="-2"/>
                <w:sz w:val="16"/>
                <w:szCs w:val="16"/>
                <w:lang w:val="en-GB"/>
              </w:rPr>
              <w:t xml:space="preserve">in the </w:t>
            </w:r>
            <w:r>
              <w:rPr>
                <w:spacing w:val="-2"/>
                <w:sz w:val="16"/>
                <w:szCs w:val="16"/>
                <w:lang w:val="en-GB"/>
              </w:rPr>
              <w:t>long term</w:t>
            </w:r>
            <w:r w:rsidRPr="00CE46F6">
              <w:rPr>
                <w:spacing w:val="-2"/>
                <w:sz w:val="16"/>
                <w:szCs w:val="16"/>
                <w:lang w:val="en-GB"/>
              </w:rPr>
              <w:t>, mostly for non-food goods, reversely for sellers of automotive fuels</w:t>
            </w:r>
          </w:p>
        </w:tc>
        <w:tc>
          <w:tcPr>
            <w:tcW w:w="146" w:type="pct"/>
          </w:tcPr>
          <w:p w:rsidR="00216395" w:rsidRPr="00CE46F6" w:rsidRDefault="00216395" w:rsidP="002336B2">
            <w:pPr>
              <w:pStyle w:val="Textpoznpodarou"/>
              <w:jc w:val="both"/>
              <w:rPr>
                <w:lang w:val="en-GB"/>
              </w:rPr>
            </w:pPr>
          </w:p>
        </w:tc>
        <w:tc>
          <w:tcPr>
            <w:tcW w:w="3763" w:type="pct"/>
          </w:tcPr>
          <w:p w:rsidR="00216395" w:rsidRPr="00CE46F6" w:rsidRDefault="00216395" w:rsidP="002336B2">
            <w:pPr>
              <w:pStyle w:val="Textpoznpodarou"/>
              <w:jc w:val="both"/>
              <w:rPr>
                <w:spacing w:val="-4"/>
                <w:lang w:val="en-GB"/>
              </w:rPr>
            </w:pPr>
            <w:r w:rsidRPr="00CE46F6">
              <w:rPr>
                <w:spacing w:val="-4"/>
                <w:lang w:val="en-GB"/>
              </w:rPr>
              <w:t xml:space="preserve">Year-on-year dynamics of </w:t>
            </w:r>
            <w:r>
              <w:rPr>
                <w:spacing w:val="-4"/>
                <w:lang w:val="en-GB"/>
              </w:rPr>
              <w:t xml:space="preserve">CR </w:t>
            </w:r>
            <w:r w:rsidRPr="00CE46F6">
              <w:rPr>
                <w:spacing w:val="-4"/>
                <w:lang w:val="en-GB"/>
              </w:rPr>
              <w:t xml:space="preserve">retail sales in real terms (excl. the </w:t>
            </w:r>
            <w:proofErr w:type="spellStart"/>
            <w:r w:rsidRPr="00CE46F6">
              <w:rPr>
                <w:spacing w:val="-4"/>
                <w:lang w:val="en-GB"/>
              </w:rPr>
              <w:t>motoristic</w:t>
            </w:r>
            <w:proofErr w:type="spellEnd"/>
            <w:r w:rsidRPr="00CE46F6">
              <w:rPr>
                <w:spacing w:val="-4"/>
                <w:lang w:val="en-GB"/>
              </w:rPr>
              <w:t xml:space="preserve"> segment</w:t>
            </w:r>
            <w:r>
              <w:rPr>
                <w:spacing w:val="-4"/>
                <w:lang w:val="en-GB"/>
              </w:rPr>
              <w:t>)</w:t>
            </w:r>
            <w:r w:rsidRPr="00CE46F6">
              <w:rPr>
                <w:spacing w:val="-4"/>
                <w:lang w:val="en-GB"/>
              </w:rPr>
              <w:t xml:space="preserve"> (apart for year 2010) </w:t>
            </w:r>
            <w:r>
              <w:rPr>
                <w:spacing w:val="-4"/>
                <w:lang w:val="en-GB"/>
              </w:rPr>
              <w:t xml:space="preserve">already </w:t>
            </w:r>
            <w:r w:rsidRPr="00CE46F6">
              <w:rPr>
                <w:spacing w:val="-4"/>
                <w:lang w:val="en-GB"/>
              </w:rPr>
              <w:t xml:space="preserve">exceeded the level of the EU28 in the last decade, resp. the original member countries </w:t>
            </w:r>
            <w:r>
              <w:rPr>
                <w:spacing w:val="-4"/>
                <w:lang w:val="en-GB"/>
              </w:rPr>
              <w:t>(EU15)</w:t>
            </w:r>
            <w:r w:rsidRPr="00CE46F6">
              <w:rPr>
                <w:spacing w:val="-4"/>
                <w:lang w:val="en-GB"/>
              </w:rPr>
              <w:t xml:space="preserve">. In 2013 these sales </w:t>
            </w:r>
            <w:r>
              <w:rPr>
                <w:spacing w:val="-4"/>
                <w:lang w:val="en-GB"/>
              </w:rPr>
              <w:t xml:space="preserve">rose </w:t>
            </w:r>
            <w:r w:rsidRPr="00CE46F6">
              <w:rPr>
                <w:spacing w:val="-4"/>
                <w:lang w:val="en-GB"/>
              </w:rPr>
              <w:t xml:space="preserve">by 0.2 % in the CR (in the whole EU </w:t>
            </w:r>
            <w:r>
              <w:rPr>
                <w:spacing w:val="-4"/>
                <w:lang w:val="en-GB"/>
              </w:rPr>
              <w:t xml:space="preserve">they </w:t>
            </w:r>
            <w:r w:rsidRPr="00CE46F6">
              <w:rPr>
                <w:spacing w:val="-4"/>
                <w:lang w:val="en-GB"/>
              </w:rPr>
              <w:t xml:space="preserve">were </w:t>
            </w:r>
            <w:r>
              <w:rPr>
                <w:spacing w:val="-4"/>
                <w:lang w:val="en-GB"/>
              </w:rPr>
              <w:t xml:space="preserve">reduced </w:t>
            </w:r>
            <w:r w:rsidRPr="00CE46F6">
              <w:rPr>
                <w:spacing w:val="-4"/>
                <w:lang w:val="en-GB"/>
              </w:rPr>
              <w:t xml:space="preserve">by 0.1 %), similarly to most neighbour countries, except for Poland (+4.6 %). </w:t>
            </w:r>
            <w:r>
              <w:rPr>
                <w:spacing w:val="-4"/>
                <w:lang w:val="en-GB"/>
              </w:rPr>
              <w:t>They mildly grew a</w:t>
            </w:r>
            <w:r w:rsidRPr="00CE46F6">
              <w:rPr>
                <w:spacing w:val="-4"/>
                <w:lang w:val="en-GB"/>
              </w:rPr>
              <w:t>mong large economies in Great Britain (+1.4 %) and France (+1.2 %), long-term decreases hit the Netherlands (-3.8 %) and states of the South Europe (</w:t>
            </w:r>
            <w:r>
              <w:rPr>
                <w:spacing w:val="-4"/>
                <w:lang w:val="en-GB"/>
              </w:rPr>
              <w:t xml:space="preserve">notably </w:t>
            </w:r>
            <w:r w:rsidRPr="00CE46F6">
              <w:rPr>
                <w:spacing w:val="-4"/>
                <w:lang w:val="en-GB"/>
              </w:rPr>
              <w:t xml:space="preserve">Greece -8.1 %). </w:t>
            </w:r>
            <w:r>
              <w:rPr>
                <w:spacing w:val="-4"/>
                <w:lang w:val="en-GB"/>
              </w:rPr>
              <w:t>The CR enjoys e</w:t>
            </w:r>
            <w:r w:rsidRPr="00CE46F6">
              <w:rPr>
                <w:spacing w:val="-4"/>
                <w:lang w:val="en-GB"/>
              </w:rPr>
              <w:t>ven more favourable position towards the whole Union in the area of non-food goods</w:t>
            </w:r>
            <w:r>
              <w:rPr>
                <w:spacing w:val="-4"/>
                <w:lang w:val="en-GB"/>
              </w:rPr>
              <w:t xml:space="preserve"> </w:t>
            </w:r>
            <w:r w:rsidRPr="00CE46F6">
              <w:rPr>
                <w:spacing w:val="-4"/>
                <w:lang w:val="en-GB"/>
              </w:rPr>
              <w:t xml:space="preserve">in the </w:t>
            </w:r>
            <w:r>
              <w:rPr>
                <w:spacing w:val="-4"/>
                <w:lang w:val="en-GB"/>
              </w:rPr>
              <w:t>long term</w:t>
            </w:r>
            <w:r w:rsidRPr="00CE46F6">
              <w:rPr>
                <w:spacing w:val="-4"/>
                <w:lang w:val="en-GB"/>
              </w:rPr>
              <w:t>, on the contrary with the depth of year-on-year falls of sales of automotive fuels (-3 %) in 2013 it strongly stayed behind the EU (-1.</w:t>
            </w:r>
            <w:r>
              <w:rPr>
                <w:spacing w:val="-4"/>
                <w:lang w:val="en-GB"/>
              </w:rPr>
              <w:t>2 %) and all neighbours (German</w:t>
            </w:r>
            <w:r w:rsidRPr="00CE46F6">
              <w:rPr>
                <w:spacing w:val="-4"/>
                <w:lang w:val="en-GB"/>
              </w:rPr>
              <w:t>y +3.5 %, Slovakia +3.2 %).</w:t>
            </w:r>
          </w:p>
        </w:tc>
      </w:tr>
    </w:tbl>
    <w:p w:rsidR="00216395" w:rsidRDefault="00216395"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Default="003B294B" w:rsidP="00216395">
      <w:pPr>
        <w:pStyle w:val="Textpoznpodarou"/>
        <w:jc w:val="both"/>
        <w:rPr>
          <w:lang w:val="en-GB"/>
        </w:rPr>
      </w:pPr>
    </w:p>
    <w:p w:rsidR="003B294B" w:rsidRPr="00CE46F6" w:rsidRDefault="003B294B" w:rsidP="00216395">
      <w:pPr>
        <w:pStyle w:val="Textpoznpodarou"/>
        <w:jc w:val="both"/>
        <w:rPr>
          <w:lang w:val="en-GB"/>
        </w:rPr>
      </w:pPr>
    </w:p>
    <w:tbl>
      <w:tblPr>
        <w:tblW w:w="5059" w:type="pct"/>
        <w:tblLayout w:type="fixed"/>
        <w:tblCellMar>
          <w:left w:w="28" w:type="dxa"/>
          <w:right w:w="28" w:type="dxa"/>
        </w:tblCellMar>
        <w:tblLook w:val="04A0"/>
      </w:tblPr>
      <w:tblGrid>
        <w:gridCol w:w="1026"/>
        <w:gridCol w:w="3911"/>
        <w:gridCol w:w="963"/>
        <w:gridCol w:w="3908"/>
      </w:tblGrid>
      <w:tr w:rsidR="00216395" w:rsidRPr="00CE46F6" w:rsidTr="002336B2">
        <w:tc>
          <w:tcPr>
            <w:tcW w:w="523" w:type="pct"/>
          </w:tcPr>
          <w:p w:rsidR="00216395" w:rsidRPr="00CE46F6" w:rsidRDefault="00216395" w:rsidP="002336B2">
            <w:pPr>
              <w:jc w:val="left"/>
              <w:rPr>
                <w:lang w:val="en-GB"/>
              </w:rPr>
            </w:pPr>
            <w:r w:rsidRPr="00CE46F6">
              <w:rPr>
                <w:lang w:val="en-GB"/>
              </w:rPr>
              <w:lastRenderedPageBreak/>
              <w:t>Chart 5</w:t>
            </w:r>
          </w:p>
        </w:tc>
        <w:tc>
          <w:tcPr>
            <w:tcW w:w="1993" w:type="pct"/>
          </w:tcPr>
          <w:p w:rsidR="00216395" w:rsidRPr="00CE46F6" w:rsidRDefault="00216395" w:rsidP="002336B2">
            <w:pPr>
              <w:jc w:val="left"/>
              <w:rPr>
                <w:b/>
                <w:lang w:val="en-GB"/>
              </w:rPr>
            </w:pPr>
            <w:r w:rsidRPr="00CE46F6">
              <w:rPr>
                <w:b/>
                <w:lang w:val="en-GB"/>
              </w:rPr>
              <w:t xml:space="preserve">Production in industry and selected manufacturing activities </w:t>
            </w:r>
            <w:r w:rsidRPr="00CE46F6">
              <w:rPr>
                <w:bCs/>
                <w:lang w:val="en-GB"/>
              </w:rPr>
              <w:t>(y/y, in %)</w:t>
            </w:r>
          </w:p>
        </w:tc>
        <w:tc>
          <w:tcPr>
            <w:tcW w:w="491" w:type="pct"/>
          </w:tcPr>
          <w:p w:rsidR="00216395" w:rsidRPr="00CE46F6" w:rsidRDefault="00216395" w:rsidP="002336B2">
            <w:pPr>
              <w:jc w:val="left"/>
              <w:rPr>
                <w:lang w:val="en-GB"/>
              </w:rPr>
            </w:pPr>
            <w:r w:rsidRPr="00CE46F6">
              <w:rPr>
                <w:lang w:val="en-GB"/>
              </w:rPr>
              <w:t>Chart 6</w:t>
            </w:r>
          </w:p>
        </w:tc>
        <w:tc>
          <w:tcPr>
            <w:tcW w:w="1993" w:type="pct"/>
          </w:tcPr>
          <w:p w:rsidR="00216395" w:rsidRPr="00CE46F6" w:rsidRDefault="00216395" w:rsidP="002336B2">
            <w:pPr>
              <w:jc w:val="left"/>
              <w:rPr>
                <w:b/>
                <w:lang w:val="en-GB"/>
              </w:rPr>
            </w:pPr>
            <w:r w:rsidRPr="00CE46F6">
              <w:rPr>
                <w:b/>
                <w:lang w:val="en-GB"/>
              </w:rPr>
              <w:t xml:space="preserve">New orders in manufacture of motor vehicles and industry in total </w:t>
            </w:r>
            <w:r w:rsidRPr="00CE46F6">
              <w:rPr>
                <w:bCs/>
                <w:lang w:val="en-GB"/>
              </w:rPr>
              <w:t>(y/y, in %)</w:t>
            </w:r>
          </w:p>
        </w:tc>
      </w:tr>
      <w:tr w:rsidR="00216395" w:rsidRPr="00CE46F6" w:rsidTr="002336B2">
        <w:tc>
          <w:tcPr>
            <w:tcW w:w="2517" w:type="pct"/>
            <w:gridSpan w:val="2"/>
          </w:tcPr>
          <w:p w:rsidR="00216395" w:rsidRPr="00CE46F6" w:rsidRDefault="00216395" w:rsidP="002336B2">
            <w:pPr>
              <w:pStyle w:val="Textpoznpodarou"/>
              <w:jc w:val="both"/>
              <w:rPr>
                <w:lang w:val="en-GB"/>
              </w:rPr>
            </w:pPr>
            <w:r w:rsidRPr="008A0A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86pt">
                  <v:imagedata r:id="rId8" o:title=""/>
                </v:shape>
              </w:pict>
            </w:r>
          </w:p>
        </w:tc>
        <w:tc>
          <w:tcPr>
            <w:tcW w:w="2483" w:type="pct"/>
            <w:gridSpan w:val="2"/>
          </w:tcPr>
          <w:p w:rsidR="00216395" w:rsidRPr="00CE46F6" w:rsidRDefault="00216395" w:rsidP="002336B2">
            <w:pPr>
              <w:pStyle w:val="Textpoznpodarou"/>
              <w:jc w:val="both"/>
              <w:rPr>
                <w:lang w:val="en-GB"/>
              </w:rPr>
            </w:pPr>
            <w:r w:rsidRPr="008A0A50">
              <w:pict>
                <v:shape id="_x0000_i1026" type="#_x0000_t75" style="width:240pt;height:186pt">
                  <v:imagedata r:id="rId9" o:title=""/>
                </v:shape>
              </w:pict>
            </w:r>
          </w:p>
        </w:tc>
      </w:tr>
      <w:tr w:rsidR="00216395" w:rsidRPr="00CE46F6" w:rsidTr="002336B2">
        <w:tc>
          <w:tcPr>
            <w:tcW w:w="5000" w:type="pct"/>
            <w:gridSpan w:val="4"/>
          </w:tcPr>
          <w:p w:rsidR="00216395" w:rsidRPr="00CE46F6" w:rsidRDefault="00216395" w:rsidP="002336B2">
            <w:pPr>
              <w:pStyle w:val="Textpoznpodarou"/>
              <w:rPr>
                <w:sz w:val="18"/>
                <w:szCs w:val="18"/>
                <w:lang w:val="en-GB"/>
              </w:rPr>
            </w:pPr>
            <w:r w:rsidRPr="00CE46F6">
              <w:rPr>
                <w:rFonts w:cs="Arial"/>
                <w:sz w:val="18"/>
                <w:szCs w:val="18"/>
                <w:lang w:val="en-GB"/>
              </w:rPr>
              <w:t xml:space="preserve">* data adjusted for number of working and calendar days                                                                                   </w:t>
            </w:r>
            <w:proofErr w:type="spellStart"/>
            <w:r w:rsidRPr="00CE46F6">
              <w:rPr>
                <w:rFonts w:cs="Arial"/>
                <w:sz w:val="18"/>
                <w:szCs w:val="18"/>
                <w:lang w:val="en-GB"/>
              </w:rPr>
              <w:t>Source:CZSO</w:t>
            </w:r>
            <w:proofErr w:type="spellEnd"/>
          </w:p>
        </w:tc>
      </w:tr>
    </w:tbl>
    <w:p w:rsidR="00216395" w:rsidRDefault="00216395" w:rsidP="00216395">
      <w:pPr>
        <w:rPr>
          <w:szCs w:val="20"/>
          <w:lang w:val="en-GB"/>
        </w:rPr>
      </w:pPr>
    </w:p>
    <w:p w:rsidR="00216395" w:rsidRDefault="00216395" w:rsidP="00216395">
      <w:pPr>
        <w:rPr>
          <w:szCs w:val="20"/>
          <w:lang w:val="en-GB"/>
        </w:rPr>
      </w:pPr>
    </w:p>
    <w:p w:rsidR="00216395" w:rsidRPr="006F7D89" w:rsidRDefault="00216395" w:rsidP="00216395">
      <w:pPr>
        <w:rPr>
          <w:szCs w:val="20"/>
          <w:lang w:val="en-GB"/>
        </w:rPr>
      </w:pPr>
    </w:p>
    <w:tbl>
      <w:tblPr>
        <w:tblW w:w="5059" w:type="pct"/>
        <w:tblLayout w:type="fixed"/>
        <w:tblCellMar>
          <w:left w:w="28" w:type="dxa"/>
          <w:right w:w="28" w:type="dxa"/>
        </w:tblCellMar>
        <w:tblLook w:val="04A0"/>
      </w:tblPr>
      <w:tblGrid>
        <w:gridCol w:w="1022"/>
        <w:gridCol w:w="3894"/>
        <w:gridCol w:w="967"/>
        <w:gridCol w:w="3925"/>
      </w:tblGrid>
      <w:tr w:rsidR="00216395" w:rsidRPr="00CE46F6" w:rsidTr="002336B2">
        <w:tc>
          <w:tcPr>
            <w:tcW w:w="521" w:type="pct"/>
          </w:tcPr>
          <w:p w:rsidR="00216395" w:rsidRPr="00CE46F6" w:rsidRDefault="00216395" w:rsidP="002336B2">
            <w:pPr>
              <w:jc w:val="left"/>
              <w:rPr>
                <w:lang w:val="en-GB"/>
              </w:rPr>
            </w:pPr>
            <w:r w:rsidRPr="00CE46F6">
              <w:rPr>
                <w:lang w:val="en-GB"/>
              </w:rPr>
              <w:t>Chart 7</w:t>
            </w:r>
          </w:p>
        </w:tc>
        <w:tc>
          <w:tcPr>
            <w:tcW w:w="1985" w:type="pct"/>
          </w:tcPr>
          <w:p w:rsidR="00216395" w:rsidRPr="00CE46F6" w:rsidRDefault="00216395" w:rsidP="002336B2">
            <w:pPr>
              <w:jc w:val="left"/>
              <w:rPr>
                <w:b/>
                <w:lang w:val="en-GB"/>
              </w:rPr>
            </w:pPr>
            <w:r w:rsidRPr="00CE46F6">
              <w:rPr>
                <w:b/>
                <w:lang w:val="en-GB"/>
              </w:rPr>
              <w:t xml:space="preserve">Construction production and value of new orders </w:t>
            </w:r>
            <w:r w:rsidRPr="00CE46F6">
              <w:rPr>
                <w:bCs/>
                <w:lang w:val="en-GB"/>
              </w:rPr>
              <w:t>(y/y, in %)</w:t>
            </w:r>
          </w:p>
        </w:tc>
        <w:tc>
          <w:tcPr>
            <w:tcW w:w="493" w:type="pct"/>
          </w:tcPr>
          <w:p w:rsidR="00216395" w:rsidRPr="00CE46F6" w:rsidRDefault="00216395" w:rsidP="002336B2">
            <w:pPr>
              <w:jc w:val="left"/>
              <w:rPr>
                <w:lang w:val="en-GB"/>
              </w:rPr>
            </w:pPr>
            <w:r w:rsidRPr="00CE46F6">
              <w:rPr>
                <w:lang w:val="en-GB"/>
              </w:rPr>
              <w:t>Chart 8</w:t>
            </w:r>
          </w:p>
        </w:tc>
        <w:tc>
          <w:tcPr>
            <w:tcW w:w="2000" w:type="pct"/>
          </w:tcPr>
          <w:p w:rsidR="00216395" w:rsidRPr="00CE46F6" w:rsidRDefault="00216395" w:rsidP="002336B2">
            <w:pPr>
              <w:jc w:val="left"/>
              <w:rPr>
                <w:b/>
                <w:lang w:val="en-GB"/>
              </w:rPr>
            </w:pPr>
            <w:r w:rsidRPr="00CE46F6">
              <w:rPr>
                <w:b/>
                <w:lang w:val="en-GB"/>
              </w:rPr>
              <w:t xml:space="preserve">Retail sales incl. </w:t>
            </w:r>
            <w:proofErr w:type="spellStart"/>
            <w:r w:rsidRPr="00CE46F6">
              <w:rPr>
                <w:b/>
                <w:lang w:val="en-GB"/>
              </w:rPr>
              <w:t>motoristic</w:t>
            </w:r>
            <w:proofErr w:type="spellEnd"/>
            <w:r w:rsidRPr="00CE46F6">
              <w:rPr>
                <w:b/>
                <w:lang w:val="en-GB"/>
              </w:rPr>
              <w:t xml:space="preserve"> segment </w:t>
            </w:r>
            <w:r w:rsidRPr="00CE46F6">
              <w:rPr>
                <w:bCs/>
                <w:lang w:val="en-GB"/>
              </w:rPr>
              <w:t>(in real terms, y/y in %)</w:t>
            </w:r>
          </w:p>
        </w:tc>
      </w:tr>
      <w:tr w:rsidR="00216395" w:rsidRPr="00CE46F6" w:rsidTr="002336B2">
        <w:tc>
          <w:tcPr>
            <w:tcW w:w="2506" w:type="pct"/>
            <w:gridSpan w:val="2"/>
          </w:tcPr>
          <w:p w:rsidR="00216395" w:rsidRPr="00CE46F6" w:rsidRDefault="00216395" w:rsidP="002336B2">
            <w:pPr>
              <w:pStyle w:val="Textpoznpodarou"/>
              <w:jc w:val="both"/>
              <w:rPr>
                <w:lang w:val="en-GB"/>
              </w:rPr>
            </w:pPr>
            <w:r w:rsidRPr="008A0A50">
              <w:pict>
                <v:shape id="_x0000_i1027" type="#_x0000_t75" style="width:237.75pt;height:177.75pt">
                  <v:imagedata r:id="rId10" o:title=""/>
                </v:shape>
              </w:pict>
            </w:r>
          </w:p>
        </w:tc>
        <w:tc>
          <w:tcPr>
            <w:tcW w:w="2494" w:type="pct"/>
            <w:gridSpan w:val="2"/>
          </w:tcPr>
          <w:p w:rsidR="00216395" w:rsidRPr="00CE46F6" w:rsidRDefault="00216395" w:rsidP="002336B2">
            <w:pPr>
              <w:pStyle w:val="Textpoznpodarou"/>
              <w:jc w:val="both"/>
              <w:rPr>
                <w:lang w:val="en-GB"/>
              </w:rPr>
            </w:pPr>
            <w:r w:rsidRPr="00DE3C38">
              <w:pict>
                <v:shape id="_x0000_i1028" type="#_x0000_t75" style="width:240.75pt;height:177.75pt">
                  <v:imagedata r:id="rId11" o:title=""/>
                </v:shape>
              </w:pict>
            </w:r>
          </w:p>
        </w:tc>
      </w:tr>
      <w:tr w:rsidR="00216395" w:rsidRPr="00CE46F6" w:rsidTr="002336B2">
        <w:tc>
          <w:tcPr>
            <w:tcW w:w="5000" w:type="pct"/>
            <w:gridSpan w:val="4"/>
          </w:tcPr>
          <w:p w:rsidR="00216395" w:rsidRPr="00CE46F6" w:rsidRDefault="00216395" w:rsidP="002336B2">
            <w:pPr>
              <w:pStyle w:val="Zhlav"/>
              <w:jc w:val="right"/>
              <w:rPr>
                <w:rFonts w:ascii="Arial" w:eastAsia="Times New Roman" w:hAnsi="Arial" w:cs="Arial"/>
                <w:sz w:val="18"/>
                <w:szCs w:val="18"/>
                <w:lang w:val="en-GB"/>
              </w:rPr>
            </w:pPr>
            <w:r w:rsidRPr="00CE46F6">
              <w:rPr>
                <w:rFonts w:ascii="Arial" w:eastAsia="Times New Roman" w:hAnsi="Arial" w:cs="Arial"/>
                <w:sz w:val="18"/>
                <w:szCs w:val="18"/>
                <w:lang w:val="en-GB"/>
              </w:rPr>
              <w:t>* data adjusted for number of working and calendar days                                                                                  Source: CZSO</w:t>
            </w:r>
          </w:p>
        </w:tc>
      </w:tr>
    </w:tbl>
    <w:p w:rsidR="00216395" w:rsidRPr="00CE46F6" w:rsidRDefault="00216395" w:rsidP="00216395">
      <w:pPr>
        <w:rPr>
          <w:lang w:val="en-GB"/>
        </w:rPr>
      </w:pPr>
    </w:p>
    <w:p w:rsidR="00216395" w:rsidRPr="00CE46F6" w:rsidRDefault="00216395" w:rsidP="00216395">
      <w:pPr>
        <w:rPr>
          <w:b/>
          <w:lang w:val="en-GB" w:eastAsia="ar-SA"/>
        </w:rPr>
      </w:pPr>
    </w:p>
    <w:bookmarkEnd w:id="0"/>
    <w:bookmarkEnd w:id="1"/>
    <w:p w:rsidR="008F1658" w:rsidRPr="006C3EB2" w:rsidRDefault="008F1658" w:rsidP="006C3EB2"/>
    <w:sectPr w:rsidR="008F1658" w:rsidRPr="006C3EB2" w:rsidSect="00F246D9">
      <w:headerReference w:type="even" r:id="rId12"/>
      <w:headerReference w:type="default" r:id="rId13"/>
      <w:footerReference w:type="even" r:id="rId14"/>
      <w:footerReference w:type="default" r:id="rId15"/>
      <w:pgSz w:w="11906" w:h="16838" w:code="9"/>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D21" w:rsidRDefault="00547D21" w:rsidP="005D26EF">
      <w:r>
        <w:separator/>
      </w:r>
    </w:p>
  </w:endnote>
  <w:endnote w:type="continuationSeparator" w:id="0">
    <w:p w:rsidR="00547D21" w:rsidRDefault="00547D21" w:rsidP="005D2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2ED" w:rsidRDefault="006C5E6B" w:rsidP="00281F36">
    <w:pPr>
      <w:pStyle w:val="Zpat"/>
      <w:tabs>
        <w:tab w:val="clear" w:pos="4536"/>
        <w:tab w:val="clear" w:pos="9072"/>
        <w:tab w:val="center" w:pos="4820"/>
        <w:tab w:val="right" w:pos="9639"/>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45.7pt;margin-top:-4.15pt;width:36.75pt;height:17.25pt;z-index:1">
          <v:imagedata r:id="rId1" o:title="3"/>
        </v:shape>
      </w:pict>
    </w:r>
    <w:r w:rsidRPr="005A21E0">
      <w:rPr>
        <w:rFonts w:ascii="Arial" w:hAnsi="Arial" w:cs="Arial"/>
        <w:sz w:val="16"/>
        <w:szCs w:val="16"/>
      </w:rPr>
      <w:fldChar w:fldCharType="begin"/>
    </w:r>
    <w:r w:rsidR="004072ED" w:rsidRPr="005A21E0">
      <w:rPr>
        <w:rFonts w:ascii="Arial" w:hAnsi="Arial" w:cs="Arial"/>
        <w:sz w:val="16"/>
        <w:szCs w:val="16"/>
      </w:rPr>
      <w:instrText>PAGE   \* MERGEFORMAT</w:instrText>
    </w:r>
    <w:r w:rsidRPr="005A21E0">
      <w:rPr>
        <w:rFonts w:ascii="Arial" w:hAnsi="Arial" w:cs="Arial"/>
        <w:sz w:val="16"/>
        <w:szCs w:val="16"/>
      </w:rPr>
      <w:fldChar w:fldCharType="separate"/>
    </w:r>
    <w:r w:rsidR="004072ED">
      <w:rPr>
        <w:rFonts w:ascii="Arial" w:hAnsi="Arial" w:cs="Arial"/>
        <w:noProof/>
        <w:sz w:val="16"/>
        <w:szCs w:val="16"/>
      </w:rPr>
      <w:t>74</w:t>
    </w:r>
    <w:r w:rsidRPr="005A21E0">
      <w:rPr>
        <w:rFonts w:ascii="Arial" w:hAnsi="Arial" w:cs="Arial"/>
        <w:sz w:val="16"/>
        <w:szCs w:val="16"/>
      </w:rPr>
      <w:fldChar w:fldCharType="end"/>
    </w:r>
    <w:r w:rsidR="004072ED">
      <w:rPr>
        <w:rFonts w:ascii="Arial" w:hAnsi="Arial" w:cs="Arial"/>
        <w:sz w:val="16"/>
        <w:szCs w:val="16"/>
      </w:rPr>
      <w:tab/>
      <w:t>2013</w:t>
    </w:r>
    <w:r w:rsidR="004072ED">
      <w:tab/>
    </w:r>
    <w:r w:rsidR="004072ED">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2ED" w:rsidRDefault="006C5E6B" w:rsidP="00281F36">
    <w:pPr>
      <w:pStyle w:val="Zpat"/>
      <w:tabs>
        <w:tab w:val="clear" w:pos="4536"/>
        <w:tab w:val="clear" w:pos="9072"/>
        <w:tab w:val="left" w:pos="1134"/>
        <w:tab w:val="left" w:pos="1920"/>
        <w:tab w:val="center" w:pos="4820"/>
        <w:tab w:val="right" w:pos="9639"/>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7.1pt;width:39pt;height:21pt;z-index:2">
          <v:imagedata r:id="rId1" o:title="3"/>
        </v:shape>
      </w:pict>
    </w:r>
    <w:r w:rsidR="004072ED">
      <w:tab/>
    </w:r>
    <w:r w:rsidR="004072ED">
      <w:tab/>
    </w:r>
  </w:p>
  <w:p w:rsidR="004072ED" w:rsidRDefault="004072ED" w:rsidP="00281F36">
    <w:pPr>
      <w:pStyle w:val="Zpat"/>
      <w:tabs>
        <w:tab w:val="clear" w:pos="4536"/>
        <w:tab w:val="clear" w:pos="9072"/>
        <w:tab w:val="left" w:pos="1134"/>
        <w:tab w:val="left" w:pos="1920"/>
        <w:tab w:val="center" w:pos="4820"/>
        <w:tab w:val="right" w:pos="9639"/>
      </w:tabs>
    </w:pP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sidR="008D0040">
      <w:rPr>
        <w:rFonts w:ascii="Arial" w:hAnsi="Arial" w:cs="Arial"/>
        <w:sz w:val="16"/>
        <w:szCs w:val="16"/>
      </w:rPr>
      <w:t>March</w:t>
    </w:r>
    <w:proofErr w:type="spellEnd"/>
    <w:r w:rsidR="0066041C">
      <w:rPr>
        <w:rFonts w:ascii="Arial" w:hAnsi="Arial" w:cs="Arial"/>
        <w:sz w:val="16"/>
        <w:szCs w:val="16"/>
      </w:rPr>
      <w:t xml:space="preserve"> </w:t>
    </w:r>
    <w:r>
      <w:rPr>
        <w:rFonts w:ascii="Arial" w:hAnsi="Arial" w:cs="Arial"/>
        <w:sz w:val="16"/>
        <w:szCs w:val="16"/>
      </w:rPr>
      <w:t>201</w:t>
    </w:r>
    <w:r w:rsidR="0066041C">
      <w:rPr>
        <w:rFonts w:ascii="Arial" w:hAnsi="Arial" w:cs="Arial"/>
        <w:sz w:val="16"/>
        <w:szCs w:val="16"/>
      </w:rPr>
      <w:t>4</w:t>
    </w:r>
    <w:r>
      <w:tab/>
    </w:r>
    <w:r w:rsidR="006C5E6B" w:rsidRPr="00B6608F">
      <w:rPr>
        <w:rFonts w:ascii="Arial" w:hAnsi="Arial" w:cs="Arial"/>
        <w:sz w:val="16"/>
        <w:szCs w:val="16"/>
      </w:rPr>
      <w:fldChar w:fldCharType="begin"/>
    </w:r>
    <w:r w:rsidRPr="00B6608F">
      <w:rPr>
        <w:rFonts w:ascii="Arial" w:hAnsi="Arial" w:cs="Arial"/>
        <w:sz w:val="16"/>
        <w:szCs w:val="16"/>
      </w:rPr>
      <w:instrText>PAGE   \* MERGEFORMAT</w:instrText>
    </w:r>
    <w:r w:rsidR="006C5E6B" w:rsidRPr="00B6608F">
      <w:rPr>
        <w:rFonts w:ascii="Arial" w:hAnsi="Arial" w:cs="Arial"/>
        <w:sz w:val="16"/>
        <w:szCs w:val="16"/>
      </w:rPr>
      <w:fldChar w:fldCharType="separate"/>
    </w:r>
    <w:r w:rsidR="003B294B">
      <w:rPr>
        <w:rFonts w:ascii="Arial" w:hAnsi="Arial" w:cs="Arial"/>
        <w:noProof/>
        <w:sz w:val="16"/>
        <w:szCs w:val="16"/>
      </w:rPr>
      <w:t>4</w:t>
    </w:r>
    <w:r w:rsidR="006C5E6B" w:rsidRPr="00B6608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D21" w:rsidRDefault="00547D21" w:rsidP="005D26EF">
      <w:r>
        <w:separator/>
      </w:r>
    </w:p>
  </w:footnote>
  <w:footnote w:type="continuationSeparator" w:id="0">
    <w:p w:rsidR="00547D21" w:rsidRDefault="00547D21" w:rsidP="005D26EF">
      <w:r>
        <w:continuationSeparator/>
      </w:r>
    </w:p>
  </w:footnote>
  <w:footnote w:id="1">
    <w:p w:rsidR="00216395" w:rsidRPr="008E2DC4" w:rsidRDefault="00216395" w:rsidP="00216395">
      <w:pPr>
        <w:pStyle w:val="Textpoznpodarou"/>
      </w:pPr>
      <w:r>
        <w:rPr>
          <w:rStyle w:val="Znakapoznpodarou"/>
        </w:rPr>
        <w:footnoteRef/>
      </w:r>
      <w:r>
        <w:t xml:space="preserve"> </w:t>
      </w:r>
      <w:r w:rsidRPr="008E2DC4">
        <w:rPr>
          <w:sz w:val="16"/>
          <w:szCs w:val="16"/>
        </w:rPr>
        <w:t xml:space="preserve">Do not </w:t>
      </w:r>
      <w:proofErr w:type="spellStart"/>
      <w:r w:rsidRPr="008E2DC4">
        <w:rPr>
          <w:sz w:val="16"/>
          <w:szCs w:val="16"/>
        </w:rPr>
        <w:t>contain</w:t>
      </w:r>
      <w:proofErr w:type="spellEnd"/>
      <w:r w:rsidRPr="008E2DC4">
        <w:rPr>
          <w:sz w:val="16"/>
          <w:szCs w:val="16"/>
        </w:rPr>
        <w:t xml:space="preserve"> </w:t>
      </w:r>
      <w:proofErr w:type="spellStart"/>
      <w:r w:rsidRPr="008E2DC4">
        <w:rPr>
          <w:sz w:val="16"/>
          <w:szCs w:val="16"/>
        </w:rPr>
        <w:t>the</w:t>
      </w:r>
      <w:proofErr w:type="spellEnd"/>
      <w:r w:rsidRPr="008E2DC4">
        <w:rPr>
          <w:sz w:val="16"/>
          <w:szCs w:val="16"/>
        </w:rPr>
        <w:t xml:space="preserve"> </w:t>
      </w:r>
      <w:proofErr w:type="spellStart"/>
      <w:r w:rsidRPr="008E2DC4">
        <w:rPr>
          <w:sz w:val="16"/>
          <w:szCs w:val="16"/>
        </w:rPr>
        <w:t>activities</w:t>
      </w:r>
      <w:proofErr w:type="spellEnd"/>
      <w:r w:rsidRPr="008E2DC4">
        <w:rPr>
          <w:sz w:val="16"/>
          <w:szCs w:val="16"/>
        </w:rPr>
        <w:t xml:space="preserve"> </w:t>
      </w:r>
      <w:proofErr w:type="spellStart"/>
      <w:r w:rsidRPr="008E2DC4">
        <w:rPr>
          <w:sz w:val="16"/>
          <w:szCs w:val="16"/>
        </w:rPr>
        <w:t>of</w:t>
      </w:r>
      <w:proofErr w:type="spellEnd"/>
      <w:r w:rsidRPr="008E2DC4">
        <w:rPr>
          <w:sz w:val="16"/>
          <w:szCs w:val="16"/>
        </w:rPr>
        <w:t xml:space="preserve"> </w:t>
      </w:r>
      <w:proofErr w:type="spellStart"/>
      <w:r w:rsidRPr="008E2DC4">
        <w:rPr>
          <w:sz w:val="16"/>
          <w:szCs w:val="16"/>
        </w:rPr>
        <w:t>trade</w:t>
      </w:r>
      <w:proofErr w:type="spellEnd"/>
      <w:r w:rsidRPr="008E2DC4">
        <w:rPr>
          <w:sz w:val="16"/>
          <w:szCs w:val="16"/>
        </w:rPr>
        <w:t xml:space="preserve">, </w:t>
      </w:r>
      <w:proofErr w:type="spellStart"/>
      <w:r w:rsidRPr="008E2DC4">
        <w:rPr>
          <w:sz w:val="16"/>
          <w:szCs w:val="16"/>
        </w:rPr>
        <w:t>financial</w:t>
      </w:r>
      <w:proofErr w:type="spellEnd"/>
      <w:r w:rsidRPr="008E2DC4">
        <w:rPr>
          <w:sz w:val="16"/>
          <w:szCs w:val="16"/>
        </w:rPr>
        <w:t xml:space="preserve"> </w:t>
      </w:r>
      <w:proofErr w:type="spellStart"/>
      <w:r w:rsidRPr="008E2DC4">
        <w:rPr>
          <w:sz w:val="16"/>
          <w:szCs w:val="16"/>
        </w:rPr>
        <w:t>and</w:t>
      </w:r>
      <w:proofErr w:type="spellEnd"/>
      <w:r w:rsidRPr="008E2DC4">
        <w:rPr>
          <w:sz w:val="16"/>
          <w:szCs w:val="16"/>
        </w:rPr>
        <w:t xml:space="preserve"> </w:t>
      </w:r>
      <w:proofErr w:type="spellStart"/>
      <w:r w:rsidRPr="008E2DC4">
        <w:rPr>
          <w:sz w:val="16"/>
          <w:szCs w:val="16"/>
        </w:rPr>
        <w:t>insurance</w:t>
      </w:r>
      <w:proofErr w:type="spellEnd"/>
      <w:r w:rsidRPr="008E2DC4">
        <w:rPr>
          <w:sz w:val="16"/>
          <w:szCs w:val="16"/>
        </w:rPr>
        <w:t xml:space="preserve"> </w:t>
      </w:r>
      <w:proofErr w:type="spellStart"/>
      <w:r w:rsidRPr="008E2DC4">
        <w:rPr>
          <w:sz w:val="16"/>
          <w:szCs w:val="16"/>
        </w:rPr>
        <w:t>activities</w:t>
      </w:r>
      <w:proofErr w:type="spellEnd"/>
      <w:r w:rsidRPr="008E2DC4">
        <w:rPr>
          <w:sz w:val="16"/>
          <w:szCs w:val="16"/>
        </w:rPr>
        <w:t xml:space="preserve">, science </w:t>
      </w:r>
      <w:proofErr w:type="spellStart"/>
      <w:r w:rsidRPr="008E2DC4">
        <w:rPr>
          <w:sz w:val="16"/>
          <w:szCs w:val="16"/>
        </w:rPr>
        <w:t>and</w:t>
      </w:r>
      <w:proofErr w:type="spellEnd"/>
      <w:r w:rsidRPr="008E2DC4">
        <w:rPr>
          <w:sz w:val="16"/>
          <w:szCs w:val="16"/>
        </w:rPr>
        <w:t xml:space="preserve"> </w:t>
      </w:r>
      <w:proofErr w:type="spellStart"/>
      <w:r w:rsidRPr="008E2DC4">
        <w:rPr>
          <w:sz w:val="16"/>
          <w:szCs w:val="16"/>
        </w:rPr>
        <w:t>research</w:t>
      </w:r>
      <w:proofErr w:type="spellEnd"/>
      <w:r w:rsidRPr="008E2DC4">
        <w:rPr>
          <w:sz w:val="16"/>
          <w:szCs w:val="16"/>
        </w:rPr>
        <w:t xml:space="preserve"> </w:t>
      </w:r>
      <w:proofErr w:type="spellStart"/>
      <w:r w:rsidRPr="008E2DC4">
        <w:rPr>
          <w:sz w:val="16"/>
          <w:szCs w:val="16"/>
        </w:rPr>
        <w:t>and</w:t>
      </w:r>
      <w:proofErr w:type="spellEnd"/>
      <w:r w:rsidRPr="008E2DC4">
        <w:rPr>
          <w:sz w:val="16"/>
          <w:szCs w:val="16"/>
        </w:rPr>
        <w:t xml:space="preserve"> </w:t>
      </w:r>
      <w:proofErr w:type="spellStart"/>
      <w:r w:rsidRPr="008E2DC4">
        <w:rPr>
          <w:sz w:val="16"/>
          <w:szCs w:val="16"/>
        </w:rPr>
        <w:t>also</w:t>
      </w:r>
      <w:proofErr w:type="spellEnd"/>
      <w:r w:rsidRPr="008E2DC4">
        <w:rPr>
          <w:sz w:val="16"/>
          <w:szCs w:val="16"/>
        </w:rPr>
        <w:t xml:space="preserve"> </w:t>
      </w:r>
      <w:proofErr w:type="spellStart"/>
      <w:r w:rsidRPr="008E2DC4">
        <w:rPr>
          <w:sz w:val="16"/>
          <w:szCs w:val="16"/>
        </w:rPr>
        <w:t>the</w:t>
      </w:r>
      <w:proofErr w:type="spellEnd"/>
      <w:r w:rsidRPr="008E2DC4">
        <w:rPr>
          <w:sz w:val="16"/>
          <w:szCs w:val="16"/>
        </w:rPr>
        <w:t xml:space="preserve"> public </w:t>
      </w:r>
      <w:proofErr w:type="spellStart"/>
      <w:r w:rsidRPr="008E2DC4">
        <w:rPr>
          <w:sz w:val="16"/>
          <w:szCs w:val="16"/>
        </w:rPr>
        <w:t>services</w:t>
      </w:r>
      <w:proofErr w:type="spellEnd"/>
      <w:r>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6518"/>
      <w:gridCol w:w="3260"/>
    </w:tblGrid>
    <w:tr w:rsidR="004072ED" w:rsidRPr="00E53687" w:rsidTr="00281F36">
      <w:tc>
        <w:tcPr>
          <w:tcW w:w="6518" w:type="dxa"/>
        </w:tcPr>
        <w:p w:rsidR="004072ED" w:rsidRPr="00E53687" w:rsidRDefault="004072ED" w:rsidP="00281F36">
          <w:pPr>
            <w:pStyle w:val="Zhlav"/>
            <w:tabs>
              <w:tab w:val="clear" w:pos="4536"/>
              <w:tab w:val="clear" w:pos="9072"/>
              <w:tab w:val="left" w:pos="-6379"/>
              <w:tab w:val="center" w:pos="4820"/>
              <w:tab w:val="right" w:pos="9639"/>
            </w:tabs>
            <w:rPr>
              <w:rFonts w:ascii="Arial" w:hAnsi="Arial" w:cs="Arial"/>
              <w:b/>
              <w:sz w:val="16"/>
              <w:szCs w:val="16"/>
            </w:rPr>
          </w:pPr>
          <w:r>
            <w:rPr>
              <w:rFonts w:ascii="Arial" w:hAnsi="Arial" w:cs="Arial"/>
              <w:b/>
              <w:sz w:val="16"/>
              <w:szCs w:val="16"/>
            </w:rPr>
            <w:t>Tendence a faktory makroekonomického vývoje a kvality života v ČR v roce 2012</w:t>
          </w:r>
        </w:p>
      </w:tc>
      <w:tc>
        <w:tcPr>
          <w:tcW w:w="3260" w:type="dxa"/>
        </w:tcPr>
        <w:p w:rsidR="004072ED" w:rsidRPr="00E53687" w:rsidRDefault="004072ED" w:rsidP="00281F36">
          <w:pPr>
            <w:pStyle w:val="Zhlav"/>
            <w:tabs>
              <w:tab w:val="clear" w:pos="4536"/>
              <w:tab w:val="clear" w:pos="9072"/>
              <w:tab w:val="left" w:pos="-6379"/>
              <w:tab w:val="center" w:pos="4820"/>
              <w:tab w:val="right" w:pos="9639"/>
            </w:tabs>
            <w:jc w:val="right"/>
            <w:rPr>
              <w:rFonts w:ascii="Arial" w:hAnsi="Arial" w:cs="Arial"/>
              <w:sz w:val="16"/>
              <w:szCs w:val="16"/>
            </w:rPr>
          </w:pPr>
          <w:r w:rsidRPr="00E53687">
            <w:rPr>
              <w:rFonts w:ascii="Arial" w:hAnsi="Arial" w:cs="Arial"/>
              <w:sz w:val="16"/>
              <w:szCs w:val="16"/>
            </w:rPr>
            <w:t>kód 1109-12</w:t>
          </w:r>
        </w:p>
      </w:tc>
    </w:tr>
  </w:tbl>
  <w:p w:rsidR="004072ED" w:rsidRPr="00190394" w:rsidRDefault="004072ED" w:rsidP="00281F36">
    <w:pPr>
      <w:pStyle w:val="Zhlav"/>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6518"/>
      <w:gridCol w:w="3260"/>
    </w:tblGrid>
    <w:tr w:rsidR="004072ED" w:rsidRPr="00E53687" w:rsidTr="00281F36">
      <w:tc>
        <w:tcPr>
          <w:tcW w:w="6518" w:type="dxa"/>
        </w:tcPr>
        <w:p w:rsidR="004072ED" w:rsidRPr="00E53687" w:rsidRDefault="008D0040" w:rsidP="008D0040">
          <w:pPr>
            <w:pStyle w:val="Zhlav"/>
            <w:tabs>
              <w:tab w:val="clear" w:pos="4536"/>
              <w:tab w:val="clear" w:pos="9072"/>
              <w:tab w:val="left" w:pos="-6379"/>
              <w:tab w:val="center" w:pos="4820"/>
              <w:tab w:val="right" w:pos="9639"/>
            </w:tabs>
            <w:rPr>
              <w:rFonts w:ascii="Arial" w:hAnsi="Arial" w:cs="Arial"/>
              <w:b/>
              <w:sz w:val="16"/>
              <w:szCs w:val="16"/>
            </w:rPr>
          </w:pPr>
          <w:proofErr w:type="spellStart"/>
          <w:r>
            <w:rPr>
              <w:rFonts w:ascii="Arial" w:hAnsi="Arial" w:cs="Arial"/>
              <w:b/>
              <w:sz w:val="16"/>
              <w:szCs w:val="16"/>
            </w:rPr>
            <w:t>The</w:t>
          </w:r>
          <w:proofErr w:type="spellEnd"/>
          <w:r>
            <w:rPr>
              <w:rFonts w:ascii="Arial" w:hAnsi="Arial" w:cs="Arial"/>
              <w:b/>
              <w:sz w:val="16"/>
              <w:szCs w:val="16"/>
            </w:rPr>
            <w:t xml:space="preserve"> </w:t>
          </w:r>
          <w:proofErr w:type="spellStart"/>
          <w:r>
            <w:rPr>
              <w:rFonts w:ascii="Arial" w:hAnsi="Arial" w:cs="Arial"/>
              <w:b/>
              <w:sz w:val="16"/>
              <w:szCs w:val="16"/>
            </w:rPr>
            <w:t>Czech</w:t>
          </w:r>
          <w:proofErr w:type="spellEnd"/>
          <w:r>
            <w:rPr>
              <w:rFonts w:ascii="Arial" w:hAnsi="Arial" w:cs="Arial"/>
              <w:b/>
              <w:sz w:val="16"/>
              <w:szCs w:val="16"/>
            </w:rPr>
            <w:t xml:space="preserve"> </w:t>
          </w:r>
          <w:proofErr w:type="spellStart"/>
          <w:r>
            <w:rPr>
              <w:rFonts w:ascii="Arial" w:hAnsi="Arial" w:cs="Arial"/>
              <w:b/>
              <w:sz w:val="16"/>
              <w:szCs w:val="16"/>
            </w:rPr>
            <w:t>Economy</w:t>
          </w:r>
          <w:proofErr w:type="spellEnd"/>
          <w:r>
            <w:rPr>
              <w:rFonts w:ascii="Arial" w:hAnsi="Arial" w:cs="Arial"/>
              <w:b/>
              <w:sz w:val="16"/>
              <w:szCs w:val="16"/>
            </w:rPr>
            <w:t xml:space="preserve"> </w:t>
          </w:r>
          <w:proofErr w:type="spellStart"/>
          <w:r>
            <w:rPr>
              <w:rFonts w:ascii="Arial" w:hAnsi="Arial" w:cs="Arial"/>
              <w:b/>
              <w:sz w:val="16"/>
              <w:szCs w:val="16"/>
            </w:rPr>
            <w:t>Development</w:t>
          </w:r>
          <w:proofErr w:type="spellEnd"/>
          <w:r>
            <w:rPr>
              <w:rFonts w:ascii="Arial" w:hAnsi="Arial" w:cs="Arial"/>
              <w:b/>
              <w:sz w:val="16"/>
              <w:szCs w:val="16"/>
            </w:rPr>
            <w:t xml:space="preserve"> in 2013 </w:t>
          </w:r>
        </w:p>
      </w:tc>
      <w:tc>
        <w:tcPr>
          <w:tcW w:w="3260" w:type="dxa"/>
        </w:tcPr>
        <w:p w:rsidR="004072ED" w:rsidRPr="00E53687" w:rsidRDefault="008D0040" w:rsidP="008D0040">
          <w:pPr>
            <w:pStyle w:val="Zhlav"/>
            <w:tabs>
              <w:tab w:val="clear" w:pos="4536"/>
              <w:tab w:val="clear" w:pos="9072"/>
              <w:tab w:val="left" w:pos="-6379"/>
              <w:tab w:val="center" w:pos="4820"/>
              <w:tab w:val="right" w:pos="9639"/>
            </w:tabs>
            <w:jc w:val="right"/>
            <w:rPr>
              <w:rFonts w:ascii="Arial" w:hAnsi="Arial" w:cs="Arial"/>
              <w:sz w:val="16"/>
              <w:szCs w:val="16"/>
            </w:rPr>
          </w:pPr>
          <w:proofErr w:type="spellStart"/>
          <w:r>
            <w:rPr>
              <w:rFonts w:ascii="Arial" w:hAnsi="Arial" w:cs="Arial"/>
              <w:sz w:val="16"/>
              <w:szCs w:val="16"/>
            </w:rPr>
            <w:t>Code</w:t>
          </w:r>
          <w:proofErr w:type="spellEnd"/>
          <w:r>
            <w:rPr>
              <w:rFonts w:ascii="Arial" w:hAnsi="Arial" w:cs="Arial"/>
              <w:sz w:val="16"/>
              <w:szCs w:val="16"/>
            </w:rPr>
            <w:t xml:space="preserve"> a-1120-13</w:t>
          </w:r>
        </w:p>
      </w:tc>
    </w:tr>
  </w:tbl>
  <w:p w:rsidR="004072ED" w:rsidRPr="00190394" w:rsidRDefault="004072ED" w:rsidP="00281F36">
    <w:pPr>
      <w:pStyle w:val="Zhlav"/>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F6E"/>
    <w:multiLevelType w:val="multilevel"/>
    <w:tmpl w:val="4ADC490C"/>
    <w:lvl w:ilvl="0">
      <w:start w:val="1"/>
      <w:numFmt w:val="decimal"/>
      <w:lvlText w:val="%1"/>
      <w:lvlJc w:val="left"/>
      <w:pPr>
        <w:ind w:left="431" w:hanging="431"/>
      </w:pPr>
      <w:rPr>
        <w:rFonts w:hint="default"/>
      </w:rPr>
    </w:lvl>
    <w:lvl w:ilvl="1">
      <w:start w:val="1"/>
      <w:numFmt w:val="decimal"/>
      <w:pStyle w:val="Nadpis2"/>
      <w:lvlText w:val="%1.%2"/>
      <w:lvlJc w:val="left"/>
      <w:pPr>
        <w:ind w:left="431" w:hanging="431"/>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szCs w:val="20"/>
        <w:u w:val="none"/>
        <w:vertAlign w:val="baseline"/>
        <w:em w:val="none"/>
      </w:rPr>
    </w:lvl>
    <w:lvl w:ilvl="2">
      <w:start w:val="1"/>
      <w:numFmt w:val="decimal"/>
      <w:pStyle w:val="Nadpis3"/>
      <w:lvlText w:val="%1.%2.%3"/>
      <w:lvlJc w:val="left"/>
      <w:pPr>
        <w:ind w:left="431" w:hanging="431"/>
      </w:pPr>
      <w:rPr>
        <w:rFonts w:hint="default"/>
      </w:rPr>
    </w:lvl>
    <w:lvl w:ilvl="3">
      <w:start w:val="1"/>
      <w:numFmt w:val="decimal"/>
      <w:pStyle w:val="Nadpis4"/>
      <w:lvlText w:val="%1.%2.%3.%4"/>
      <w:lvlJc w:val="left"/>
      <w:pPr>
        <w:ind w:left="431" w:hanging="431"/>
      </w:pPr>
      <w:rPr>
        <w:rFonts w:hint="default"/>
      </w:rPr>
    </w:lvl>
    <w:lvl w:ilvl="4">
      <w:start w:val="1"/>
      <w:numFmt w:val="decimal"/>
      <w:pStyle w:val="Nadpis5"/>
      <w:lvlText w:val="%1.%2.%3.%4.%5"/>
      <w:lvlJc w:val="left"/>
      <w:pPr>
        <w:ind w:left="431" w:hanging="431"/>
      </w:pPr>
      <w:rPr>
        <w:rFonts w:hint="default"/>
      </w:rPr>
    </w:lvl>
    <w:lvl w:ilvl="5">
      <w:start w:val="1"/>
      <w:numFmt w:val="decimal"/>
      <w:pStyle w:val="Nadpis6"/>
      <w:lvlText w:val="%1.%2.%3.%4.%5.%6"/>
      <w:lvlJc w:val="left"/>
      <w:pPr>
        <w:ind w:left="431" w:hanging="431"/>
      </w:pPr>
      <w:rPr>
        <w:rFonts w:hint="default"/>
      </w:rPr>
    </w:lvl>
    <w:lvl w:ilvl="6">
      <w:start w:val="1"/>
      <w:numFmt w:val="decimal"/>
      <w:pStyle w:val="Nadpis7"/>
      <w:lvlText w:val="%1.%2.%3.%4.%5.%6.%7"/>
      <w:lvlJc w:val="left"/>
      <w:pPr>
        <w:ind w:left="431" w:hanging="431"/>
      </w:pPr>
      <w:rPr>
        <w:rFonts w:hint="default"/>
      </w:rPr>
    </w:lvl>
    <w:lvl w:ilvl="7">
      <w:start w:val="1"/>
      <w:numFmt w:val="decimal"/>
      <w:pStyle w:val="Nadpis8"/>
      <w:lvlText w:val="%1.%2.%3.%4.%5.%6.%7.%8"/>
      <w:lvlJc w:val="left"/>
      <w:pPr>
        <w:ind w:left="431" w:hanging="431"/>
      </w:pPr>
      <w:rPr>
        <w:rFonts w:hint="default"/>
      </w:rPr>
    </w:lvl>
    <w:lvl w:ilvl="8">
      <w:start w:val="1"/>
      <w:numFmt w:val="decimal"/>
      <w:pStyle w:val="Nadpis9"/>
      <w:lvlText w:val="%1.%2.%3.%4.%5.%6.%7.%8.%9"/>
      <w:lvlJc w:val="left"/>
      <w:pPr>
        <w:ind w:left="431" w:hanging="431"/>
      </w:pPr>
      <w:rPr>
        <w:rFonts w:hint="default"/>
      </w:rPr>
    </w:lvl>
  </w:abstractNum>
  <w:abstractNum w:abstractNumId="1">
    <w:nsid w:val="1A1708FB"/>
    <w:multiLevelType w:val="multilevel"/>
    <w:tmpl w:val="6F384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600570"/>
    <w:multiLevelType w:val="multilevel"/>
    <w:tmpl w:val="13F28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2AE350D"/>
    <w:multiLevelType w:val="hybridMultilevel"/>
    <w:tmpl w:val="F07EC35A"/>
    <w:lvl w:ilvl="0" w:tplc="CF28DDA2">
      <w:start w:val="1"/>
      <w:numFmt w:val="bullet"/>
      <w:lvlText w:val=""/>
      <w:lvlJc w:val="left"/>
      <w:pPr>
        <w:tabs>
          <w:tab w:val="num" w:pos="276"/>
        </w:tabs>
        <w:ind w:left="60" w:hanging="144"/>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nsid w:val="2DA12F56"/>
    <w:multiLevelType w:val="multilevel"/>
    <w:tmpl w:val="B7724A2A"/>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D5231A4"/>
    <w:multiLevelType w:val="hybridMultilevel"/>
    <w:tmpl w:val="96EA2A4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F203756"/>
    <w:multiLevelType w:val="hybridMultilevel"/>
    <w:tmpl w:val="1E04F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85F6C65"/>
    <w:multiLevelType w:val="multilevel"/>
    <w:tmpl w:val="EA181982"/>
    <w:lvl w:ilvl="0">
      <w:start w:val="1"/>
      <w:numFmt w:val="decimal"/>
      <w:pStyle w:val="Nadpis1"/>
      <w:lvlText w:val="%1."/>
      <w:lvlJc w:val="left"/>
      <w:pPr>
        <w:ind w:left="432" w:hanging="43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98217CD"/>
    <w:multiLevelType w:val="multilevel"/>
    <w:tmpl w:val="6D1E8FB8"/>
    <w:lvl w:ilvl="0">
      <w:start w:val="2"/>
      <w:numFmt w:val="decimal"/>
      <w:lvlText w:val="%1."/>
      <w:lvlJc w:val="left"/>
      <w:pPr>
        <w:ind w:left="390" w:hanging="39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0">
    <w:nsid w:val="5AEE27A9"/>
    <w:multiLevelType w:val="hybridMultilevel"/>
    <w:tmpl w:val="7E5612EC"/>
    <w:lvl w:ilvl="0" w:tplc="6BC27184">
      <w:start w:val="1"/>
      <w:numFmt w:val="bullet"/>
      <w:lvlText w:val=""/>
      <w:lvlJc w:val="left"/>
      <w:pPr>
        <w:tabs>
          <w:tab w:val="num" w:pos="720"/>
        </w:tabs>
        <w:ind w:left="720" w:hanging="360"/>
      </w:pPr>
      <w:rPr>
        <w:rFonts w:ascii="Wingdings" w:hAnsi="Wingdings" w:hint="default"/>
      </w:rPr>
    </w:lvl>
    <w:lvl w:ilvl="1" w:tplc="61265D04" w:tentative="1">
      <w:start w:val="1"/>
      <w:numFmt w:val="bullet"/>
      <w:lvlText w:val=""/>
      <w:lvlJc w:val="left"/>
      <w:pPr>
        <w:tabs>
          <w:tab w:val="num" w:pos="1440"/>
        </w:tabs>
        <w:ind w:left="1440" w:hanging="360"/>
      </w:pPr>
      <w:rPr>
        <w:rFonts w:ascii="Wingdings" w:hAnsi="Wingdings" w:hint="default"/>
      </w:rPr>
    </w:lvl>
    <w:lvl w:ilvl="2" w:tplc="DC3A4F3A" w:tentative="1">
      <w:start w:val="1"/>
      <w:numFmt w:val="bullet"/>
      <w:lvlText w:val=""/>
      <w:lvlJc w:val="left"/>
      <w:pPr>
        <w:tabs>
          <w:tab w:val="num" w:pos="2160"/>
        </w:tabs>
        <w:ind w:left="2160" w:hanging="360"/>
      </w:pPr>
      <w:rPr>
        <w:rFonts w:ascii="Wingdings" w:hAnsi="Wingdings" w:hint="default"/>
      </w:rPr>
    </w:lvl>
    <w:lvl w:ilvl="3" w:tplc="E6F015EA" w:tentative="1">
      <w:start w:val="1"/>
      <w:numFmt w:val="bullet"/>
      <w:lvlText w:val=""/>
      <w:lvlJc w:val="left"/>
      <w:pPr>
        <w:tabs>
          <w:tab w:val="num" w:pos="2880"/>
        </w:tabs>
        <w:ind w:left="2880" w:hanging="360"/>
      </w:pPr>
      <w:rPr>
        <w:rFonts w:ascii="Wingdings" w:hAnsi="Wingdings" w:hint="default"/>
      </w:rPr>
    </w:lvl>
    <w:lvl w:ilvl="4" w:tplc="0A302A3A" w:tentative="1">
      <w:start w:val="1"/>
      <w:numFmt w:val="bullet"/>
      <w:lvlText w:val=""/>
      <w:lvlJc w:val="left"/>
      <w:pPr>
        <w:tabs>
          <w:tab w:val="num" w:pos="3600"/>
        </w:tabs>
        <w:ind w:left="3600" w:hanging="360"/>
      </w:pPr>
      <w:rPr>
        <w:rFonts w:ascii="Wingdings" w:hAnsi="Wingdings" w:hint="default"/>
      </w:rPr>
    </w:lvl>
    <w:lvl w:ilvl="5" w:tplc="7C7AC7BE" w:tentative="1">
      <w:start w:val="1"/>
      <w:numFmt w:val="bullet"/>
      <w:lvlText w:val=""/>
      <w:lvlJc w:val="left"/>
      <w:pPr>
        <w:tabs>
          <w:tab w:val="num" w:pos="4320"/>
        </w:tabs>
        <w:ind w:left="4320" w:hanging="360"/>
      </w:pPr>
      <w:rPr>
        <w:rFonts w:ascii="Wingdings" w:hAnsi="Wingdings" w:hint="default"/>
      </w:rPr>
    </w:lvl>
    <w:lvl w:ilvl="6" w:tplc="7C2E5E6C" w:tentative="1">
      <w:start w:val="1"/>
      <w:numFmt w:val="bullet"/>
      <w:lvlText w:val=""/>
      <w:lvlJc w:val="left"/>
      <w:pPr>
        <w:tabs>
          <w:tab w:val="num" w:pos="5040"/>
        </w:tabs>
        <w:ind w:left="5040" w:hanging="360"/>
      </w:pPr>
      <w:rPr>
        <w:rFonts w:ascii="Wingdings" w:hAnsi="Wingdings" w:hint="default"/>
      </w:rPr>
    </w:lvl>
    <w:lvl w:ilvl="7" w:tplc="E8C2DD68" w:tentative="1">
      <w:start w:val="1"/>
      <w:numFmt w:val="bullet"/>
      <w:lvlText w:val=""/>
      <w:lvlJc w:val="left"/>
      <w:pPr>
        <w:tabs>
          <w:tab w:val="num" w:pos="5760"/>
        </w:tabs>
        <w:ind w:left="5760" w:hanging="360"/>
      </w:pPr>
      <w:rPr>
        <w:rFonts w:ascii="Wingdings" w:hAnsi="Wingdings" w:hint="default"/>
      </w:rPr>
    </w:lvl>
    <w:lvl w:ilvl="8" w:tplc="95F43FB0" w:tentative="1">
      <w:start w:val="1"/>
      <w:numFmt w:val="bullet"/>
      <w:lvlText w:val=""/>
      <w:lvlJc w:val="left"/>
      <w:pPr>
        <w:tabs>
          <w:tab w:val="num" w:pos="6480"/>
        </w:tabs>
        <w:ind w:left="6480" w:hanging="360"/>
      </w:pPr>
      <w:rPr>
        <w:rFonts w:ascii="Wingdings" w:hAnsi="Wingdings" w:hint="default"/>
      </w:rPr>
    </w:lvl>
  </w:abstractNum>
  <w:abstractNum w:abstractNumId="11">
    <w:nsid w:val="672A113B"/>
    <w:multiLevelType w:val="multilevel"/>
    <w:tmpl w:val="58262B66"/>
    <w:lvl w:ilvl="0">
      <w:start w:val="3"/>
      <w:numFmt w:val="decimal"/>
      <w:lvlText w:val="%1."/>
      <w:lvlJc w:val="left"/>
      <w:pPr>
        <w:ind w:left="480" w:hanging="48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616" w:hanging="2160"/>
      </w:pPr>
      <w:rPr>
        <w:rFonts w:hint="default"/>
      </w:rPr>
    </w:lvl>
  </w:abstractNum>
  <w:abstractNum w:abstractNumId="12">
    <w:nsid w:val="6D34248F"/>
    <w:multiLevelType w:val="hybridMultilevel"/>
    <w:tmpl w:val="7E3EB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93E0C89"/>
    <w:multiLevelType w:val="multilevel"/>
    <w:tmpl w:val="4B34974E"/>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7C550A0F"/>
    <w:multiLevelType w:val="hybridMultilevel"/>
    <w:tmpl w:val="8304C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D520710"/>
    <w:multiLevelType w:val="multilevel"/>
    <w:tmpl w:val="872C318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EDF09A5"/>
    <w:multiLevelType w:val="hybridMultilevel"/>
    <w:tmpl w:val="6012EA3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8"/>
  </w:num>
  <w:num w:numId="6">
    <w:abstractNumId w:val="14"/>
  </w:num>
  <w:num w:numId="7">
    <w:abstractNumId w:val="16"/>
  </w:num>
  <w:num w:numId="8">
    <w:abstractNumId w:val="10"/>
  </w:num>
  <w:num w:numId="9">
    <w:abstractNumId w:val="11"/>
  </w:num>
  <w:num w:numId="10">
    <w:abstractNumId w:val="9"/>
  </w:num>
  <w:num w:numId="11">
    <w:abstractNumId w:val="2"/>
  </w:num>
  <w:num w:numId="12">
    <w:abstractNumId w:val="3"/>
  </w:num>
  <w:num w:numId="13">
    <w:abstractNumId w:val="13"/>
  </w:num>
  <w:num w:numId="14">
    <w:abstractNumId w:val="12"/>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26EF"/>
    <w:rsid w:val="00027C44"/>
    <w:rsid w:val="000E10B3"/>
    <w:rsid w:val="000E1AAF"/>
    <w:rsid w:val="001216E1"/>
    <w:rsid w:val="00124E53"/>
    <w:rsid w:val="0016164C"/>
    <w:rsid w:val="001903B8"/>
    <w:rsid w:val="001A3BD0"/>
    <w:rsid w:val="001D4267"/>
    <w:rsid w:val="001E0EBB"/>
    <w:rsid w:val="001F7E6E"/>
    <w:rsid w:val="00216395"/>
    <w:rsid w:val="002163A2"/>
    <w:rsid w:val="00245A51"/>
    <w:rsid w:val="00246EC6"/>
    <w:rsid w:val="00281F36"/>
    <w:rsid w:val="002B2EEA"/>
    <w:rsid w:val="002C4C7D"/>
    <w:rsid w:val="002C78BE"/>
    <w:rsid w:val="0032083B"/>
    <w:rsid w:val="00347AF4"/>
    <w:rsid w:val="00375EAD"/>
    <w:rsid w:val="003774A2"/>
    <w:rsid w:val="00384820"/>
    <w:rsid w:val="003B294B"/>
    <w:rsid w:val="003B7393"/>
    <w:rsid w:val="003F7946"/>
    <w:rsid w:val="00403295"/>
    <w:rsid w:val="004072ED"/>
    <w:rsid w:val="00480500"/>
    <w:rsid w:val="00480ADD"/>
    <w:rsid w:val="00481237"/>
    <w:rsid w:val="004833C3"/>
    <w:rsid w:val="004841AC"/>
    <w:rsid w:val="0049521B"/>
    <w:rsid w:val="004B7B6C"/>
    <w:rsid w:val="004C2A3B"/>
    <w:rsid w:val="004F761F"/>
    <w:rsid w:val="00524EED"/>
    <w:rsid w:val="005372FC"/>
    <w:rsid w:val="00547D21"/>
    <w:rsid w:val="005724BE"/>
    <w:rsid w:val="005728C8"/>
    <w:rsid w:val="005853B3"/>
    <w:rsid w:val="005D26EF"/>
    <w:rsid w:val="005E2050"/>
    <w:rsid w:val="00607BAF"/>
    <w:rsid w:val="0061770B"/>
    <w:rsid w:val="0066041C"/>
    <w:rsid w:val="00663A03"/>
    <w:rsid w:val="00681716"/>
    <w:rsid w:val="006C3EB2"/>
    <w:rsid w:val="006C5E6B"/>
    <w:rsid w:val="006F45D2"/>
    <w:rsid w:val="00731380"/>
    <w:rsid w:val="0074198C"/>
    <w:rsid w:val="0074396C"/>
    <w:rsid w:val="00757ED8"/>
    <w:rsid w:val="00770981"/>
    <w:rsid w:val="0079120E"/>
    <w:rsid w:val="0079672A"/>
    <w:rsid w:val="007B5A60"/>
    <w:rsid w:val="00821AE7"/>
    <w:rsid w:val="008561D0"/>
    <w:rsid w:val="008D0040"/>
    <w:rsid w:val="008D554E"/>
    <w:rsid w:val="008F1658"/>
    <w:rsid w:val="0091062A"/>
    <w:rsid w:val="0092735F"/>
    <w:rsid w:val="009333FF"/>
    <w:rsid w:val="00947E99"/>
    <w:rsid w:val="00962F01"/>
    <w:rsid w:val="00970E0E"/>
    <w:rsid w:val="00987CDC"/>
    <w:rsid w:val="009E1234"/>
    <w:rsid w:val="00A94933"/>
    <w:rsid w:val="00A97E1B"/>
    <w:rsid w:val="00AB19CC"/>
    <w:rsid w:val="00AB3103"/>
    <w:rsid w:val="00AB65E3"/>
    <w:rsid w:val="00AC364A"/>
    <w:rsid w:val="00AD6A5F"/>
    <w:rsid w:val="00AE4BCB"/>
    <w:rsid w:val="00B16670"/>
    <w:rsid w:val="00B41625"/>
    <w:rsid w:val="00B83269"/>
    <w:rsid w:val="00B8328B"/>
    <w:rsid w:val="00B83EBD"/>
    <w:rsid w:val="00BA2C59"/>
    <w:rsid w:val="00BD7F3C"/>
    <w:rsid w:val="00C06226"/>
    <w:rsid w:val="00C118A0"/>
    <w:rsid w:val="00C95937"/>
    <w:rsid w:val="00CA4BCC"/>
    <w:rsid w:val="00CF0263"/>
    <w:rsid w:val="00CF20EB"/>
    <w:rsid w:val="00D02FD1"/>
    <w:rsid w:val="00D05BC2"/>
    <w:rsid w:val="00D15E52"/>
    <w:rsid w:val="00D353E4"/>
    <w:rsid w:val="00D7149D"/>
    <w:rsid w:val="00DB6775"/>
    <w:rsid w:val="00DC4326"/>
    <w:rsid w:val="00E119ED"/>
    <w:rsid w:val="00E5736B"/>
    <w:rsid w:val="00E97088"/>
    <w:rsid w:val="00EC68F7"/>
    <w:rsid w:val="00ED4F73"/>
    <w:rsid w:val="00F20811"/>
    <w:rsid w:val="00F246D9"/>
    <w:rsid w:val="00F4718B"/>
    <w:rsid w:val="00F65CF9"/>
    <w:rsid w:val="00F92118"/>
    <w:rsid w:val="00FB3857"/>
    <w:rsid w:val="00FF5D7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6EF"/>
    <w:pPr>
      <w:jc w:val="both"/>
    </w:pPr>
    <w:rPr>
      <w:rFonts w:ascii="Arial" w:eastAsia="Times New Roman" w:hAnsi="Arial"/>
      <w:szCs w:val="24"/>
    </w:rPr>
  </w:style>
  <w:style w:type="paragraph" w:styleId="Nadpis1">
    <w:name w:val="heading 1"/>
    <w:basedOn w:val="Normln"/>
    <w:next w:val="Normln"/>
    <w:link w:val="Nadpis1Char"/>
    <w:qFormat/>
    <w:rsid w:val="00347AF4"/>
    <w:pPr>
      <w:keepNext/>
      <w:numPr>
        <w:numId w:val="5"/>
      </w:numPr>
      <w:spacing w:before="300" w:after="200"/>
      <w:ind w:left="431" w:hanging="431"/>
      <w:outlineLvl w:val="0"/>
    </w:pPr>
    <w:rPr>
      <w:b/>
      <w:bCs/>
      <w:sz w:val="28"/>
      <w:szCs w:val="28"/>
    </w:rPr>
  </w:style>
  <w:style w:type="paragraph" w:styleId="Nadpis2">
    <w:name w:val="heading 2"/>
    <w:basedOn w:val="Normln"/>
    <w:next w:val="Normln"/>
    <w:link w:val="Nadpis2Char"/>
    <w:uiPriority w:val="9"/>
    <w:unhideWhenUsed/>
    <w:qFormat/>
    <w:rsid w:val="007B5A60"/>
    <w:pPr>
      <w:keepNext/>
      <w:numPr>
        <w:ilvl w:val="1"/>
        <w:numId w:val="4"/>
      </w:numPr>
      <w:spacing w:before="400" w:after="180"/>
      <w:outlineLvl w:val="1"/>
    </w:pPr>
    <w:rPr>
      <w:b/>
      <w:bCs/>
      <w:iCs/>
      <w:sz w:val="24"/>
    </w:rPr>
  </w:style>
  <w:style w:type="paragraph" w:styleId="Nadpis3">
    <w:name w:val="heading 3"/>
    <w:basedOn w:val="Normln"/>
    <w:next w:val="Normln"/>
    <w:link w:val="Nadpis3Char"/>
    <w:uiPriority w:val="9"/>
    <w:unhideWhenUsed/>
    <w:qFormat/>
    <w:rsid w:val="00663A03"/>
    <w:pPr>
      <w:keepNext/>
      <w:numPr>
        <w:ilvl w:val="2"/>
        <w:numId w:val="4"/>
      </w:numPr>
      <w:spacing w:before="300" w:after="100"/>
      <w:outlineLvl w:val="2"/>
    </w:pPr>
    <w:rPr>
      <w:b/>
      <w:bCs/>
      <w:sz w:val="22"/>
      <w:szCs w:val="26"/>
    </w:rPr>
  </w:style>
  <w:style w:type="paragraph" w:styleId="Nadpis4">
    <w:name w:val="heading 4"/>
    <w:basedOn w:val="Normln"/>
    <w:next w:val="Normln"/>
    <w:link w:val="Nadpis4Char"/>
    <w:uiPriority w:val="9"/>
    <w:unhideWhenUsed/>
    <w:qFormat/>
    <w:rsid w:val="0074198C"/>
    <w:pPr>
      <w:keepNext/>
      <w:numPr>
        <w:ilvl w:val="3"/>
        <w:numId w:val="4"/>
      </w:numPr>
      <w:spacing w:before="240" w:after="100"/>
      <w:outlineLvl w:val="3"/>
    </w:pPr>
    <w:rPr>
      <w:b/>
      <w:bCs/>
      <w:sz w:val="21"/>
      <w:szCs w:val="28"/>
    </w:rPr>
  </w:style>
  <w:style w:type="paragraph" w:styleId="Nadpis5">
    <w:name w:val="heading 5"/>
    <w:basedOn w:val="Normln"/>
    <w:next w:val="Normln"/>
    <w:link w:val="Nadpis5Char"/>
    <w:uiPriority w:val="9"/>
    <w:unhideWhenUsed/>
    <w:qFormat/>
    <w:rsid w:val="005D26EF"/>
    <w:pPr>
      <w:numPr>
        <w:ilvl w:val="4"/>
        <w:numId w:val="4"/>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unhideWhenUsed/>
    <w:qFormat/>
    <w:rsid w:val="005D26EF"/>
    <w:pPr>
      <w:numPr>
        <w:ilvl w:val="5"/>
        <w:numId w:val="4"/>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qFormat/>
    <w:rsid w:val="005D26EF"/>
    <w:pPr>
      <w:numPr>
        <w:ilvl w:val="6"/>
        <w:numId w:val="4"/>
      </w:numPr>
      <w:spacing w:before="240" w:after="60"/>
      <w:outlineLvl w:val="6"/>
    </w:pPr>
    <w:rPr>
      <w:rFonts w:ascii="Calibri" w:hAnsi="Calibri"/>
      <w:sz w:val="24"/>
    </w:rPr>
  </w:style>
  <w:style w:type="paragraph" w:styleId="Nadpis8">
    <w:name w:val="heading 8"/>
    <w:basedOn w:val="Normln"/>
    <w:next w:val="Normln"/>
    <w:link w:val="Nadpis8Char"/>
    <w:uiPriority w:val="9"/>
    <w:unhideWhenUsed/>
    <w:qFormat/>
    <w:rsid w:val="005D26EF"/>
    <w:pPr>
      <w:numPr>
        <w:ilvl w:val="7"/>
        <w:numId w:val="4"/>
      </w:numPr>
      <w:spacing w:before="240" w:after="60"/>
      <w:outlineLvl w:val="7"/>
    </w:pPr>
    <w:rPr>
      <w:rFonts w:ascii="Calibri" w:hAnsi="Calibri"/>
      <w:i/>
      <w:iCs/>
      <w:sz w:val="24"/>
    </w:rPr>
  </w:style>
  <w:style w:type="paragraph" w:styleId="Nadpis9">
    <w:name w:val="heading 9"/>
    <w:basedOn w:val="Normln"/>
    <w:next w:val="Normln"/>
    <w:link w:val="Nadpis9Char"/>
    <w:uiPriority w:val="9"/>
    <w:unhideWhenUsed/>
    <w:qFormat/>
    <w:rsid w:val="005D26EF"/>
    <w:pPr>
      <w:numPr>
        <w:ilvl w:val="8"/>
        <w:numId w:val="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47AF4"/>
    <w:rPr>
      <w:rFonts w:ascii="Arial" w:eastAsia="Times New Roman" w:hAnsi="Arial" w:cs="Times New Roman"/>
      <w:b/>
      <w:bCs/>
      <w:sz w:val="28"/>
      <w:szCs w:val="28"/>
      <w:lang w:eastAsia="cs-CZ"/>
    </w:rPr>
  </w:style>
  <w:style w:type="character" w:customStyle="1" w:styleId="Nadpis2Char">
    <w:name w:val="Nadpis 2 Char"/>
    <w:basedOn w:val="Standardnpsmoodstavce"/>
    <w:link w:val="Nadpis2"/>
    <w:uiPriority w:val="9"/>
    <w:rsid w:val="007B5A60"/>
    <w:rPr>
      <w:rFonts w:ascii="Arial" w:eastAsia="Times New Roman" w:hAnsi="Arial" w:cs="Times New Roman"/>
      <w:b/>
      <w:bCs/>
      <w:iCs/>
      <w:sz w:val="24"/>
      <w:szCs w:val="24"/>
      <w:lang w:eastAsia="cs-CZ"/>
    </w:rPr>
  </w:style>
  <w:style w:type="character" w:customStyle="1" w:styleId="Nadpis3Char">
    <w:name w:val="Nadpis 3 Char"/>
    <w:basedOn w:val="Standardnpsmoodstavce"/>
    <w:link w:val="Nadpis3"/>
    <w:uiPriority w:val="9"/>
    <w:rsid w:val="00663A03"/>
    <w:rPr>
      <w:rFonts w:ascii="Arial" w:eastAsia="Times New Roman" w:hAnsi="Arial" w:cs="Times New Roman"/>
      <w:b/>
      <w:bCs/>
      <w:szCs w:val="26"/>
      <w:lang w:eastAsia="cs-CZ"/>
    </w:rPr>
  </w:style>
  <w:style w:type="character" w:customStyle="1" w:styleId="Nadpis4Char">
    <w:name w:val="Nadpis 4 Char"/>
    <w:basedOn w:val="Standardnpsmoodstavce"/>
    <w:link w:val="Nadpis4"/>
    <w:uiPriority w:val="9"/>
    <w:rsid w:val="0074198C"/>
    <w:rPr>
      <w:rFonts w:ascii="Arial" w:eastAsia="Times New Roman" w:hAnsi="Arial" w:cs="Times New Roman"/>
      <w:b/>
      <w:bCs/>
      <w:sz w:val="21"/>
      <w:szCs w:val="28"/>
      <w:lang w:eastAsia="cs-CZ"/>
    </w:rPr>
  </w:style>
  <w:style w:type="character" w:customStyle="1" w:styleId="Nadpis5Char">
    <w:name w:val="Nadpis 5 Char"/>
    <w:basedOn w:val="Standardnpsmoodstavce"/>
    <w:link w:val="Nadpis5"/>
    <w:uiPriority w:val="9"/>
    <w:rsid w:val="005D26EF"/>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
    <w:rsid w:val="005D26EF"/>
    <w:rPr>
      <w:rFonts w:ascii="Calibri" w:eastAsia="Times New Roman" w:hAnsi="Calibri" w:cs="Times New Roman"/>
      <w:b/>
      <w:bCs/>
      <w:lang w:eastAsia="cs-CZ"/>
    </w:rPr>
  </w:style>
  <w:style w:type="character" w:customStyle="1" w:styleId="Nadpis7Char">
    <w:name w:val="Nadpis 7 Char"/>
    <w:basedOn w:val="Standardnpsmoodstavce"/>
    <w:link w:val="Nadpis7"/>
    <w:uiPriority w:val="9"/>
    <w:rsid w:val="005D26EF"/>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
    <w:rsid w:val="005D26EF"/>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
    <w:rsid w:val="005D26EF"/>
    <w:rPr>
      <w:rFonts w:ascii="Cambria" w:eastAsia="Times New Roman" w:hAnsi="Cambria" w:cs="Times New Roman"/>
      <w:lang w:eastAsia="cs-CZ"/>
    </w:rPr>
  </w:style>
  <w:style w:type="paragraph" w:styleId="Textbubliny">
    <w:name w:val="Balloon Text"/>
    <w:basedOn w:val="Normln"/>
    <w:link w:val="TextbublinyChar"/>
    <w:semiHidden/>
    <w:unhideWhenUsed/>
    <w:rsid w:val="005D26EF"/>
    <w:rPr>
      <w:rFonts w:ascii="Tahoma" w:hAnsi="Tahoma" w:cs="Tahoma"/>
      <w:sz w:val="16"/>
      <w:szCs w:val="16"/>
    </w:rPr>
  </w:style>
  <w:style w:type="character" w:customStyle="1" w:styleId="TextbublinyChar">
    <w:name w:val="Text bubliny Char"/>
    <w:basedOn w:val="Standardnpsmoodstavce"/>
    <w:link w:val="Textbubliny"/>
    <w:uiPriority w:val="99"/>
    <w:semiHidden/>
    <w:rsid w:val="005D26EF"/>
    <w:rPr>
      <w:rFonts w:ascii="Tahoma" w:eastAsia="Times New Roman" w:hAnsi="Tahoma" w:cs="Tahoma"/>
      <w:sz w:val="16"/>
      <w:szCs w:val="16"/>
      <w:lang w:eastAsia="cs-CZ"/>
    </w:rPr>
  </w:style>
  <w:style w:type="character" w:styleId="Hypertextovodkaz">
    <w:name w:val="Hyperlink"/>
    <w:uiPriority w:val="99"/>
    <w:rsid w:val="005D26EF"/>
    <w:rPr>
      <w:color w:val="0000FF"/>
      <w:u w:val="single"/>
    </w:rPr>
  </w:style>
  <w:style w:type="paragraph" w:customStyle="1" w:styleId="Styl1">
    <w:name w:val="Styl1"/>
    <w:rsid w:val="005D26EF"/>
    <w:pPr>
      <w:suppressAutoHyphens/>
      <w:autoSpaceDE w:val="0"/>
    </w:pPr>
    <w:rPr>
      <w:rFonts w:ascii="Arial" w:eastAsia="Times New Roman" w:hAnsi="Arial"/>
      <w:sz w:val="24"/>
      <w:szCs w:val="24"/>
      <w:lang w:eastAsia="ar-SA"/>
    </w:rPr>
  </w:style>
  <w:style w:type="paragraph" w:styleId="Zhlav">
    <w:name w:val="header"/>
    <w:basedOn w:val="Normln"/>
    <w:link w:val="ZhlavChar"/>
    <w:unhideWhenUsed/>
    <w:rsid w:val="005D26EF"/>
    <w:pPr>
      <w:tabs>
        <w:tab w:val="center" w:pos="4536"/>
        <w:tab w:val="right" w:pos="9072"/>
      </w:tabs>
      <w:jc w:val="left"/>
    </w:pPr>
    <w:rPr>
      <w:rFonts w:ascii="Calibri" w:eastAsia="Calibri" w:hAnsi="Calibri"/>
      <w:sz w:val="22"/>
      <w:szCs w:val="22"/>
      <w:lang w:eastAsia="en-US"/>
    </w:rPr>
  </w:style>
  <w:style w:type="character" w:customStyle="1" w:styleId="ZhlavChar">
    <w:name w:val="Záhlaví Char"/>
    <w:basedOn w:val="Standardnpsmoodstavce"/>
    <w:link w:val="Zhlav"/>
    <w:rsid w:val="005D26EF"/>
    <w:rPr>
      <w:rFonts w:ascii="Calibri" w:eastAsia="Calibri" w:hAnsi="Calibri" w:cs="Times New Roman"/>
    </w:rPr>
  </w:style>
  <w:style w:type="paragraph" w:styleId="Zpat">
    <w:name w:val="footer"/>
    <w:basedOn w:val="Normln"/>
    <w:link w:val="ZpatChar"/>
    <w:uiPriority w:val="99"/>
    <w:unhideWhenUsed/>
    <w:rsid w:val="005D26EF"/>
    <w:pPr>
      <w:tabs>
        <w:tab w:val="center" w:pos="4536"/>
        <w:tab w:val="right" w:pos="9072"/>
      </w:tabs>
      <w:jc w:val="left"/>
    </w:pPr>
    <w:rPr>
      <w:rFonts w:ascii="Calibri" w:eastAsia="Calibri" w:hAnsi="Calibri"/>
      <w:sz w:val="22"/>
      <w:szCs w:val="22"/>
      <w:lang w:eastAsia="en-US"/>
    </w:rPr>
  </w:style>
  <w:style w:type="character" w:customStyle="1" w:styleId="ZpatChar">
    <w:name w:val="Zápatí Char"/>
    <w:basedOn w:val="Standardnpsmoodstavce"/>
    <w:link w:val="Zpat"/>
    <w:uiPriority w:val="99"/>
    <w:rsid w:val="005D26EF"/>
    <w:rPr>
      <w:rFonts w:ascii="Calibri" w:eastAsia="Calibri" w:hAnsi="Calibri" w:cs="Times New Roman"/>
    </w:rPr>
  </w:style>
  <w:style w:type="paragraph" w:customStyle="1" w:styleId="Zkladnodstavec">
    <w:name w:val="[Základní odstavec]"/>
    <w:basedOn w:val="Normln"/>
    <w:uiPriority w:val="99"/>
    <w:rsid w:val="005D26EF"/>
    <w:pPr>
      <w:autoSpaceDE w:val="0"/>
      <w:autoSpaceDN w:val="0"/>
      <w:adjustRightInd w:val="0"/>
      <w:spacing w:line="288" w:lineRule="auto"/>
      <w:jc w:val="left"/>
      <w:textAlignment w:val="center"/>
    </w:pPr>
    <w:rPr>
      <w:rFonts w:ascii="Minion Pro" w:eastAsia="Calibri" w:hAnsi="Minion Pro" w:cs="Minion Pro"/>
      <w:color w:val="000000"/>
      <w:sz w:val="24"/>
    </w:rPr>
  </w:style>
  <w:style w:type="paragraph" w:styleId="Textpoznpodarou">
    <w:name w:val="footnote text"/>
    <w:aliases w:val="Text pozn. pod čarou_martin_ang"/>
    <w:basedOn w:val="Normln"/>
    <w:link w:val="TextpoznpodarouChar"/>
    <w:rsid w:val="005D26EF"/>
    <w:pPr>
      <w:jc w:val="left"/>
    </w:pPr>
    <w:rPr>
      <w:szCs w:val="20"/>
    </w:rPr>
  </w:style>
  <w:style w:type="character" w:customStyle="1" w:styleId="TextpoznpodarouChar">
    <w:name w:val="Text pozn. pod čarou Char"/>
    <w:aliases w:val="Text pozn. pod čarou_martin_ang Char"/>
    <w:basedOn w:val="Standardnpsmoodstavce"/>
    <w:link w:val="Textpoznpodarou"/>
    <w:semiHidden/>
    <w:rsid w:val="005D26EF"/>
    <w:rPr>
      <w:rFonts w:ascii="Arial" w:eastAsia="Times New Roman" w:hAnsi="Arial" w:cs="Times New Roman"/>
      <w:sz w:val="20"/>
      <w:szCs w:val="20"/>
      <w:lang w:eastAsia="cs-CZ"/>
    </w:rPr>
  </w:style>
  <w:style w:type="character" w:styleId="Znakapoznpodarou">
    <w:name w:val="footnote reference"/>
    <w:rsid w:val="005D26EF"/>
    <w:rPr>
      <w:vertAlign w:val="superscript"/>
    </w:rPr>
  </w:style>
  <w:style w:type="paragraph" w:styleId="Odstavecseseznamem">
    <w:name w:val="List Paragraph"/>
    <w:basedOn w:val="Normln"/>
    <w:uiPriority w:val="34"/>
    <w:qFormat/>
    <w:rsid w:val="005D26EF"/>
    <w:pPr>
      <w:ind w:left="708"/>
      <w:jc w:val="left"/>
    </w:pPr>
    <w:rPr>
      <w:sz w:val="18"/>
      <w:szCs w:val="20"/>
    </w:rPr>
  </w:style>
  <w:style w:type="character" w:customStyle="1" w:styleId="TextkomenteChar">
    <w:name w:val="Text komentáře Char"/>
    <w:basedOn w:val="Standardnpsmoodstavce"/>
    <w:link w:val="Textkomente"/>
    <w:uiPriority w:val="99"/>
    <w:semiHidden/>
    <w:rsid w:val="005D26EF"/>
    <w:rPr>
      <w:rFonts w:ascii="Arial" w:eastAsia="Times New Roman" w:hAnsi="Arial" w:cs="Times New Roman"/>
      <w:sz w:val="20"/>
      <w:szCs w:val="20"/>
      <w:lang w:eastAsia="cs-CZ"/>
    </w:rPr>
  </w:style>
  <w:style w:type="paragraph" w:styleId="Textkomente">
    <w:name w:val="annotation text"/>
    <w:basedOn w:val="Normln"/>
    <w:link w:val="TextkomenteChar"/>
    <w:uiPriority w:val="99"/>
    <w:semiHidden/>
    <w:unhideWhenUsed/>
    <w:rsid w:val="005D26EF"/>
    <w:pPr>
      <w:jc w:val="left"/>
    </w:pPr>
    <w:rPr>
      <w:szCs w:val="20"/>
    </w:rPr>
  </w:style>
  <w:style w:type="character" w:customStyle="1" w:styleId="TextkomenteChar1">
    <w:name w:val="Text komentáře Char1"/>
    <w:basedOn w:val="Standardnpsmoodstavce"/>
    <w:link w:val="Textkomente"/>
    <w:uiPriority w:val="99"/>
    <w:semiHidden/>
    <w:rsid w:val="005D26EF"/>
    <w:rPr>
      <w:rFonts w:ascii="Arial" w:eastAsia="Times New Roman" w:hAnsi="Arial" w:cs="Times New Roman"/>
      <w:sz w:val="20"/>
      <w:szCs w:val="20"/>
      <w:lang w:eastAsia="cs-CZ"/>
    </w:rPr>
  </w:style>
  <w:style w:type="paragraph" w:styleId="Nadpisobsahu">
    <w:name w:val="TOC Heading"/>
    <w:basedOn w:val="Nadpis1"/>
    <w:next w:val="Normln"/>
    <w:uiPriority w:val="39"/>
    <w:unhideWhenUsed/>
    <w:qFormat/>
    <w:rsid w:val="005D26EF"/>
    <w:pPr>
      <w:keepLines/>
      <w:numPr>
        <w:numId w:val="0"/>
      </w:numPr>
      <w:spacing w:before="480" w:line="276" w:lineRule="auto"/>
      <w:jc w:val="left"/>
      <w:outlineLvl w:val="9"/>
    </w:pPr>
    <w:rPr>
      <w:rFonts w:ascii="Cambria" w:hAnsi="Cambria"/>
      <w:color w:val="365F91"/>
    </w:rPr>
  </w:style>
  <w:style w:type="paragraph" w:styleId="Obsah2">
    <w:name w:val="toc 2"/>
    <w:basedOn w:val="Normln"/>
    <w:next w:val="Normln"/>
    <w:autoRedefine/>
    <w:uiPriority w:val="39"/>
    <w:unhideWhenUsed/>
    <w:qFormat/>
    <w:rsid w:val="000E1AAF"/>
    <w:pPr>
      <w:tabs>
        <w:tab w:val="left" w:pos="709"/>
        <w:tab w:val="right" w:leader="dot" w:pos="9628"/>
      </w:tabs>
      <w:spacing w:after="100"/>
      <w:ind w:left="851" w:hanging="567"/>
      <w:jc w:val="left"/>
    </w:pPr>
    <w:rPr>
      <w:rFonts w:ascii="Calibri" w:hAnsi="Calibri"/>
      <w:sz w:val="22"/>
      <w:szCs w:val="22"/>
    </w:rPr>
  </w:style>
  <w:style w:type="paragraph" w:styleId="Obsah1">
    <w:name w:val="toc 1"/>
    <w:basedOn w:val="Normln"/>
    <w:next w:val="Normln"/>
    <w:autoRedefine/>
    <w:uiPriority w:val="39"/>
    <w:unhideWhenUsed/>
    <w:qFormat/>
    <w:rsid w:val="000E1AAF"/>
    <w:pPr>
      <w:tabs>
        <w:tab w:val="left" w:pos="284"/>
        <w:tab w:val="right" w:pos="9628"/>
      </w:tabs>
      <w:spacing w:before="200"/>
      <w:jc w:val="left"/>
    </w:pPr>
    <w:rPr>
      <w:rFonts w:cs="Arial"/>
      <w:b/>
      <w:sz w:val="28"/>
      <w:szCs w:val="28"/>
    </w:rPr>
  </w:style>
  <w:style w:type="paragraph" w:styleId="Obsah3">
    <w:name w:val="toc 3"/>
    <w:basedOn w:val="Normln"/>
    <w:next w:val="Normln"/>
    <w:autoRedefine/>
    <w:uiPriority w:val="39"/>
    <w:unhideWhenUsed/>
    <w:qFormat/>
    <w:rsid w:val="005D26EF"/>
    <w:pPr>
      <w:tabs>
        <w:tab w:val="right" w:leader="dot" w:pos="9638"/>
      </w:tabs>
      <w:spacing w:after="100" w:line="276" w:lineRule="auto"/>
      <w:ind w:left="709" w:hanging="283"/>
      <w:jc w:val="left"/>
    </w:pPr>
    <w:rPr>
      <w:rFonts w:cs="Arial"/>
      <w:szCs w:val="20"/>
    </w:rPr>
  </w:style>
  <w:style w:type="paragraph" w:styleId="Bezmezer">
    <w:name w:val="No Spacing"/>
    <w:aliases w:val="marginálie"/>
    <w:qFormat/>
    <w:rsid w:val="005D26EF"/>
    <w:pPr>
      <w:jc w:val="both"/>
    </w:pPr>
    <w:rPr>
      <w:rFonts w:ascii="Arial" w:eastAsia="Times New Roman" w:hAnsi="Arial"/>
      <w:szCs w:val="24"/>
    </w:rPr>
  </w:style>
  <w:style w:type="paragraph" w:styleId="Zkladntextodsazen3">
    <w:name w:val="Body Text Indent 3"/>
    <w:basedOn w:val="Normln"/>
    <w:link w:val="Zkladntextodsazen3Char"/>
    <w:semiHidden/>
    <w:rsid w:val="005D26EF"/>
    <w:pPr>
      <w:ind w:right="-81" w:firstLine="708"/>
    </w:pPr>
    <w:rPr>
      <w:rFonts w:cs="Arial"/>
    </w:rPr>
  </w:style>
  <w:style w:type="character" w:customStyle="1" w:styleId="Zkladntextodsazen3Char">
    <w:name w:val="Základní text odsazený 3 Char"/>
    <w:basedOn w:val="Standardnpsmoodstavce"/>
    <w:link w:val="Zkladntextodsazen3"/>
    <w:semiHidden/>
    <w:rsid w:val="005D26EF"/>
    <w:rPr>
      <w:rFonts w:ascii="Arial" w:eastAsia="Times New Roman" w:hAnsi="Arial" w:cs="Arial"/>
      <w:sz w:val="20"/>
      <w:szCs w:val="24"/>
      <w:lang w:eastAsia="cs-CZ"/>
    </w:rPr>
  </w:style>
  <w:style w:type="paragraph" w:styleId="Zkladntext">
    <w:name w:val="Body Text"/>
    <w:basedOn w:val="Normln"/>
    <w:link w:val="ZkladntextChar"/>
    <w:uiPriority w:val="99"/>
    <w:unhideWhenUsed/>
    <w:rsid w:val="005D26EF"/>
    <w:pPr>
      <w:spacing w:after="120"/>
    </w:pPr>
  </w:style>
  <w:style w:type="character" w:customStyle="1" w:styleId="ZkladntextChar">
    <w:name w:val="Základní text Char"/>
    <w:basedOn w:val="Standardnpsmoodstavce"/>
    <w:link w:val="Zkladntext"/>
    <w:uiPriority w:val="99"/>
    <w:rsid w:val="005D26EF"/>
    <w:rPr>
      <w:rFonts w:ascii="Arial" w:eastAsia="Times New Roman" w:hAnsi="Arial" w:cs="Times New Roman"/>
      <w:sz w:val="20"/>
      <w:szCs w:val="24"/>
      <w:lang w:eastAsia="cs-CZ"/>
    </w:rPr>
  </w:style>
  <w:style w:type="paragraph" w:styleId="Zkladntext2">
    <w:name w:val="Body Text 2"/>
    <w:basedOn w:val="Normln"/>
    <w:link w:val="Zkladntext2Char"/>
    <w:uiPriority w:val="99"/>
    <w:semiHidden/>
    <w:unhideWhenUsed/>
    <w:rsid w:val="005D26EF"/>
    <w:pPr>
      <w:spacing w:after="120" w:line="480" w:lineRule="auto"/>
    </w:pPr>
  </w:style>
  <w:style w:type="character" w:customStyle="1" w:styleId="Zkladntext2Char">
    <w:name w:val="Základní text 2 Char"/>
    <w:basedOn w:val="Standardnpsmoodstavce"/>
    <w:link w:val="Zkladntext2"/>
    <w:uiPriority w:val="99"/>
    <w:semiHidden/>
    <w:rsid w:val="005D26EF"/>
    <w:rPr>
      <w:rFonts w:ascii="Arial" w:eastAsia="Times New Roman" w:hAnsi="Arial" w:cs="Times New Roman"/>
      <w:sz w:val="20"/>
      <w:szCs w:val="24"/>
      <w:lang w:eastAsia="cs-CZ"/>
    </w:rPr>
  </w:style>
  <w:style w:type="paragraph" w:styleId="Zkladntext3">
    <w:name w:val="Body Text 3"/>
    <w:basedOn w:val="Normln"/>
    <w:link w:val="Zkladntext3Char"/>
    <w:uiPriority w:val="99"/>
    <w:semiHidden/>
    <w:unhideWhenUsed/>
    <w:rsid w:val="005D26EF"/>
    <w:pPr>
      <w:spacing w:after="120"/>
    </w:pPr>
    <w:rPr>
      <w:sz w:val="16"/>
      <w:szCs w:val="16"/>
    </w:rPr>
  </w:style>
  <w:style w:type="character" w:customStyle="1" w:styleId="Zkladntext3Char">
    <w:name w:val="Základní text 3 Char"/>
    <w:basedOn w:val="Standardnpsmoodstavce"/>
    <w:link w:val="Zkladntext3"/>
    <w:uiPriority w:val="99"/>
    <w:semiHidden/>
    <w:rsid w:val="005D26EF"/>
    <w:rPr>
      <w:rFonts w:ascii="Arial" w:eastAsia="Times New Roman" w:hAnsi="Arial" w:cs="Times New Roman"/>
      <w:sz w:val="16"/>
      <w:szCs w:val="16"/>
      <w:lang w:eastAsia="cs-CZ"/>
    </w:rPr>
  </w:style>
  <w:style w:type="paragraph" w:styleId="Rozvrendokumentu">
    <w:name w:val="Document Map"/>
    <w:basedOn w:val="Normln"/>
    <w:link w:val="RozvrendokumentuChar"/>
    <w:uiPriority w:val="99"/>
    <w:semiHidden/>
    <w:unhideWhenUsed/>
    <w:rsid w:val="005D26E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5D26EF"/>
    <w:rPr>
      <w:rFonts w:ascii="Tahoma" w:eastAsia="Times New Roman" w:hAnsi="Tahoma" w:cs="Tahoma"/>
      <w:sz w:val="16"/>
      <w:szCs w:val="16"/>
      <w:lang w:eastAsia="cs-CZ"/>
    </w:rPr>
  </w:style>
  <w:style w:type="paragraph" w:styleId="Obsah4">
    <w:name w:val="toc 4"/>
    <w:basedOn w:val="Normln"/>
    <w:next w:val="Normln"/>
    <w:autoRedefine/>
    <w:uiPriority w:val="39"/>
    <w:unhideWhenUsed/>
    <w:rsid w:val="00B41625"/>
    <w:pPr>
      <w:spacing w:after="100"/>
      <w:ind w:left="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FFEBF-A6F1-4F13-8A14-E51E2D01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3001</Words>
  <Characters>17712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Service</dc:creator>
  <cp:lastModifiedBy>dubska1552</cp:lastModifiedBy>
  <cp:revision>2</cp:revision>
  <cp:lastPrinted>2013-09-04T06:52:00Z</cp:lastPrinted>
  <dcterms:created xsi:type="dcterms:W3CDTF">2014-05-13T15:04:00Z</dcterms:created>
  <dcterms:modified xsi:type="dcterms:W3CDTF">2014-05-13T15:04:00Z</dcterms:modified>
</cp:coreProperties>
</file>