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41" w:rsidRDefault="00F61A41" w:rsidP="00F61A41">
      <w:pPr>
        <w:pStyle w:val="Datum"/>
      </w:pPr>
      <w:r>
        <w:t>4</w:t>
      </w:r>
      <w:r w:rsidRPr="00A81EB3">
        <w:t>.</w:t>
      </w:r>
      <w:r>
        <w:t xml:space="preserve"> 12</w:t>
      </w:r>
      <w:r w:rsidRPr="00A81EB3">
        <w:t>. 201</w:t>
      </w:r>
      <w:r>
        <w:t>5</w:t>
      </w:r>
    </w:p>
    <w:p w:rsidR="00F61A41" w:rsidRPr="001E0070" w:rsidRDefault="00F61A41" w:rsidP="00F61A41">
      <w:pPr>
        <w:pStyle w:val="Nzev"/>
      </w:pPr>
      <w:r>
        <w:t>Komentář:</w:t>
      </w:r>
      <w:r w:rsidRPr="001E0070">
        <w:rPr>
          <w:caps/>
        </w:rPr>
        <w:t xml:space="preserve"> </w:t>
      </w:r>
      <w:r>
        <w:rPr>
          <w:caps/>
        </w:rPr>
        <w:t>V</w:t>
      </w:r>
      <w:r w:rsidRPr="007D68EB">
        <w:t xml:space="preserve">ývoj </w:t>
      </w:r>
      <w:r>
        <w:t>na trhu práce</w:t>
      </w:r>
      <w:r w:rsidRPr="007D68EB">
        <w:t xml:space="preserve"> v</w:t>
      </w:r>
      <w:r>
        <w:t>e</w:t>
      </w:r>
      <w:r w:rsidRPr="007D68EB">
        <w:t> </w:t>
      </w:r>
      <w:r>
        <w:t>3</w:t>
      </w:r>
      <w:r w:rsidRPr="007D68EB">
        <w:t>. čtvrtletí</w:t>
      </w:r>
      <w:r>
        <w:t> 2015</w:t>
      </w:r>
    </w:p>
    <w:p w:rsidR="00F61A41" w:rsidRPr="00C1170C" w:rsidRDefault="00F61A41" w:rsidP="00F61A41">
      <w:pPr>
        <w:pStyle w:val="Perex"/>
        <w:spacing w:after="0"/>
        <w:rPr>
          <w:szCs w:val="20"/>
          <w:lang w:eastAsia="cs-CZ"/>
        </w:rPr>
      </w:pPr>
      <w:r w:rsidRPr="001E4567">
        <w:rPr>
          <w:szCs w:val="20"/>
        </w:rPr>
        <w:t>Vývoj na českém trhu práce v</w:t>
      </w:r>
      <w:r>
        <w:rPr>
          <w:szCs w:val="20"/>
        </w:rPr>
        <w:t>e</w:t>
      </w:r>
      <w:r w:rsidRPr="001E4567">
        <w:rPr>
          <w:szCs w:val="20"/>
        </w:rPr>
        <w:t xml:space="preserve"> </w:t>
      </w:r>
      <w:r>
        <w:rPr>
          <w:szCs w:val="20"/>
        </w:rPr>
        <w:t>3</w:t>
      </w:r>
      <w:r w:rsidRPr="001E4567">
        <w:rPr>
          <w:szCs w:val="20"/>
        </w:rPr>
        <w:t>. čtvrtletí 201</w:t>
      </w:r>
      <w:r>
        <w:rPr>
          <w:szCs w:val="20"/>
        </w:rPr>
        <w:t>5</w:t>
      </w:r>
      <w:r w:rsidRPr="001E4567">
        <w:rPr>
          <w:szCs w:val="20"/>
        </w:rPr>
        <w:t xml:space="preserve"> </w:t>
      </w:r>
      <w:r>
        <w:rPr>
          <w:szCs w:val="20"/>
        </w:rPr>
        <w:t>byl velmi pozitivní</w:t>
      </w:r>
      <w:r w:rsidRPr="001E4567">
        <w:rPr>
          <w:szCs w:val="20"/>
        </w:rPr>
        <w:t xml:space="preserve">. </w:t>
      </w:r>
      <w:r>
        <w:rPr>
          <w:szCs w:val="20"/>
        </w:rPr>
        <w:t>Podle v</w:t>
      </w:r>
      <w:r>
        <w:rPr>
          <w:szCs w:val="20"/>
          <w:lang w:eastAsia="cs-CZ"/>
        </w:rPr>
        <w:t xml:space="preserve">ýsledků </w:t>
      </w:r>
      <w:r w:rsidRPr="00030C3B">
        <w:rPr>
          <w:szCs w:val="20"/>
          <w:lang w:eastAsia="cs-CZ"/>
        </w:rPr>
        <w:t>Výběrového šetření pracovních sil</w:t>
      </w:r>
      <w:r>
        <w:rPr>
          <w:szCs w:val="20"/>
          <w:lang w:eastAsia="cs-CZ"/>
        </w:rPr>
        <w:t xml:space="preserve"> ČSÚ</w:t>
      </w:r>
      <w:r w:rsidRPr="00030C3B">
        <w:rPr>
          <w:szCs w:val="20"/>
          <w:lang w:eastAsia="cs-CZ"/>
        </w:rPr>
        <w:t xml:space="preserve"> (VŠPS) v domácnostech </w:t>
      </w:r>
      <w:r>
        <w:rPr>
          <w:szCs w:val="20"/>
          <w:lang w:eastAsia="cs-CZ"/>
        </w:rPr>
        <w:t>vzrostla celková zaměstnanost na 5 060,3 tis. osob; míra zaměstnanosti 15-64letých (70,5 %) tak dosáhla nejvyšší úrovně v historii České republiky. Také</w:t>
      </w:r>
      <w:r w:rsidRPr="00030C3B">
        <w:rPr>
          <w:szCs w:val="20"/>
          <w:lang w:eastAsia="cs-CZ"/>
        </w:rPr>
        <w:t xml:space="preserve"> </w:t>
      </w:r>
      <w:r>
        <w:rPr>
          <w:szCs w:val="20"/>
          <w:lang w:eastAsia="cs-CZ"/>
        </w:rPr>
        <w:t xml:space="preserve">předběžné </w:t>
      </w:r>
      <w:r w:rsidRPr="00030C3B">
        <w:rPr>
          <w:szCs w:val="20"/>
          <w:lang w:eastAsia="cs-CZ"/>
        </w:rPr>
        <w:t>výsledky podnikové statistiky ČSÚ</w:t>
      </w:r>
      <w:r>
        <w:rPr>
          <w:szCs w:val="20"/>
          <w:lang w:eastAsia="cs-CZ"/>
        </w:rPr>
        <w:t>,</w:t>
      </w:r>
      <w:r w:rsidRPr="00030C3B">
        <w:rPr>
          <w:szCs w:val="20"/>
          <w:lang w:eastAsia="cs-CZ"/>
        </w:rPr>
        <w:t xml:space="preserve"> </w:t>
      </w:r>
      <w:r>
        <w:rPr>
          <w:szCs w:val="20"/>
          <w:lang w:eastAsia="cs-CZ"/>
        </w:rPr>
        <w:t>sledující evidenční počet zaměstnanců, ukazují pokračující oživování. V</w:t>
      </w:r>
      <w:r w:rsidRPr="00030C3B">
        <w:rPr>
          <w:szCs w:val="20"/>
        </w:rPr>
        <w:t xml:space="preserve">e mzdové oblasti </w:t>
      </w:r>
      <w:r>
        <w:rPr>
          <w:szCs w:val="20"/>
        </w:rPr>
        <w:t>se začíná projevovat vliv nedostatku kvalifikovaných pracovních sil</w:t>
      </w:r>
      <w:r w:rsidRPr="00030C3B">
        <w:rPr>
          <w:szCs w:val="20"/>
        </w:rPr>
        <w:t xml:space="preserve">, nárůst průměrné </w:t>
      </w:r>
      <w:r>
        <w:rPr>
          <w:szCs w:val="20"/>
        </w:rPr>
        <w:t xml:space="preserve">nominální </w:t>
      </w:r>
      <w:r w:rsidRPr="00030C3B">
        <w:rPr>
          <w:szCs w:val="20"/>
        </w:rPr>
        <w:t>mzdy o</w:t>
      </w:r>
      <w:r>
        <w:rPr>
          <w:szCs w:val="20"/>
        </w:rPr>
        <w:t> 3,8 </w:t>
      </w:r>
      <w:r w:rsidRPr="00030C3B">
        <w:rPr>
          <w:szCs w:val="20"/>
        </w:rPr>
        <w:t>%</w:t>
      </w:r>
      <w:r>
        <w:rPr>
          <w:szCs w:val="20"/>
        </w:rPr>
        <w:t xml:space="preserve"> byl nejvyšší od roku 2009.</w:t>
      </w:r>
    </w:p>
    <w:p w:rsidR="00F61A41" w:rsidRPr="00C1170C" w:rsidRDefault="00F61A41" w:rsidP="00F61A41"/>
    <w:p w:rsidR="00F61A41" w:rsidRPr="00435609" w:rsidRDefault="00F61A41" w:rsidP="00F61A41">
      <w:r w:rsidRPr="00435609">
        <w:t>Výsledky VŠPS ukazují vytrvalý růst celkové zaměstnanosti</w:t>
      </w:r>
      <w:r>
        <w:t>,</w:t>
      </w:r>
      <w:r w:rsidRPr="00435609">
        <w:t xml:space="preserve"> </w:t>
      </w:r>
      <w:r>
        <w:t xml:space="preserve">a to </w:t>
      </w:r>
      <w:r w:rsidRPr="00435609">
        <w:t xml:space="preserve">již od roku 2012. </w:t>
      </w:r>
      <w:r>
        <w:t>Pozitivní je také to, že r</w:t>
      </w:r>
      <w:r w:rsidRPr="00435609">
        <w:t xml:space="preserve">ůst </w:t>
      </w:r>
      <w:r>
        <w:t xml:space="preserve">míry </w:t>
      </w:r>
      <w:r w:rsidRPr="00435609">
        <w:t xml:space="preserve">zaměstnanosti se </w:t>
      </w:r>
      <w:r>
        <w:t xml:space="preserve">více </w:t>
      </w:r>
      <w:r w:rsidRPr="00435609">
        <w:t>projevil u žen</w:t>
      </w:r>
      <w:r>
        <w:t xml:space="preserve"> (meziročně o 1,8 %), než u </w:t>
      </w:r>
      <w:r w:rsidRPr="00435609">
        <w:t>mužů</w:t>
      </w:r>
      <w:r>
        <w:t xml:space="preserve"> (0,6 %), protože právě v ženské složce má česká ekonomika značnou skrytou rezervu. Prodlužování pracovní kariéry vede k rychlejšímu nárůstu zaměstnanosti u osob starších 50 let ve srovnání s mladšími ročníky.</w:t>
      </w:r>
    </w:p>
    <w:p w:rsidR="00F61A41" w:rsidRDefault="00F61A41" w:rsidP="00F61A41">
      <w:r>
        <w:t xml:space="preserve">Dále je také očividné pokračující </w:t>
      </w:r>
      <w:r w:rsidRPr="00435609">
        <w:t>snižování počtu nezaměstnaných</w:t>
      </w:r>
      <w:r>
        <w:t xml:space="preserve"> a rychlý růst počtu volných pracovních míst hlášených na Úřad práce</w:t>
      </w:r>
      <w:r w:rsidRPr="00435609">
        <w:t xml:space="preserve">. </w:t>
      </w:r>
      <w:r>
        <w:t>V meziročním srovnání jsou výsledky přes jisté zvolňování velmi optimistické, o</w:t>
      </w:r>
      <w:r w:rsidRPr="00435609">
        <w:t xml:space="preserve">becná míra nezaměstnanosti </w:t>
      </w:r>
      <w:r>
        <w:t>podle VŠPS klesla ve 3. čtvrtletí pod hranici 5 procent a zejména v mužské složce se již patrně přiblížila své přirozené hranici.</w:t>
      </w:r>
    </w:p>
    <w:p w:rsidR="00F61A41" w:rsidRPr="00435609" w:rsidRDefault="00F61A41" w:rsidP="00F61A41">
      <w:r>
        <w:t>V postavení nezaměstnaných však přetrvává s</w:t>
      </w:r>
      <w:r w:rsidRPr="00435609">
        <w:t xml:space="preserve">kupina obtížně zaměstnatelných osob, které </w:t>
      </w:r>
      <w:r>
        <w:t xml:space="preserve">na nabízená volná místa nedosahují; </w:t>
      </w:r>
      <w:r w:rsidRPr="00435609">
        <w:t xml:space="preserve">často </w:t>
      </w:r>
      <w:r>
        <w:t xml:space="preserve">mohou </w:t>
      </w:r>
      <w:r w:rsidRPr="00435609">
        <w:t>v nezamě</w:t>
      </w:r>
      <w:r>
        <w:t>stnanosti zůstávat i roky – podíl dlouhodobě nezaměstnaných se tak už přiblížil jedné polovině.</w:t>
      </w:r>
    </w:p>
    <w:p w:rsidR="00F61A41" w:rsidRPr="000D06C2" w:rsidRDefault="00F61A41" w:rsidP="00F61A41"/>
    <w:p w:rsidR="00F61A41" w:rsidRPr="00B738C8" w:rsidRDefault="00F61A41" w:rsidP="00F61A41">
      <w:pPr>
        <w:pStyle w:val="Perex"/>
        <w:spacing w:after="0"/>
        <w:rPr>
          <w:b w:val="0"/>
          <w:szCs w:val="20"/>
          <w:lang w:eastAsia="cs-CZ"/>
        </w:rPr>
      </w:pPr>
      <w:r w:rsidRPr="000D06C2">
        <w:rPr>
          <w:b w:val="0"/>
          <w:szCs w:val="20"/>
          <w:lang w:eastAsia="cs-CZ"/>
        </w:rPr>
        <w:t xml:space="preserve">Předběžné údaje podnikové statistiky </w:t>
      </w:r>
      <w:r>
        <w:rPr>
          <w:b w:val="0"/>
          <w:szCs w:val="20"/>
          <w:lang w:eastAsia="cs-CZ"/>
        </w:rPr>
        <w:t xml:space="preserve">ČSÚ </w:t>
      </w:r>
      <w:r w:rsidRPr="000D06C2">
        <w:rPr>
          <w:b w:val="0"/>
          <w:szCs w:val="20"/>
          <w:lang w:eastAsia="cs-CZ"/>
        </w:rPr>
        <w:t xml:space="preserve">potvrzují převažující pozitivní trendy, zejména růst </w:t>
      </w:r>
      <w:r>
        <w:rPr>
          <w:b w:val="0"/>
          <w:szCs w:val="20"/>
          <w:lang w:eastAsia="cs-CZ"/>
        </w:rPr>
        <w:t xml:space="preserve">evidenčního </w:t>
      </w:r>
      <w:r w:rsidRPr="000D06C2">
        <w:rPr>
          <w:b w:val="0"/>
          <w:szCs w:val="20"/>
          <w:lang w:eastAsia="cs-CZ"/>
        </w:rPr>
        <w:t>počtu zaměstnanců</w:t>
      </w:r>
      <w:r>
        <w:rPr>
          <w:b w:val="0"/>
          <w:szCs w:val="20"/>
          <w:lang w:eastAsia="cs-CZ"/>
        </w:rPr>
        <w:t>. Ve</w:t>
      </w:r>
      <w:r w:rsidRPr="0074422C">
        <w:rPr>
          <w:b w:val="0"/>
        </w:rPr>
        <w:t> </w:t>
      </w:r>
      <w:r>
        <w:rPr>
          <w:b w:val="0"/>
        </w:rPr>
        <w:t>3</w:t>
      </w:r>
      <w:r w:rsidRPr="0074422C">
        <w:rPr>
          <w:b w:val="0"/>
        </w:rPr>
        <w:t>. čtvrtletí 2015</w:t>
      </w:r>
      <w:r>
        <w:rPr>
          <w:b w:val="0"/>
        </w:rPr>
        <w:t xml:space="preserve"> ve srovnání se stejným obdobím loňska přibylo 61,5 tis. zaměstnanců přepočtených na plně zaměstnané; to je nárůst o 1,6 %.</w:t>
      </w:r>
    </w:p>
    <w:p w:rsidR="00F61A41" w:rsidRPr="00B738C8" w:rsidRDefault="00F61A41" w:rsidP="00F61A41">
      <w:pPr>
        <w:pStyle w:val="Perex"/>
        <w:spacing w:after="0"/>
        <w:rPr>
          <w:b w:val="0"/>
        </w:rPr>
      </w:pPr>
      <w:r w:rsidRPr="00B738C8">
        <w:rPr>
          <w:b w:val="0"/>
        </w:rPr>
        <w:t>Různé části ekonomiky jsou však napojeny na hospodářské oživení odlišně. Např. odvětví těžba a dobývání je stále ještě poznamenáno propouštění</w:t>
      </w:r>
      <w:r>
        <w:rPr>
          <w:b w:val="0"/>
        </w:rPr>
        <w:t>m</w:t>
      </w:r>
      <w:r w:rsidRPr="00B738C8">
        <w:rPr>
          <w:b w:val="0"/>
        </w:rPr>
        <w:t xml:space="preserve"> zaměstnanců – ve 3. čtvrtletí 2015 jich opět meziročně ubylo, tentokrát 1,2 tis., tj. -3,8 %. Také odvětví výroba a rozvod elektřiny, plynu, tepla a klimatizovaného vzduchu ztratilo stovku obsazených pracovních míst, což je pokles o 0,2 %. Ve stavebnictví nalezneme meziroční úbytek o 3,6 tisíce (-1,7 %) a snížil se také </w:t>
      </w:r>
      <w:r>
        <w:rPr>
          <w:b w:val="0"/>
        </w:rPr>
        <w:t xml:space="preserve">opět </w:t>
      </w:r>
      <w:r w:rsidRPr="00B738C8">
        <w:rPr>
          <w:b w:val="0"/>
        </w:rPr>
        <w:t xml:space="preserve">počet zaměstnanců v ubytování, stravování a pohostinství </w:t>
      </w:r>
      <w:r>
        <w:rPr>
          <w:b w:val="0"/>
        </w:rPr>
        <w:t xml:space="preserve">o </w:t>
      </w:r>
      <w:r w:rsidRPr="00B738C8">
        <w:rPr>
          <w:b w:val="0"/>
        </w:rPr>
        <w:t>tisícovku, tj. -0,9 %.</w:t>
      </w:r>
    </w:p>
    <w:p w:rsidR="00F61A41" w:rsidRPr="00B738C8" w:rsidRDefault="00F61A41" w:rsidP="00F61A41">
      <w:pPr>
        <w:pStyle w:val="Perex"/>
        <w:spacing w:after="0"/>
        <w:rPr>
          <w:b w:val="0"/>
        </w:rPr>
      </w:pPr>
      <w:r w:rsidRPr="00B738C8">
        <w:rPr>
          <w:b w:val="0"/>
        </w:rPr>
        <w:t>Početně nejvýznamnější přírůstek byl ve zpracovatelském průmyslu, 31</w:t>
      </w:r>
      <w:r>
        <w:rPr>
          <w:b w:val="0"/>
        </w:rPr>
        <w:t>,0</w:t>
      </w:r>
      <w:r w:rsidRPr="00B738C8">
        <w:rPr>
          <w:b w:val="0"/>
        </w:rPr>
        <w:t xml:space="preserve"> tis., což je relativně </w:t>
      </w:r>
      <w:r>
        <w:rPr>
          <w:b w:val="0"/>
        </w:rPr>
        <w:t>+</w:t>
      </w:r>
      <w:r w:rsidRPr="00B738C8">
        <w:rPr>
          <w:b w:val="0"/>
        </w:rPr>
        <w:t xml:space="preserve">2,9 %. Obchod vzrostl výrazně, o 7,9 tis., relativně o </w:t>
      </w:r>
      <w:r>
        <w:rPr>
          <w:b w:val="0"/>
        </w:rPr>
        <w:t>+</w:t>
      </w:r>
      <w:r w:rsidRPr="00B738C8">
        <w:rPr>
          <w:b w:val="0"/>
        </w:rPr>
        <w:t>1,6 %. Udržuje se růst počtu zaměstnanců v činnostech v oblasti nemovitostí (+5,3 %), patrně spojený s rozšiřováním finančních služeb realitních kanceláří. Výrazně vzrostl též evidenční přepočtený počet u administrativních a podpůrných činností (+3,0 %), o 5 tis., což je spojeno s nárůstem počtu zaměstnanců agentur práce.</w:t>
      </w:r>
    </w:p>
    <w:p w:rsidR="00F61A41" w:rsidRPr="00372FC8" w:rsidRDefault="00F61A41" w:rsidP="00F61A41">
      <w:pPr>
        <w:pStyle w:val="Perex"/>
        <w:spacing w:after="0"/>
        <w:rPr>
          <w:color w:val="4A442A"/>
        </w:rPr>
      </w:pPr>
      <w:r w:rsidRPr="00B738C8">
        <w:rPr>
          <w:b w:val="0"/>
        </w:rPr>
        <w:t xml:space="preserve">V zemědělství zůstal počet pracovních míst stejný jako před rokem. V odvětví veřejné správy, obrany a povinného sociálního zabezpečení se ukázal meziroční nárůst počtu zaměstnanců o 5,7 tis., což je relativně </w:t>
      </w:r>
      <w:r>
        <w:rPr>
          <w:b w:val="0"/>
        </w:rPr>
        <w:t>+</w:t>
      </w:r>
      <w:r w:rsidRPr="00B738C8">
        <w:rPr>
          <w:b w:val="0"/>
        </w:rPr>
        <w:t>2,0 %.</w:t>
      </w:r>
      <w:r>
        <w:rPr>
          <w:b w:val="0"/>
        </w:rPr>
        <w:t xml:space="preserve"> Nejvýrazněji se na nárůstu zaměstnanců podílejí obce, kde díky zaměstnávání osob na veřejně prospěšné práce přibylo téměř 2,2 tisíce pracovních míst.</w:t>
      </w:r>
    </w:p>
    <w:p w:rsidR="00F61A41" w:rsidRPr="002232BF" w:rsidRDefault="00F61A41" w:rsidP="00F61A41">
      <w:pPr>
        <w:rPr>
          <w:noProof/>
          <w:lang w:eastAsia="cs-CZ"/>
        </w:rPr>
      </w:pPr>
      <w:r w:rsidRPr="00B62CD6">
        <w:rPr>
          <w:b/>
        </w:rPr>
        <w:lastRenderedPageBreak/>
        <w:t>Z </w:t>
      </w:r>
      <w:r w:rsidRPr="002232BF">
        <w:rPr>
          <w:b/>
        </w:rPr>
        <w:t>hlediska mezd</w:t>
      </w:r>
      <w:r w:rsidRPr="002232BF">
        <w:t xml:space="preserve"> se</w:t>
      </w:r>
      <w:r w:rsidRPr="002232BF">
        <w:rPr>
          <w:b/>
        </w:rPr>
        <w:t xml:space="preserve"> </w:t>
      </w:r>
      <w:r w:rsidRPr="002232BF">
        <w:t xml:space="preserve">počala prolamovat </w:t>
      </w:r>
      <w:r w:rsidRPr="002232BF">
        <w:rPr>
          <w:noProof/>
          <w:lang w:eastAsia="cs-CZ"/>
        </w:rPr>
        <w:t>střídmost typická pro dosavadní vývoj. Průměrná mzda nominálně vzrostla o 3,8 %, přičemž leaderem tentokrát už nebyl státní sektor, ale podnikatelská sféra, řízená tržními silami. Lze očekávat, že to byl právě nedostatek kvalifikovaných pracovních sil, který nutí firmy k ostřejší konkurenci na trhu práce, k přetahování zaměstnanců a nabídce vyšších mezd.</w:t>
      </w:r>
    </w:p>
    <w:p w:rsidR="00F61A41" w:rsidRPr="002232BF" w:rsidRDefault="00F61A41" w:rsidP="00F61A41">
      <w:pPr>
        <w:rPr>
          <w:noProof/>
          <w:lang w:eastAsia="cs-CZ"/>
        </w:rPr>
      </w:pPr>
      <w:r w:rsidRPr="002232BF">
        <w:rPr>
          <w:noProof/>
          <w:lang w:eastAsia="cs-CZ"/>
        </w:rPr>
        <w:t xml:space="preserve">Na přiloženém grafu vidíme, že vývoj v podnikatelské sféře </w:t>
      </w:r>
      <w:r>
        <w:rPr>
          <w:noProof/>
          <w:lang w:eastAsia="cs-CZ"/>
        </w:rPr>
        <w:t xml:space="preserve">bývá </w:t>
      </w:r>
      <w:r w:rsidRPr="002232BF">
        <w:rPr>
          <w:noProof/>
          <w:lang w:eastAsia="cs-CZ"/>
        </w:rPr>
        <w:t>podstatně variabilnější</w:t>
      </w:r>
      <w:r>
        <w:rPr>
          <w:noProof/>
          <w:lang w:eastAsia="cs-CZ"/>
        </w:rPr>
        <w:t>, což ovlivňují většinou mimořádné odměny,</w:t>
      </w:r>
      <w:r w:rsidRPr="002232BF">
        <w:rPr>
          <w:noProof/>
          <w:lang w:eastAsia="cs-CZ"/>
        </w:rPr>
        <w:t xml:space="preserve"> a také</w:t>
      </w:r>
      <w:r>
        <w:rPr>
          <w:noProof/>
          <w:lang w:eastAsia="cs-CZ"/>
        </w:rPr>
        <w:t>,</w:t>
      </w:r>
      <w:r w:rsidRPr="002232BF">
        <w:rPr>
          <w:noProof/>
          <w:lang w:eastAsia="cs-CZ"/>
        </w:rPr>
        <w:t xml:space="preserve"> že </w:t>
      </w:r>
      <w:r>
        <w:rPr>
          <w:noProof/>
          <w:lang w:eastAsia="cs-CZ"/>
        </w:rPr>
        <w:t>v předchozích čtvrtletích</w:t>
      </w:r>
      <w:r w:rsidRPr="002232BF">
        <w:rPr>
          <w:noProof/>
          <w:lang w:eastAsia="cs-CZ"/>
        </w:rPr>
        <w:t xml:space="preserve"> v nepodnikatelské sféře dominoval vliv zv</w:t>
      </w:r>
      <w:r>
        <w:rPr>
          <w:noProof/>
          <w:lang w:eastAsia="cs-CZ"/>
        </w:rPr>
        <w:t>ý</w:t>
      </w:r>
      <w:r w:rsidRPr="002232BF">
        <w:rPr>
          <w:noProof/>
          <w:lang w:eastAsia="cs-CZ"/>
        </w:rPr>
        <w:t>š</w:t>
      </w:r>
      <w:r>
        <w:rPr>
          <w:noProof/>
          <w:lang w:eastAsia="cs-CZ"/>
        </w:rPr>
        <w:t>e</w:t>
      </w:r>
      <w:r w:rsidRPr="002232BF">
        <w:rPr>
          <w:noProof/>
          <w:lang w:eastAsia="cs-CZ"/>
        </w:rPr>
        <w:t xml:space="preserve">ní platových tarifů, takže meziroční přírůstky byly </w:t>
      </w:r>
      <w:r>
        <w:rPr>
          <w:noProof/>
          <w:lang w:eastAsia="cs-CZ"/>
        </w:rPr>
        <w:t xml:space="preserve">na čas </w:t>
      </w:r>
      <w:r w:rsidRPr="002232BF">
        <w:rPr>
          <w:noProof/>
          <w:lang w:eastAsia="cs-CZ"/>
        </w:rPr>
        <w:t>vyšší než v podnikatelské sféře.</w:t>
      </w:r>
    </w:p>
    <w:p w:rsidR="00F61A41" w:rsidRPr="002232BF" w:rsidRDefault="00F61A41" w:rsidP="00F61A41"/>
    <w:p w:rsidR="00F61A41" w:rsidRPr="002232BF" w:rsidRDefault="00F61A41" w:rsidP="00F61A41">
      <w:pPr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65pt;height:292.1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F61A41" w:rsidRPr="002232BF" w:rsidRDefault="00F61A41" w:rsidP="00F61A41">
      <w:pPr>
        <w:rPr>
          <w:sz w:val="18"/>
          <w:szCs w:val="18"/>
        </w:rPr>
      </w:pPr>
      <w:r w:rsidRPr="002232BF">
        <w:rPr>
          <w:sz w:val="18"/>
          <w:szCs w:val="18"/>
        </w:rPr>
        <w:t>Zdroj: podniková statistika ČSÚ</w:t>
      </w:r>
    </w:p>
    <w:p w:rsidR="00F61A41" w:rsidRPr="002232BF" w:rsidRDefault="00F61A41" w:rsidP="00F61A41"/>
    <w:p w:rsidR="00F61A41" w:rsidRPr="002232BF" w:rsidRDefault="00F61A41" w:rsidP="00F61A41">
      <w:pPr>
        <w:rPr>
          <w:noProof/>
          <w:lang w:eastAsia="cs-CZ"/>
        </w:rPr>
      </w:pPr>
      <w:r w:rsidRPr="002232BF">
        <w:rPr>
          <w:noProof/>
          <w:lang w:eastAsia="cs-CZ"/>
        </w:rPr>
        <w:t xml:space="preserve">Pro reálnou kupní sílu je důležité porovnání </w:t>
      </w:r>
      <w:r>
        <w:rPr>
          <w:noProof/>
          <w:lang w:eastAsia="cs-CZ"/>
        </w:rPr>
        <w:t xml:space="preserve">vývoje mezd </w:t>
      </w:r>
      <w:r w:rsidRPr="002232BF">
        <w:rPr>
          <w:noProof/>
          <w:lang w:eastAsia="cs-CZ"/>
        </w:rPr>
        <w:t>s indexem spotřebitelských cen (inflací), který byl ve 3. čtvrtletí 2015 na relativně nízké úrovni 0,4 %. To při uvedeném nominálním mzdovém nárůstu vedlo k výraznému reálnému zv</w:t>
      </w:r>
      <w:r>
        <w:rPr>
          <w:noProof/>
          <w:lang w:eastAsia="cs-CZ"/>
        </w:rPr>
        <w:t>ý</w:t>
      </w:r>
      <w:r w:rsidRPr="002232BF">
        <w:rPr>
          <w:noProof/>
          <w:lang w:eastAsia="cs-CZ"/>
        </w:rPr>
        <w:t>š</w:t>
      </w:r>
      <w:r>
        <w:rPr>
          <w:noProof/>
          <w:lang w:eastAsia="cs-CZ"/>
        </w:rPr>
        <w:t>e</w:t>
      </w:r>
      <w:r w:rsidRPr="002232BF">
        <w:rPr>
          <w:noProof/>
          <w:lang w:eastAsia="cs-CZ"/>
        </w:rPr>
        <w:t>ní kupní síly mezd o 3,4 %.</w:t>
      </w:r>
    </w:p>
    <w:p w:rsidR="00F61A41" w:rsidRPr="002232BF" w:rsidRDefault="00F61A41" w:rsidP="00F61A41">
      <w:r w:rsidRPr="002232BF">
        <w:t xml:space="preserve">V podnikatelské sféře vzrostla meziročně průměrná mzda </w:t>
      </w:r>
      <w:r w:rsidRPr="002232BF">
        <w:rPr>
          <w:noProof/>
          <w:lang w:eastAsia="cs-CZ"/>
        </w:rPr>
        <w:t xml:space="preserve">ve 3. čtvrtletí 2015 </w:t>
      </w:r>
      <w:r w:rsidRPr="002232BF">
        <w:t>nominálně o 3,8 % a reálně o 3,4 %; v nepodnikatelské vzrostl průměrný plat nominálně o 3,5 % a reálně o 3,1 %.</w:t>
      </w:r>
    </w:p>
    <w:p w:rsidR="00F61A41" w:rsidRPr="002232BF" w:rsidRDefault="00F61A41" w:rsidP="00F61A41">
      <w:r w:rsidRPr="002232BF">
        <w:t xml:space="preserve">Také v jednotlivých odvětvích (sekce CZ-NACE) byl mzdový vývoj diferencovaný. V jediné odvětvové sekci průměrná mzda nominálně poklesla, ve zbylých vzrostla různorodým tempem. Nominální indexy se tak pohybovaly od hodnoty 99 % ve výrobě a rozvodu elektřiny, plynu, tepla a klimatizovaného vzduchu až po 107,4 % v ubytování, stravování a pohostinství, které však i přesto zůstává odvětvím s nejnižší </w:t>
      </w:r>
      <w:r>
        <w:t xml:space="preserve">úrovní </w:t>
      </w:r>
      <w:r w:rsidRPr="002232BF">
        <w:t>průměrn</w:t>
      </w:r>
      <w:r>
        <w:t>é</w:t>
      </w:r>
      <w:r w:rsidRPr="002232BF">
        <w:t xml:space="preserve"> mzd</w:t>
      </w:r>
      <w:r>
        <w:t>y</w:t>
      </w:r>
      <w:r w:rsidRPr="002232BF">
        <w:t xml:space="preserve">. </w:t>
      </w:r>
    </w:p>
    <w:p w:rsidR="00F61A41" w:rsidRPr="005F129F" w:rsidRDefault="00F61A41" w:rsidP="00F61A41">
      <w:pPr>
        <w:rPr>
          <w:rFonts w:eastAsia="Times New Roman" w:cs="Arial"/>
          <w:szCs w:val="20"/>
          <w:lang w:eastAsia="cs-CZ"/>
        </w:rPr>
      </w:pPr>
      <w:r w:rsidRPr="002232BF">
        <w:rPr>
          <w:szCs w:val="20"/>
        </w:rPr>
        <w:lastRenderedPageBreak/>
        <w:t>Z průmyslových oborů se dařilo hlavní</w:t>
      </w:r>
      <w:r>
        <w:rPr>
          <w:szCs w:val="20"/>
        </w:rPr>
        <w:t>mu</w:t>
      </w:r>
      <w:r w:rsidRPr="002232BF">
        <w:rPr>
          <w:szCs w:val="20"/>
        </w:rPr>
        <w:t xml:space="preserve"> tahoun</w:t>
      </w:r>
      <w:r>
        <w:rPr>
          <w:szCs w:val="20"/>
        </w:rPr>
        <w:t>u</w:t>
      </w:r>
      <w:r w:rsidRPr="002232BF">
        <w:rPr>
          <w:szCs w:val="20"/>
        </w:rPr>
        <w:t xml:space="preserve"> české ekonomiky – zpracovatelské</w:t>
      </w:r>
      <w:r>
        <w:rPr>
          <w:szCs w:val="20"/>
        </w:rPr>
        <w:t>mu</w:t>
      </w:r>
      <w:r w:rsidRPr="002232BF">
        <w:rPr>
          <w:szCs w:val="20"/>
        </w:rPr>
        <w:t xml:space="preserve"> průmyslu, který zaměstnává 1 101,5 tis. zaměstnanců – tam vzrostla průměrná mzda o 3,7 %. </w:t>
      </w:r>
      <w:r w:rsidRPr="002232BF">
        <w:rPr>
          <w:rFonts w:eastAsia="Times New Roman" w:cs="Arial"/>
          <w:szCs w:val="20"/>
          <w:lang w:eastAsia="cs-CZ"/>
        </w:rPr>
        <w:t>V obchodě, kde je takřka půl milionu zaměstnanců, vzrostla průměrná</w:t>
      </w:r>
      <w:r w:rsidRPr="005F129F">
        <w:rPr>
          <w:rFonts w:eastAsia="Times New Roman" w:cs="Arial"/>
          <w:szCs w:val="20"/>
          <w:lang w:eastAsia="cs-CZ"/>
        </w:rPr>
        <w:t xml:space="preserve"> mzda o 3,</w:t>
      </w:r>
      <w:r>
        <w:rPr>
          <w:rFonts w:eastAsia="Times New Roman" w:cs="Arial"/>
          <w:szCs w:val="20"/>
          <w:lang w:eastAsia="cs-CZ"/>
        </w:rPr>
        <w:t>6</w:t>
      </w:r>
      <w:r w:rsidRPr="005F129F">
        <w:rPr>
          <w:rFonts w:eastAsia="Times New Roman" w:cs="Arial"/>
          <w:szCs w:val="20"/>
          <w:lang w:eastAsia="cs-CZ"/>
        </w:rPr>
        <w:t> %.</w:t>
      </w:r>
    </w:p>
    <w:p w:rsidR="00F61A41" w:rsidRPr="005F129F" w:rsidRDefault="00F61A41" w:rsidP="00F61A41">
      <w:pPr>
        <w:rPr>
          <w:rFonts w:eastAsia="Times New Roman" w:cs="Arial"/>
          <w:szCs w:val="20"/>
          <w:lang w:eastAsia="cs-CZ"/>
        </w:rPr>
      </w:pPr>
      <w:r w:rsidRPr="005F129F">
        <w:rPr>
          <w:rFonts w:eastAsia="Times New Roman" w:cs="Arial"/>
          <w:szCs w:val="20"/>
          <w:lang w:eastAsia="cs-CZ"/>
        </w:rPr>
        <w:t xml:space="preserve">Z odvětví s dominancí státu byl nejvyšší meziroční nárůst platů ve zdravotní a sociální péči (5,6 %), ve veřejné správě byl </w:t>
      </w:r>
      <w:r>
        <w:rPr>
          <w:rFonts w:eastAsia="Times New Roman" w:cs="Arial"/>
          <w:szCs w:val="20"/>
          <w:lang w:eastAsia="cs-CZ"/>
        </w:rPr>
        <w:t>skromněj</w:t>
      </w:r>
      <w:r w:rsidRPr="005F129F">
        <w:rPr>
          <w:rFonts w:eastAsia="Times New Roman" w:cs="Arial"/>
          <w:szCs w:val="20"/>
          <w:lang w:eastAsia="cs-CZ"/>
        </w:rPr>
        <w:t>ší (4,1 %).</w:t>
      </w:r>
      <w:r w:rsidRPr="005F129F">
        <w:t xml:space="preserve"> Nejnižší nárůst (1,6 %) byl v odvětví vzdělávání.</w:t>
      </w:r>
    </w:p>
    <w:p w:rsidR="00F61A41" w:rsidRPr="002232BF" w:rsidRDefault="00F61A41" w:rsidP="00F61A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3A4271">
        <w:rPr>
          <w:rFonts w:cs="Arial"/>
          <w:szCs w:val="20"/>
        </w:rPr>
        <w:t>Růst průměrné mzdy se v</w:t>
      </w:r>
      <w:r>
        <w:rPr>
          <w:rFonts w:cs="Arial"/>
          <w:szCs w:val="20"/>
        </w:rPr>
        <w:t>e</w:t>
      </w:r>
      <w:r w:rsidRPr="003A427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3</w:t>
      </w:r>
      <w:r w:rsidRPr="003A4271">
        <w:rPr>
          <w:rFonts w:cs="Arial"/>
          <w:szCs w:val="20"/>
        </w:rPr>
        <w:t xml:space="preserve">. čtvrtletí 2015 nejvýrazněji projevil v Jihočeském kraji (4,7 %) a v Karlovarském </w:t>
      </w:r>
      <w:r w:rsidRPr="005F2DF5">
        <w:rPr>
          <w:rFonts w:cs="Arial"/>
          <w:szCs w:val="20"/>
        </w:rPr>
        <w:t xml:space="preserve">kraji (4,6 %). Naopak v hlavním městě byl růst opětovně nejnižší (2,9 %). V jediném Karlovarském kraji došlo k úbytku počtu zaměstnanců, o -0,9 %; v ostatních počty zaměstnanců rostly, nejvýrazněji v Olomouckém kraji (2,7 %), dále Praze </w:t>
      </w:r>
      <w:r w:rsidRPr="002232BF">
        <w:rPr>
          <w:rFonts w:cs="Arial"/>
          <w:szCs w:val="20"/>
        </w:rPr>
        <w:t>a Středočeském kraji (shodně o 2,4 %).</w:t>
      </w:r>
    </w:p>
    <w:p w:rsidR="00F61A41" w:rsidRPr="002232BF" w:rsidRDefault="00F61A41" w:rsidP="00F61A41"/>
    <w:p w:rsidR="00F61A41" w:rsidRPr="00C45254" w:rsidRDefault="00F61A41" w:rsidP="00F61A41">
      <w:pPr>
        <w:rPr>
          <w:rFonts w:cs="Arial"/>
          <w:szCs w:val="20"/>
        </w:rPr>
      </w:pPr>
      <w:r w:rsidRPr="00C45254">
        <w:rPr>
          <w:rFonts w:cs="Arial"/>
          <w:szCs w:val="20"/>
        </w:rPr>
        <w:t>Zajímavou doplňkovou informací o podnikatelské sféře může být zvyšování placené přesčasové práce, které se ve 3. čtvrtletí 2015 projevilo takřka ve všech oborech s výjimkou zemědělství, nejvíce v obchodě a dále ve stavebnictví. Tam také nejvíce vzrostl podíl mimořádných odměn. Prostřednictvím přesčasů se snaží zaměstnavatelé nahradit chybějící pracovní sílu.</w:t>
      </w:r>
    </w:p>
    <w:p w:rsidR="00F61A41" w:rsidRPr="00C45254" w:rsidRDefault="00F61A41" w:rsidP="00F61A41">
      <w:pPr>
        <w:rPr>
          <w:rFonts w:cs="Arial"/>
          <w:szCs w:val="20"/>
        </w:rPr>
      </w:pPr>
      <w:r w:rsidRPr="00C45254">
        <w:rPr>
          <w:rFonts w:cs="Arial"/>
          <w:szCs w:val="20"/>
        </w:rPr>
        <w:t>Objem odpracované doby na zaměstnance se meziročně mírně snížil a naopak vzrostla (placená) neodpracovaná doba v důsledku zvýšení nemocnosti.</w:t>
      </w:r>
    </w:p>
    <w:p w:rsidR="00F61A41" w:rsidRPr="00372FC8" w:rsidRDefault="00F61A41" w:rsidP="00F61A41">
      <w:pPr>
        <w:rPr>
          <w:noProof/>
          <w:color w:val="632423"/>
          <w:lang w:eastAsia="cs-CZ"/>
        </w:rPr>
      </w:pPr>
    </w:p>
    <w:p w:rsidR="00F61A41" w:rsidRPr="00284BF5" w:rsidRDefault="00F61A41" w:rsidP="00F61A41">
      <w:pPr>
        <w:rPr>
          <w:rFonts w:cs="Arial"/>
        </w:rPr>
      </w:pPr>
      <w:r w:rsidRPr="00C45254">
        <w:rPr>
          <w:rFonts w:cs="Arial"/>
        </w:rPr>
        <w:t xml:space="preserve">Rychlá informace obsahuje také údaj o mzdovém </w:t>
      </w:r>
      <w:r w:rsidRPr="00C45254">
        <w:rPr>
          <w:rFonts w:cs="Arial"/>
          <w:b/>
        </w:rPr>
        <w:t>mediánu</w:t>
      </w:r>
      <w:r w:rsidRPr="00C45254">
        <w:rPr>
          <w:rFonts w:cs="Arial"/>
        </w:rPr>
        <w:t>, který je vypočtený z matematického modelu distribuce výdělků. Ten ukazuje mzdu prostředního zaměstnance, tedy běžnou mzdovou úroveň. V</w:t>
      </w:r>
      <w:r w:rsidRPr="00C45254">
        <w:rPr>
          <w:noProof/>
          <w:lang w:eastAsia="cs-CZ"/>
        </w:rPr>
        <w:t>e 3. </w:t>
      </w:r>
      <w:r w:rsidRPr="00284BF5">
        <w:rPr>
          <w:noProof/>
          <w:lang w:eastAsia="cs-CZ"/>
        </w:rPr>
        <w:t xml:space="preserve">čtvrtletí 2015 </w:t>
      </w:r>
      <w:r w:rsidRPr="00284BF5">
        <w:rPr>
          <w:rFonts w:cs="Arial"/>
        </w:rPr>
        <w:t>byl medián 22 531 Kč, o 855 Kč (tj. o 3,9 %) vyšší než ve stejném období předchozího roku. Mzdová úroveň prostředního zaměstnance se tak zvyšovala zhruba stejně jako aritmetický průměr.</w:t>
      </w:r>
    </w:p>
    <w:p w:rsidR="00F61A41" w:rsidRPr="00372FC8" w:rsidRDefault="00F61A41" w:rsidP="00F61A41">
      <w:pPr>
        <w:rPr>
          <w:rFonts w:cs="Arial"/>
          <w:color w:val="4A442A"/>
        </w:rPr>
      </w:pPr>
      <w:r w:rsidRPr="00284BF5">
        <w:rPr>
          <w:rFonts w:cs="Arial"/>
        </w:rPr>
        <w:t>Mzdové rozpětí oseknuté o krajní desetiny zůstalo široké – 80 % zaměstnanců pobíralo výdělky mezi 11 145 Kč a 41 753 Kč. Z hlediska pohlaví mají muži značně vyšší mzdovou úroveň: ve 3. čtvrtletí 2015 byl medián mezd žen 20 014 Kč, zatímco u mužů byl 24 759 Kč.</w:t>
      </w:r>
      <w:r>
        <w:rPr>
          <w:rFonts w:cs="Arial"/>
        </w:rPr>
        <w:t xml:space="preserve"> Nízké platy rostly rychleji než vysoké, což může být důsledek státní politiky zvyšování minimální mzdy.</w:t>
      </w:r>
    </w:p>
    <w:p w:rsidR="00F61A41" w:rsidRPr="00372FC8" w:rsidRDefault="00F61A41" w:rsidP="00F61A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4A442A"/>
          <w:szCs w:val="20"/>
        </w:rPr>
      </w:pPr>
    </w:p>
    <w:p w:rsidR="00F61A41" w:rsidRPr="000571A0" w:rsidRDefault="00F61A41" w:rsidP="00F61A41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:rsidR="00F61A41" w:rsidRPr="000571A0" w:rsidRDefault="00F61A41" w:rsidP="00F61A41">
      <w:pPr>
        <w:rPr>
          <w:b/>
        </w:rPr>
      </w:pPr>
      <w:r>
        <w:rPr>
          <w:b/>
        </w:rPr>
        <w:t xml:space="preserve">Autor: </w:t>
      </w:r>
      <w:r w:rsidRPr="000571A0">
        <w:rPr>
          <w:b/>
        </w:rPr>
        <w:t>Dalibor Holý</w:t>
      </w:r>
    </w:p>
    <w:p w:rsidR="00F61A41" w:rsidRDefault="00F61A41" w:rsidP="00F61A41">
      <w:r w:rsidRPr="000571A0">
        <w:t>Odbor statistiky trhu práce a rovných příležitostí ČSÚ</w:t>
      </w:r>
    </w:p>
    <w:p w:rsidR="00F61A41" w:rsidRDefault="00F61A41" w:rsidP="00F61A41">
      <w:r>
        <w:t>Tel.: +420 274 052 694</w:t>
      </w:r>
    </w:p>
    <w:p w:rsidR="00F61A41" w:rsidRDefault="00F61A41" w:rsidP="00F61A41">
      <w:r>
        <w:t xml:space="preserve">E-mail: </w:t>
      </w:r>
      <w:hyperlink r:id="rId10" w:history="1">
        <w:r w:rsidRPr="00B23010">
          <w:rPr>
            <w:rStyle w:val="Hypertextovodkaz"/>
          </w:rPr>
          <w:t>dalibor.holy@czso.cz</w:t>
        </w:r>
      </w:hyperlink>
      <w:bookmarkStart w:id="0" w:name="_GoBack"/>
      <w:bookmarkEnd w:id="0"/>
    </w:p>
    <w:sectPr w:rsidR="00F61A41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78" w:rsidRDefault="00DB7D78" w:rsidP="00BA6370">
      <w:r>
        <w:separator/>
      </w:r>
    </w:p>
  </w:endnote>
  <w:endnote w:type="continuationSeparator" w:id="0">
    <w:p w:rsidR="00DB7D78" w:rsidRDefault="00DB7D7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6B" w:rsidRDefault="00DB7D78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B2C6B" w:rsidRPr="001404AB" w:rsidRDefault="003B2C6B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B2C6B" w:rsidRPr="00A81EB3" w:rsidRDefault="003B2C6B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</w:t>
                </w:r>
                <w:r w:rsidR="00566A11">
                  <w:rPr>
                    <w:rFonts w:cs="Arial"/>
                    <w:sz w:val="15"/>
                    <w:szCs w:val="15"/>
                  </w:rPr>
                  <w:t> </w:t>
                </w:r>
                <w:r w:rsidRPr="001404AB">
                  <w:rPr>
                    <w:rFonts w:cs="Arial"/>
                    <w:sz w:val="15"/>
                    <w:szCs w:val="15"/>
                  </w:rPr>
                  <w:t>304</w:t>
                </w:r>
                <w:r w:rsidR="00566A11">
                  <w:rPr>
                    <w:rFonts w:cs="Arial"/>
                    <w:sz w:val="15"/>
                    <w:szCs w:val="15"/>
                  </w:rPr>
                  <w:t>,</w:t>
                </w:r>
                <w:r w:rsidRPr="001404AB">
                  <w:rPr>
                    <w:rFonts w:cs="Arial"/>
                    <w:sz w:val="15"/>
                    <w:szCs w:val="15"/>
                  </w:rPr>
                  <w:t xml:space="preserve">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4420A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4420A" w:rsidRPr="004E479E">
                  <w:rPr>
                    <w:rFonts w:cs="Arial"/>
                    <w:szCs w:val="15"/>
                  </w:rPr>
                  <w:fldChar w:fldCharType="separate"/>
                </w:r>
                <w:r w:rsidR="00F61A41">
                  <w:rPr>
                    <w:rFonts w:cs="Arial"/>
                    <w:noProof/>
                    <w:szCs w:val="15"/>
                  </w:rPr>
                  <w:t>3</w:t>
                </w:r>
                <w:r w:rsidR="0084420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78" w:rsidRDefault="00DB7D78" w:rsidP="00BA6370">
      <w:r>
        <w:separator/>
      </w:r>
    </w:p>
  </w:footnote>
  <w:footnote w:type="continuationSeparator" w:id="0">
    <w:p w:rsidR="00DB7D78" w:rsidRDefault="00DB7D7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C6B" w:rsidRDefault="00DB7D78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0" style="position:absolute;left:2394;top:2129;width:187;height:186" coordsize="373,374" path="m,l97,,276,229,276,r97,l373,374r-97,l97,146r,228l,374,,xe" stroked="f">
            <v:path arrowok="t"/>
          </v:shape>
          <v:shape id="_x0000_s2061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2" style="position:absolute;left:2820;top:2129;width:106;height:186" coordsize="213,374" path="m97,292r116,l213,374,,374,,,97,r,292xe" stroked="f">
            <v:path arrowok="t"/>
          </v:shape>
          <v:shape id="_x0000_s2063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4" style="position:absolute;left:3099;top:2129;width:170;height:186" coordsize="340,374" path="m320,292r,82l,374,177,82,30,82,30,,340,,163,292r157,xe" stroked="f">
            <v:path arrowok="t"/>
          </v:shape>
          <v:shape id="_x0000_s2065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6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338E"/>
    <w:multiLevelType w:val="hybridMultilevel"/>
    <w:tmpl w:val="B9F43890"/>
    <w:lvl w:ilvl="0" w:tplc="BE1A7F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82E93"/>
    <w:multiLevelType w:val="hybridMultilevel"/>
    <w:tmpl w:val="4CD02534"/>
    <w:lvl w:ilvl="0" w:tplc="0D4EBB0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20"/>
  <w:hyphenationZone w:val="425"/>
  <w:characterSpacingControl w:val="doNotCompress"/>
  <w:hdrShapeDefaults>
    <o:shapedefaults v:ext="edit" spidmax="2067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52"/>
    <w:rsid w:val="000023A2"/>
    <w:rsid w:val="000114A6"/>
    <w:rsid w:val="0001230E"/>
    <w:rsid w:val="00017CF9"/>
    <w:rsid w:val="00043BF4"/>
    <w:rsid w:val="00043D04"/>
    <w:rsid w:val="000444C1"/>
    <w:rsid w:val="00053085"/>
    <w:rsid w:val="000549CA"/>
    <w:rsid w:val="000670C5"/>
    <w:rsid w:val="00071D13"/>
    <w:rsid w:val="000843A5"/>
    <w:rsid w:val="0008536F"/>
    <w:rsid w:val="000A6F3E"/>
    <w:rsid w:val="000A77E7"/>
    <w:rsid w:val="000B6F63"/>
    <w:rsid w:val="000C2789"/>
    <w:rsid w:val="000C7383"/>
    <w:rsid w:val="000E14DC"/>
    <w:rsid w:val="000E543B"/>
    <w:rsid w:val="000F5B28"/>
    <w:rsid w:val="000F6696"/>
    <w:rsid w:val="00107AA6"/>
    <w:rsid w:val="00110BBF"/>
    <w:rsid w:val="00113E94"/>
    <w:rsid w:val="00127216"/>
    <w:rsid w:val="001404AB"/>
    <w:rsid w:val="001658A9"/>
    <w:rsid w:val="001677C8"/>
    <w:rsid w:val="00167C33"/>
    <w:rsid w:val="0017231D"/>
    <w:rsid w:val="00175ABA"/>
    <w:rsid w:val="001810DC"/>
    <w:rsid w:val="00193226"/>
    <w:rsid w:val="00196FFD"/>
    <w:rsid w:val="00197AC3"/>
    <w:rsid w:val="001A4C67"/>
    <w:rsid w:val="001A59BF"/>
    <w:rsid w:val="001B607F"/>
    <w:rsid w:val="001C2475"/>
    <w:rsid w:val="001D069B"/>
    <w:rsid w:val="001D369A"/>
    <w:rsid w:val="001D7F13"/>
    <w:rsid w:val="001E0070"/>
    <w:rsid w:val="001E2437"/>
    <w:rsid w:val="001E3027"/>
    <w:rsid w:val="001F6C45"/>
    <w:rsid w:val="0020001B"/>
    <w:rsid w:val="002070FB"/>
    <w:rsid w:val="00213729"/>
    <w:rsid w:val="00213807"/>
    <w:rsid w:val="00226882"/>
    <w:rsid w:val="002406FA"/>
    <w:rsid w:val="00275715"/>
    <w:rsid w:val="00283435"/>
    <w:rsid w:val="00290C86"/>
    <w:rsid w:val="002A709E"/>
    <w:rsid w:val="002B1DE3"/>
    <w:rsid w:val="002B2E47"/>
    <w:rsid w:val="002B3B74"/>
    <w:rsid w:val="002B5209"/>
    <w:rsid w:val="002C6A52"/>
    <w:rsid w:val="002D0755"/>
    <w:rsid w:val="002D6585"/>
    <w:rsid w:val="002D6A6C"/>
    <w:rsid w:val="002E6EC7"/>
    <w:rsid w:val="002F10E8"/>
    <w:rsid w:val="002F2BCA"/>
    <w:rsid w:val="002F3301"/>
    <w:rsid w:val="00315A60"/>
    <w:rsid w:val="00316F63"/>
    <w:rsid w:val="003301A3"/>
    <w:rsid w:val="003325FF"/>
    <w:rsid w:val="003431EF"/>
    <w:rsid w:val="00343904"/>
    <w:rsid w:val="00344CE5"/>
    <w:rsid w:val="0034777A"/>
    <w:rsid w:val="00354063"/>
    <w:rsid w:val="00354208"/>
    <w:rsid w:val="003635B9"/>
    <w:rsid w:val="0036777B"/>
    <w:rsid w:val="00375415"/>
    <w:rsid w:val="0038282A"/>
    <w:rsid w:val="003937DD"/>
    <w:rsid w:val="00394BC0"/>
    <w:rsid w:val="00397580"/>
    <w:rsid w:val="003A1794"/>
    <w:rsid w:val="003A45C8"/>
    <w:rsid w:val="003A52E1"/>
    <w:rsid w:val="003A5758"/>
    <w:rsid w:val="003B25AE"/>
    <w:rsid w:val="003B2C6B"/>
    <w:rsid w:val="003C2DCF"/>
    <w:rsid w:val="003C47AB"/>
    <w:rsid w:val="003C5993"/>
    <w:rsid w:val="003C7FE7"/>
    <w:rsid w:val="003D0499"/>
    <w:rsid w:val="003D0E08"/>
    <w:rsid w:val="003D266B"/>
    <w:rsid w:val="003E0352"/>
    <w:rsid w:val="003F2C91"/>
    <w:rsid w:val="003F526A"/>
    <w:rsid w:val="00405244"/>
    <w:rsid w:val="004076BD"/>
    <w:rsid w:val="00426325"/>
    <w:rsid w:val="004436EE"/>
    <w:rsid w:val="0044776C"/>
    <w:rsid w:val="00452FF9"/>
    <w:rsid w:val="0045547F"/>
    <w:rsid w:val="00461AA0"/>
    <w:rsid w:val="00466CD5"/>
    <w:rsid w:val="00471BDC"/>
    <w:rsid w:val="00481A09"/>
    <w:rsid w:val="00483026"/>
    <w:rsid w:val="004920AD"/>
    <w:rsid w:val="00494D0D"/>
    <w:rsid w:val="004A2A7F"/>
    <w:rsid w:val="004A5294"/>
    <w:rsid w:val="004B1959"/>
    <w:rsid w:val="004B714D"/>
    <w:rsid w:val="004D05B3"/>
    <w:rsid w:val="004E479E"/>
    <w:rsid w:val="004F08ED"/>
    <w:rsid w:val="004F78E6"/>
    <w:rsid w:val="00505978"/>
    <w:rsid w:val="00512D99"/>
    <w:rsid w:val="00525AA7"/>
    <w:rsid w:val="00531DBB"/>
    <w:rsid w:val="005320B3"/>
    <w:rsid w:val="005364F2"/>
    <w:rsid w:val="00536EA6"/>
    <w:rsid w:val="00553DAA"/>
    <w:rsid w:val="00561AF8"/>
    <w:rsid w:val="005646B3"/>
    <w:rsid w:val="00566A11"/>
    <w:rsid w:val="0057323A"/>
    <w:rsid w:val="00583247"/>
    <w:rsid w:val="00585DA5"/>
    <w:rsid w:val="005946B6"/>
    <w:rsid w:val="00597D94"/>
    <w:rsid w:val="005A360B"/>
    <w:rsid w:val="005B6DA8"/>
    <w:rsid w:val="005B7296"/>
    <w:rsid w:val="005D31A6"/>
    <w:rsid w:val="005E591E"/>
    <w:rsid w:val="005F4DBD"/>
    <w:rsid w:val="005F699D"/>
    <w:rsid w:val="005F6AAE"/>
    <w:rsid w:val="005F79FB"/>
    <w:rsid w:val="00600387"/>
    <w:rsid w:val="00604406"/>
    <w:rsid w:val="00605F4A"/>
    <w:rsid w:val="00607822"/>
    <w:rsid w:val="006103AA"/>
    <w:rsid w:val="006106C5"/>
    <w:rsid w:val="00612831"/>
    <w:rsid w:val="00613BBF"/>
    <w:rsid w:val="00616B30"/>
    <w:rsid w:val="00617AAB"/>
    <w:rsid w:val="00622B80"/>
    <w:rsid w:val="00623E4D"/>
    <w:rsid w:val="006351A3"/>
    <w:rsid w:val="0064139A"/>
    <w:rsid w:val="00642E3F"/>
    <w:rsid w:val="00644D03"/>
    <w:rsid w:val="00655B4B"/>
    <w:rsid w:val="0066005E"/>
    <w:rsid w:val="00660D82"/>
    <w:rsid w:val="00660ED1"/>
    <w:rsid w:val="006667D4"/>
    <w:rsid w:val="0068103D"/>
    <w:rsid w:val="006845A2"/>
    <w:rsid w:val="00685158"/>
    <w:rsid w:val="006A0AB9"/>
    <w:rsid w:val="006A0DCE"/>
    <w:rsid w:val="006B0631"/>
    <w:rsid w:val="006C09DD"/>
    <w:rsid w:val="006C483C"/>
    <w:rsid w:val="006D2106"/>
    <w:rsid w:val="006D5AAF"/>
    <w:rsid w:val="006D6956"/>
    <w:rsid w:val="006E024F"/>
    <w:rsid w:val="006E363A"/>
    <w:rsid w:val="006E4E81"/>
    <w:rsid w:val="006F40A1"/>
    <w:rsid w:val="006F4790"/>
    <w:rsid w:val="00707F7D"/>
    <w:rsid w:val="00717601"/>
    <w:rsid w:val="00717EC5"/>
    <w:rsid w:val="007211E5"/>
    <w:rsid w:val="00725389"/>
    <w:rsid w:val="00732BA9"/>
    <w:rsid w:val="007373D8"/>
    <w:rsid w:val="00737B80"/>
    <w:rsid w:val="0074747B"/>
    <w:rsid w:val="00747AF1"/>
    <w:rsid w:val="00755D52"/>
    <w:rsid w:val="00760C2B"/>
    <w:rsid w:val="00761B14"/>
    <w:rsid w:val="00764DB2"/>
    <w:rsid w:val="00773962"/>
    <w:rsid w:val="00776BAB"/>
    <w:rsid w:val="00780806"/>
    <w:rsid w:val="00790715"/>
    <w:rsid w:val="007938CB"/>
    <w:rsid w:val="00793986"/>
    <w:rsid w:val="007947B7"/>
    <w:rsid w:val="007A57F2"/>
    <w:rsid w:val="007B1333"/>
    <w:rsid w:val="007C5618"/>
    <w:rsid w:val="007E23A3"/>
    <w:rsid w:val="007E3CEA"/>
    <w:rsid w:val="007F4AEB"/>
    <w:rsid w:val="007F75B2"/>
    <w:rsid w:val="007F7D0F"/>
    <w:rsid w:val="0080352E"/>
    <w:rsid w:val="008043C4"/>
    <w:rsid w:val="0081294B"/>
    <w:rsid w:val="00815588"/>
    <w:rsid w:val="0082166F"/>
    <w:rsid w:val="00830309"/>
    <w:rsid w:val="00831B1B"/>
    <w:rsid w:val="00834107"/>
    <w:rsid w:val="00842F89"/>
    <w:rsid w:val="0084420A"/>
    <w:rsid w:val="0084781A"/>
    <w:rsid w:val="00847914"/>
    <w:rsid w:val="008524F5"/>
    <w:rsid w:val="00857014"/>
    <w:rsid w:val="00861D0E"/>
    <w:rsid w:val="008622CE"/>
    <w:rsid w:val="008653A6"/>
    <w:rsid w:val="00867569"/>
    <w:rsid w:val="00893C64"/>
    <w:rsid w:val="008A0CBE"/>
    <w:rsid w:val="008A18A9"/>
    <w:rsid w:val="008A4EE7"/>
    <w:rsid w:val="008A5750"/>
    <w:rsid w:val="008A750A"/>
    <w:rsid w:val="008C384C"/>
    <w:rsid w:val="008C455A"/>
    <w:rsid w:val="008C62BD"/>
    <w:rsid w:val="008D0F11"/>
    <w:rsid w:val="008D64D5"/>
    <w:rsid w:val="008D7914"/>
    <w:rsid w:val="008E3420"/>
    <w:rsid w:val="008E56BB"/>
    <w:rsid w:val="008E641A"/>
    <w:rsid w:val="008E73A2"/>
    <w:rsid w:val="008E74FF"/>
    <w:rsid w:val="008F73B4"/>
    <w:rsid w:val="00904008"/>
    <w:rsid w:val="0090741A"/>
    <w:rsid w:val="00914F3E"/>
    <w:rsid w:val="009158B2"/>
    <w:rsid w:val="00924430"/>
    <w:rsid w:val="00931A52"/>
    <w:rsid w:val="009327D5"/>
    <w:rsid w:val="00965B07"/>
    <w:rsid w:val="00967F05"/>
    <w:rsid w:val="00983FA1"/>
    <w:rsid w:val="00985041"/>
    <w:rsid w:val="00985B68"/>
    <w:rsid w:val="009910A5"/>
    <w:rsid w:val="009A1EC5"/>
    <w:rsid w:val="009A4CB3"/>
    <w:rsid w:val="009B55B1"/>
    <w:rsid w:val="009D12BB"/>
    <w:rsid w:val="009D2873"/>
    <w:rsid w:val="009D6A37"/>
    <w:rsid w:val="009D7239"/>
    <w:rsid w:val="009E67B3"/>
    <w:rsid w:val="009E6C96"/>
    <w:rsid w:val="009F01BA"/>
    <w:rsid w:val="00A03FEB"/>
    <w:rsid w:val="00A22B58"/>
    <w:rsid w:val="00A27CF0"/>
    <w:rsid w:val="00A37C91"/>
    <w:rsid w:val="00A4320B"/>
    <w:rsid w:val="00A4343D"/>
    <w:rsid w:val="00A452BC"/>
    <w:rsid w:val="00A502F1"/>
    <w:rsid w:val="00A55F3A"/>
    <w:rsid w:val="00A56C80"/>
    <w:rsid w:val="00A60254"/>
    <w:rsid w:val="00A62595"/>
    <w:rsid w:val="00A64A68"/>
    <w:rsid w:val="00A6511D"/>
    <w:rsid w:val="00A65DE7"/>
    <w:rsid w:val="00A70A83"/>
    <w:rsid w:val="00A70AE0"/>
    <w:rsid w:val="00A76E18"/>
    <w:rsid w:val="00A8080F"/>
    <w:rsid w:val="00A81EB3"/>
    <w:rsid w:val="00A83CC5"/>
    <w:rsid w:val="00A94F19"/>
    <w:rsid w:val="00AA510B"/>
    <w:rsid w:val="00AB6D88"/>
    <w:rsid w:val="00AC1FB6"/>
    <w:rsid w:val="00AC3B80"/>
    <w:rsid w:val="00AD39EC"/>
    <w:rsid w:val="00AF7F58"/>
    <w:rsid w:val="00B00C1D"/>
    <w:rsid w:val="00B1344D"/>
    <w:rsid w:val="00B25B8D"/>
    <w:rsid w:val="00B33194"/>
    <w:rsid w:val="00B3324F"/>
    <w:rsid w:val="00B5212F"/>
    <w:rsid w:val="00B52FE5"/>
    <w:rsid w:val="00B547FD"/>
    <w:rsid w:val="00B60588"/>
    <w:rsid w:val="00B7459E"/>
    <w:rsid w:val="00B75FEA"/>
    <w:rsid w:val="00B865CC"/>
    <w:rsid w:val="00BA439F"/>
    <w:rsid w:val="00BA6370"/>
    <w:rsid w:val="00BA7128"/>
    <w:rsid w:val="00BB1CD1"/>
    <w:rsid w:val="00BB6871"/>
    <w:rsid w:val="00BC085B"/>
    <w:rsid w:val="00BC748B"/>
    <w:rsid w:val="00BD1325"/>
    <w:rsid w:val="00BD7510"/>
    <w:rsid w:val="00BE180D"/>
    <w:rsid w:val="00BF6C0E"/>
    <w:rsid w:val="00C02B24"/>
    <w:rsid w:val="00C1170C"/>
    <w:rsid w:val="00C11B87"/>
    <w:rsid w:val="00C13945"/>
    <w:rsid w:val="00C21159"/>
    <w:rsid w:val="00C21223"/>
    <w:rsid w:val="00C269D4"/>
    <w:rsid w:val="00C3730B"/>
    <w:rsid w:val="00C4160D"/>
    <w:rsid w:val="00C41847"/>
    <w:rsid w:val="00C42E17"/>
    <w:rsid w:val="00C43398"/>
    <w:rsid w:val="00C519B5"/>
    <w:rsid w:val="00C52478"/>
    <w:rsid w:val="00C56F03"/>
    <w:rsid w:val="00C6172E"/>
    <w:rsid w:val="00C644F5"/>
    <w:rsid w:val="00C7698A"/>
    <w:rsid w:val="00C83826"/>
    <w:rsid w:val="00C83FB1"/>
    <w:rsid w:val="00C8406E"/>
    <w:rsid w:val="00CA5282"/>
    <w:rsid w:val="00CA6348"/>
    <w:rsid w:val="00CB26B4"/>
    <w:rsid w:val="00CB2709"/>
    <w:rsid w:val="00CB6F89"/>
    <w:rsid w:val="00CD2018"/>
    <w:rsid w:val="00CD3B6C"/>
    <w:rsid w:val="00CE0524"/>
    <w:rsid w:val="00CE228C"/>
    <w:rsid w:val="00CF545B"/>
    <w:rsid w:val="00D0517A"/>
    <w:rsid w:val="00D11341"/>
    <w:rsid w:val="00D27D69"/>
    <w:rsid w:val="00D4070B"/>
    <w:rsid w:val="00D448C2"/>
    <w:rsid w:val="00D45B86"/>
    <w:rsid w:val="00D50AE7"/>
    <w:rsid w:val="00D666C3"/>
    <w:rsid w:val="00D74F9D"/>
    <w:rsid w:val="00D82DEF"/>
    <w:rsid w:val="00D840EB"/>
    <w:rsid w:val="00D85762"/>
    <w:rsid w:val="00D936AE"/>
    <w:rsid w:val="00DA2E47"/>
    <w:rsid w:val="00DA3C0A"/>
    <w:rsid w:val="00DB7D78"/>
    <w:rsid w:val="00DC129D"/>
    <w:rsid w:val="00DC6E7A"/>
    <w:rsid w:val="00DC73F6"/>
    <w:rsid w:val="00DD042D"/>
    <w:rsid w:val="00DD1463"/>
    <w:rsid w:val="00DD1EAE"/>
    <w:rsid w:val="00DD3C42"/>
    <w:rsid w:val="00DD45FA"/>
    <w:rsid w:val="00DE1B11"/>
    <w:rsid w:val="00DE58B3"/>
    <w:rsid w:val="00DF154B"/>
    <w:rsid w:val="00DF47FE"/>
    <w:rsid w:val="00DF7079"/>
    <w:rsid w:val="00E13102"/>
    <w:rsid w:val="00E201E0"/>
    <w:rsid w:val="00E26704"/>
    <w:rsid w:val="00E3183F"/>
    <w:rsid w:val="00E31980"/>
    <w:rsid w:val="00E42305"/>
    <w:rsid w:val="00E42E00"/>
    <w:rsid w:val="00E441C4"/>
    <w:rsid w:val="00E55055"/>
    <w:rsid w:val="00E563F0"/>
    <w:rsid w:val="00E6423C"/>
    <w:rsid w:val="00E70F9E"/>
    <w:rsid w:val="00E7668A"/>
    <w:rsid w:val="00E85232"/>
    <w:rsid w:val="00E93830"/>
    <w:rsid w:val="00E93E0E"/>
    <w:rsid w:val="00E9515A"/>
    <w:rsid w:val="00EA373F"/>
    <w:rsid w:val="00EA7B94"/>
    <w:rsid w:val="00EB1ED3"/>
    <w:rsid w:val="00EB7A15"/>
    <w:rsid w:val="00EC2D51"/>
    <w:rsid w:val="00EC68A6"/>
    <w:rsid w:val="00EC79C5"/>
    <w:rsid w:val="00ED333D"/>
    <w:rsid w:val="00ED6572"/>
    <w:rsid w:val="00ED7B69"/>
    <w:rsid w:val="00EE2FDD"/>
    <w:rsid w:val="00EF47B1"/>
    <w:rsid w:val="00F010F2"/>
    <w:rsid w:val="00F02ACB"/>
    <w:rsid w:val="00F04462"/>
    <w:rsid w:val="00F10AB9"/>
    <w:rsid w:val="00F13284"/>
    <w:rsid w:val="00F13564"/>
    <w:rsid w:val="00F26395"/>
    <w:rsid w:val="00F31C1C"/>
    <w:rsid w:val="00F32DA4"/>
    <w:rsid w:val="00F334FA"/>
    <w:rsid w:val="00F5353E"/>
    <w:rsid w:val="00F568B5"/>
    <w:rsid w:val="00F61A41"/>
    <w:rsid w:val="00F71300"/>
    <w:rsid w:val="00F723A1"/>
    <w:rsid w:val="00F947EC"/>
    <w:rsid w:val="00F96F42"/>
    <w:rsid w:val="00F979CE"/>
    <w:rsid w:val="00FB687C"/>
    <w:rsid w:val="00FD3B63"/>
    <w:rsid w:val="00FE31AD"/>
    <w:rsid w:val="00FE38D3"/>
    <w:rsid w:val="00FE49F8"/>
    <w:rsid w:val="00FF255E"/>
    <w:rsid w:val="00FF701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8D64D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</w:rPr>
  </w:style>
  <w:style w:type="character" w:customStyle="1" w:styleId="Zkladntextodsazen3Char">
    <w:name w:val="Základní text odsazený 3 Char"/>
    <w:link w:val="Zkladntextodsazen3"/>
    <w:semiHidden/>
    <w:rsid w:val="008D64D5"/>
    <w:rPr>
      <w:rFonts w:ascii="Arial" w:eastAsia="Times New Roman" w:hAnsi="Arial" w:cs="Arial"/>
      <w:szCs w:val="24"/>
    </w:rPr>
  </w:style>
  <w:style w:type="character" w:styleId="Sledovanodkaz">
    <w:name w:val="FollowedHyperlink"/>
    <w:uiPriority w:val="99"/>
    <w:semiHidden/>
    <w:unhideWhenUsed/>
    <w:rsid w:val="007947B7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6A0A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0AB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0AB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0AB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0AB9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5D31A6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libor.holy@czso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1521-0057-44E6-9D0E-1856CF16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7164</CharactersWithSpaces>
  <SharedDoc>false</SharedDoc>
  <HLinks>
    <vt:vector size="18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http://www.czso.cz/csu/csu.nsf/informace/czam020314.docx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Holý</dc:creator>
  <cp:lastModifiedBy>Erhartova</cp:lastModifiedBy>
  <cp:revision>3</cp:revision>
  <dcterms:created xsi:type="dcterms:W3CDTF">2015-09-03T08:36:00Z</dcterms:created>
  <dcterms:modified xsi:type="dcterms:W3CDTF">2015-12-02T10:11:00Z</dcterms:modified>
</cp:coreProperties>
</file>