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31" w:rsidRDefault="00624531">
      <w:pPr>
        <w:spacing w:line="240" w:lineRule="auto"/>
        <w:rPr>
          <w:rFonts w:cs="Arial"/>
          <w:lang w:eastAsia="ar-SA"/>
        </w:rPr>
      </w:pPr>
      <w:r>
        <w:rPr>
          <w:noProof/>
        </w:rPr>
        <w:pict>
          <v:shapetype id="_x0000_t202" coordsize="21600,21600" o:spt="202" path="m,l,21600r21600,l21600,xe">
            <v:stroke joinstyle="miter"/>
            <v:path gradientshapeok="t" o:connecttype="rect"/>
          </v:shapetype>
          <v:shape id="_x0000_s1026" type="#_x0000_t202" style="position:absolute;margin-left:134.65pt;margin-top:759.8pt;width:403.95pt;height:14.15pt;z-index:251661824;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HOZlqe5&#10;AgAArwUAAA4AAAAAAAAAAAAAAAAALAIAAGRycy9lMm9Eb2MueG1sUEsBAi0AFAAGAAgAAAAhAAdl&#10;cHfhAAAADgEAAA8AAAAAAAAAAAAAAAAAEQUAAGRycy9kb3ducmV2LnhtbFBLBQYAAAAABAAEAPMA&#10;AAAfBgAAAAA=&#10;" filled="f" stroked="f">
            <v:textbox style="mso-next-textbox:#_x0000_s1026" inset="0,0,0,0">
              <w:txbxContent>
                <w:p w:rsidR="00624531" w:rsidRPr="005251DD" w:rsidRDefault="00624531" w:rsidP="0039561D">
                  <w:pPr>
                    <w:jc w:val="center"/>
                  </w:pPr>
                  <w:r w:rsidRPr="005251DD">
                    <w:t xml:space="preserve">Český statistický úřad, </w:t>
                  </w:r>
                  <w:r>
                    <w:t>Praha, 2015</w:t>
                  </w:r>
                </w:p>
              </w:txbxContent>
            </v:textbox>
            <w10:wrap anchorx="page" anchory="page"/>
            <w10:anchorlock/>
          </v:shape>
        </w:pict>
      </w:r>
      <w:r>
        <w:rPr>
          <w:noProof/>
        </w:rPr>
        <w:pict>
          <v:shape id="_x0000_s1027" type="#_x0000_t202" style="position:absolute;margin-left:134.3pt;margin-top:652.05pt;width:403.95pt;height:72.85pt;z-index:25166080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" filled="f" stroked="f">
            <v:textbox style="mso-next-textbox:#_x0000_s1027" inset="0,0,0,0">
              <w:txbxContent>
                <w:p w:rsidR="00624531" w:rsidRPr="006C5577" w:rsidRDefault="00624531" w:rsidP="00A33EFD">
                  <w:pPr>
                    <w:pStyle w:val="TL-Identifikace-dole"/>
                  </w:pPr>
                  <w:r>
                    <w:t>Z</w:t>
                  </w:r>
                  <w:r w:rsidRPr="006C5577">
                    <w:t xml:space="preserve">pracoval: </w:t>
                  </w:r>
                  <w:r>
                    <w:t>Odbor statistik rozvoje společnosti</w:t>
                  </w:r>
                  <w:r w:rsidRPr="006C5577">
                    <w:t xml:space="preserve"> </w:t>
                  </w:r>
                </w:p>
                <w:p w:rsidR="00624531" w:rsidRPr="006C5577" w:rsidRDefault="00624531" w:rsidP="00A33EFD">
                  <w:pPr>
                    <w:pStyle w:val="TL-Identifikace-dole"/>
                  </w:pPr>
                  <w:r w:rsidRPr="006C5577">
                    <w:t xml:space="preserve">Ředitel odboru: </w:t>
                  </w:r>
                  <w:r>
                    <w:t>Ing. Martin Mana</w:t>
                  </w:r>
                </w:p>
                <w:p w:rsidR="00624531" w:rsidRPr="006C5577" w:rsidRDefault="00624531" w:rsidP="00A33EFD">
                  <w:pPr>
                    <w:pStyle w:val="TL-Identifikace-dole"/>
                  </w:pPr>
                  <w:r w:rsidRPr="006C5577">
                    <w:t xml:space="preserve">Kontaktní osoba: </w:t>
                  </w:r>
                  <w:r>
                    <w:t>Mgr. Anita Hrivíková</w:t>
                  </w:r>
                  <w:r w:rsidRPr="006C5577">
                    <w:t xml:space="preserve">, e-mail: </w:t>
                  </w:r>
                  <w:r>
                    <w:t>anita.hrivikova</w:t>
                  </w:r>
                  <w:r w:rsidRPr="006C5577">
                    <w:t>@czso.cz</w:t>
                  </w:r>
                </w:p>
              </w:txbxContent>
            </v:textbox>
            <w10:wrap anchorx="page" anchory="page"/>
            <w10:anchorlock/>
          </v:shape>
        </w:pict>
      </w:r>
      <w:r>
        <w:rPr>
          <w:noProof/>
        </w:rPr>
        <w:pict>
          <v:shape id="_x0000_s1028" type="#_x0000_t202" style="position:absolute;margin-left:134.65pt;margin-top:368.55pt;width:403.9pt;height:132.8pt;z-index:25165977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" filled="f" stroked="f">
            <v:textbox style="mso-next-textbox:#_x0000_s1028;mso-fit-shape-to-text:t" inset="0,0,0,0">
              <w:txbxContent>
                <w:p w:rsidR="00624531" w:rsidRDefault="00624531" w:rsidP="00A33EFD">
                  <w:pPr>
                    <w:pStyle w:val="TL-identifikace-sted"/>
                    <w:rPr>
                      <w:rStyle w:val="right"/>
                    </w:rPr>
                  </w:pPr>
                  <w:r>
                    <w:rPr>
                      <w:rStyle w:val="right"/>
                    </w:rPr>
                    <w:t>Zdravotnictví, pracovní neschopnost</w:t>
                  </w:r>
                </w:p>
                <w:p w:rsidR="00624531" w:rsidRPr="00D31445" w:rsidRDefault="00624531" w:rsidP="00A33EFD">
                  <w:pPr>
                    <w:pStyle w:val="TL-identifikace-sted"/>
                  </w:pPr>
                  <w:r>
                    <w:rPr>
                      <w:rStyle w:val="right"/>
                    </w:rPr>
                    <w:t>Praha</w:t>
                  </w:r>
                  <w:r w:rsidRPr="00D31445">
                    <w:t>, datum vydání</w:t>
                  </w:r>
                </w:p>
                <w:p w:rsidR="00624531" w:rsidRPr="00D31445" w:rsidRDefault="00624531" w:rsidP="00A33EFD">
                  <w:pPr>
                    <w:pStyle w:val="TL-identifikace-sted"/>
                  </w:pPr>
                  <w:r w:rsidRPr="00D31445">
                    <w:t xml:space="preserve">Kód publikace: </w:t>
                  </w:r>
                  <w:r w:rsidRPr="0039561D">
                    <w:t>260004-14</w:t>
                  </w:r>
                  <w:r>
                    <w:rPr>
                      <w:rFonts w:cs="Arial"/>
                      <w:sz w:val="20"/>
                    </w:rPr>
                    <w:t xml:space="preserve"> </w:t>
                  </w:r>
                </w:p>
                <w:p w:rsidR="00624531" w:rsidRPr="00D31445" w:rsidRDefault="00624531" w:rsidP="00A33EFD">
                  <w:pPr>
                    <w:spacing w:after="200"/>
                    <w:rPr>
                      <w:sz w:val="24"/>
                    </w:rPr>
                  </w:pPr>
                  <w:r w:rsidRPr="00D31445">
                    <w:rPr>
                      <w:sz w:val="24"/>
                    </w:rPr>
                    <w:t xml:space="preserve">Č. j.: </w:t>
                  </w:r>
                  <w:r>
                    <w:rPr>
                      <w:sz w:val="24"/>
                    </w:rPr>
                    <w:t>636</w:t>
                  </w:r>
                  <w:r w:rsidRPr="00D31445">
                    <w:rPr>
                      <w:sz w:val="24"/>
                    </w:rPr>
                    <w:t xml:space="preserve"> / </w:t>
                  </w:r>
                  <w:r>
                    <w:rPr>
                      <w:sz w:val="24"/>
                    </w:rPr>
                    <w:t>2015</w:t>
                  </w:r>
                  <w:r w:rsidRPr="00D31445">
                    <w:rPr>
                      <w:sz w:val="24"/>
                    </w:rPr>
                    <w:t xml:space="preserve"> – </w:t>
                  </w:r>
                  <w:r>
                    <w:rPr>
                      <w:sz w:val="24"/>
                    </w:rPr>
                    <w:t>63</w:t>
                  </w:r>
                </w:p>
              </w:txbxContent>
            </v:textbox>
            <w10:wrap anchorx="page" anchory="page"/>
            <w10:anchorlock/>
          </v:shape>
        </w:pict>
      </w:r>
      <w:r>
        <w:rPr>
          <w:noProof/>
        </w:rPr>
        <w:pict>
          <v:shape id="_x0000_s1029" type="#_x0000_t202" style="position:absolute;margin-left:134.65pt;margin-top:116.25pt;width:403.9pt;height:173.85pt;z-index:25165875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f1xro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" filled="f" stroked="f">
            <v:textbox style="mso-next-textbox:#_x0000_s1029;mso-fit-shape-to-text:t" inset="0,0,0,0">
              <w:txbxContent>
                <w:p w:rsidR="00624531" w:rsidRPr="00667B13" w:rsidRDefault="00624531" w:rsidP="00A33EFD">
                  <w:pPr>
                    <w:pStyle w:val="Title"/>
                  </w:pPr>
                  <w:r>
                    <w:t>PRACOVNÍ NESCHOPNOST PRO NEMOC A ÚRAZ v české republice</w:t>
                  </w:r>
                  <w:r w:rsidRPr="00AD306C">
                    <w:br/>
                  </w:r>
                </w:p>
                <w:p w:rsidR="00624531" w:rsidRPr="009B04D0" w:rsidRDefault="00624531" w:rsidP="00A33EFD">
                  <w:pPr>
                    <w:pStyle w:val="Subtitle"/>
                  </w:pPr>
                </w:p>
                <w:p w:rsidR="00624531" w:rsidRPr="009B04D0" w:rsidRDefault="00624531" w:rsidP="00A33EFD">
                  <w:pPr>
                    <w:pStyle w:val="Subtitle"/>
                  </w:pPr>
                  <w:r w:rsidRPr="009B04D0">
                    <w:t xml:space="preserve">za </w:t>
                  </w:r>
                  <w:r>
                    <w:t>rok 2014</w:t>
                  </w:r>
                  <w:r w:rsidRPr="009B04D0">
                    <w:br/>
                  </w:r>
                </w:p>
              </w:txbxContent>
            </v:textbox>
            <w10:wrap anchorx="page" anchory="page"/>
            <w10:anchorlock/>
          </v:shape>
        </w:pict>
      </w:r>
      <w:r>
        <w:rPr>
          <w:noProof/>
        </w:rPr>
        <w:pict>
          <v:group id="Group 24" o:spid="_x0000_s1030" style="position:absolute;margin-left:45.1pt;margin-top:36.85pt;width:177.15pt;height:43.65pt;z-index:251657728;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">
            <o:lock v:ext="edit" aspectratio="t"/>
            <v:rect id="Rectangle 9" o:spid="_x0000_s1031"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jBd4wQAA&#10;ANoAAAAPAAAAZHJzL2Rvd25yZXYueG1sRI9Bi8IwFITvgv8hPMGbpi6ySjWKKAuCuwer4PXZPNtg&#10;81KaaLv/frMgeBxm5htmue5sJZ7UeONYwWScgCDOnTZcKDifvkZzED4ga6wck4Jf8rBe9XtLTLVr&#10;+UjPLBQiQtinqKAMoU6l9HlJFv3Y1cTRu7nGYoiyKaRusI1wW8mPJPmUFg3HhRJr2paU37OHVWDk&#10;d2uzn8vOJY/6ZC6z69yHg1LDQbdZgAjUhXf41d5rBVP4vxJvgFz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owXeMEAAADaAAAADwAAAAAAAAAAAAAAAACXAgAAZHJzL2Rvd25y&#10;ZXYueG1sUEsFBgAAAAAEAAQA9QAAAIUDAAAAAA==&#10;" fillcolor="#0071bc" stroked="f">
              <o:lock v:ext="edit" aspectratio="t"/>
            </v:rect>
            <v:rect id="Rectangle 10" o:spid="_x0000_s1032"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1" o:spid="_x0000_s1033"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KZHxAAA&#10;ANsAAAAPAAAAZHJzL2Rvd25yZXYueG1sRI9Ba8JAFITvBf/D8oTemo1S2hBdRSyFQttDEyHXZ/aZ&#10;LGbfhuxq4r93C4Ueh5n5hllvJ9uJKw3eOFawSFIQxLXThhsFh/L9KQPhA7LGzjEpuJGH7Wb2sMZc&#10;u5F/6FqERkQI+xwVtCH0uZS+bsmiT1xPHL2TGyyGKIdG6gHHCLedXKbpi7RoOC602NO+pfpcXKwC&#10;I79GW3xXby699KWpXo+ZD59KPc6n3QpEoCn8h//aH1rB8hl+v8QfID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CmR8QAAADbAAAADwAAAAAAAAAAAAAAAACXAgAAZHJzL2Rv&#10;d25yZXYueG1sUEsFBgAAAAAEAAQA9QAAAIgDAAAAAA==&#10;" fillcolor="#0071bc" stroked="f">
              <o:lock v:ext="edit" aspectratio="t"/>
            </v:rect>
            <v:shape id="Freeform 12" o:spid="_x0000_s1034"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Bw3wQAA&#10;ANsAAAAPAAAAZHJzL2Rvd25yZXYueG1sRI9Bi8IwFITvwv6H8ARvmlpQlq5Riqzsiqet9f5o3jbF&#10;5qU0Ueu/N4LgcZiZb5jVZrCtuFLvG8cK5rMEBHHldMO1gvK4m36C8AFZY+uYFNzJw2b9MVphpt2N&#10;/+hahFpECPsMFZgQukxKXxmy6GeuI47ev+sthij7WuoebxFuW5kmyVJabDguGOxoa6g6Fxer4Dsn&#10;Q3nZbQvet6ef0/mQNvuDUpPxkH+BCDSEd/jV/tUK0gU8v8QfI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swcN8EAAADb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oAxgAA&#10;ANsAAAAPAAAAZHJzL2Rvd25yZXYueG1sRI9Ba8JAFITvBf/D8oRepG5UEEndhKIUpCqoaQ+9PbKv&#10;SWj2bdjdmvTfdwWhx2FmvmHW+WBacSXnG8sKZtMEBHFpdcOVgvfi9WkFwgdkja1lUvBLHvJs9LDG&#10;VNuez3S9hEpECPsUFdQhdKmUvqzJoJ/ajjh6X9YZDFG6SmqHfYSbVs6TZCkNNhwXauxoU1P5ffkx&#10;CjZF++EWh35/dpPt7u3zWMnieFLqcTy8PIMINIT/8L290wrmS7h9iT9AZ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FoAxgAAANsAAAAPAAAAAAAAAAAAAAAAAJcCAABkcnMv&#10;ZG93bnJldi54bWxQSwUGAAAAAAQABAD1AAAAigM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DMawwAA&#10;ANsAAAAPAAAAZHJzL2Rvd25yZXYueG1sRI9Ba8JAFITvgv9heYIXqZt60JK6SlWi3kpVen7NPpPQ&#10;7Nt0dzXx37sFweMw880w82VnanEl5yvLCl7HCQji3OqKCwWnY/byBsIHZI21ZVJwIw/LRb83x1Tb&#10;lr/oegiFiCXsU1RQhtCkUvq8JIN+bBvi6J2tMxiidIXUDttYbmo5SZKpNFhxXCixoXVJ+e/hYhRM&#10;pt8/u2xfrD7r7d/I6fMmG7UbpYaD7uMdRKAuPMMPeq8jN4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SDMawwAAANsAAAAPAAAAAAAAAAAAAAAAAJcCAABkcnMvZG93&#10;bnJldi54bWxQSwUGAAAAAAQABAD1AAAAhwM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624531" w:rsidRDefault="00624531" w:rsidP="0060487F">
      <w:pPr>
        <w:pStyle w:val="Styl1"/>
        <w:rPr>
          <w:rFonts w:cs="Arial"/>
          <w:sz w:val="20"/>
        </w:rPr>
      </w:pPr>
    </w:p>
    <w:p w:rsidR="00624531" w:rsidRDefault="00624531" w:rsidP="0060487F">
      <w:pPr>
        <w:pStyle w:val="Styl1"/>
        <w:rPr>
          <w:rFonts w:cs="Arial"/>
          <w:sz w:val="20"/>
        </w:rPr>
      </w:pPr>
    </w:p>
    <w:p w:rsidR="00624531" w:rsidRDefault="00624531" w:rsidP="0060487F">
      <w:pPr>
        <w:pStyle w:val="Styl1"/>
        <w:rPr>
          <w:rFonts w:cs="Arial"/>
          <w:sz w:val="20"/>
        </w:rPr>
      </w:pPr>
    </w:p>
    <w:p w:rsidR="00624531" w:rsidRDefault="00624531" w:rsidP="0060487F">
      <w:pPr>
        <w:pStyle w:val="Styl1"/>
        <w:rPr>
          <w:rFonts w:cs="Arial"/>
          <w:sz w:val="20"/>
        </w:rPr>
      </w:pPr>
    </w:p>
    <w:p w:rsidR="00624531" w:rsidRDefault="00624531">
      <w:pPr>
        <w:spacing w:line="240" w:lineRule="auto"/>
        <w:rPr>
          <w:rFonts w:cs="Arial"/>
          <w:lang w:eastAsia="ar-SA"/>
        </w:rPr>
      </w:pPr>
      <w:r>
        <w:rPr>
          <w:noProof/>
        </w:rPr>
        <w:pict>
          <v:line id="Přímá spojnice 33" o:spid="_x0000_s1037" style="position:absolute;z-index:251656704;visibility:visible;mso-position-horizontal-relative:page;mso-position-vertical-relative:page"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" o:allowincell="f" strokeweight="1pt">
            <w10:wrap anchorx="page" anchory="page"/>
            <w10:anchorlock/>
          </v:line>
        </w:pict>
      </w:r>
      <w:r>
        <w:rPr>
          <w:rFonts w:cs="Arial"/>
        </w:rPr>
        <w:br w:type="page"/>
      </w:r>
    </w:p>
    <w:p w:rsidR="00624531" w:rsidRDefault="00624531" w:rsidP="0060487F">
      <w:pPr>
        <w:pStyle w:val="Styl1"/>
        <w:rPr>
          <w:rFonts w:cs="Arial"/>
          <w:sz w:val="20"/>
        </w:rPr>
      </w:pPr>
    </w:p>
    <w:p w:rsidR="00624531" w:rsidRDefault="00624531" w:rsidP="0060487F">
      <w:pPr>
        <w:pStyle w:val="Styl1"/>
        <w:rPr>
          <w:rFonts w:cs="Arial"/>
          <w:sz w:val="20"/>
        </w:rPr>
      </w:pPr>
    </w:p>
    <w:p w:rsidR="00624531" w:rsidRDefault="00624531">
      <w:pPr>
        <w:spacing w:line="240" w:lineRule="auto"/>
        <w:rPr>
          <w:rFonts w:cs="Arial"/>
          <w:lang w:eastAsia="ar-SA"/>
        </w:rPr>
      </w:pPr>
    </w:p>
    <w:p w:rsidR="00624531" w:rsidRDefault="00624531" w:rsidP="0060487F">
      <w:pPr>
        <w:pStyle w:val="Styl1"/>
        <w:rPr>
          <w:rFonts w:cs="Arial"/>
          <w:sz w:val="20"/>
        </w:rPr>
      </w:pPr>
    </w:p>
    <w:p w:rsidR="00624531" w:rsidRPr="006404A7" w:rsidRDefault="00624531" w:rsidP="0060487F">
      <w:pPr>
        <w:pStyle w:val="Styl1"/>
        <w:rPr>
          <w:rFonts w:cs="Arial"/>
          <w:color w:val="7DB41E"/>
          <w:sz w:val="20"/>
          <w:szCs w:val="20"/>
        </w:rPr>
      </w:pPr>
      <w:r>
        <w:rPr>
          <w:noProof/>
          <w:lang w:eastAsia="cs-CZ"/>
        </w:rPr>
        <w:pict>
          <v:shape id="_x0000_s1038" type="#_x0000_t202" style="position:absolute;margin-left:56.7pt;margin-top:116.25pt;width:481.9pt;height:595.3pt;z-index:25165568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" filled="f" stroked="f">
            <v:textbox inset="0,0,0,0">
              <w:txbxContent>
                <w:p w:rsidR="00624531" w:rsidRPr="0048086F" w:rsidRDefault="00624531" w:rsidP="0048086F">
                  <w:pPr>
                    <w:pStyle w:val="TL-Kontakty"/>
                  </w:pPr>
                  <w:r w:rsidRPr="0048086F">
                    <w:rPr>
                      <w:rStyle w:val="TL-KontaktyChar"/>
                      <w:b/>
                      <w:caps/>
                      <w:sz w:val="24"/>
                    </w:rPr>
                    <w:t>KONTAKTY V</w:t>
                  </w:r>
                  <w:r w:rsidRPr="0048086F">
                    <w:t> ÚSTŘEDÍ</w:t>
                  </w:r>
                </w:p>
                <w:p w:rsidR="00624531" w:rsidRPr="00EA4153" w:rsidRDefault="00624531"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624531" w:rsidRPr="00B27293" w:rsidRDefault="00624531"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624531" w:rsidRPr="00EA4153" w:rsidRDefault="00624531" w:rsidP="00BD366B">
                  <w:pPr>
                    <w:spacing w:after="80" w:line="240" w:lineRule="auto"/>
                    <w:rPr>
                      <w:b/>
                    </w:rPr>
                  </w:pPr>
                  <w:r w:rsidRPr="00100014">
                    <w:rPr>
                      <w:b/>
                    </w:rPr>
                    <w:t>Prodejna publikací ČSÚ</w:t>
                  </w:r>
                  <w:r>
                    <w:t xml:space="preserve"> | tel.: 274 052 361 | e-mail: prodejna@czso.cz</w:t>
                  </w:r>
                </w:p>
                <w:p w:rsidR="00624531" w:rsidRPr="00EA4153" w:rsidRDefault="00624531"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624531" w:rsidRPr="00EA4153" w:rsidRDefault="00624531" w:rsidP="00BD366B">
                  <w:pPr>
                    <w:spacing w:after="80" w:line="240" w:lineRule="auto"/>
                    <w:rPr>
                      <w:b/>
                    </w:rPr>
                  </w:pPr>
                  <w:r w:rsidRPr="00100014">
                    <w:rPr>
                      <w:b/>
                    </w:rPr>
                    <w:t>Ústřední statistická knihovna</w:t>
                  </w:r>
                  <w:r>
                    <w:t xml:space="preserve"> | tel.: 274 052 361 | e-mail: knihovna@czso.cz</w:t>
                  </w:r>
                </w:p>
                <w:p w:rsidR="00624531" w:rsidRDefault="00624531" w:rsidP="00BD366B">
                  <w:pPr>
                    <w:spacing w:line="240" w:lineRule="auto"/>
                  </w:pPr>
                </w:p>
                <w:p w:rsidR="00624531" w:rsidRPr="0071229A" w:rsidRDefault="00624531" w:rsidP="004F06F5">
                  <w:pPr>
                    <w:pStyle w:val="TL-Kontakty"/>
                  </w:pPr>
                  <w:r w:rsidRPr="0071229A">
                    <w:t>INFORMAČNÍ SLUŽBY V REGIONECH</w:t>
                  </w:r>
                </w:p>
                <w:p w:rsidR="00624531" w:rsidRDefault="00624531" w:rsidP="00BD366B">
                  <w:pPr>
                    <w:spacing w:line="240" w:lineRule="auto"/>
                  </w:pPr>
                  <w:r w:rsidRPr="00100014">
                    <w:rPr>
                      <w:b/>
                      <w:color w:val="0071BC"/>
                    </w:rPr>
                    <w:t>Hl. m. Praha</w:t>
                  </w:r>
                  <w:r>
                    <w:t xml:space="preserve"> | Na padesátém 81, 100 82 Praha 10 | tel.: 274 052 673, 274 054 223</w:t>
                  </w:r>
                </w:p>
                <w:p w:rsidR="00624531" w:rsidRPr="00100014" w:rsidRDefault="00624531" w:rsidP="00BD366B">
                  <w:pPr>
                    <w:spacing w:line="240" w:lineRule="auto"/>
                    <w:rPr>
                      <w:b/>
                    </w:rPr>
                  </w:pPr>
                  <w:r>
                    <w:t xml:space="preserve">e-mail: infoservispraha@czso.cz | </w:t>
                  </w:r>
                  <w:r w:rsidRPr="00100014">
                    <w:rPr>
                      <w:b/>
                    </w:rPr>
                    <w:t>www.praha.czso.cz</w:t>
                  </w:r>
                </w:p>
                <w:p w:rsidR="00624531" w:rsidRDefault="00624531" w:rsidP="00BD366B">
                  <w:pPr>
                    <w:spacing w:line="240" w:lineRule="auto"/>
                  </w:pPr>
                </w:p>
                <w:p w:rsidR="00624531" w:rsidRPr="00B27293" w:rsidRDefault="00624531"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624531" w:rsidRPr="00B27293" w:rsidRDefault="00624531" w:rsidP="00BD366B">
                  <w:pPr>
                    <w:spacing w:line="240" w:lineRule="auto"/>
                  </w:pPr>
                  <w:r>
                    <w:t xml:space="preserve">e-mail: infoservisstc@czso.cz | </w:t>
                  </w:r>
                  <w:r w:rsidRPr="00100014">
                    <w:rPr>
                      <w:b/>
                    </w:rPr>
                    <w:t>www.stredocesky.czso.cz</w:t>
                  </w:r>
                </w:p>
                <w:p w:rsidR="00624531" w:rsidRDefault="00624531" w:rsidP="00BD366B">
                  <w:pPr>
                    <w:spacing w:line="240" w:lineRule="auto"/>
                  </w:pPr>
                </w:p>
                <w:p w:rsidR="00624531" w:rsidRPr="00B27293" w:rsidRDefault="00624531" w:rsidP="00BD366B">
                  <w:pPr>
                    <w:spacing w:line="240" w:lineRule="auto"/>
                    <w:rPr>
                      <w:b/>
                      <w:color w:val="0071BC"/>
                    </w:rPr>
                  </w:pPr>
                  <w:r w:rsidRPr="00100014">
                    <w:rPr>
                      <w:b/>
                      <w:color w:val="0071BC"/>
                    </w:rPr>
                    <w:t>České Budějovice</w:t>
                  </w:r>
                  <w:r>
                    <w:t xml:space="preserve"> | Žižkova 1, 370 77 České Budějovice | tel.: 386 718 440</w:t>
                  </w:r>
                </w:p>
                <w:p w:rsidR="00624531" w:rsidRPr="00B27293" w:rsidRDefault="00624531" w:rsidP="00BD366B">
                  <w:pPr>
                    <w:spacing w:line="240" w:lineRule="auto"/>
                  </w:pPr>
                  <w:r>
                    <w:t xml:space="preserve">e-mail: infoserviscb@czso.cz | </w:t>
                  </w:r>
                  <w:r w:rsidRPr="00100014">
                    <w:rPr>
                      <w:b/>
                    </w:rPr>
                    <w:t>www.cbudejovice.czso.cz</w:t>
                  </w:r>
                </w:p>
                <w:p w:rsidR="00624531" w:rsidRDefault="00624531" w:rsidP="00BD366B">
                  <w:pPr>
                    <w:spacing w:line="240" w:lineRule="auto"/>
                  </w:pPr>
                </w:p>
                <w:p w:rsidR="00624531" w:rsidRPr="00B27293" w:rsidRDefault="00624531" w:rsidP="00BD366B">
                  <w:pPr>
                    <w:spacing w:line="240" w:lineRule="auto"/>
                    <w:rPr>
                      <w:b/>
                      <w:color w:val="0071BC"/>
                    </w:rPr>
                  </w:pPr>
                  <w:r w:rsidRPr="0071229A">
                    <w:rPr>
                      <w:b/>
                      <w:color w:val="0071BC"/>
                    </w:rPr>
                    <w:t>Plzeň</w:t>
                  </w:r>
                  <w:r>
                    <w:t xml:space="preserve"> | Slovanská alej 36, 326 64 Plzeň | tel.: 377 612 108, 377 612 249</w:t>
                  </w:r>
                </w:p>
                <w:p w:rsidR="00624531" w:rsidRPr="00B27293" w:rsidRDefault="00624531" w:rsidP="00BD366B">
                  <w:pPr>
                    <w:spacing w:line="240" w:lineRule="auto"/>
                  </w:pPr>
                  <w:r>
                    <w:t xml:space="preserve">e-mail: infoservisplzen@czso.cz | </w:t>
                  </w:r>
                  <w:r w:rsidRPr="0071229A">
                    <w:rPr>
                      <w:b/>
                    </w:rPr>
                    <w:t>www.plzen.czso.cz</w:t>
                  </w:r>
                </w:p>
                <w:p w:rsidR="00624531" w:rsidRDefault="00624531" w:rsidP="00BD366B">
                  <w:pPr>
                    <w:spacing w:line="240" w:lineRule="auto"/>
                  </w:pPr>
                </w:p>
                <w:p w:rsidR="00624531" w:rsidRPr="00B27293" w:rsidRDefault="00624531" w:rsidP="00BD366B">
                  <w:pPr>
                    <w:spacing w:line="240" w:lineRule="auto"/>
                    <w:rPr>
                      <w:b/>
                      <w:color w:val="0071BC"/>
                    </w:rPr>
                  </w:pPr>
                  <w:r w:rsidRPr="0071229A">
                    <w:rPr>
                      <w:b/>
                      <w:color w:val="0071BC"/>
                    </w:rPr>
                    <w:t>Karlovy Vary</w:t>
                  </w:r>
                  <w:r>
                    <w:t xml:space="preserve"> | Sportovní 28, 360 01 Karlovy Vary | tel.: 353 114 529, 353 114 525</w:t>
                  </w:r>
                </w:p>
                <w:p w:rsidR="00624531" w:rsidRDefault="00624531" w:rsidP="00BD366B">
                  <w:pPr>
                    <w:spacing w:line="240" w:lineRule="auto"/>
                    <w:rPr>
                      <w:b/>
                    </w:rPr>
                  </w:pPr>
                  <w:r>
                    <w:t xml:space="preserve">e-mail: infoserviskv@czso.cz | </w:t>
                  </w:r>
                  <w:r>
                    <w:rPr>
                      <w:b/>
                    </w:rPr>
                    <w:t>www.kvary.czso.cz</w:t>
                  </w:r>
                </w:p>
                <w:p w:rsidR="00624531" w:rsidRDefault="00624531" w:rsidP="00BD366B">
                  <w:pPr>
                    <w:spacing w:line="240" w:lineRule="auto"/>
                  </w:pPr>
                </w:p>
                <w:p w:rsidR="00624531" w:rsidRPr="00B27293" w:rsidRDefault="00624531"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r w:rsidRPr="0071229A">
                    <w:rPr>
                      <w:bCs/>
                    </w:rPr>
                    <w:t>tel.: 472 706 176, 472 706 121</w:t>
                  </w:r>
                </w:p>
                <w:p w:rsidR="00624531" w:rsidRPr="00B27293" w:rsidRDefault="00624531" w:rsidP="00BD366B">
                  <w:pPr>
                    <w:spacing w:line="240" w:lineRule="auto"/>
                    <w:rPr>
                      <w:bCs/>
                    </w:rPr>
                  </w:pPr>
                  <w:r w:rsidRPr="0071229A">
                    <w:rPr>
                      <w:bCs/>
                    </w:rPr>
                    <w:t>e-mail: infoservisul@czso.cz</w:t>
                  </w:r>
                  <w:r>
                    <w:t xml:space="preserve"> | </w:t>
                  </w:r>
                  <w:r w:rsidRPr="0071229A">
                    <w:rPr>
                      <w:b/>
                      <w:bCs/>
                    </w:rPr>
                    <w:t>www.ustinadlabem.czso.cz</w:t>
                  </w:r>
                </w:p>
                <w:p w:rsidR="00624531" w:rsidRPr="0071229A" w:rsidRDefault="00624531" w:rsidP="00BD366B">
                  <w:pPr>
                    <w:spacing w:line="240" w:lineRule="auto"/>
                    <w:rPr>
                      <w:bCs/>
                    </w:rPr>
                  </w:pPr>
                </w:p>
                <w:p w:rsidR="00624531" w:rsidRPr="00B27293" w:rsidRDefault="00624531"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624531" w:rsidRPr="00B27293" w:rsidRDefault="00624531" w:rsidP="00BD366B">
                  <w:pPr>
                    <w:spacing w:line="240" w:lineRule="auto"/>
                    <w:rPr>
                      <w:bCs/>
                    </w:rPr>
                  </w:pPr>
                  <w:r w:rsidRPr="0071229A">
                    <w:rPr>
                      <w:bCs/>
                    </w:rPr>
                    <w:t>e-mail: infoservislbc@czso.cz</w:t>
                  </w:r>
                  <w:r>
                    <w:t xml:space="preserve"> | </w:t>
                  </w:r>
                  <w:r w:rsidRPr="0071229A">
                    <w:rPr>
                      <w:b/>
                      <w:bCs/>
                    </w:rPr>
                    <w:t>www.liberec.czso.cz</w:t>
                  </w:r>
                </w:p>
                <w:p w:rsidR="00624531" w:rsidRPr="0071229A" w:rsidRDefault="00624531" w:rsidP="00BD366B">
                  <w:pPr>
                    <w:spacing w:line="240" w:lineRule="auto"/>
                    <w:rPr>
                      <w:bCs/>
                    </w:rPr>
                  </w:pPr>
                </w:p>
                <w:p w:rsidR="00624531" w:rsidRPr="00B27293" w:rsidRDefault="00624531"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624531" w:rsidRPr="00B27293" w:rsidRDefault="00624531" w:rsidP="00BD366B">
                  <w:pPr>
                    <w:spacing w:line="240" w:lineRule="auto"/>
                    <w:rPr>
                      <w:bCs/>
                    </w:rPr>
                  </w:pPr>
                  <w:r w:rsidRPr="0071229A">
                    <w:rPr>
                      <w:bCs/>
                    </w:rPr>
                    <w:t>e-mail: infoservishk@czso.cz</w:t>
                  </w:r>
                  <w:r>
                    <w:t xml:space="preserve"> | </w:t>
                  </w:r>
                  <w:r w:rsidRPr="0071229A">
                    <w:rPr>
                      <w:b/>
                      <w:bCs/>
                    </w:rPr>
                    <w:t>www.hradeckralove.czso.cz</w:t>
                  </w:r>
                </w:p>
                <w:p w:rsidR="00624531" w:rsidRPr="0071229A" w:rsidRDefault="00624531" w:rsidP="00BD366B">
                  <w:pPr>
                    <w:spacing w:line="240" w:lineRule="auto"/>
                    <w:rPr>
                      <w:bCs/>
                    </w:rPr>
                  </w:pPr>
                </w:p>
                <w:p w:rsidR="00624531" w:rsidRPr="00B27293" w:rsidRDefault="00624531"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624531" w:rsidRPr="00B27293" w:rsidRDefault="00624531" w:rsidP="00BD366B">
                  <w:pPr>
                    <w:spacing w:line="240" w:lineRule="auto"/>
                    <w:rPr>
                      <w:bCs/>
                    </w:rPr>
                  </w:pPr>
                  <w:r w:rsidRPr="0071229A">
                    <w:rPr>
                      <w:bCs/>
                    </w:rPr>
                    <w:t>e-mail: infoservispa@czso.cz</w:t>
                  </w:r>
                  <w:r>
                    <w:t xml:space="preserve"> | </w:t>
                  </w:r>
                  <w:r w:rsidRPr="0071229A">
                    <w:rPr>
                      <w:b/>
                      <w:bCs/>
                    </w:rPr>
                    <w:t>www.pardubice.czso.cz</w:t>
                  </w:r>
                </w:p>
                <w:p w:rsidR="00624531" w:rsidRPr="0071229A" w:rsidRDefault="00624531" w:rsidP="00BD366B">
                  <w:pPr>
                    <w:spacing w:line="240" w:lineRule="auto"/>
                    <w:rPr>
                      <w:bCs/>
                    </w:rPr>
                  </w:pPr>
                </w:p>
                <w:p w:rsidR="00624531" w:rsidRPr="00B27293" w:rsidRDefault="00624531"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624531" w:rsidRPr="00B27293" w:rsidRDefault="00624531" w:rsidP="00BD366B">
                  <w:pPr>
                    <w:spacing w:line="240" w:lineRule="auto"/>
                    <w:rPr>
                      <w:bCs/>
                    </w:rPr>
                  </w:pPr>
                  <w:r w:rsidRPr="0071229A">
                    <w:rPr>
                      <w:bCs/>
                    </w:rPr>
                    <w:t>e-mail: infoservisvys@czso.cz</w:t>
                  </w:r>
                  <w:r>
                    <w:t xml:space="preserve"> | </w:t>
                  </w:r>
                  <w:r w:rsidRPr="0071229A">
                    <w:rPr>
                      <w:b/>
                      <w:bCs/>
                    </w:rPr>
                    <w:t>www.jihlava.czso.cz</w:t>
                  </w:r>
                </w:p>
                <w:p w:rsidR="00624531" w:rsidRPr="0071229A" w:rsidRDefault="00624531" w:rsidP="00BD366B">
                  <w:pPr>
                    <w:spacing w:line="240" w:lineRule="auto"/>
                    <w:rPr>
                      <w:bCs/>
                    </w:rPr>
                  </w:pPr>
                </w:p>
                <w:p w:rsidR="00624531" w:rsidRPr="00B27293" w:rsidRDefault="00624531"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624531" w:rsidRPr="00B27293" w:rsidRDefault="00624531" w:rsidP="00BD366B">
                  <w:pPr>
                    <w:spacing w:line="240" w:lineRule="auto"/>
                    <w:rPr>
                      <w:bCs/>
                    </w:rPr>
                  </w:pPr>
                  <w:r w:rsidRPr="0071229A">
                    <w:rPr>
                      <w:bCs/>
                    </w:rPr>
                    <w:t>e-mail: infoservisbrno@czso.cz</w:t>
                  </w:r>
                  <w:r>
                    <w:t xml:space="preserve"> | </w:t>
                  </w:r>
                  <w:r w:rsidRPr="0071229A">
                    <w:rPr>
                      <w:b/>
                      <w:bCs/>
                    </w:rPr>
                    <w:t>www.brno.czso.cz</w:t>
                  </w:r>
                </w:p>
                <w:p w:rsidR="00624531" w:rsidRPr="0071229A" w:rsidRDefault="00624531" w:rsidP="00BD366B">
                  <w:pPr>
                    <w:spacing w:line="240" w:lineRule="auto"/>
                    <w:rPr>
                      <w:bCs/>
                    </w:rPr>
                  </w:pPr>
                </w:p>
                <w:p w:rsidR="00624531" w:rsidRPr="00B27293" w:rsidRDefault="00624531"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r w:rsidRPr="0071229A">
                    <w:rPr>
                      <w:bCs/>
                    </w:rPr>
                    <w:t>tel.: 585 731 516, 585 731 509</w:t>
                  </w:r>
                </w:p>
                <w:p w:rsidR="00624531" w:rsidRPr="00B27293" w:rsidRDefault="00624531" w:rsidP="00BD366B">
                  <w:pPr>
                    <w:spacing w:line="240" w:lineRule="auto"/>
                    <w:rPr>
                      <w:bCs/>
                    </w:rPr>
                  </w:pPr>
                  <w:r w:rsidRPr="0071229A">
                    <w:rPr>
                      <w:bCs/>
                    </w:rPr>
                    <w:t>e-mail: infoservisolom@czso.cz</w:t>
                  </w:r>
                  <w:r>
                    <w:t xml:space="preserve"> | </w:t>
                  </w:r>
                  <w:r w:rsidRPr="0071229A">
                    <w:rPr>
                      <w:b/>
                      <w:bCs/>
                    </w:rPr>
                    <w:t>www.olomouc.czso.cz</w:t>
                  </w:r>
                </w:p>
                <w:p w:rsidR="00624531" w:rsidRPr="0071229A" w:rsidRDefault="00624531" w:rsidP="00BD366B">
                  <w:pPr>
                    <w:spacing w:line="240" w:lineRule="auto"/>
                    <w:rPr>
                      <w:bCs/>
                    </w:rPr>
                  </w:pPr>
                </w:p>
                <w:p w:rsidR="00624531" w:rsidRPr="00B27293" w:rsidRDefault="00624531" w:rsidP="00BD366B">
                  <w:pPr>
                    <w:spacing w:line="240" w:lineRule="auto"/>
                    <w:rPr>
                      <w:b/>
                      <w:bCs/>
                    </w:rPr>
                  </w:pPr>
                  <w:r w:rsidRPr="0071229A">
                    <w:rPr>
                      <w:b/>
                      <w:bCs/>
                      <w:color w:val="0071BC"/>
                    </w:rPr>
                    <w:t>Ostrava</w:t>
                  </w:r>
                  <w:r>
                    <w:t xml:space="preserve"> | </w:t>
                  </w:r>
                  <w:r w:rsidRPr="0071229A">
                    <w:rPr>
                      <w:bCs/>
                    </w:rPr>
                    <w:t>Repinova 17, 702 03 Ostrava</w:t>
                  </w:r>
                  <w:r>
                    <w:t xml:space="preserve"> | </w:t>
                  </w:r>
                  <w:r w:rsidRPr="0071229A">
                    <w:rPr>
                      <w:bCs/>
                    </w:rPr>
                    <w:t>tel.: 595 131 230, 595 131 232</w:t>
                  </w:r>
                </w:p>
                <w:p w:rsidR="00624531" w:rsidRPr="00B27293" w:rsidRDefault="00624531" w:rsidP="00BD366B">
                  <w:pPr>
                    <w:spacing w:line="240" w:lineRule="auto"/>
                    <w:rPr>
                      <w:bCs/>
                    </w:rPr>
                  </w:pPr>
                  <w:r w:rsidRPr="0071229A">
                    <w:rPr>
                      <w:bCs/>
                    </w:rPr>
                    <w:t>e-mail: infoservis_ov@czso.cz</w:t>
                  </w:r>
                  <w:r>
                    <w:t xml:space="preserve"> | </w:t>
                  </w:r>
                  <w:r w:rsidRPr="0071229A">
                    <w:rPr>
                      <w:b/>
                      <w:bCs/>
                    </w:rPr>
                    <w:t>www.ostrava.czso.cz</w:t>
                  </w:r>
                </w:p>
                <w:p w:rsidR="00624531" w:rsidRPr="0071229A" w:rsidRDefault="00624531" w:rsidP="00BD366B">
                  <w:pPr>
                    <w:spacing w:line="240" w:lineRule="auto"/>
                    <w:rPr>
                      <w:bCs/>
                    </w:rPr>
                  </w:pPr>
                </w:p>
                <w:p w:rsidR="00624531" w:rsidRPr="0071229A" w:rsidRDefault="00624531"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624531" w:rsidRPr="00B27293" w:rsidRDefault="00624531" w:rsidP="00BD366B">
                  <w:pPr>
                    <w:spacing w:line="240" w:lineRule="auto"/>
                    <w:rPr>
                      <w:bCs/>
                    </w:rPr>
                  </w:pPr>
                  <w:r w:rsidRPr="0071229A">
                    <w:rPr>
                      <w:bCs/>
                    </w:rPr>
                    <w:t>e-mail: infoservis-zl@czso.cz</w:t>
                  </w:r>
                  <w:r>
                    <w:t xml:space="preserve"> | </w:t>
                  </w:r>
                  <w:r w:rsidRPr="0071229A">
                    <w:rPr>
                      <w:b/>
                      <w:bCs/>
                    </w:rPr>
                    <w:t>www.zlin.czso.cz</w:t>
                  </w:r>
                </w:p>
                <w:p w:rsidR="00624531" w:rsidRPr="00B27293" w:rsidRDefault="00624531" w:rsidP="00BD366B">
                  <w:pPr>
                    <w:spacing w:line="240" w:lineRule="auto"/>
                  </w:pPr>
                </w:p>
              </w:txbxContent>
            </v:textbox>
            <w10:wrap anchorx="page" anchory="page"/>
            <w10:anchorlock/>
          </v:shape>
        </w:pict>
      </w:r>
      <w:r>
        <w:rPr>
          <w:noProof/>
          <w:lang w:eastAsia="cs-CZ"/>
        </w:rPr>
        <w:pict>
          <v:shape id="Textové pole 2" o:spid="_x0000_s1039" type="#_x0000_t202" style="position:absolute;margin-left:56.7pt;margin-top:56.7pt;width:481.85pt;height:33.1pt;z-index:25165363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" filled="f" stroked="f">
            <v:textbox style="mso-fit-shape-to-text:t" inset="0,0,0,0">
              <w:txbxContent>
                <w:p w:rsidR="00624531" w:rsidRPr="00B95F50" w:rsidRDefault="00624531" w:rsidP="0060487F">
                  <w:pPr>
                    <w:rPr>
                      <w:b/>
                      <w:bCs/>
                      <w:sz w:val="24"/>
                    </w:rPr>
                  </w:pPr>
                  <w:r w:rsidRPr="00B95F50">
                    <w:rPr>
                      <w:b/>
                      <w:color w:val="0071BC"/>
                    </w:rPr>
                    <w:t xml:space="preserve">Zajímají Vás nejnovější údaje o inflaci, HDP, obyvatelstvu, průměrných mzdách a mnohé další? Najdete je na stránkách ČSÚ na internetu: </w:t>
                  </w:r>
                  <w:r w:rsidRPr="00B95F50">
                    <w:rPr>
                      <w:b/>
                      <w:bCs/>
                      <w:sz w:val="24"/>
                    </w:rPr>
                    <w:t>www.czso.cz</w:t>
                  </w:r>
                </w:p>
              </w:txbxContent>
            </v:textbox>
            <w10:wrap anchorx="page" anchory="page"/>
            <w10:anchorlock/>
          </v:shape>
        </w:pict>
      </w:r>
      <w:r>
        <w:rPr>
          <w:noProof/>
          <w:lang w:eastAsia="cs-CZ"/>
        </w:rPr>
        <w:pict>
          <v:shape id="_x0000_s1040" type="#_x0000_t202" style="position:absolute;margin-left:56.35pt;margin-top:747pt;width:481.9pt;height:28.35pt;z-index:25165465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" filled="f" stroked="f">
            <v:textbox inset="0,0,0,0">
              <w:txbxContent>
                <w:p w:rsidR="00624531" w:rsidRPr="00841D9F" w:rsidRDefault="00624531" w:rsidP="004F06F5">
                  <w:r w:rsidRPr="00841D9F">
                    <w:rPr>
                      <w:szCs w:val="26"/>
                    </w:rPr>
                    <w:t xml:space="preserve">ISBN XX-XXXX-XXX-X  </w:t>
                  </w:r>
                  <w:r w:rsidRPr="00841D9F">
                    <w:t>(pouze u nepravidelných a ročních publikací)</w:t>
                  </w:r>
                </w:p>
                <w:p w:rsidR="00624531" w:rsidRPr="00AF2852" w:rsidRDefault="00624531" w:rsidP="004F06F5">
                  <w:r w:rsidRPr="00841D9F">
                    <w:t>© Český sta</w:t>
                  </w:r>
                  <w:r>
                    <w:t>tistický úřad, Praha, 2015</w:t>
                  </w:r>
                </w:p>
              </w:txbxContent>
            </v:textbox>
            <w10:wrap anchorx="page" anchory="page"/>
            <w10:anchorlock/>
          </v:shape>
        </w:pict>
      </w:r>
    </w:p>
    <w:p w:rsidR="00624531" w:rsidRDefault="00624531" w:rsidP="00F04811">
      <w:pPr>
        <w:pStyle w:val="Zkladnodstavec"/>
        <w:spacing w:after="240"/>
        <w:rPr>
          <w:rFonts w:ascii="Arial" w:hAnsi="Arial" w:cs="Arial"/>
          <w:b/>
          <w:color w:val="A5007B"/>
          <w:sz w:val="32"/>
          <w:szCs w:val="32"/>
        </w:rPr>
      </w:pPr>
    </w:p>
    <w:p w:rsidR="00624531" w:rsidRPr="0060487F" w:rsidRDefault="00624531">
      <w:pPr>
        <w:rPr>
          <w:rFonts w:cs="Arial"/>
          <w:b/>
          <w:color w:val="A5007B"/>
          <w:sz w:val="32"/>
          <w:szCs w:val="32"/>
        </w:rPr>
        <w:sectPr w:rsidR="00624531" w:rsidRPr="0060487F" w:rsidSect="007B47EE">
          <w:footerReference w:type="even" r:id="rId7"/>
          <w:pgSz w:w="11906" w:h="16838" w:code="9"/>
          <w:pgMar w:top="1134" w:right="1134" w:bottom="1418" w:left="1134" w:header="709" w:footer="709" w:gutter="0"/>
          <w:pgNumType w:start="1"/>
          <w:cols w:space="708"/>
          <w:docGrid w:linePitch="360"/>
        </w:sectPr>
      </w:pPr>
    </w:p>
    <w:p w:rsidR="00624531" w:rsidRDefault="00624531" w:rsidP="007B47EE">
      <w:pPr>
        <w:pStyle w:val="Obsah"/>
        <w:rPr>
          <w:sz w:val="28"/>
          <w:szCs w:val="28"/>
        </w:rPr>
      </w:pPr>
      <w:r w:rsidRPr="00554ECA">
        <w:rPr>
          <w:sz w:val="28"/>
          <w:szCs w:val="28"/>
        </w:rPr>
        <w:t>Obsah</w:t>
      </w:r>
    </w:p>
    <w:p w:rsidR="00624531" w:rsidRPr="003A7E98" w:rsidRDefault="00624531" w:rsidP="005B3A1D">
      <w:r w:rsidRPr="003A7E98">
        <w:rPr>
          <w:b/>
        </w:rPr>
        <w:t>1 Úvod</w:t>
      </w:r>
      <w:r w:rsidRPr="003A7E98">
        <w:t>……………………………………………………………………………………………………………</w:t>
      </w:r>
      <w:r>
        <w:t>.</w:t>
      </w:r>
      <w:r w:rsidRPr="003A7E98">
        <w:t>…….5</w:t>
      </w:r>
    </w:p>
    <w:p w:rsidR="00624531" w:rsidRPr="003A7E98" w:rsidRDefault="00624531" w:rsidP="005B3A1D"/>
    <w:p w:rsidR="00624531" w:rsidRPr="003A7E98" w:rsidRDefault="00624531" w:rsidP="00010D38">
      <w:r w:rsidRPr="003A7E98">
        <w:rPr>
          <w:b/>
        </w:rPr>
        <w:t>2 Metodika</w:t>
      </w:r>
      <w:r w:rsidRPr="003A7E98">
        <w:t>…………………………………………………………………………………………….……………...</w:t>
      </w:r>
      <w:r>
        <w:t>.</w:t>
      </w:r>
      <w:r w:rsidRPr="003A7E98">
        <w:t>.6</w:t>
      </w:r>
    </w:p>
    <w:p w:rsidR="00624531" w:rsidRPr="003A7E98" w:rsidRDefault="00624531" w:rsidP="005B3A1D"/>
    <w:p w:rsidR="00624531" w:rsidRPr="003A7E98" w:rsidRDefault="00624531" w:rsidP="005B3A1D">
      <w:r w:rsidRPr="003A7E98">
        <w:rPr>
          <w:b/>
        </w:rPr>
        <w:t>3 Sledované ukazatele</w:t>
      </w:r>
      <w:r w:rsidRPr="003A7E98">
        <w:t>……………………………………………………….……………………………………</w:t>
      </w:r>
      <w:r>
        <w:t>…8</w:t>
      </w:r>
    </w:p>
    <w:p w:rsidR="00624531" w:rsidRPr="003A7E98" w:rsidRDefault="00624531" w:rsidP="005B3A1D"/>
    <w:p w:rsidR="00624531" w:rsidRPr="003A7E98" w:rsidRDefault="00624531" w:rsidP="003A7E98">
      <w:r w:rsidRPr="003A7E98">
        <w:rPr>
          <w:b/>
        </w:rPr>
        <w:t>4 Dočasná pracovní neschopnost pro nemoc a úraz v České republice - výsledky za rok 2014</w:t>
      </w:r>
      <w:r w:rsidRPr="003A7E98">
        <w:t>…….</w:t>
      </w:r>
      <w:r>
        <w:t>10</w:t>
      </w:r>
    </w:p>
    <w:p w:rsidR="00624531" w:rsidRPr="003A7E98" w:rsidRDefault="00624531" w:rsidP="005B3A1D"/>
    <w:p w:rsidR="00624531" w:rsidRPr="003A7E98" w:rsidRDefault="00624531" w:rsidP="005B3A1D">
      <w:r w:rsidRPr="00552510">
        <w:rPr>
          <w:b/>
        </w:rPr>
        <w:t>Použité značky</w:t>
      </w:r>
      <w:r w:rsidRPr="003A7E98">
        <w:t>……………………………………………………………………………………………………….</w:t>
      </w:r>
      <w:r>
        <w:t>17</w:t>
      </w:r>
      <w:r w:rsidRPr="003A7E98">
        <w:t xml:space="preserve"> </w:t>
      </w:r>
    </w:p>
    <w:p w:rsidR="00624531" w:rsidRPr="00552510" w:rsidRDefault="00624531" w:rsidP="005B3A1D">
      <w:pPr>
        <w:rPr>
          <w:b/>
        </w:rPr>
      </w:pPr>
    </w:p>
    <w:p w:rsidR="00624531" w:rsidRPr="00552510" w:rsidRDefault="00624531" w:rsidP="005B3A1D">
      <w:pPr>
        <w:rPr>
          <w:b/>
        </w:rPr>
      </w:pPr>
      <w:r w:rsidRPr="00552510">
        <w:rPr>
          <w:b/>
        </w:rPr>
        <w:t>Tabulková část</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w:t>
      </w:r>
      <w:r>
        <w:rPr>
          <w:rFonts w:cs="Arial"/>
          <w:bCs/>
          <w:szCs w:val="20"/>
        </w:rPr>
        <w:t>.</w:t>
      </w:r>
      <w:r w:rsidRPr="002E435C">
        <w:rPr>
          <w:rFonts w:cs="Arial"/>
          <w:bCs/>
          <w:szCs w:val="20"/>
        </w:rPr>
        <w:t xml:space="preserve"> 1</w:t>
      </w:r>
      <w:r>
        <w:rPr>
          <w:rFonts w:cs="Arial"/>
          <w:bCs/>
          <w:szCs w:val="20"/>
        </w:rPr>
        <w:t>:</w:t>
      </w:r>
      <w:r w:rsidRPr="002E435C">
        <w:rPr>
          <w:rFonts w:cs="Arial"/>
          <w:bCs/>
          <w:szCs w:val="20"/>
        </w:rPr>
        <w:t xml:space="preserve"> Dočasná pracovní neschopnost pro nemoc a úraz v ČR za rok 2014 - absolutní údaje</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 xml:space="preserve">Tab. 2: Počet nově hlášených případů dočasné pracovní neschopnosti pro nemoc a úraz v ČR za rok 2014 </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3: Počet kalendářních dnů dočasné pracovní neschopnosti pro nemoc a úraz v ČR za rok 2014</w:t>
      </w:r>
    </w:p>
    <w:p w:rsidR="00624531" w:rsidRPr="0023720D"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4: Počet nově hlášených případů dočasné pracovní neschopnosti pro nemoc a úraz na 100 pojištěnců v ČR za rok 2014</w:t>
      </w:r>
    </w:p>
    <w:p w:rsidR="00624531" w:rsidRPr="0023720D"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5: Průměrné procento dočasné pracovní neschopnosti pro nemoc a úraz v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6: Počet kalendářních dnů dočasné pracovní neschopnosti na 1 nově hlášený případ pro nemoc a úraz v ČR za rok 2014</w:t>
      </w:r>
    </w:p>
    <w:p w:rsidR="00624531" w:rsidRPr="0023720D"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7: Průměrný denní stav práce dočasně neschopných pro nemoc a úraz v ČR za rok 2014</w:t>
      </w:r>
    </w:p>
    <w:p w:rsidR="00624531" w:rsidRPr="0023720D"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8:  Dočasná pracovní neschopnost pro nemoc a úraz v okresech ČR za rok 2014 - absolutní údaje</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9: Počet nově hlášených případů dočasné pracovní neschopnosti pro nemoc a úraz v okresech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10: Počet kalendářních dnů dočasné pracovní neschopnosti pro nemoc a úraz v okresech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11: Počet nově hlášených případů dočasné pracovní neschopnosti pro nemoc a úraz na 100 pojištěnců v okresech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12: Průměrné procento dočasné pracovní neschopnosti pro nemoc a úraz v okresech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13: Počet kalendářních dnů dočasné pracovní neschopnosti na 1 nově hlášený případ pro nemoc a úraz v okresech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14: Průměrný denní stav práce dočasně neschopných pro nemoc a úraz v okresech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15: Dočasná pracovní neschopnost pro nemoc a úraz za OSV</w:t>
      </w:r>
      <w:r>
        <w:rPr>
          <w:rFonts w:cs="Arial"/>
          <w:bCs/>
          <w:szCs w:val="20"/>
        </w:rPr>
        <w:t>Č</w:t>
      </w:r>
      <w:r w:rsidRPr="002E435C">
        <w:rPr>
          <w:rFonts w:cs="Arial"/>
          <w:bCs/>
          <w:szCs w:val="20"/>
        </w:rPr>
        <w:t xml:space="preserve"> v ČR za rok 2014 - absolutní údaje </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16: Počet nově hlášených případů dočasné pracovní neschopnosti pro nemoc a úraz OSVČ v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vertAlign w:val="superscript"/>
        </w:rPr>
      </w:pPr>
      <w:r w:rsidRPr="002E435C">
        <w:rPr>
          <w:rFonts w:cs="Arial"/>
          <w:bCs/>
          <w:szCs w:val="20"/>
        </w:rPr>
        <w:t xml:space="preserve">Tab. 17: Počet kalendářních dnů pracovní neschopnosti pro nemoc a úraz OSVČ v ČR za rok 2014 </w:t>
      </w:r>
    </w:p>
    <w:p w:rsidR="00624531" w:rsidRPr="0023720D"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 xml:space="preserve">Tab. 18: Počet nově hlášených případů dočasné pracovní neschopnosti pro nemoc a úraz OSVČ na 100 pojištěnců v ČR za rok 2014 </w:t>
      </w:r>
    </w:p>
    <w:p w:rsidR="00624531" w:rsidRDefault="00624531" w:rsidP="00CC73DE">
      <w:pPr>
        <w:spacing w:line="240" w:lineRule="auto"/>
        <w:jc w:val="both"/>
        <w:rPr>
          <w:rFonts w:cs="Arial"/>
          <w:bCs/>
          <w:szCs w:val="20"/>
        </w:rPr>
      </w:pP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19: Průměrné procento dočasné pracovní neschopnosti pro nemoc a úraz OSVČ v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20: Počet kalendářních dnů dočasné pracovní neschopnosti na 1 nově hlášený případ pro nemoc a úraz OSVČ v ČR za rok 2014</w:t>
      </w:r>
    </w:p>
    <w:p w:rsidR="00624531" w:rsidRDefault="00624531" w:rsidP="00CC73DE">
      <w:pPr>
        <w:spacing w:line="240" w:lineRule="auto"/>
        <w:jc w:val="both"/>
        <w:rPr>
          <w:rFonts w:cs="Arial"/>
          <w:bCs/>
          <w:szCs w:val="20"/>
        </w:rPr>
      </w:pPr>
    </w:p>
    <w:p w:rsidR="00624531" w:rsidRDefault="00624531" w:rsidP="00CC73DE">
      <w:pPr>
        <w:spacing w:line="240" w:lineRule="auto"/>
        <w:jc w:val="both"/>
        <w:rPr>
          <w:rFonts w:cs="Arial"/>
          <w:bCs/>
          <w:szCs w:val="20"/>
        </w:rPr>
      </w:pPr>
      <w:r w:rsidRPr="002E435C">
        <w:rPr>
          <w:rFonts w:cs="Arial"/>
          <w:bCs/>
          <w:szCs w:val="20"/>
        </w:rPr>
        <w:t xml:space="preserve">Tab. 21: Průměrný denní stav práce dočasně neschopných pro nemoc a úraz OSVČ v ČR za rok 2014 </w:t>
      </w:r>
    </w:p>
    <w:p w:rsidR="00624531" w:rsidRPr="0023720D"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22: Pracovní úrazovost mladistvých v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 xml:space="preserve">Tab. 23: Pracovní úrazy s dočasnou pracovní neschopností delší než 3 dny v ČR za rok 2014 </w:t>
      </w:r>
    </w:p>
    <w:p w:rsidR="00624531" w:rsidRDefault="00624531" w:rsidP="00CC73DE">
      <w:pPr>
        <w:spacing w:line="240" w:lineRule="auto"/>
        <w:jc w:val="both"/>
        <w:rPr>
          <w:rFonts w:cs="Arial"/>
          <w:bCs/>
          <w:szCs w:val="20"/>
        </w:rPr>
      </w:pPr>
    </w:p>
    <w:p w:rsidR="00624531" w:rsidRDefault="00624531" w:rsidP="00CC73DE">
      <w:pPr>
        <w:spacing w:line="240" w:lineRule="auto"/>
        <w:jc w:val="both"/>
        <w:rPr>
          <w:rFonts w:cs="Arial"/>
          <w:bCs/>
          <w:szCs w:val="20"/>
        </w:rPr>
      </w:pPr>
      <w:r w:rsidRPr="002E435C">
        <w:rPr>
          <w:rFonts w:cs="Arial"/>
          <w:bCs/>
          <w:szCs w:val="20"/>
        </w:rPr>
        <w:t xml:space="preserve">Tab. 24:  Pracovní neschopnost pro nemoc a úraz podle CZ-NACE v ČR za rok 2014 - absolutní údaje </w:t>
      </w:r>
    </w:p>
    <w:p w:rsidR="00624531" w:rsidRPr="0023720D"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 xml:space="preserve">Tab. 25: Počet nově hlášených případů pracovní neschopnosti pro nemoc a úraz podle CZ-NACE v ČR za rok 2014 </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E435C">
        <w:rPr>
          <w:rFonts w:cs="Arial"/>
          <w:bCs/>
          <w:szCs w:val="20"/>
        </w:rPr>
        <w:t>Tab. 26: Počet kalendářních dnů pracovní neschopnosti pro nemoc a úraz podle CZ-NACE za rok 2014</w:t>
      </w:r>
    </w:p>
    <w:p w:rsidR="00624531" w:rsidRDefault="00624531" w:rsidP="00CC73DE">
      <w:pPr>
        <w:spacing w:line="240" w:lineRule="auto"/>
        <w:jc w:val="both"/>
        <w:rPr>
          <w:rFonts w:cs="Arial"/>
          <w:bCs/>
          <w:szCs w:val="20"/>
        </w:rPr>
      </w:pPr>
    </w:p>
    <w:p w:rsidR="00624531" w:rsidRPr="0023720D" w:rsidRDefault="00624531" w:rsidP="00F21AC6">
      <w:pPr>
        <w:spacing w:line="240" w:lineRule="auto"/>
        <w:jc w:val="both"/>
        <w:rPr>
          <w:rFonts w:cs="Arial"/>
          <w:bCs/>
          <w:szCs w:val="20"/>
        </w:rPr>
      </w:pPr>
      <w:r w:rsidRPr="002E435C">
        <w:rPr>
          <w:rFonts w:cs="Arial"/>
          <w:bCs/>
          <w:szCs w:val="20"/>
        </w:rPr>
        <w:t xml:space="preserve">Tab. 27: Počet nově hlášených případů pracovní neschopnosti pro nemoc a úraz na 100 pojištěnců podle CZ-NACE v ČR za rok 2014 </w:t>
      </w:r>
    </w:p>
    <w:p w:rsidR="00624531" w:rsidRDefault="00624531" w:rsidP="00F21AC6">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3720D">
        <w:rPr>
          <w:rFonts w:cs="Arial"/>
          <w:bCs/>
          <w:szCs w:val="20"/>
        </w:rPr>
        <w:t>Tab. 28: Průměrné procento pracovní neschopnosti pro nemoc a úraz podle CZ-</w:t>
      </w:r>
      <w:r>
        <w:rPr>
          <w:rFonts w:cs="Arial"/>
          <w:bCs/>
          <w:szCs w:val="20"/>
        </w:rPr>
        <w:t>NACE</w:t>
      </w:r>
      <w:r w:rsidRPr="0023720D">
        <w:rPr>
          <w:rFonts w:cs="Arial"/>
          <w:bCs/>
          <w:szCs w:val="20"/>
        </w:rPr>
        <w:t xml:space="preserve"> v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3720D">
        <w:rPr>
          <w:rFonts w:cs="Arial"/>
          <w:bCs/>
          <w:szCs w:val="20"/>
        </w:rPr>
        <w:t>Tab. 29: Počet kalendářních dnů pracovní neschopnosti na 1 nově hlášený případ pro nemoc a úraz podle CZ-NACE v ČR za rok 2014</w:t>
      </w:r>
    </w:p>
    <w:p w:rsidR="00624531" w:rsidRDefault="00624531" w:rsidP="00CC73DE">
      <w:pPr>
        <w:spacing w:line="240" w:lineRule="auto"/>
        <w:jc w:val="both"/>
        <w:rPr>
          <w:rFonts w:cs="Arial"/>
          <w:bCs/>
          <w:szCs w:val="20"/>
        </w:rPr>
      </w:pPr>
    </w:p>
    <w:p w:rsidR="00624531" w:rsidRPr="0023720D" w:rsidRDefault="00624531" w:rsidP="00CC73DE">
      <w:pPr>
        <w:spacing w:line="240" w:lineRule="auto"/>
        <w:jc w:val="both"/>
        <w:rPr>
          <w:rFonts w:cs="Arial"/>
          <w:bCs/>
          <w:szCs w:val="20"/>
        </w:rPr>
      </w:pPr>
      <w:r w:rsidRPr="0023720D">
        <w:rPr>
          <w:rFonts w:cs="Arial"/>
          <w:bCs/>
          <w:szCs w:val="20"/>
        </w:rPr>
        <w:t>Tab. 30: Průměrný denní stav práce neschopných pro nemoc a úraz podle CZ-NACE v ČR za rok 2014</w:t>
      </w:r>
    </w:p>
    <w:p w:rsidR="00624531" w:rsidRPr="00B22C5C" w:rsidRDefault="00624531" w:rsidP="00CC73DE">
      <w:pPr>
        <w:jc w:val="both"/>
        <w:rPr>
          <w:b/>
        </w:rPr>
      </w:pPr>
    </w:p>
    <w:p w:rsidR="00624531" w:rsidRDefault="00624531" w:rsidP="00CC73DE">
      <w:pPr>
        <w:spacing w:line="240" w:lineRule="auto"/>
        <w:ind w:left="360"/>
        <w:jc w:val="both"/>
        <w:rPr>
          <w:rFonts w:cs="Arial"/>
          <w:b/>
        </w:rPr>
      </w:pPr>
    </w:p>
    <w:p w:rsidR="00624531" w:rsidRPr="00B22C5C" w:rsidRDefault="00624531" w:rsidP="00B22C5C">
      <w:pPr>
        <w:rPr>
          <w:b/>
        </w:rPr>
      </w:pPr>
      <w:r w:rsidRPr="00B22C5C">
        <w:rPr>
          <w:b/>
        </w:rPr>
        <w:t>Seznam CZ-NACE</w:t>
      </w:r>
    </w:p>
    <w:p w:rsidR="00624531" w:rsidRDefault="00624531" w:rsidP="00B22C5C"/>
    <w:p w:rsidR="00624531" w:rsidRPr="00B22C5C" w:rsidRDefault="00624531" w:rsidP="00B22C5C">
      <w:pPr>
        <w:rPr>
          <w:b/>
        </w:rPr>
      </w:pPr>
      <w:r w:rsidRPr="00B22C5C">
        <w:rPr>
          <w:b/>
        </w:rPr>
        <w:t>Seznam skupin CZ-NACE</w:t>
      </w: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Pr>
        <w:rPr>
          <w:rFonts w:eastAsia="MS Gothic"/>
          <w:b/>
          <w:bCs/>
          <w:color w:val="BC091B"/>
          <w:sz w:val="32"/>
          <w:szCs w:val="28"/>
        </w:rPr>
      </w:pPr>
    </w:p>
    <w:p w:rsidR="00624531" w:rsidRDefault="00624531" w:rsidP="00B22C5C"/>
    <w:p w:rsidR="00624531" w:rsidRDefault="00624531" w:rsidP="00B22C5C"/>
    <w:p w:rsidR="00624531" w:rsidRPr="00D7525D" w:rsidRDefault="00624531" w:rsidP="00462C19">
      <w:pPr>
        <w:pStyle w:val="Heading1"/>
        <w:rPr>
          <w:color w:val="auto"/>
        </w:rPr>
      </w:pPr>
      <w:r w:rsidRPr="005D5802">
        <w:t>1</w:t>
      </w:r>
      <w:r>
        <w:t xml:space="preserve">  </w:t>
      </w:r>
      <w:r w:rsidRPr="00462C19">
        <w:rPr>
          <w:rFonts w:cs="Arial"/>
          <w:sz w:val="28"/>
        </w:rPr>
        <w:t>Úvod</w:t>
      </w:r>
      <w:r>
        <w:rPr>
          <w:rFonts w:cs="Arial"/>
          <w:sz w:val="28"/>
        </w:rPr>
        <w:tab/>
      </w:r>
    </w:p>
    <w:p w:rsidR="00624531" w:rsidRPr="006D47FF" w:rsidRDefault="00624531" w:rsidP="000612BB">
      <w:pPr>
        <w:autoSpaceDE w:val="0"/>
        <w:autoSpaceDN w:val="0"/>
        <w:adjustRightInd w:val="0"/>
        <w:jc w:val="both"/>
        <w:rPr>
          <w:rFonts w:cs="Arial"/>
        </w:rPr>
      </w:pPr>
      <w:r w:rsidRPr="006D47FF">
        <w:rPr>
          <w:rFonts w:cs="Arial"/>
        </w:rPr>
        <w:t>Obsahem publikace jsou výsledky zpracování údajů statistiky dočasné pracovní neschopnosti pro nemoc a úraz z administrativního zdroje Informačního systému České správy sociálního zabezpečení (ČSSZ), které Český statistický úřad (ČSÚ) zajišťuje počínaje rokem 2012. Do roku 2011 byla data sledována státním statistickým výkazem Nem Úr 1-02, jehož působnost byla ukončena. Data jsou zjišťována a publikována vždy za 1. pololetí a v kumulaci za celý rok. Administrativní data Informačního systému ČSSZ jsou vykazován</w:t>
      </w:r>
      <w:r>
        <w:rPr>
          <w:rFonts w:cs="Arial"/>
        </w:rPr>
        <w:t>a</w:t>
      </w:r>
      <w:r w:rsidRPr="006D47FF">
        <w:rPr>
          <w:rFonts w:cs="Arial"/>
        </w:rPr>
        <w:t xml:space="preserve"> za všechny zaměstnance právnických i fyzických osob</w:t>
      </w:r>
      <w:r>
        <w:rPr>
          <w:rFonts w:cs="Arial"/>
        </w:rPr>
        <w:t>,</w:t>
      </w:r>
      <w:r w:rsidRPr="006D47FF">
        <w:rPr>
          <w:rFonts w:cs="Arial"/>
        </w:rPr>
        <w:t xml:space="preserve"> data za osoby samostatně výdělečně činné (OSVČ) jsou vykazov</w:t>
      </w:r>
      <w:r>
        <w:rPr>
          <w:rFonts w:cs="Arial"/>
        </w:rPr>
        <w:t>ana samostatně</w:t>
      </w:r>
      <w:r w:rsidRPr="006D47FF">
        <w:rPr>
          <w:rFonts w:cs="Arial"/>
        </w:rPr>
        <w:t>. Data jsou členěna podle krajů, okresů, velikosti podniku a podle klasifikace ekonomických činností CZ-NACE.</w:t>
      </w:r>
    </w:p>
    <w:p w:rsidR="00624531" w:rsidRDefault="00624531" w:rsidP="00CD4307">
      <w:pPr>
        <w:autoSpaceDE w:val="0"/>
        <w:autoSpaceDN w:val="0"/>
        <w:adjustRightInd w:val="0"/>
        <w:spacing w:line="240" w:lineRule="auto"/>
        <w:rPr>
          <w:rFonts w:cs="Arial"/>
        </w:rPr>
      </w:pPr>
    </w:p>
    <w:p w:rsidR="00624531" w:rsidRDefault="00624531" w:rsidP="005D6CC5">
      <w:pPr>
        <w:jc w:val="both"/>
      </w:pPr>
      <w:r w:rsidRPr="00086738">
        <w:rPr>
          <w:b/>
        </w:rPr>
        <w:t>Od 1. ledna 2009 je nemocenské pojištění upraveno zákonem č. 187/2006 Sb.</w:t>
      </w:r>
      <w:r w:rsidRPr="005D6CC5">
        <w:t xml:space="preserve">, o nemocenském pojištění, ve znění pozdějších předpisů. Jde o komplexní úpravu nemocenského pojištění, která zahrnuje jak okruh osob účastných nemocenského pojištění (tj. zaměstnanců, příslušníků ozbrojených sil a bezpečnostních sborů i osob samostatně výdělečně činných), jejich nároky z tohoto pojištění a stanovení výše poskytovaných dávek, posuzování zdravotního stavu pro účely nemocenského pojištění, tak organizační uspořádání nemocenského pojištění, jakož i řízení v tomto pojištění. </w:t>
      </w:r>
      <w:r w:rsidRPr="00086738">
        <w:rPr>
          <w:b/>
        </w:rPr>
        <w:t>Pojistné na nemocenské pojištění je upraveno zákonem č. 589/1992 Sb.</w:t>
      </w:r>
      <w:r w:rsidRPr="005D6CC5">
        <w:t>, o pojistném na sociální zabezpečení a příspěvku na státní politiku zaměstnanosti, ve znění pozdějších předpisů.</w:t>
      </w:r>
    </w:p>
    <w:p w:rsidR="00624531" w:rsidRDefault="00624531" w:rsidP="004C33A7">
      <w:pPr>
        <w:jc w:val="both"/>
      </w:pPr>
    </w:p>
    <w:p w:rsidR="00624531" w:rsidRPr="001C247D" w:rsidRDefault="00624531" w:rsidP="004C33A7">
      <w:pPr>
        <w:jc w:val="both"/>
      </w:pPr>
      <w:r w:rsidRPr="001C247D">
        <w:rPr>
          <w:b/>
        </w:rPr>
        <w:t>V základních ukazatelích</w:t>
      </w:r>
      <w:r w:rsidRPr="00D05F75">
        <w:t xml:space="preserve"> </w:t>
      </w:r>
      <w:r>
        <w:t xml:space="preserve">dočasné </w:t>
      </w:r>
      <w:r w:rsidRPr="00D05F75">
        <w:t xml:space="preserve">pracovní neschopnosti pro nemoc a úraz v roce 2014 </w:t>
      </w:r>
      <w:r w:rsidRPr="001C247D">
        <w:rPr>
          <w:b/>
        </w:rPr>
        <w:t xml:space="preserve">je stále patrný vliv legislativních změn v nemocenském pojištění, </w:t>
      </w:r>
      <w:r w:rsidRPr="00B47CE3">
        <w:t>které započaly v roce 2007</w:t>
      </w:r>
      <w:r>
        <w:t xml:space="preserve">. </w:t>
      </w:r>
      <w:r w:rsidRPr="00413C10">
        <w:rPr>
          <w:b/>
        </w:rPr>
        <w:t>Nejvíce vývoj</w:t>
      </w:r>
      <w:r w:rsidRPr="001C247D">
        <w:t xml:space="preserve"> dočasné pracovní neschopnosti pro nemoc a úraz </w:t>
      </w:r>
      <w:r w:rsidRPr="00413C10">
        <w:rPr>
          <w:b/>
        </w:rPr>
        <w:t>ovlivnily úpravy ve stanovení výše dávek nemocenského pojištění</w:t>
      </w:r>
      <w:r w:rsidRPr="001C247D">
        <w:t>.</w:t>
      </w:r>
    </w:p>
    <w:p w:rsidR="00624531" w:rsidRPr="005D6CC5" w:rsidRDefault="00624531" w:rsidP="005D6CC5">
      <w:pPr>
        <w:jc w:val="both"/>
      </w:pPr>
    </w:p>
    <w:p w:rsidR="00624531" w:rsidRDefault="00624531" w:rsidP="005D6CC5">
      <w:pPr>
        <w:jc w:val="both"/>
      </w:pPr>
      <w:r w:rsidRPr="00086738">
        <w:rPr>
          <w:b/>
        </w:rPr>
        <w:t>Od 1. 1. 2014 končí dočasné opatření v oblasti nemocenského pojištění,</w:t>
      </w:r>
      <w:r w:rsidRPr="005D6CC5">
        <w:t xml:space="preserve"> kdy v letech 2011</w:t>
      </w:r>
      <w:r>
        <w:t xml:space="preserve"> </w:t>
      </w:r>
      <w:r w:rsidRPr="005D6CC5">
        <w:t>-</w:t>
      </w:r>
      <w:r>
        <w:t xml:space="preserve"> </w:t>
      </w:r>
      <w:r w:rsidRPr="005D6CC5">
        <w:t xml:space="preserve">2013 poskytoval zaměstnavatel po dobu prvních 21 dní dočasné pracovní neschopnosti náhradu mzdy a OSSZ vyplácely nemocenské až od 22. kalendářního dne trvání dočasné pracovní neschopnosti. </w:t>
      </w:r>
      <w:r w:rsidRPr="00F9705D">
        <w:rPr>
          <w:b/>
        </w:rPr>
        <w:t>Zaměstnancům, kteří byli uznáni dočasně pracovně neschopnými v době od 1. 1. 2014,</w:t>
      </w:r>
      <w:r w:rsidRPr="005D6CC5">
        <w:t xml:space="preserve"> zaměstnavatelé vyplác</w:t>
      </w:r>
      <w:r>
        <w:t>ejí</w:t>
      </w:r>
      <w:r w:rsidRPr="005D6CC5">
        <w:t xml:space="preserve"> náhradu mzdy za období prvních 14 dnů trvání pracovní neschopnosti a od 15. kalendářního dne nemocenské </w:t>
      </w:r>
      <w:r>
        <w:t>vyplácí</w:t>
      </w:r>
      <w:r w:rsidRPr="005D6CC5">
        <w:t xml:space="preserve"> </w:t>
      </w:r>
      <w:r>
        <w:t xml:space="preserve">mzdu </w:t>
      </w:r>
      <w:r w:rsidRPr="005D6CC5">
        <w:t>OSSZ. Zvyšují se redukční hranice pro výpočet denního vyměřovacího základu pro určení výše dávek nemocenského pojištění</w:t>
      </w:r>
      <w:r>
        <w:t xml:space="preserve">. </w:t>
      </w:r>
    </w:p>
    <w:p w:rsidR="00624531" w:rsidRDefault="00624531" w:rsidP="005D6CC5">
      <w:pPr>
        <w:jc w:val="both"/>
      </w:pPr>
    </w:p>
    <w:p w:rsidR="00624531" w:rsidRPr="00D05F75" w:rsidRDefault="00624531" w:rsidP="004C33A7">
      <w:pPr>
        <w:jc w:val="both"/>
      </w:pPr>
    </w:p>
    <w:p w:rsidR="00624531" w:rsidRDefault="00624531" w:rsidP="00E04401"/>
    <w:p w:rsidR="00624531" w:rsidRDefault="00624531" w:rsidP="00E04401"/>
    <w:p w:rsidR="00624531" w:rsidRDefault="00624531" w:rsidP="00E04401"/>
    <w:p w:rsidR="00624531" w:rsidRDefault="00624531" w:rsidP="00E04401"/>
    <w:p w:rsidR="00624531" w:rsidRDefault="00624531" w:rsidP="00E04401"/>
    <w:p w:rsidR="00624531" w:rsidRDefault="00624531" w:rsidP="00E04401"/>
    <w:p w:rsidR="00624531" w:rsidRDefault="00624531" w:rsidP="00E04401"/>
    <w:p w:rsidR="00624531" w:rsidRDefault="00624531" w:rsidP="00E04401"/>
    <w:p w:rsidR="00624531" w:rsidRDefault="00624531" w:rsidP="00E04401"/>
    <w:p w:rsidR="00624531" w:rsidRDefault="00624531" w:rsidP="00E04401"/>
    <w:p w:rsidR="00624531" w:rsidRDefault="00624531" w:rsidP="00E04401"/>
    <w:p w:rsidR="00624531" w:rsidRDefault="00624531" w:rsidP="00E04401"/>
    <w:p w:rsidR="00624531" w:rsidRDefault="00624531" w:rsidP="00E04401"/>
    <w:p w:rsidR="00624531" w:rsidRPr="00510D3F" w:rsidRDefault="00624531" w:rsidP="008845EE">
      <w:pPr>
        <w:pStyle w:val="Heading1"/>
        <w:pageBreakBefore/>
        <w:rPr>
          <w:rFonts w:cs="Arial"/>
          <w:sz w:val="28"/>
        </w:rPr>
      </w:pPr>
      <w:r>
        <w:rPr>
          <w:rFonts w:cs="Arial"/>
          <w:sz w:val="28"/>
        </w:rPr>
        <w:t xml:space="preserve">2   </w:t>
      </w:r>
      <w:r w:rsidRPr="00510D3F">
        <w:rPr>
          <w:rFonts w:cs="Arial"/>
          <w:sz w:val="28"/>
        </w:rPr>
        <w:t xml:space="preserve">Metodika </w:t>
      </w:r>
    </w:p>
    <w:p w:rsidR="00624531" w:rsidRDefault="00624531" w:rsidP="008845EE">
      <w:pPr>
        <w:jc w:val="both"/>
        <w:rPr>
          <w:rFonts w:cs="Arial"/>
          <w:szCs w:val="20"/>
        </w:rPr>
      </w:pPr>
      <w:r w:rsidRPr="00CE3720">
        <w:rPr>
          <w:rFonts w:cs="Arial"/>
          <w:szCs w:val="20"/>
        </w:rPr>
        <w:t xml:space="preserve">Obsahem publikace jsou výsledky zpracování údajů </w:t>
      </w:r>
      <w:r w:rsidRPr="00CE3720">
        <w:rPr>
          <w:rFonts w:cs="Arial"/>
          <w:b/>
          <w:bCs/>
          <w:szCs w:val="20"/>
        </w:rPr>
        <w:t>statistiky dočasné pracovní neschopnosti pro nemoc a úraz z administrativního zdroje Informačního systému České správy sociálního zabezpečení (ČSSZ</w:t>
      </w:r>
      <w:r>
        <w:rPr>
          <w:rFonts w:cs="Arial"/>
          <w:b/>
          <w:bCs/>
          <w:szCs w:val="20"/>
        </w:rPr>
        <w:t xml:space="preserve">). </w:t>
      </w:r>
      <w:r w:rsidRPr="00CE3720">
        <w:rPr>
          <w:rFonts w:cs="Arial"/>
          <w:szCs w:val="20"/>
        </w:rPr>
        <w:t xml:space="preserve">Data jsou zjišťována a publikována vždy za 1. pololetí a v kumulaci za celý rok. </w:t>
      </w:r>
    </w:p>
    <w:p w:rsidR="00624531" w:rsidRDefault="00624531" w:rsidP="008845EE">
      <w:pPr>
        <w:jc w:val="both"/>
        <w:rPr>
          <w:rFonts w:cs="Arial"/>
          <w:b/>
          <w:bCs/>
          <w:szCs w:val="20"/>
        </w:rPr>
      </w:pPr>
    </w:p>
    <w:p w:rsidR="00624531" w:rsidRDefault="00624531" w:rsidP="008845EE">
      <w:pPr>
        <w:jc w:val="both"/>
        <w:rPr>
          <w:rFonts w:cs="Arial"/>
          <w:b/>
          <w:bCs/>
          <w:szCs w:val="20"/>
        </w:rPr>
      </w:pPr>
      <w:r w:rsidRPr="00CE3720">
        <w:rPr>
          <w:rFonts w:cs="Arial"/>
          <w:b/>
          <w:bCs/>
          <w:szCs w:val="20"/>
        </w:rPr>
        <w:t xml:space="preserve">Statistika </w:t>
      </w:r>
      <w:r>
        <w:rPr>
          <w:rFonts w:cs="Arial"/>
          <w:b/>
          <w:bCs/>
          <w:szCs w:val="20"/>
        </w:rPr>
        <w:t xml:space="preserve">dočasné </w:t>
      </w:r>
      <w:r w:rsidRPr="00CE3720">
        <w:rPr>
          <w:rFonts w:cs="Arial"/>
          <w:b/>
          <w:bCs/>
          <w:szCs w:val="20"/>
        </w:rPr>
        <w:t>pracovní neschopnosti pro nemoc a úraz byla až do roku 2011 prováděna</w:t>
      </w:r>
      <w:r w:rsidRPr="00CE3720">
        <w:rPr>
          <w:rFonts w:cs="Arial"/>
          <w:szCs w:val="20"/>
        </w:rPr>
        <w:t xml:space="preserve"> statistickým zjišťováním v oblasti pracovní neschopnosti a úrazovosti, státním statistickým výkazem </w:t>
      </w:r>
      <w:r w:rsidRPr="00CE3720">
        <w:rPr>
          <w:rFonts w:cs="Arial"/>
          <w:bCs/>
          <w:szCs w:val="20"/>
        </w:rPr>
        <w:t>Nem Úr 1-02. Zpravodajskou jednotkou</w:t>
      </w:r>
      <w:r w:rsidRPr="00CE3720">
        <w:rPr>
          <w:rFonts w:cs="Arial"/>
          <w:szCs w:val="20"/>
        </w:rPr>
        <w:t xml:space="preserve"> pro účely evidence a statistického vykazování pracovní neschopnosti pro nemoc a úraz </w:t>
      </w:r>
      <w:r w:rsidRPr="00CE3720">
        <w:rPr>
          <w:rFonts w:cs="Arial"/>
          <w:bCs/>
          <w:szCs w:val="20"/>
        </w:rPr>
        <w:t>byly</w:t>
      </w:r>
      <w:r w:rsidRPr="00CE3720">
        <w:rPr>
          <w:rFonts w:cs="Arial"/>
          <w:szCs w:val="20"/>
        </w:rPr>
        <w:t xml:space="preserve"> </w:t>
      </w:r>
      <w:r w:rsidRPr="00CE3720">
        <w:rPr>
          <w:rFonts w:cs="Arial"/>
          <w:bCs/>
          <w:szCs w:val="20"/>
        </w:rPr>
        <w:t>do roku 2011</w:t>
      </w:r>
      <w:r w:rsidRPr="00CE3720">
        <w:rPr>
          <w:rFonts w:cs="Arial"/>
          <w:szCs w:val="20"/>
        </w:rPr>
        <w:t xml:space="preserve"> </w:t>
      </w:r>
      <w:r w:rsidRPr="00CE3720">
        <w:rPr>
          <w:rFonts w:cs="Arial"/>
          <w:bCs/>
          <w:szCs w:val="20"/>
        </w:rPr>
        <w:t>všechny podniky nad 25 zaměstnanců/pojištěnců.</w:t>
      </w:r>
      <w:r w:rsidRPr="00CE3720">
        <w:rPr>
          <w:rFonts w:cs="Arial"/>
          <w:szCs w:val="20"/>
        </w:rPr>
        <w:t xml:space="preserve"> </w:t>
      </w:r>
      <w:r w:rsidRPr="00CE3720">
        <w:rPr>
          <w:rFonts w:cs="Arial"/>
          <w:bCs/>
          <w:szCs w:val="20"/>
        </w:rPr>
        <w:t>Údaje za podniky s menším počtem</w:t>
      </w:r>
      <w:r w:rsidRPr="00CE3720">
        <w:rPr>
          <w:rFonts w:cs="Arial"/>
          <w:szCs w:val="20"/>
        </w:rPr>
        <w:t xml:space="preserve"> zaměstnanců a osoby samostatně výdělečně činné (OSVČ) byly doplňovány  z administrativního zdroje Informačního systému České správy sociálního zabezpečení (</w:t>
      </w:r>
      <w:r>
        <w:rPr>
          <w:rFonts w:cs="Arial"/>
          <w:szCs w:val="20"/>
        </w:rPr>
        <w:t>Č</w:t>
      </w:r>
      <w:r w:rsidRPr="00CE3720">
        <w:rPr>
          <w:rFonts w:cs="Arial"/>
          <w:szCs w:val="20"/>
        </w:rPr>
        <w:t>SSZ</w:t>
      </w:r>
      <w:r w:rsidRPr="00652BFD">
        <w:rPr>
          <w:rFonts w:cs="Arial"/>
          <w:szCs w:val="20"/>
        </w:rPr>
        <w:t>).</w:t>
      </w:r>
      <w:r w:rsidRPr="00CE3720">
        <w:rPr>
          <w:rFonts w:cs="Arial"/>
          <w:bCs/>
          <w:szCs w:val="20"/>
        </w:rPr>
        <w:t xml:space="preserve"> Při zpracování úlohy Nem Úr 1-02</w:t>
      </w:r>
      <w:r w:rsidRPr="00CE3720">
        <w:rPr>
          <w:rFonts w:cs="Arial"/>
          <w:szCs w:val="20"/>
        </w:rPr>
        <w:t xml:space="preserve"> byly uplatňovány (ve zpracováních od roku 1997) </w:t>
      </w:r>
      <w:r w:rsidRPr="00CE3720">
        <w:rPr>
          <w:rFonts w:cs="Arial"/>
          <w:bCs/>
          <w:szCs w:val="20"/>
        </w:rPr>
        <w:t>dopočty non-response (nepředložené výkazy).</w:t>
      </w:r>
      <w:r w:rsidRPr="00CE3720">
        <w:rPr>
          <w:rFonts w:cs="Arial"/>
          <w:szCs w:val="20"/>
        </w:rPr>
        <w:t xml:space="preserve"> </w:t>
      </w:r>
      <w:r w:rsidRPr="00CE3720">
        <w:rPr>
          <w:rFonts w:cs="Arial"/>
          <w:bCs/>
          <w:szCs w:val="20"/>
        </w:rPr>
        <w:t xml:space="preserve">Dopočteny byly všechny nepředložené výkazy zpravodajských jednotek s </w:t>
      </w:r>
      <w:smartTag w:uri="urn:schemas-microsoft-com:office:smarttags" w:element="metricconverter">
        <w:smartTagPr>
          <w:attr w:name="ProductID" w:val="26 a"/>
        </w:smartTagPr>
        <w:r w:rsidRPr="00CE3720">
          <w:rPr>
            <w:rFonts w:cs="Arial"/>
            <w:bCs/>
            <w:szCs w:val="20"/>
          </w:rPr>
          <w:t>26 a</w:t>
        </w:r>
      </w:smartTag>
      <w:r w:rsidRPr="00CE3720">
        <w:rPr>
          <w:rFonts w:cs="Arial"/>
          <w:bCs/>
          <w:szCs w:val="20"/>
        </w:rPr>
        <w:t xml:space="preserve"> více zaměstnanci.</w:t>
      </w:r>
      <w:r w:rsidRPr="00CE3720">
        <w:rPr>
          <w:rFonts w:cs="Arial"/>
          <w:szCs w:val="20"/>
        </w:rPr>
        <w:t xml:space="preserve"> Při dopočtech bylo abstrahováno od možné existence více zúčtovacích míst nemocenského pojištění v rámci zpravodajské jednotky, tj. dopočet byl proveden za zpravodajskou jednotku (IČ) jako celek. </w:t>
      </w:r>
      <w:r w:rsidRPr="00CE3720">
        <w:rPr>
          <w:rFonts w:cs="Arial"/>
          <w:b/>
          <w:bCs/>
          <w:szCs w:val="20"/>
        </w:rPr>
        <w:t>V důsledku snižování administrativní náročnosti a zátěže</w:t>
      </w:r>
      <w:r w:rsidRPr="00CE3720">
        <w:rPr>
          <w:rFonts w:cs="Arial"/>
          <w:szCs w:val="20"/>
        </w:rPr>
        <w:t xml:space="preserve"> zpravodajských jednotek, nebyl Výkaz o pracovní neschopnosti pro nemoc a úraz </w:t>
      </w:r>
      <w:r w:rsidRPr="00CE3720">
        <w:rPr>
          <w:rFonts w:cs="Arial"/>
          <w:b/>
          <w:bCs/>
          <w:szCs w:val="20"/>
        </w:rPr>
        <w:t>Nem Úr 1-02 pro rok 2012</w:t>
      </w:r>
      <w:r w:rsidRPr="00CE3720">
        <w:rPr>
          <w:rFonts w:cs="Arial"/>
          <w:szCs w:val="20"/>
        </w:rPr>
        <w:t xml:space="preserve"> </w:t>
      </w:r>
      <w:r w:rsidRPr="00CE3720">
        <w:rPr>
          <w:rFonts w:cs="Arial"/>
          <w:b/>
          <w:bCs/>
          <w:szCs w:val="20"/>
        </w:rPr>
        <w:t xml:space="preserve">zařazen do Programu statistických zjišťování a byla ukončena jeho působnost. </w:t>
      </w:r>
    </w:p>
    <w:p w:rsidR="00624531" w:rsidRDefault="00624531" w:rsidP="008845EE">
      <w:pPr>
        <w:spacing w:line="240" w:lineRule="auto"/>
        <w:jc w:val="both"/>
        <w:rPr>
          <w:rFonts w:cs="Arial"/>
          <w:b/>
          <w:bCs/>
          <w:szCs w:val="20"/>
        </w:rPr>
      </w:pPr>
    </w:p>
    <w:p w:rsidR="00624531" w:rsidRPr="00652BFD" w:rsidRDefault="00624531" w:rsidP="008845EE">
      <w:pPr>
        <w:jc w:val="both"/>
        <w:rPr>
          <w:rFonts w:cs="Arial"/>
          <w:szCs w:val="20"/>
        </w:rPr>
      </w:pPr>
      <w:r w:rsidRPr="00652BFD">
        <w:rPr>
          <w:rFonts w:cs="Arial"/>
          <w:bCs/>
          <w:szCs w:val="20"/>
        </w:rPr>
        <w:t>Počínaje rokem 2012</w:t>
      </w:r>
      <w:r w:rsidRPr="00652BFD">
        <w:rPr>
          <w:rFonts w:cs="Arial"/>
          <w:szCs w:val="20"/>
        </w:rPr>
        <w:t xml:space="preserve"> zajišťuje Český statistický úřad (ČSÚ)</w:t>
      </w:r>
      <w:r w:rsidRPr="00054569">
        <w:rPr>
          <w:rFonts w:cs="Arial"/>
          <w:szCs w:val="20"/>
        </w:rPr>
        <w:t xml:space="preserve"> veškeré údaje pro </w:t>
      </w:r>
      <w:r w:rsidRPr="00652BFD">
        <w:rPr>
          <w:rFonts w:cs="Arial"/>
          <w:bCs/>
          <w:szCs w:val="20"/>
        </w:rPr>
        <w:t>statistiku dočasné pracovní neschopnosti pro nemoc a úraz zpracováním dat z administrativního zdroje Informačního systému ČSSZ.</w:t>
      </w:r>
      <w:r w:rsidRPr="00652BFD">
        <w:rPr>
          <w:rFonts w:cs="Arial"/>
          <w:szCs w:val="20"/>
        </w:rPr>
        <w:t xml:space="preserve"> </w:t>
      </w:r>
    </w:p>
    <w:p w:rsidR="00624531" w:rsidRDefault="00624531" w:rsidP="008845EE">
      <w:pPr>
        <w:jc w:val="both"/>
        <w:rPr>
          <w:b/>
          <w:bCs/>
        </w:rPr>
      </w:pPr>
    </w:p>
    <w:p w:rsidR="00624531" w:rsidRPr="00054569" w:rsidRDefault="00624531" w:rsidP="008845EE">
      <w:pPr>
        <w:jc w:val="both"/>
        <w:rPr>
          <w:rFonts w:cs="Arial"/>
          <w:szCs w:val="20"/>
        </w:rPr>
      </w:pPr>
      <w:r w:rsidRPr="00054569">
        <w:rPr>
          <w:rFonts w:cs="Arial"/>
          <w:szCs w:val="20"/>
        </w:rPr>
        <w:t xml:space="preserve">Tato změna metodiky sběru dat neumožňuje </w:t>
      </w:r>
      <w:r>
        <w:rPr>
          <w:rFonts w:cs="Arial"/>
          <w:szCs w:val="20"/>
        </w:rPr>
        <w:t xml:space="preserve">plnohodnotné </w:t>
      </w:r>
      <w:r w:rsidRPr="00054569">
        <w:rPr>
          <w:rFonts w:cs="Arial"/>
          <w:szCs w:val="20"/>
        </w:rPr>
        <w:t>porovnávání dat do roku 2011 s daty od roku 2012.</w:t>
      </w:r>
      <w:r w:rsidRPr="00054569">
        <w:rPr>
          <w:rFonts w:ascii="ArialMT" w:hAnsi="ArialMT"/>
          <w:lang w:eastAsia="en-US"/>
        </w:rPr>
        <w:t xml:space="preserve"> </w:t>
      </w:r>
      <w:r w:rsidRPr="00054569">
        <w:rPr>
          <w:rFonts w:cs="Arial"/>
          <w:b/>
          <w:bCs/>
          <w:szCs w:val="20"/>
        </w:rPr>
        <w:t>V návaznosti na ukončení Statistického zjišťování pracovní neschopnosti pro nemoc a úraz Nem Úr 1-02</w:t>
      </w:r>
      <w:r w:rsidRPr="00054569">
        <w:rPr>
          <w:rFonts w:cs="Arial"/>
          <w:szCs w:val="20"/>
        </w:rPr>
        <w:t>, kdy byly poslední údaje tímto výkazem zjišťovány za rok 2011, byla pro srovnatelnost časových řad do roku 2011 vypracována analýza Českého statistického úřadu (ČSÚ) „Vývoj pracovní neschopnosti pro nemoc a úraz v letech 2004 - 2011“ kód e-1127-12. Tato analýza obsahově navazuje na analýzu popisující léta předchozí „Vývoj pracovní neschopnosti pro nemoc a úraz v letech 1990 - 2003“ kód e-1127-05.</w:t>
      </w:r>
    </w:p>
    <w:p w:rsidR="00624531" w:rsidRDefault="00624531" w:rsidP="005622F2">
      <w:pPr>
        <w:spacing w:before="100" w:beforeAutospacing="1" w:after="100" w:afterAutospacing="1"/>
        <w:jc w:val="both"/>
        <w:rPr>
          <w:rFonts w:cs="Arial"/>
          <w:szCs w:val="20"/>
        </w:rPr>
      </w:pPr>
      <w:r w:rsidRPr="005622F2">
        <w:rPr>
          <w:rFonts w:cs="Arial"/>
          <w:b/>
          <w:szCs w:val="20"/>
        </w:rPr>
        <w:t>Informační systém ČSSZ eviduje případy dočasné pracovní neschopnosti v ČR</w:t>
      </w:r>
      <w:r w:rsidRPr="005622F2">
        <w:rPr>
          <w:rFonts w:cs="Arial"/>
          <w:szCs w:val="20"/>
        </w:rPr>
        <w:t xml:space="preserve">, které byly hlášeny na tiskopise </w:t>
      </w:r>
      <w:r>
        <w:rPr>
          <w:rFonts w:cs="Arial"/>
          <w:szCs w:val="20"/>
        </w:rPr>
        <w:t>České správy sociálního zabezpečení (</w:t>
      </w:r>
      <w:r w:rsidRPr="005622F2">
        <w:rPr>
          <w:rFonts w:cs="Arial"/>
          <w:szCs w:val="20"/>
        </w:rPr>
        <w:t>ČSSZ</w:t>
      </w:r>
      <w:r>
        <w:rPr>
          <w:rFonts w:cs="Arial"/>
          <w:szCs w:val="20"/>
        </w:rPr>
        <w:t xml:space="preserve">) </w:t>
      </w:r>
      <w:r w:rsidRPr="005622F2">
        <w:rPr>
          <w:rFonts w:cs="Arial"/>
          <w:szCs w:val="20"/>
        </w:rPr>
        <w:t xml:space="preserve">„Rozhodnutí o dočasné pracovní neschopnosti“ vyplňovaného lékařem. </w:t>
      </w:r>
    </w:p>
    <w:p w:rsidR="00624531" w:rsidRPr="005622F2" w:rsidRDefault="00624531" w:rsidP="005622F2">
      <w:pPr>
        <w:spacing w:before="100" w:beforeAutospacing="1" w:after="100" w:afterAutospacing="1"/>
        <w:jc w:val="both"/>
        <w:rPr>
          <w:rFonts w:cs="Arial"/>
          <w:szCs w:val="20"/>
        </w:rPr>
      </w:pPr>
      <w:r>
        <w:rPr>
          <w:rFonts w:cs="Arial"/>
          <w:b/>
          <w:bCs/>
          <w:szCs w:val="20"/>
        </w:rPr>
        <w:t xml:space="preserve">Statistika dočasné pracovní neschopnosti </w:t>
      </w:r>
      <w:r>
        <w:rPr>
          <w:rFonts w:cs="Arial"/>
          <w:szCs w:val="20"/>
        </w:rPr>
        <w:t xml:space="preserve">zachycuje veškerá onemocnění a úrazy, které zapříčinily alespoň jednodenní pracovní neschopnost u nemocensky pojištěných osob. Nezahrnuje tedy </w:t>
      </w:r>
      <w:r w:rsidRPr="00AB5680">
        <w:rPr>
          <w:rFonts w:cs="Arial"/>
          <w:szCs w:val="20"/>
        </w:rPr>
        <w:t>případy</w:t>
      </w:r>
      <w:r>
        <w:rPr>
          <w:rFonts w:cs="Arial"/>
          <w:szCs w:val="20"/>
        </w:rPr>
        <w:t>, kdy nebylo vystaveno „Rozhodnutí o dočasné pracovní neschopnosti“.</w:t>
      </w:r>
    </w:p>
    <w:p w:rsidR="00624531" w:rsidRPr="00054569" w:rsidRDefault="00624531" w:rsidP="008845EE">
      <w:pPr>
        <w:jc w:val="both"/>
        <w:rPr>
          <w:rFonts w:cs="Arial"/>
          <w:szCs w:val="20"/>
        </w:rPr>
      </w:pPr>
      <w:r w:rsidRPr="00652BFD">
        <w:rPr>
          <w:rFonts w:cs="Arial"/>
          <w:b/>
          <w:szCs w:val="20"/>
        </w:rPr>
        <w:t xml:space="preserve">Evidované případy </w:t>
      </w:r>
      <w:r>
        <w:rPr>
          <w:rFonts w:cs="Arial"/>
          <w:b/>
          <w:szCs w:val="20"/>
        </w:rPr>
        <w:t xml:space="preserve">dočasné </w:t>
      </w:r>
      <w:r w:rsidRPr="00652BFD">
        <w:rPr>
          <w:rFonts w:cs="Arial"/>
          <w:b/>
          <w:szCs w:val="20"/>
        </w:rPr>
        <w:t>pracovní neschopnosti</w:t>
      </w:r>
      <w:r w:rsidRPr="00054569">
        <w:rPr>
          <w:rFonts w:cs="Arial"/>
          <w:szCs w:val="20"/>
        </w:rPr>
        <w:t xml:space="preserve"> ve statistice pracovní neschopnosti pro nemoc a úraz </w:t>
      </w:r>
      <w:r w:rsidRPr="00652BFD">
        <w:rPr>
          <w:rFonts w:cs="Arial"/>
          <w:b/>
          <w:szCs w:val="20"/>
        </w:rPr>
        <w:t xml:space="preserve">jsou členěny </w:t>
      </w:r>
      <w:r w:rsidRPr="00652BFD">
        <w:rPr>
          <w:rFonts w:cs="Arial"/>
          <w:szCs w:val="20"/>
        </w:rPr>
        <w:t>dle krajů, okresů, velikosti podniku a podle klasifikace ekonomických činností CZ-NACE.</w:t>
      </w:r>
      <w:r w:rsidRPr="00054569">
        <w:rPr>
          <w:rFonts w:cs="Arial"/>
          <w:szCs w:val="20"/>
        </w:rPr>
        <w:t xml:space="preserve"> Rozlišení dle krajů a okresů probíhá na základě sídla útvaru, který vede evidenci mezd u zaměstnavatele, u kterého byla osoba v době pracovní neschopnosti zaměstnána.</w:t>
      </w:r>
    </w:p>
    <w:p w:rsidR="00624531" w:rsidRDefault="00624531" w:rsidP="008845EE">
      <w:pPr>
        <w:jc w:val="both"/>
        <w:rPr>
          <w:rFonts w:ascii="Times New Roman" w:hAnsi="Times New Roman"/>
          <w:sz w:val="24"/>
        </w:rPr>
      </w:pPr>
    </w:p>
    <w:p w:rsidR="00624531" w:rsidRPr="00961950" w:rsidRDefault="00624531" w:rsidP="008845EE">
      <w:pPr>
        <w:jc w:val="both"/>
        <w:rPr>
          <w:rFonts w:cs="Arial"/>
          <w:szCs w:val="20"/>
        </w:rPr>
      </w:pPr>
      <w:r w:rsidRPr="00961950">
        <w:rPr>
          <w:rFonts w:cs="Arial"/>
          <w:b/>
          <w:bCs/>
          <w:szCs w:val="20"/>
        </w:rPr>
        <w:t>Administrativní data Informačního systému ČSSZ jsou vykazována</w:t>
      </w:r>
      <w:r w:rsidRPr="00961950">
        <w:rPr>
          <w:rFonts w:cs="Arial"/>
          <w:szCs w:val="20"/>
        </w:rPr>
        <w:t xml:space="preserve"> za všechny zaměstnance právnických i fyzických osob, data za osoby samostatně výdělečně činné (OSVČ) jsou vykazována samostatně. </w:t>
      </w:r>
      <w:r w:rsidRPr="00961950">
        <w:rPr>
          <w:rFonts w:cs="Arial"/>
          <w:b/>
          <w:bCs/>
          <w:szCs w:val="20"/>
        </w:rPr>
        <w:t xml:space="preserve">Příslušníci </w:t>
      </w:r>
      <w:r w:rsidRPr="00961950">
        <w:rPr>
          <w:rFonts w:cs="Arial"/>
          <w:szCs w:val="20"/>
        </w:rPr>
        <w:t xml:space="preserve">Policie ČR, Hasičského záchranného sboru ČR, Celní správy ČR, Vězeňské služby ČR, Bezpečnostní informační služby a Úřadu pro zahraniční styky a informace a vojáci z povolání (§ 5 písm. a) bod 2 zákona č.187/2006 Sb.) </w:t>
      </w:r>
      <w:r w:rsidRPr="00961950">
        <w:rPr>
          <w:rFonts w:cs="Arial"/>
          <w:b/>
          <w:bCs/>
          <w:szCs w:val="20"/>
        </w:rPr>
        <w:t>se pro účely této statistiky nesledují.</w:t>
      </w:r>
    </w:p>
    <w:p w:rsidR="00624531" w:rsidRDefault="00624531" w:rsidP="008845EE">
      <w:pPr>
        <w:spacing w:line="240" w:lineRule="auto"/>
        <w:jc w:val="both"/>
        <w:rPr>
          <w:rFonts w:cs="Arial"/>
          <w:szCs w:val="20"/>
        </w:rPr>
      </w:pPr>
    </w:p>
    <w:p w:rsidR="00624531" w:rsidRDefault="00624531" w:rsidP="008845EE">
      <w:pPr>
        <w:jc w:val="both"/>
        <w:rPr>
          <w:rFonts w:cs="Arial"/>
        </w:rPr>
      </w:pPr>
      <w:r w:rsidRPr="00D949F4">
        <w:rPr>
          <w:rFonts w:cs="Arial"/>
          <w:b/>
        </w:rPr>
        <w:t xml:space="preserve">Struktura publikovaných statistických </w:t>
      </w:r>
      <w:r>
        <w:rPr>
          <w:rFonts w:cs="Arial"/>
          <w:b/>
        </w:rPr>
        <w:t xml:space="preserve">výstupů dočasné pracovní neschopnosti </w:t>
      </w:r>
      <w:r w:rsidRPr="005663AD">
        <w:rPr>
          <w:rFonts w:cs="Arial"/>
        </w:rPr>
        <w:t>je obdobná jako v předešlých letech</w:t>
      </w:r>
      <w:r>
        <w:rPr>
          <w:rFonts w:cs="Arial"/>
        </w:rPr>
        <w:t xml:space="preserve">, ale vzhledem k tomu, </w:t>
      </w:r>
      <w:r w:rsidRPr="00650F8F">
        <w:rPr>
          <w:rFonts w:cs="Arial"/>
        </w:rPr>
        <w:t xml:space="preserve">že </w:t>
      </w:r>
      <w:r>
        <w:rPr>
          <w:rFonts w:cs="Arial"/>
        </w:rPr>
        <w:t xml:space="preserve">údaje </w:t>
      </w:r>
      <w:r w:rsidRPr="00CE3720">
        <w:rPr>
          <w:rFonts w:cs="Arial"/>
        </w:rPr>
        <w:t xml:space="preserve">statistiky dočasné pracovní neschopnosti pro nemoc a úraz </w:t>
      </w:r>
      <w:r w:rsidRPr="007026E9">
        <w:rPr>
          <w:rFonts w:cs="Arial"/>
        </w:rPr>
        <w:t>jsou počínaje rokem 2012 zpracová</w:t>
      </w:r>
      <w:r>
        <w:rPr>
          <w:rFonts w:cs="Arial"/>
        </w:rPr>
        <w:t>vány</w:t>
      </w:r>
      <w:r w:rsidRPr="007026E9">
        <w:rPr>
          <w:rFonts w:cs="Arial"/>
        </w:rPr>
        <w:t xml:space="preserve"> </w:t>
      </w:r>
      <w:r w:rsidRPr="00CE3720">
        <w:rPr>
          <w:rFonts w:cs="Arial"/>
        </w:rPr>
        <w:t>z administrativního zdroje Informačního systému České správy sociálního zabezpečení (ČSSZ</w:t>
      </w:r>
      <w:r w:rsidRPr="007026E9">
        <w:rPr>
          <w:rFonts w:cs="Arial"/>
        </w:rPr>
        <w:t xml:space="preserve">), </w:t>
      </w:r>
      <w:r w:rsidRPr="00687A51">
        <w:rPr>
          <w:rFonts w:cs="Arial"/>
        </w:rPr>
        <w:t xml:space="preserve">některé </w:t>
      </w:r>
      <w:r>
        <w:rPr>
          <w:rFonts w:cs="Arial"/>
        </w:rPr>
        <w:t>dříve sledované ukazatele</w:t>
      </w:r>
      <w:r w:rsidRPr="00687A51">
        <w:rPr>
          <w:rFonts w:cs="Arial"/>
        </w:rPr>
        <w:t xml:space="preserve"> již nejsou datově </w:t>
      </w:r>
      <w:r>
        <w:rPr>
          <w:rFonts w:cs="Arial"/>
        </w:rPr>
        <w:t xml:space="preserve">zajišťovány. </w:t>
      </w:r>
      <w:r w:rsidRPr="00FE025A">
        <w:rPr>
          <w:rFonts w:cs="Arial"/>
        </w:rPr>
        <w:t>Tyto výstupy</w:t>
      </w:r>
      <w:r>
        <w:rPr>
          <w:rFonts w:cs="Arial"/>
          <w:b/>
        </w:rPr>
        <w:t xml:space="preserve"> </w:t>
      </w:r>
      <w:r w:rsidRPr="00522BE4">
        <w:rPr>
          <w:rFonts w:cs="Arial"/>
        </w:rPr>
        <w:t>jsou</w:t>
      </w:r>
      <w:r>
        <w:rPr>
          <w:rFonts w:cs="Arial"/>
          <w:b/>
        </w:rPr>
        <w:t xml:space="preserve"> </w:t>
      </w:r>
      <w:r w:rsidRPr="003F75F4">
        <w:rPr>
          <w:rFonts w:cs="Arial"/>
        </w:rPr>
        <w:t xml:space="preserve">dostupné v podobě stávajících administrativních </w:t>
      </w:r>
      <w:r>
        <w:rPr>
          <w:rFonts w:cs="Arial"/>
        </w:rPr>
        <w:t xml:space="preserve">zdrojů </w:t>
      </w:r>
      <w:r w:rsidRPr="003F75F4">
        <w:rPr>
          <w:rFonts w:cs="Arial"/>
        </w:rPr>
        <w:t>a dat z</w:t>
      </w:r>
      <w:r>
        <w:rPr>
          <w:rFonts w:cs="Arial"/>
        </w:rPr>
        <w:t> </w:t>
      </w:r>
      <w:r w:rsidRPr="003F75F4">
        <w:rPr>
          <w:rFonts w:cs="Arial"/>
        </w:rPr>
        <w:t>regis</w:t>
      </w:r>
      <w:r>
        <w:rPr>
          <w:rFonts w:cs="Arial"/>
        </w:rPr>
        <w:t>trů:</w:t>
      </w:r>
    </w:p>
    <w:p w:rsidR="00624531" w:rsidRDefault="00624531" w:rsidP="008845EE">
      <w:pPr>
        <w:numPr>
          <w:ilvl w:val="0"/>
          <w:numId w:val="13"/>
        </w:numPr>
        <w:ind w:left="714" w:hanging="357"/>
        <w:jc w:val="both"/>
        <w:rPr>
          <w:rFonts w:cs="Arial"/>
        </w:rPr>
      </w:pPr>
      <w:r w:rsidRPr="00E65555">
        <w:rPr>
          <w:rFonts w:cs="Arial"/>
        </w:rPr>
        <w:t xml:space="preserve">Náklady na </w:t>
      </w:r>
      <w:r>
        <w:rPr>
          <w:rFonts w:cs="Arial"/>
        </w:rPr>
        <w:t>závodní preventivní péči - ukazatel nově zařazen do statistického zjišťování ČSÚ do výkazu ÚNP 4-01, dostupný z výsledků statistického zjišťování,</w:t>
      </w:r>
    </w:p>
    <w:p w:rsidR="00624531" w:rsidRDefault="00624531" w:rsidP="008845EE">
      <w:pPr>
        <w:numPr>
          <w:ilvl w:val="0"/>
          <w:numId w:val="13"/>
        </w:numPr>
        <w:ind w:left="714" w:hanging="357"/>
        <w:jc w:val="both"/>
        <w:rPr>
          <w:rFonts w:cs="Arial"/>
        </w:rPr>
      </w:pPr>
      <w:r>
        <w:rPr>
          <w:rFonts w:cs="Arial"/>
        </w:rPr>
        <w:t>Náhrady a přirážky – údaje dostupné ze standardních sestav, které na Ministerstvo práce a sociálních věcí (MPSV) zasílá za sektor úrazového pojištění Ministerstva financí (MF),</w:t>
      </w:r>
    </w:p>
    <w:p w:rsidR="00624531" w:rsidRDefault="00624531" w:rsidP="008845EE">
      <w:pPr>
        <w:numPr>
          <w:ilvl w:val="0"/>
          <w:numId w:val="13"/>
        </w:numPr>
        <w:ind w:left="714" w:hanging="357"/>
        <w:jc w:val="both"/>
        <w:rPr>
          <w:rFonts w:cs="Arial"/>
        </w:rPr>
      </w:pPr>
      <w:r>
        <w:rPr>
          <w:rFonts w:cs="Arial"/>
        </w:rPr>
        <w:t xml:space="preserve">Kategorizace prací dle míry rizika – statistiky budou přímo pro Ministerstvo práce a sociálních věcí (MPSV) zajišťovány </w:t>
      </w:r>
      <w:r w:rsidRPr="00537C06">
        <w:rPr>
          <w:rFonts w:cs="Arial"/>
        </w:rPr>
        <w:t>Registr</w:t>
      </w:r>
      <w:r>
        <w:rPr>
          <w:rFonts w:cs="Arial"/>
        </w:rPr>
        <w:t>em</w:t>
      </w:r>
      <w:r w:rsidRPr="00537C06">
        <w:rPr>
          <w:rFonts w:cs="Arial"/>
        </w:rPr>
        <w:t xml:space="preserve"> kategorizace prac</w:t>
      </w:r>
      <w:r>
        <w:rPr>
          <w:rFonts w:cs="Arial"/>
        </w:rPr>
        <w:t xml:space="preserve">í </w:t>
      </w:r>
      <w:r w:rsidRPr="00C601FF">
        <w:rPr>
          <w:rFonts w:cs="Arial"/>
        </w:rPr>
        <w:t>(IS KaPr)</w:t>
      </w:r>
      <w:r>
        <w:rPr>
          <w:rFonts w:cs="Arial"/>
        </w:rPr>
        <w:t xml:space="preserve">, který </w:t>
      </w:r>
      <w:r w:rsidRPr="001B6E7A">
        <w:rPr>
          <w:rFonts w:cs="Arial"/>
        </w:rPr>
        <w:t>je využíván k evidenci prací zařazených do kategorií podle míry rizika</w:t>
      </w:r>
      <w:r>
        <w:rPr>
          <w:rFonts w:cs="Arial"/>
        </w:rPr>
        <w:t>,</w:t>
      </w:r>
      <w:r w:rsidRPr="00A83D8B">
        <w:rPr>
          <w:rFonts w:cs="Arial"/>
        </w:rPr>
        <w:t xml:space="preserve"> </w:t>
      </w:r>
    </w:p>
    <w:p w:rsidR="00624531" w:rsidRDefault="00624531" w:rsidP="008845EE">
      <w:pPr>
        <w:numPr>
          <w:ilvl w:val="0"/>
          <w:numId w:val="13"/>
        </w:numPr>
        <w:ind w:left="714" w:hanging="357"/>
        <w:jc w:val="both"/>
        <w:rPr>
          <w:rFonts w:cs="Arial"/>
        </w:rPr>
      </w:pPr>
      <w:r>
        <w:rPr>
          <w:rFonts w:cs="Arial"/>
        </w:rPr>
        <w:t xml:space="preserve">Smrtelná pracovní úrazovost - </w:t>
      </w:r>
      <w:r w:rsidRPr="005663AD">
        <w:rPr>
          <w:rFonts w:cs="Arial"/>
        </w:rPr>
        <w:t xml:space="preserve">data </w:t>
      </w:r>
      <w:r>
        <w:rPr>
          <w:rFonts w:cs="Arial"/>
        </w:rPr>
        <w:t>jsou pravidelně uveřejňována v analýze Státního úřadu práce (SÚIP) „</w:t>
      </w:r>
      <w:hyperlink r:id="rId8" w:history="1">
        <w:r w:rsidRPr="005663AD">
          <w:rPr>
            <w:rFonts w:cs="Arial"/>
          </w:rPr>
          <w:t>Pracovní úrazovost v České republice</w:t>
        </w:r>
        <w:r>
          <w:rPr>
            <w:rFonts w:cs="Arial"/>
          </w:rPr>
          <w:t>“</w:t>
        </w:r>
      </w:hyperlink>
      <w:r>
        <w:rPr>
          <w:rFonts w:cs="Arial"/>
        </w:rPr>
        <w:t xml:space="preserve">, </w:t>
      </w:r>
    </w:p>
    <w:p w:rsidR="00624531" w:rsidRDefault="00624531" w:rsidP="008845EE">
      <w:pPr>
        <w:numPr>
          <w:ilvl w:val="0"/>
          <w:numId w:val="13"/>
        </w:numPr>
        <w:ind w:left="714" w:hanging="357"/>
        <w:jc w:val="both"/>
        <w:rPr>
          <w:rFonts w:cs="Arial"/>
        </w:rPr>
      </w:pPr>
      <w:r>
        <w:rPr>
          <w:rFonts w:cs="Arial"/>
        </w:rPr>
        <w:t>Nemoci z povolání - tato data jsou uveřejňována pravidelně v analýze Státního zdravotního ústavu (SZÚ) „Nemoci z povolání v České republice“.</w:t>
      </w:r>
    </w:p>
    <w:p w:rsidR="00624531" w:rsidRDefault="00624531" w:rsidP="008845EE">
      <w:pPr>
        <w:jc w:val="both"/>
        <w:rPr>
          <w:rFonts w:cs="Arial"/>
        </w:rPr>
      </w:pPr>
    </w:p>
    <w:p w:rsidR="00624531" w:rsidRPr="004643A3" w:rsidRDefault="00624531" w:rsidP="008845EE">
      <w:pPr>
        <w:jc w:val="both"/>
        <w:rPr>
          <w:rFonts w:cs="Arial"/>
          <w:b/>
        </w:rPr>
      </w:pPr>
      <w:r w:rsidRPr="004643A3">
        <w:rPr>
          <w:rFonts w:cs="Arial"/>
          <w:b/>
        </w:rPr>
        <w:t>Informace o nemocenském pojištění naleznete na následujících odkazech:</w:t>
      </w:r>
    </w:p>
    <w:p w:rsidR="00624531" w:rsidRDefault="00624531" w:rsidP="008845EE">
      <w:pPr>
        <w:pStyle w:val="NormalWeb"/>
        <w:spacing w:before="0" w:beforeAutospacing="0" w:after="0" w:afterAutospacing="0" w:line="288" w:lineRule="auto"/>
        <w:jc w:val="both"/>
        <w:rPr>
          <w:rFonts w:ascii="Arial" w:hAnsi="Arial" w:cs="Arial"/>
          <w:sz w:val="20"/>
          <w:szCs w:val="20"/>
        </w:rPr>
      </w:pPr>
      <w:hyperlink r:id="rId9" w:tgtFrame="new" w:tooltip="Dávky nemocenského pojištění na stránkách čssz" w:history="1">
        <w:r w:rsidRPr="00F72D02">
          <w:rPr>
            <w:rStyle w:val="Hyperlink"/>
            <w:rFonts w:ascii="Arial" w:hAnsi="Arial" w:cs="Arial"/>
            <w:sz w:val="20"/>
            <w:szCs w:val="20"/>
          </w:rPr>
          <w:t>www.cssz.cz/cz/nemocenske-pojisteni</w:t>
        </w:r>
      </w:hyperlink>
      <w:r w:rsidRPr="000D26D0">
        <w:rPr>
          <w:rFonts w:ascii="Arial" w:hAnsi="Arial" w:cs="Arial"/>
          <w:sz w:val="20"/>
          <w:szCs w:val="20"/>
        </w:rPr>
        <w:t xml:space="preserve"> </w:t>
      </w:r>
      <w:r>
        <w:rPr>
          <w:rFonts w:ascii="Arial" w:hAnsi="Arial" w:cs="Arial"/>
          <w:sz w:val="20"/>
          <w:szCs w:val="20"/>
        </w:rPr>
        <w:t>(Česká správa sociálního zabezpečení)</w:t>
      </w:r>
    </w:p>
    <w:p w:rsidR="00624531" w:rsidRPr="004643A3" w:rsidRDefault="00624531" w:rsidP="008845EE">
      <w:pPr>
        <w:pStyle w:val="ListParagraph"/>
        <w:spacing w:line="288" w:lineRule="auto"/>
        <w:ind w:left="0"/>
        <w:jc w:val="both"/>
        <w:rPr>
          <w:rFonts w:ascii="Arial" w:hAnsi="Arial" w:cs="Arial"/>
          <w:u w:val="single"/>
        </w:rPr>
      </w:pPr>
      <w:hyperlink r:id="rId10" w:history="1">
        <w:r w:rsidRPr="004643A3">
          <w:rPr>
            <w:rStyle w:val="Hyperlink"/>
            <w:rFonts w:ascii="Arial" w:hAnsi="Arial" w:cs="Arial"/>
          </w:rPr>
          <w:t>http://www.mpsv.cz/cs/20277</w:t>
        </w:r>
      </w:hyperlink>
      <w:r w:rsidRPr="004643A3">
        <w:rPr>
          <w:rFonts w:ascii="Arial" w:hAnsi="Arial" w:cs="Arial"/>
        </w:rPr>
        <w:t xml:space="preserve"> (Ministerstvo práce a sociálních věcí)</w:t>
      </w:r>
    </w:p>
    <w:p w:rsidR="00624531" w:rsidRDefault="00624531" w:rsidP="008845EE">
      <w:pPr>
        <w:jc w:val="both"/>
        <w:rPr>
          <w:rFonts w:cs="Arial"/>
          <w:b/>
        </w:rPr>
      </w:pPr>
      <w:r w:rsidRPr="008208A1">
        <w:rPr>
          <w:rStyle w:val="Hyperlink"/>
          <w:rFonts w:cs="Arial"/>
        </w:rPr>
        <w:t>.</w:t>
      </w:r>
    </w:p>
    <w:p w:rsidR="00624531" w:rsidRDefault="00624531" w:rsidP="008845EE">
      <w:pPr>
        <w:jc w:val="both"/>
        <w:rPr>
          <w:rFonts w:cs="Arial"/>
          <w:b/>
        </w:rPr>
      </w:pPr>
    </w:p>
    <w:p w:rsidR="00624531" w:rsidRDefault="00624531" w:rsidP="008845EE">
      <w:pPr>
        <w:pStyle w:val="Heading1"/>
        <w:rPr>
          <w:rFonts w:cs="Arial"/>
          <w:sz w:val="28"/>
        </w:rPr>
      </w:pPr>
    </w:p>
    <w:p w:rsidR="00624531" w:rsidRDefault="00624531" w:rsidP="008845EE">
      <w:pPr>
        <w:pStyle w:val="Heading1"/>
        <w:rPr>
          <w:rFonts w:cs="Arial"/>
          <w:sz w:val="28"/>
        </w:rPr>
      </w:pPr>
    </w:p>
    <w:p w:rsidR="00624531" w:rsidRDefault="00624531" w:rsidP="008845EE">
      <w:pPr>
        <w:pStyle w:val="Heading1"/>
        <w:rPr>
          <w:rFonts w:cs="Arial"/>
          <w:sz w:val="28"/>
        </w:rPr>
      </w:pPr>
    </w:p>
    <w:p w:rsidR="00624531" w:rsidRDefault="00624531" w:rsidP="008845EE">
      <w:pPr>
        <w:pStyle w:val="Heading1"/>
        <w:rPr>
          <w:rFonts w:cs="Arial"/>
          <w:sz w:val="28"/>
        </w:rPr>
      </w:pPr>
    </w:p>
    <w:p w:rsidR="00624531" w:rsidRDefault="00624531" w:rsidP="008845EE">
      <w:pPr>
        <w:pStyle w:val="Heading1"/>
        <w:rPr>
          <w:rFonts w:cs="Arial"/>
          <w:sz w:val="28"/>
        </w:rPr>
      </w:pPr>
    </w:p>
    <w:p w:rsidR="00624531" w:rsidRDefault="00624531" w:rsidP="008845EE">
      <w:pPr>
        <w:pStyle w:val="Heading1"/>
        <w:rPr>
          <w:rFonts w:cs="Arial"/>
          <w:sz w:val="28"/>
        </w:rPr>
      </w:pPr>
    </w:p>
    <w:p w:rsidR="00624531" w:rsidRDefault="00624531" w:rsidP="008845EE">
      <w:pPr>
        <w:pStyle w:val="Heading1"/>
        <w:rPr>
          <w:rFonts w:cs="Arial"/>
          <w:sz w:val="28"/>
        </w:rPr>
      </w:pPr>
    </w:p>
    <w:p w:rsidR="00624531" w:rsidRDefault="00624531" w:rsidP="008845EE">
      <w:pPr>
        <w:pStyle w:val="Heading1"/>
        <w:rPr>
          <w:rFonts w:cs="Arial"/>
          <w:sz w:val="28"/>
        </w:rPr>
      </w:pPr>
    </w:p>
    <w:p w:rsidR="00624531" w:rsidRDefault="00624531" w:rsidP="008845EE">
      <w:pPr>
        <w:pStyle w:val="Heading1"/>
        <w:rPr>
          <w:rFonts w:cs="Arial"/>
          <w:sz w:val="28"/>
        </w:rPr>
      </w:pPr>
    </w:p>
    <w:p w:rsidR="00624531" w:rsidRDefault="00624531" w:rsidP="008845EE"/>
    <w:p w:rsidR="00624531" w:rsidRDefault="00624531" w:rsidP="008845EE"/>
    <w:p w:rsidR="00624531" w:rsidRPr="008845EE" w:rsidRDefault="00624531" w:rsidP="008845EE"/>
    <w:p w:rsidR="00624531" w:rsidRDefault="00624531" w:rsidP="008845EE">
      <w:pPr>
        <w:rPr>
          <w:rFonts w:eastAsia="MS Gothic" w:cs="Arial"/>
          <w:b/>
          <w:bCs/>
          <w:color w:val="BC091B"/>
          <w:sz w:val="28"/>
          <w:szCs w:val="28"/>
        </w:rPr>
      </w:pPr>
    </w:p>
    <w:p w:rsidR="00624531" w:rsidRDefault="00624531" w:rsidP="008845EE">
      <w:pPr>
        <w:rPr>
          <w:rFonts w:eastAsia="MS Gothic" w:cs="Arial"/>
          <w:b/>
          <w:bCs/>
          <w:color w:val="BC091B"/>
          <w:sz w:val="28"/>
          <w:szCs w:val="28"/>
        </w:rPr>
      </w:pPr>
    </w:p>
    <w:p w:rsidR="00624531" w:rsidRDefault="00624531" w:rsidP="008845EE">
      <w:pPr>
        <w:rPr>
          <w:rFonts w:eastAsia="MS Gothic" w:cs="Arial"/>
          <w:b/>
          <w:bCs/>
          <w:color w:val="BC091B"/>
          <w:sz w:val="28"/>
          <w:szCs w:val="28"/>
        </w:rPr>
      </w:pPr>
    </w:p>
    <w:p w:rsidR="00624531" w:rsidRPr="008845EE" w:rsidRDefault="00624531" w:rsidP="008845EE"/>
    <w:p w:rsidR="00624531" w:rsidRDefault="00624531" w:rsidP="008845EE">
      <w:pPr>
        <w:pStyle w:val="Heading1"/>
        <w:rPr>
          <w:rFonts w:cs="Arial"/>
          <w:sz w:val="28"/>
        </w:rPr>
      </w:pPr>
      <w:r>
        <w:rPr>
          <w:rFonts w:cs="Arial"/>
          <w:sz w:val="28"/>
        </w:rPr>
        <w:t xml:space="preserve">3   </w:t>
      </w:r>
      <w:r w:rsidRPr="00DA78CF">
        <w:rPr>
          <w:rFonts w:cs="Arial"/>
          <w:sz w:val="28"/>
        </w:rPr>
        <w:t>Sledované ukazatele</w:t>
      </w:r>
    </w:p>
    <w:p w:rsidR="00624531" w:rsidRPr="00861ACA" w:rsidRDefault="00624531" w:rsidP="008845EE">
      <w:pPr>
        <w:rPr>
          <w:b/>
          <w:u w:val="single"/>
        </w:rPr>
      </w:pPr>
      <w:r w:rsidRPr="00861ACA">
        <w:rPr>
          <w:b/>
          <w:u w:val="single"/>
        </w:rPr>
        <w:t xml:space="preserve">Dočasná pracovní neschopnost </w:t>
      </w:r>
      <w:r>
        <w:rPr>
          <w:b/>
          <w:u w:val="single"/>
        </w:rPr>
        <w:t xml:space="preserve">(DPN) </w:t>
      </w:r>
      <w:r w:rsidRPr="00861ACA">
        <w:rPr>
          <w:b/>
          <w:u w:val="single"/>
        </w:rPr>
        <w:t>pro:</w:t>
      </w:r>
    </w:p>
    <w:p w:rsidR="00624531" w:rsidRPr="00AF29D0" w:rsidRDefault="00624531" w:rsidP="008845EE">
      <w:pPr>
        <w:numPr>
          <w:ilvl w:val="0"/>
          <w:numId w:val="20"/>
        </w:numPr>
        <w:tabs>
          <w:tab w:val="clear" w:pos="1860"/>
          <w:tab w:val="num" w:pos="709"/>
        </w:tabs>
        <w:ind w:left="709" w:hanging="283"/>
        <w:jc w:val="both"/>
        <w:rPr>
          <w:rFonts w:cs="Arial"/>
          <w:szCs w:val="20"/>
        </w:rPr>
      </w:pPr>
      <w:r w:rsidRPr="00565C4F">
        <w:rPr>
          <w:rFonts w:cs="Arial"/>
          <w:b/>
          <w:szCs w:val="20"/>
        </w:rPr>
        <w:t>nemoc</w:t>
      </w:r>
      <w:r>
        <w:rPr>
          <w:rFonts w:cs="Arial"/>
          <w:b/>
          <w:szCs w:val="20"/>
        </w:rPr>
        <w:t xml:space="preserve"> -  </w:t>
      </w:r>
      <w:r w:rsidRPr="00565C4F">
        <w:rPr>
          <w:rFonts w:cs="Arial"/>
          <w:szCs w:val="20"/>
        </w:rPr>
        <w:t>z</w:t>
      </w:r>
      <w:r w:rsidRPr="00AF29D0">
        <w:rPr>
          <w:rFonts w:cs="Arial"/>
          <w:szCs w:val="20"/>
        </w:rPr>
        <w:t>a</w:t>
      </w:r>
      <w:r>
        <w:rPr>
          <w:rFonts w:cs="Arial"/>
          <w:szCs w:val="20"/>
        </w:rPr>
        <w:t xml:space="preserve">  </w:t>
      </w:r>
      <w:r w:rsidRPr="00AF29D0">
        <w:rPr>
          <w:rFonts w:cs="Arial"/>
          <w:szCs w:val="20"/>
        </w:rPr>
        <w:t>p</w:t>
      </w:r>
      <w:r>
        <w:rPr>
          <w:rFonts w:cs="Arial"/>
          <w:szCs w:val="20"/>
        </w:rPr>
        <w:t>ř</w:t>
      </w:r>
      <w:r w:rsidRPr="00AF29D0">
        <w:rPr>
          <w:rFonts w:cs="Arial"/>
          <w:szCs w:val="20"/>
        </w:rPr>
        <w:t xml:space="preserve">ípady </w:t>
      </w:r>
      <w:r>
        <w:rPr>
          <w:rFonts w:cs="Arial"/>
          <w:szCs w:val="20"/>
        </w:rPr>
        <w:t xml:space="preserve">dočasné </w:t>
      </w:r>
      <w:r w:rsidRPr="00AF29D0">
        <w:rPr>
          <w:rFonts w:cs="Arial"/>
          <w:szCs w:val="20"/>
        </w:rPr>
        <w:t>pracovní neschopnosti pro nemoc jsou považovány všechny nemoci a úrazy podle Mezinárodní statistické klasifikace</w:t>
      </w:r>
      <w:r>
        <w:rPr>
          <w:rFonts w:cs="Arial"/>
          <w:szCs w:val="20"/>
        </w:rPr>
        <w:t xml:space="preserve"> </w:t>
      </w:r>
      <w:r w:rsidRPr="00AF29D0">
        <w:rPr>
          <w:rFonts w:cs="Arial"/>
          <w:szCs w:val="20"/>
        </w:rPr>
        <w:t>nemocí a p</w:t>
      </w:r>
      <w:r>
        <w:rPr>
          <w:rFonts w:cs="Arial"/>
          <w:szCs w:val="20"/>
        </w:rPr>
        <w:t>ř</w:t>
      </w:r>
      <w:r w:rsidRPr="00AF29D0">
        <w:rPr>
          <w:rFonts w:cs="Arial"/>
          <w:szCs w:val="20"/>
        </w:rPr>
        <w:t>idružených zdravotních problému (MKN-10).</w:t>
      </w:r>
    </w:p>
    <w:p w:rsidR="00624531" w:rsidRPr="00F34749" w:rsidRDefault="00624531" w:rsidP="008845EE">
      <w:pPr>
        <w:numPr>
          <w:ilvl w:val="0"/>
          <w:numId w:val="20"/>
        </w:numPr>
        <w:tabs>
          <w:tab w:val="clear" w:pos="1860"/>
          <w:tab w:val="num" w:pos="709"/>
        </w:tabs>
        <w:ind w:left="709" w:hanging="283"/>
        <w:jc w:val="both"/>
        <w:rPr>
          <w:rFonts w:cs="Arial"/>
          <w:szCs w:val="20"/>
        </w:rPr>
      </w:pPr>
      <w:r>
        <w:rPr>
          <w:rFonts w:cs="Arial"/>
          <w:b/>
          <w:szCs w:val="20"/>
        </w:rPr>
        <w:t>p</w:t>
      </w:r>
      <w:r w:rsidRPr="00565C4F">
        <w:rPr>
          <w:rFonts w:cs="Arial"/>
          <w:b/>
          <w:szCs w:val="20"/>
        </w:rPr>
        <w:t>racovní úrazy</w:t>
      </w:r>
      <w:r>
        <w:rPr>
          <w:rFonts w:cs="Arial"/>
          <w:b/>
          <w:szCs w:val="20"/>
        </w:rPr>
        <w:t xml:space="preserve"> </w:t>
      </w:r>
      <w:r w:rsidRPr="00F34749">
        <w:rPr>
          <w:rFonts w:cs="Arial"/>
          <w:b/>
          <w:szCs w:val="20"/>
        </w:rPr>
        <w:t xml:space="preserve">- </w:t>
      </w:r>
      <w:r w:rsidRPr="00F34749">
        <w:rPr>
          <w:rFonts w:cs="Arial"/>
          <w:szCs w:val="20"/>
        </w:rPr>
        <w:t>pracovním úrazem se rozumí takový úraz, který vyhovuje definici uvedené v § 380 odst. 1 až 3 zákona c. 262/2006 Sb.,zákoníku práce (ZP).</w:t>
      </w:r>
    </w:p>
    <w:p w:rsidR="00624531" w:rsidRPr="00F34749" w:rsidRDefault="00624531" w:rsidP="008845EE">
      <w:pPr>
        <w:numPr>
          <w:ilvl w:val="0"/>
          <w:numId w:val="20"/>
        </w:numPr>
        <w:tabs>
          <w:tab w:val="clear" w:pos="1860"/>
          <w:tab w:val="num" w:pos="709"/>
        </w:tabs>
        <w:ind w:left="709" w:hanging="283"/>
        <w:jc w:val="both"/>
        <w:rPr>
          <w:rFonts w:cs="Arial"/>
          <w:szCs w:val="20"/>
        </w:rPr>
      </w:pPr>
      <w:r w:rsidRPr="00565C4F">
        <w:rPr>
          <w:rFonts w:cs="Arial"/>
          <w:b/>
          <w:szCs w:val="20"/>
        </w:rPr>
        <w:t>ostatní úrazy</w:t>
      </w:r>
      <w:r>
        <w:rPr>
          <w:rFonts w:cs="Arial"/>
          <w:b/>
          <w:szCs w:val="20"/>
        </w:rPr>
        <w:t xml:space="preserve"> - </w:t>
      </w:r>
      <w:r w:rsidRPr="00F34749">
        <w:rPr>
          <w:rFonts w:cs="Arial"/>
          <w:szCs w:val="20"/>
        </w:rPr>
        <w:t>kategorie „ostatní úraz“ je uvedena na „Rozhodnutí o dočasné pracovní neschopnosti“, rozhodne a vyplní do hlášení ošetřující lékař.</w:t>
      </w:r>
    </w:p>
    <w:p w:rsidR="00624531" w:rsidRDefault="00624531" w:rsidP="008845EE">
      <w:pPr>
        <w:autoSpaceDE w:val="0"/>
        <w:autoSpaceDN w:val="0"/>
        <w:adjustRightInd w:val="0"/>
        <w:spacing w:line="240" w:lineRule="auto"/>
        <w:jc w:val="both"/>
        <w:rPr>
          <w:rFonts w:cs="Arial"/>
          <w:b/>
          <w:szCs w:val="20"/>
          <w:u w:val="single"/>
        </w:rPr>
      </w:pPr>
    </w:p>
    <w:p w:rsidR="00624531" w:rsidRPr="009D600C" w:rsidRDefault="00624531" w:rsidP="008845EE">
      <w:pPr>
        <w:jc w:val="both"/>
        <w:rPr>
          <w:rFonts w:cs="Arial"/>
          <w:szCs w:val="20"/>
          <w:u w:val="single"/>
        </w:rPr>
      </w:pPr>
      <w:r w:rsidRPr="009D600C">
        <w:rPr>
          <w:rFonts w:cs="Arial"/>
          <w:b/>
          <w:szCs w:val="20"/>
          <w:u w:val="single"/>
        </w:rPr>
        <w:t>Počet osob nemocensky pojištěných</w:t>
      </w:r>
    </w:p>
    <w:p w:rsidR="00624531" w:rsidRDefault="00624531" w:rsidP="008845EE">
      <w:pPr>
        <w:ind w:left="410"/>
        <w:jc w:val="both"/>
        <w:rPr>
          <w:rFonts w:cs="Arial"/>
          <w:szCs w:val="20"/>
        </w:rPr>
      </w:pPr>
      <w:r>
        <w:rPr>
          <w:rFonts w:cs="Arial"/>
          <w:szCs w:val="20"/>
        </w:rPr>
        <w:t xml:space="preserve">Ukazatel zahrnuje průměrný počet nemocensky </w:t>
      </w:r>
      <w:r w:rsidRPr="00AF29D0">
        <w:rPr>
          <w:rFonts w:cs="Arial"/>
          <w:szCs w:val="20"/>
        </w:rPr>
        <w:t>pojišt</w:t>
      </w:r>
      <w:r>
        <w:rPr>
          <w:rFonts w:cs="Arial"/>
          <w:szCs w:val="20"/>
        </w:rPr>
        <w:t>ě</w:t>
      </w:r>
      <w:r w:rsidRPr="00AF29D0">
        <w:rPr>
          <w:rFonts w:cs="Arial"/>
          <w:szCs w:val="20"/>
        </w:rPr>
        <w:t>ných osob, jejichž okruh je uveden v § 5 zákona c. 187/2006 Sb.,</w:t>
      </w:r>
      <w:r>
        <w:rPr>
          <w:rFonts w:cs="Arial"/>
          <w:szCs w:val="20"/>
        </w:rPr>
        <w:t xml:space="preserve"> </w:t>
      </w:r>
      <w:r w:rsidRPr="00AF29D0">
        <w:rPr>
          <w:rFonts w:cs="Arial"/>
          <w:szCs w:val="20"/>
        </w:rPr>
        <w:t>o nemocenském pojišt</w:t>
      </w:r>
      <w:r>
        <w:rPr>
          <w:rFonts w:cs="Arial"/>
          <w:szCs w:val="20"/>
        </w:rPr>
        <w:t>ě</w:t>
      </w:r>
      <w:r w:rsidRPr="00AF29D0">
        <w:rPr>
          <w:rFonts w:cs="Arial"/>
          <w:szCs w:val="20"/>
        </w:rPr>
        <w:t>ní, a které jsou ú</w:t>
      </w:r>
      <w:r>
        <w:rPr>
          <w:rFonts w:cs="Arial"/>
          <w:szCs w:val="20"/>
        </w:rPr>
        <w:t>č</w:t>
      </w:r>
      <w:r w:rsidRPr="00AF29D0">
        <w:rPr>
          <w:rFonts w:cs="Arial"/>
          <w:szCs w:val="20"/>
        </w:rPr>
        <w:t>astny pojišt</w:t>
      </w:r>
      <w:r>
        <w:rPr>
          <w:rFonts w:cs="Arial"/>
          <w:szCs w:val="20"/>
        </w:rPr>
        <w:t>ě</w:t>
      </w:r>
      <w:r w:rsidRPr="00AF29D0">
        <w:rPr>
          <w:rFonts w:cs="Arial"/>
          <w:szCs w:val="20"/>
        </w:rPr>
        <w:t xml:space="preserve">ní podle § 6 až 10 citovaného zákona. </w:t>
      </w:r>
    </w:p>
    <w:p w:rsidR="00624531" w:rsidRPr="00AF29D0" w:rsidRDefault="00624531" w:rsidP="008845EE">
      <w:pPr>
        <w:ind w:left="410"/>
        <w:jc w:val="both"/>
        <w:rPr>
          <w:rFonts w:cs="Arial"/>
          <w:szCs w:val="20"/>
        </w:rPr>
      </w:pPr>
      <w:r w:rsidRPr="00AF29D0">
        <w:rPr>
          <w:rFonts w:cs="Arial"/>
          <w:szCs w:val="20"/>
        </w:rPr>
        <w:t>P</w:t>
      </w:r>
      <w:r>
        <w:rPr>
          <w:rFonts w:cs="Arial"/>
          <w:szCs w:val="20"/>
        </w:rPr>
        <w:t>ří</w:t>
      </w:r>
      <w:r w:rsidRPr="00AF29D0">
        <w:rPr>
          <w:rFonts w:cs="Arial"/>
          <w:szCs w:val="20"/>
        </w:rPr>
        <w:t xml:space="preserve">slušníci Policie </w:t>
      </w:r>
      <w:r>
        <w:rPr>
          <w:rFonts w:cs="Arial"/>
          <w:szCs w:val="20"/>
        </w:rPr>
        <w:t>Č</w:t>
      </w:r>
      <w:r w:rsidRPr="00AF29D0">
        <w:rPr>
          <w:rFonts w:cs="Arial"/>
          <w:szCs w:val="20"/>
        </w:rPr>
        <w:t>R, Hasi</w:t>
      </w:r>
      <w:r>
        <w:rPr>
          <w:rFonts w:cs="Arial"/>
          <w:szCs w:val="20"/>
        </w:rPr>
        <w:t>č</w:t>
      </w:r>
      <w:r w:rsidRPr="00AF29D0">
        <w:rPr>
          <w:rFonts w:cs="Arial"/>
          <w:szCs w:val="20"/>
        </w:rPr>
        <w:t xml:space="preserve">ského záchranného sboru </w:t>
      </w:r>
      <w:r>
        <w:rPr>
          <w:rFonts w:cs="Arial"/>
          <w:szCs w:val="20"/>
        </w:rPr>
        <w:t>Č</w:t>
      </w:r>
      <w:r w:rsidRPr="00AF29D0">
        <w:rPr>
          <w:rFonts w:cs="Arial"/>
          <w:szCs w:val="20"/>
        </w:rPr>
        <w:t xml:space="preserve">R, Celní správy </w:t>
      </w:r>
      <w:r>
        <w:rPr>
          <w:rFonts w:cs="Arial"/>
          <w:szCs w:val="20"/>
        </w:rPr>
        <w:t>Č</w:t>
      </w:r>
      <w:r w:rsidRPr="00AF29D0">
        <w:rPr>
          <w:rFonts w:cs="Arial"/>
          <w:szCs w:val="20"/>
        </w:rPr>
        <w:t>R, V</w:t>
      </w:r>
      <w:r>
        <w:rPr>
          <w:rFonts w:cs="Arial"/>
          <w:szCs w:val="20"/>
        </w:rPr>
        <w:t>ě</w:t>
      </w:r>
      <w:r w:rsidRPr="00AF29D0">
        <w:rPr>
          <w:rFonts w:cs="Arial"/>
          <w:szCs w:val="20"/>
        </w:rPr>
        <w:t>ze</w:t>
      </w:r>
      <w:r>
        <w:rPr>
          <w:rFonts w:cs="Arial"/>
          <w:szCs w:val="20"/>
        </w:rPr>
        <w:t>ň</w:t>
      </w:r>
      <w:r w:rsidRPr="00AF29D0">
        <w:rPr>
          <w:rFonts w:cs="Arial"/>
          <w:szCs w:val="20"/>
        </w:rPr>
        <w:t xml:space="preserve">ské služby </w:t>
      </w:r>
      <w:r>
        <w:rPr>
          <w:rFonts w:cs="Arial"/>
          <w:szCs w:val="20"/>
        </w:rPr>
        <w:t>Č</w:t>
      </w:r>
      <w:r w:rsidRPr="00AF29D0">
        <w:rPr>
          <w:rFonts w:cs="Arial"/>
          <w:szCs w:val="20"/>
        </w:rPr>
        <w:t>R, Bezpe</w:t>
      </w:r>
      <w:r>
        <w:rPr>
          <w:rFonts w:cs="Arial"/>
          <w:szCs w:val="20"/>
        </w:rPr>
        <w:t>č</w:t>
      </w:r>
      <w:r w:rsidRPr="00AF29D0">
        <w:rPr>
          <w:rFonts w:cs="Arial"/>
          <w:szCs w:val="20"/>
        </w:rPr>
        <w:t>nostní informa</w:t>
      </w:r>
      <w:r>
        <w:rPr>
          <w:rFonts w:cs="Arial"/>
          <w:szCs w:val="20"/>
        </w:rPr>
        <w:t>č</w:t>
      </w:r>
      <w:r w:rsidRPr="00AF29D0">
        <w:rPr>
          <w:rFonts w:cs="Arial"/>
          <w:szCs w:val="20"/>
        </w:rPr>
        <w:t>ní služby a Ú</w:t>
      </w:r>
      <w:r>
        <w:rPr>
          <w:rFonts w:cs="Arial"/>
          <w:szCs w:val="20"/>
        </w:rPr>
        <w:t>řa</w:t>
      </w:r>
      <w:r w:rsidRPr="00AF29D0">
        <w:rPr>
          <w:rFonts w:cs="Arial"/>
          <w:szCs w:val="20"/>
        </w:rPr>
        <w:t>du pro zahrani</w:t>
      </w:r>
      <w:r>
        <w:rPr>
          <w:rFonts w:cs="Arial"/>
          <w:szCs w:val="20"/>
        </w:rPr>
        <w:t>č</w:t>
      </w:r>
      <w:r w:rsidRPr="00AF29D0">
        <w:rPr>
          <w:rFonts w:cs="Arial"/>
          <w:szCs w:val="20"/>
        </w:rPr>
        <w:t xml:space="preserve">ní styky a informace a vojáci z povolání </w:t>
      </w:r>
      <w:r w:rsidRPr="005E6166">
        <w:rPr>
          <w:rFonts w:cs="Arial"/>
          <w:szCs w:val="20"/>
        </w:rPr>
        <w:t xml:space="preserve">(§ 5 písm. a) bod 2 zákona c. 187/2006 Sb.) </w:t>
      </w:r>
      <w:r w:rsidRPr="00AF29D0">
        <w:rPr>
          <w:rFonts w:cs="Arial"/>
          <w:szCs w:val="20"/>
        </w:rPr>
        <w:t>se pro ú</w:t>
      </w:r>
      <w:r>
        <w:rPr>
          <w:rFonts w:cs="Arial"/>
          <w:szCs w:val="20"/>
        </w:rPr>
        <w:t>č</w:t>
      </w:r>
      <w:r w:rsidRPr="00AF29D0">
        <w:rPr>
          <w:rFonts w:cs="Arial"/>
          <w:szCs w:val="20"/>
        </w:rPr>
        <w:t xml:space="preserve">ely </w:t>
      </w:r>
      <w:r>
        <w:rPr>
          <w:rFonts w:cs="Arial"/>
          <w:szCs w:val="20"/>
        </w:rPr>
        <w:t>této statistiky nesledují.</w:t>
      </w:r>
      <w:r w:rsidRPr="00AF29D0">
        <w:rPr>
          <w:rFonts w:cs="Arial"/>
          <w:szCs w:val="20"/>
        </w:rPr>
        <w:t xml:space="preserve"> Pr</w:t>
      </w:r>
      <w:r>
        <w:rPr>
          <w:rFonts w:cs="Arial"/>
          <w:szCs w:val="20"/>
        </w:rPr>
        <w:t>ů</w:t>
      </w:r>
      <w:r w:rsidRPr="00AF29D0">
        <w:rPr>
          <w:rFonts w:cs="Arial"/>
          <w:szCs w:val="20"/>
        </w:rPr>
        <w:t>m</w:t>
      </w:r>
      <w:r>
        <w:rPr>
          <w:rFonts w:cs="Arial"/>
          <w:szCs w:val="20"/>
        </w:rPr>
        <w:t>ě</w:t>
      </w:r>
      <w:r w:rsidRPr="00AF29D0">
        <w:rPr>
          <w:rFonts w:cs="Arial"/>
          <w:szCs w:val="20"/>
        </w:rPr>
        <w:t>rný po</w:t>
      </w:r>
      <w:r>
        <w:rPr>
          <w:rFonts w:cs="Arial"/>
          <w:szCs w:val="20"/>
        </w:rPr>
        <w:t>č</w:t>
      </w:r>
      <w:r w:rsidRPr="00AF29D0">
        <w:rPr>
          <w:rFonts w:cs="Arial"/>
          <w:szCs w:val="20"/>
        </w:rPr>
        <w:t>et nemocensky pojišt</w:t>
      </w:r>
      <w:r>
        <w:rPr>
          <w:rFonts w:cs="Arial"/>
          <w:szCs w:val="20"/>
        </w:rPr>
        <w:t>ě</w:t>
      </w:r>
      <w:r w:rsidRPr="00AF29D0">
        <w:rPr>
          <w:rFonts w:cs="Arial"/>
          <w:szCs w:val="20"/>
        </w:rPr>
        <w:t>ných osob se vypo</w:t>
      </w:r>
      <w:r>
        <w:rPr>
          <w:rFonts w:cs="Arial"/>
          <w:szCs w:val="20"/>
        </w:rPr>
        <w:t>č</w:t>
      </w:r>
      <w:r w:rsidRPr="00AF29D0">
        <w:rPr>
          <w:rFonts w:cs="Arial"/>
          <w:szCs w:val="20"/>
        </w:rPr>
        <w:t>ítává jako aritmetický pr</w:t>
      </w:r>
      <w:r>
        <w:rPr>
          <w:rFonts w:cs="Arial"/>
          <w:szCs w:val="20"/>
        </w:rPr>
        <w:t>ů</w:t>
      </w:r>
      <w:r w:rsidRPr="00AF29D0">
        <w:rPr>
          <w:rFonts w:cs="Arial"/>
          <w:szCs w:val="20"/>
        </w:rPr>
        <w:t>m</w:t>
      </w:r>
      <w:r>
        <w:rPr>
          <w:rFonts w:cs="Arial"/>
          <w:szCs w:val="20"/>
        </w:rPr>
        <w:t>ě</w:t>
      </w:r>
      <w:r w:rsidRPr="00AF29D0">
        <w:rPr>
          <w:rFonts w:cs="Arial"/>
          <w:szCs w:val="20"/>
        </w:rPr>
        <w:t>r pr</w:t>
      </w:r>
      <w:r>
        <w:rPr>
          <w:rFonts w:cs="Arial"/>
          <w:szCs w:val="20"/>
        </w:rPr>
        <w:t>ů</w:t>
      </w:r>
      <w:r w:rsidRPr="00AF29D0">
        <w:rPr>
          <w:rFonts w:cs="Arial"/>
          <w:szCs w:val="20"/>
        </w:rPr>
        <w:t>m</w:t>
      </w:r>
      <w:r>
        <w:rPr>
          <w:rFonts w:cs="Arial"/>
          <w:szCs w:val="20"/>
        </w:rPr>
        <w:t>ě</w:t>
      </w:r>
      <w:r w:rsidRPr="00AF29D0">
        <w:rPr>
          <w:rFonts w:cs="Arial"/>
          <w:szCs w:val="20"/>
        </w:rPr>
        <w:t>rného poctu nemocensky pojišt</w:t>
      </w:r>
      <w:r>
        <w:rPr>
          <w:rFonts w:cs="Arial"/>
          <w:szCs w:val="20"/>
        </w:rPr>
        <w:t>ě</w:t>
      </w:r>
      <w:r w:rsidRPr="00AF29D0">
        <w:rPr>
          <w:rFonts w:cs="Arial"/>
          <w:szCs w:val="20"/>
        </w:rPr>
        <w:t>ných osob za jednotlivé m</w:t>
      </w:r>
      <w:r>
        <w:rPr>
          <w:rFonts w:cs="Arial"/>
          <w:szCs w:val="20"/>
        </w:rPr>
        <w:t>ě</w:t>
      </w:r>
      <w:r w:rsidRPr="00AF29D0">
        <w:rPr>
          <w:rFonts w:cs="Arial"/>
          <w:szCs w:val="20"/>
        </w:rPr>
        <w:t>síce. Pr</w:t>
      </w:r>
      <w:r>
        <w:rPr>
          <w:rFonts w:cs="Arial"/>
          <w:szCs w:val="20"/>
        </w:rPr>
        <w:t>ů</w:t>
      </w:r>
      <w:r w:rsidRPr="00AF29D0">
        <w:rPr>
          <w:rFonts w:cs="Arial"/>
          <w:szCs w:val="20"/>
        </w:rPr>
        <w:t>m</w:t>
      </w:r>
      <w:r>
        <w:rPr>
          <w:rFonts w:cs="Arial"/>
          <w:szCs w:val="20"/>
        </w:rPr>
        <w:t>ě</w:t>
      </w:r>
      <w:r w:rsidRPr="00AF29D0">
        <w:rPr>
          <w:rFonts w:cs="Arial"/>
          <w:szCs w:val="20"/>
        </w:rPr>
        <w:t>rný po</w:t>
      </w:r>
      <w:r>
        <w:rPr>
          <w:rFonts w:cs="Arial"/>
          <w:szCs w:val="20"/>
        </w:rPr>
        <w:t>č</w:t>
      </w:r>
      <w:r w:rsidRPr="00AF29D0">
        <w:rPr>
          <w:rFonts w:cs="Arial"/>
          <w:szCs w:val="20"/>
        </w:rPr>
        <w:t>et nemocensky pojišt</w:t>
      </w:r>
      <w:r>
        <w:rPr>
          <w:rFonts w:cs="Arial"/>
          <w:szCs w:val="20"/>
        </w:rPr>
        <w:t>ě</w:t>
      </w:r>
      <w:r w:rsidRPr="00AF29D0">
        <w:rPr>
          <w:rFonts w:cs="Arial"/>
          <w:szCs w:val="20"/>
        </w:rPr>
        <w:t>ných osob za m</w:t>
      </w:r>
      <w:r>
        <w:rPr>
          <w:rFonts w:cs="Arial"/>
          <w:szCs w:val="20"/>
        </w:rPr>
        <w:t>ě</w:t>
      </w:r>
      <w:r w:rsidRPr="00AF29D0">
        <w:rPr>
          <w:rFonts w:cs="Arial"/>
          <w:szCs w:val="20"/>
        </w:rPr>
        <w:t>síc se rovná sou</w:t>
      </w:r>
      <w:r>
        <w:rPr>
          <w:rFonts w:cs="Arial"/>
          <w:szCs w:val="20"/>
        </w:rPr>
        <w:t>č</w:t>
      </w:r>
      <w:r w:rsidRPr="00AF29D0">
        <w:rPr>
          <w:rFonts w:cs="Arial"/>
          <w:szCs w:val="20"/>
        </w:rPr>
        <w:t>tu po</w:t>
      </w:r>
      <w:r>
        <w:rPr>
          <w:rFonts w:cs="Arial"/>
          <w:szCs w:val="20"/>
        </w:rPr>
        <w:t>č</w:t>
      </w:r>
      <w:r w:rsidRPr="00AF29D0">
        <w:rPr>
          <w:rFonts w:cs="Arial"/>
          <w:szCs w:val="20"/>
        </w:rPr>
        <w:t>tu nemocensky pojišt</w:t>
      </w:r>
      <w:r>
        <w:rPr>
          <w:rFonts w:cs="Arial"/>
          <w:szCs w:val="20"/>
        </w:rPr>
        <w:t>ě</w:t>
      </w:r>
      <w:r w:rsidRPr="00AF29D0">
        <w:rPr>
          <w:rFonts w:cs="Arial"/>
          <w:szCs w:val="20"/>
        </w:rPr>
        <w:t>ných osob v jednotlivých dnech m</w:t>
      </w:r>
      <w:r>
        <w:rPr>
          <w:rFonts w:cs="Arial"/>
          <w:szCs w:val="20"/>
        </w:rPr>
        <w:t>ě</w:t>
      </w:r>
      <w:r w:rsidRPr="00AF29D0">
        <w:rPr>
          <w:rFonts w:cs="Arial"/>
          <w:szCs w:val="20"/>
        </w:rPr>
        <w:t>síce sledovaného období (v</w:t>
      </w:r>
      <w:r>
        <w:rPr>
          <w:rFonts w:cs="Arial"/>
          <w:szCs w:val="20"/>
        </w:rPr>
        <w:t>č</w:t>
      </w:r>
      <w:r w:rsidRPr="00AF29D0">
        <w:rPr>
          <w:rFonts w:cs="Arial"/>
          <w:szCs w:val="20"/>
        </w:rPr>
        <w:t>etn</w:t>
      </w:r>
      <w:r>
        <w:rPr>
          <w:rFonts w:cs="Arial"/>
          <w:szCs w:val="20"/>
        </w:rPr>
        <w:t>ě</w:t>
      </w:r>
      <w:r w:rsidRPr="00AF29D0">
        <w:rPr>
          <w:rFonts w:cs="Arial"/>
          <w:szCs w:val="20"/>
        </w:rPr>
        <w:t xml:space="preserve"> dnu pracovního klidu), který se d</w:t>
      </w:r>
      <w:r>
        <w:rPr>
          <w:rFonts w:cs="Arial"/>
          <w:szCs w:val="20"/>
        </w:rPr>
        <w:t>ě</w:t>
      </w:r>
      <w:r w:rsidRPr="00AF29D0">
        <w:rPr>
          <w:rFonts w:cs="Arial"/>
          <w:szCs w:val="20"/>
        </w:rPr>
        <w:t>lí plným po</w:t>
      </w:r>
      <w:r>
        <w:rPr>
          <w:rFonts w:cs="Arial"/>
          <w:szCs w:val="20"/>
        </w:rPr>
        <w:t>č</w:t>
      </w:r>
      <w:r w:rsidRPr="00AF29D0">
        <w:rPr>
          <w:rFonts w:cs="Arial"/>
          <w:szCs w:val="20"/>
        </w:rPr>
        <w:t>tem kalendá</w:t>
      </w:r>
      <w:r>
        <w:rPr>
          <w:rFonts w:cs="Arial"/>
          <w:szCs w:val="20"/>
        </w:rPr>
        <w:t>ř</w:t>
      </w:r>
      <w:r w:rsidRPr="00AF29D0">
        <w:rPr>
          <w:rFonts w:cs="Arial"/>
          <w:szCs w:val="20"/>
        </w:rPr>
        <w:t>ních dnu p</w:t>
      </w:r>
      <w:r>
        <w:rPr>
          <w:rFonts w:cs="Arial"/>
          <w:szCs w:val="20"/>
        </w:rPr>
        <w:t>ř</w:t>
      </w:r>
      <w:r w:rsidRPr="00AF29D0">
        <w:rPr>
          <w:rFonts w:cs="Arial"/>
          <w:szCs w:val="20"/>
        </w:rPr>
        <w:t>íslušného m</w:t>
      </w:r>
      <w:r>
        <w:rPr>
          <w:rFonts w:cs="Arial"/>
          <w:szCs w:val="20"/>
        </w:rPr>
        <w:t>ě</w:t>
      </w:r>
      <w:r w:rsidRPr="00AF29D0">
        <w:rPr>
          <w:rFonts w:cs="Arial"/>
          <w:szCs w:val="20"/>
        </w:rPr>
        <w:t xml:space="preserve">síce. </w:t>
      </w:r>
    </w:p>
    <w:p w:rsidR="00624531" w:rsidRDefault="00624531" w:rsidP="008845EE">
      <w:pPr>
        <w:autoSpaceDE w:val="0"/>
        <w:autoSpaceDN w:val="0"/>
        <w:adjustRightInd w:val="0"/>
        <w:spacing w:line="240" w:lineRule="auto"/>
        <w:jc w:val="both"/>
        <w:rPr>
          <w:rFonts w:cs="Arial"/>
          <w:szCs w:val="20"/>
        </w:rPr>
      </w:pPr>
    </w:p>
    <w:p w:rsidR="00624531" w:rsidRPr="009D600C" w:rsidRDefault="00624531" w:rsidP="008845EE">
      <w:pPr>
        <w:autoSpaceDE w:val="0"/>
        <w:autoSpaceDN w:val="0"/>
        <w:adjustRightInd w:val="0"/>
        <w:spacing w:line="240" w:lineRule="auto"/>
        <w:jc w:val="both"/>
        <w:rPr>
          <w:rFonts w:cs="Arial"/>
          <w:b/>
          <w:szCs w:val="20"/>
          <w:u w:val="single"/>
        </w:rPr>
      </w:pPr>
      <w:r w:rsidRPr="009D600C">
        <w:rPr>
          <w:rFonts w:cs="Arial"/>
          <w:b/>
          <w:szCs w:val="20"/>
          <w:u w:val="single"/>
        </w:rPr>
        <w:t>Počet pracovně právních pojistných vztahů</w:t>
      </w:r>
    </w:p>
    <w:p w:rsidR="00624531" w:rsidRDefault="00624531" w:rsidP="008845EE">
      <w:pPr>
        <w:ind w:left="410"/>
        <w:rPr>
          <w:rFonts w:cs="Arial"/>
          <w:szCs w:val="20"/>
        </w:rPr>
      </w:pPr>
      <w:r w:rsidRPr="003000FF">
        <w:rPr>
          <w:rFonts w:cs="Arial"/>
          <w:szCs w:val="20"/>
        </w:rPr>
        <w:t>Ukazatel obsahuje po</w:t>
      </w:r>
      <w:r>
        <w:rPr>
          <w:rFonts w:cs="Arial"/>
          <w:szCs w:val="20"/>
        </w:rPr>
        <w:t>č</w:t>
      </w:r>
      <w:r w:rsidRPr="003000FF">
        <w:rPr>
          <w:rFonts w:cs="Arial"/>
          <w:szCs w:val="20"/>
        </w:rPr>
        <w:t>et pracovn</w:t>
      </w:r>
      <w:r>
        <w:rPr>
          <w:rFonts w:cs="Arial"/>
          <w:szCs w:val="20"/>
        </w:rPr>
        <w:t>ě</w:t>
      </w:r>
      <w:r w:rsidRPr="003000FF">
        <w:rPr>
          <w:rFonts w:cs="Arial"/>
          <w:szCs w:val="20"/>
        </w:rPr>
        <w:t xml:space="preserve"> právních pojistných vztah</w:t>
      </w:r>
      <w:r>
        <w:rPr>
          <w:rFonts w:cs="Arial"/>
          <w:szCs w:val="20"/>
        </w:rPr>
        <w:t>ů</w:t>
      </w:r>
      <w:r w:rsidRPr="003000FF">
        <w:rPr>
          <w:rFonts w:cs="Arial"/>
          <w:szCs w:val="20"/>
        </w:rPr>
        <w:t xml:space="preserve"> v</w:t>
      </w:r>
      <w:r>
        <w:rPr>
          <w:rFonts w:cs="Arial"/>
          <w:szCs w:val="20"/>
        </w:rPr>
        <w:t>č</w:t>
      </w:r>
      <w:r w:rsidRPr="003000FF">
        <w:rPr>
          <w:rFonts w:cs="Arial"/>
          <w:szCs w:val="20"/>
        </w:rPr>
        <w:t>etn</w:t>
      </w:r>
      <w:r>
        <w:rPr>
          <w:rFonts w:cs="Arial"/>
          <w:szCs w:val="20"/>
        </w:rPr>
        <w:t>ě</w:t>
      </w:r>
      <w:r w:rsidRPr="003000FF">
        <w:rPr>
          <w:rFonts w:cs="Arial"/>
          <w:szCs w:val="20"/>
        </w:rPr>
        <w:t xml:space="preserve"> zam</w:t>
      </w:r>
      <w:r>
        <w:rPr>
          <w:rFonts w:cs="Arial"/>
          <w:szCs w:val="20"/>
        </w:rPr>
        <w:t>ě</w:t>
      </w:r>
      <w:r w:rsidRPr="003000FF">
        <w:rPr>
          <w:rFonts w:cs="Arial"/>
          <w:szCs w:val="20"/>
        </w:rPr>
        <w:t>stnání malého rozsahu</w:t>
      </w:r>
      <w:r>
        <w:rPr>
          <w:rFonts w:cs="Arial"/>
          <w:szCs w:val="20"/>
        </w:rPr>
        <w:t xml:space="preserve">. </w:t>
      </w:r>
      <w:r w:rsidRPr="003000FF">
        <w:rPr>
          <w:rFonts w:cs="Arial"/>
          <w:szCs w:val="20"/>
        </w:rPr>
        <w:t xml:space="preserve"> </w:t>
      </w:r>
    </w:p>
    <w:p w:rsidR="00624531" w:rsidRPr="003000FF" w:rsidRDefault="00624531" w:rsidP="008845EE">
      <w:pPr>
        <w:ind w:left="410"/>
        <w:rPr>
          <w:rFonts w:cs="Arial"/>
          <w:szCs w:val="20"/>
        </w:rPr>
      </w:pPr>
    </w:p>
    <w:p w:rsidR="00624531" w:rsidRPr="009D600C" w:rsidRDefault="00624531" w:rsidP="008845EE">
      <w:pPr>
        <w:autoSpaceDE w:val="0"/>
        <w:autoSpaceDN w:val="0"/>
        <w:adjustRightInd w:val="0"/>
        <w:spacing w:line="240" w:lineRule="auto"/>
        <w:jc w:val="both"/>
        <w:rPr>
          <w:rFonts w:cs="Arial"/>
          <w:b/>
          <w:szCs w:val="20"/>
          <w:u w:val="single"/>
        </w:rPr>
      </w:pPr>
      <w:r w:rsidRPr="009D600C">
        <w:rPr>
          <w:rFonts w:cs="Arial"/>
          <w:b/>
          <w:szCs w:val="20"/>
          <w:u w:val="single"/>
        </w:rPr>
        <w:t xml:space="preserve">Počet nově hlášených případů </w:t>
      </w:r>
      <w:r>
        <w:rPr>
          <w:rFonts w:cs="Arial"/>
          <w:b/>
          <w:szCs w:val="20"/>
          <w:u w:val="single"/>
        </w:rPr>
        <w:t xml:space="preserve">dočasné </w:t>
      </w:r>
      <w:r w:rsidRPr="009D600C">
        <w:rPr>
          <w:rFonts w:cs="Arial"/>
          <w:b/>
          <w:szCs w:val="20"/>
          <w:u w:val="single"/>
        </w:rPr>
        <w:t xml:space="preserve">pracovní neschopnosti celkem </w:t>
      </w:r>
    </w:p>
    <w:p w:rsidR="00624531" w:rsidRDefault="00624531" w:rsidP="008845EE">
      <w:pPr>
        <w:ind w:left="410"/>
        <w:jc w:val="both"/>
        <w:rPr>
          <w:rFonts w:cs="Arial"/>
          <w:szCs w:val="20"/>
        </w:rPr>
      </w:pPr>
      <w:r w:rsidRPr="00AF29D0">
        <w:rPr>
          <w:rFonts w:cs="Arial"/>
          <w:szCs w:val="20"/>
        </w:rPr>
        <w:t>Vykazují se nov</w:t>
      </w:r>
      <w:r>
        <w:rPr>
          <w:rFonts w:cs="Arial"/>
          <w:szCs w:val="20"/>
        </w:rPr>
        <w:t>ě</w:t>
      </w:r>
      <w:r w:rsidRPr="00AF29D0">
        <w:rPr>
          <w:rFonts w:cs="Arial"/>
          <w:szCs w:val="20"/>
        </w:rPr>
        <w:t xml:space="preserve"> hlášené p</w:t>
      </w:r>
      <w:r>
        <w:rPr>
          <w:rFonts w:cs="Arial"/>
          <w:szCs w:val="20"/>
        </w:rPr>
        <w:t>ř</w:t>
      </w:r>
      <w:r w:rsidRPr="00AF29D0">
        <w:rPr>
          <w:rFonts w:cs="Arial"/>
          <w:szCs w:val="20"/>
        </w:rPr>
        <w:t>ípady pracovní</w:t>
      </w:r>
      <w:r>
        <w:rPr>
          <w:rFonts w:cs="Arial"/>
          <w:szCs w:val="20"/>
        </w:rPr>
        <w:t xml:space="preserve"> </w:t>
      </w:r>
      <w:r w:rsidRPr="00AF29D0">
        <w:rPr>
          <w:rFonts w:cs="Arial"/>
          <w:szCs w:val="20"/>
        </w:rPr>
        <w:t>neschopnosti ve sledovaném období na základ</w:t>
      </w:r>
      <w:r>
        <w:rPr>
          <w:rFonts w:cs="Arial"/>
          <w:szCs w:val="20"/>
        </w:rPr>
        <w:t>ě</w:t>
      </w:r>
      <w:r w:rsidRPr="00AF29D0">
        <w:rPr>
          <w:rFonts w:cs="Arial"/>
          <w:szCs w:val="20"/>
        </w:rPr>
        <w:t xml:space="preserve"> hlášení o </w:t>
      </w:r>
      <w:r>
        <w:rPr>
          <w:rFonts w:cs="Arial"/>
          <w:szCs w:val="20"/>
        </w:rPr>
        <w:t>vzniku</w:t>
      </w:r>
      <w:r w:rsidRPr="00AF29D0">
        <w:rPr>
          <w:rFonts w:cs="Arial"/>
          <w:szCs w:val="20"/>
        </w:rPr>
        <w:t xml:space="preserve"> pracovní neschopnosti nemocensky pojišt</w:t>
      </w:r>
      <w:r>
        <w:rPr>
          <w:rFonts w:cs="Arial"/>
          <w:szCs w:val="20"/>
        </w:rPr>
        <w:t>ě</w:t>
      </w:r>
      <w:r w:rsidRPr="00AF29D0">
        <w:rPr>
          <w:rFonts w:cs="Arial"/>
          <w:szCs w:val="20"/>
        </w:rPr>
        <w:t xml:space="preserve">ných osob. </w:t>
      </w:r>
    </w:p>
    <w:p w:rsidR="00624531" w:rsidRPr="002C118D" w:rsidRDefault="00624531" w:rsidP="008845EE">
      <w:pPr>
        <w:ind w:left="410"/>
        <w:jc w:val="both"/>
        <w:rPr>
          <w:rFonts w:cs="Arial"/>
          <w:b/>
          <w:szCs w:val="20"/>
          <w:u w:val="single"/>
        </w:rPr>
      </w:pPr>
    </w:p>
    <w:p w:rsidR="00624531" w:rsidRPr="009D600C" w:rsidRDefault="00624531" w:rsidP="008845EE">
      <w:pPr>
        <w:autoSpaceDE w:val="0"/>
        <w:autoSpaceDN w:val="0"/>
        <w:adjustRightInd w:val="0"/>
        <w:spacing w:line="240" w:lineRule="auto"/>
        <w:jc w:val="both"/>
        <w:rPr>
          <w:rFonts w:cs="Arial"/>
          <w:b/>
          <w:szCs w:val="20"/>
          <w:u w:val="single"/>
        </w:rPr>
      </w:pPr>
      <w:r w:rsidRPr="002C118D">
        <w:rPr>
          <w:rFonts w:cs="Arial"/>
          <w:b/>
          <w:szCs w:val="20"/>
          <w:u w:val="single"/>
        </w:rPr>
        <w:t>Počet kalendář</w:t>
      </w:r>
      <w:r w:rsidRPr="009D600C">
        <w:rPr>
          <w:rFonts w:cs="Arial"/>
          <w:b/>
          <w:szCs w:val="20"/>
          <w:u w:val="single"/>
        </w:rPr>
        <w:t xml:space="preserve">ních dnů </w:t>
      </w:r>
      <w:r>
        <w:rPr>
          <w:rFonts w:cs="Arial"/>
          <w:b/>
          <w:szCs w:val="20"/>
          <w:u w:val="single"/>
        </w:rPr>
        <w:t xml:space="preserve">dočasné pracovní neschopnosti </w:t>
      </w:r>
      <w:r w:rsidRPr="009D600C">
        <w:rPr>
          <w:rFonts w:cs="Arial"/>
          <w:b/>
          <w:szCs w:val="20"/>
          <w:u w:val="single"/>
        </w:rPr>
        <w:t>celkem</w:t>
      </w:r>
    </w:p>
    <w:p w:rsidR="00624531" w:rsidRPr="00334C19" w:rsidRDefault="00624531" w:rsidP="008845EE">
      <w:pPr>
        <w:ind w:left="410"/>
        <w:jc w:val="both"/>
        <w:rPr>
          <w:rFonts w:cs="Arial"/>
          <w:szCs w:val="20"/>
        </w:rPr>
      </w:pPr>
      <w:r w:rsidRPr="00AF29D0">
        <w:rPr>
          <w:rFonts w:cs="Arial"/>
          <w:szCs w:val="20"/>
        </w:rPr>
        <w:t>Vykazuje se po</w:t>
      </w:r>
      <w:r>
        <w:rPr>
          <w:rFonts w:cs="Arial"/>
          <w:szCs w:val="20"/>
        </w:rPr>
        <w:t>č</w:t>
      </w:r>
      <w:r w:rsidRPr="00AF29D0">
        <w:rPr>
          <w:rFonts w:cs="Arial"/>
          <w:szCs w:val="20"/>
        </w:rPr>
        <w:t>et kalendá</w:t>
      </w:r>
      <w:r>
        <w:rPr>
          <w:rFonts w:cs="Arial"/>
          <w:szCs w:val="20"/>
        </w:rPr>
        <w:t>ř</w:t>
      </w:r>
      <w:r w:rsidRPr="00AF29D0">
        <w:rPr>
          <w:rFonts w:cs="Arial"/>
          <w:szCs w:val="20"/>
        </w:rPr>
        <w:t>ních dn</w:t>
      </w:r>
      <w:r>
        <w:rPr>
          <w:rFonts w:cs="Arial"/>
          <w:szCs w:val="20"/>
        </w:rPr>
        <w:t>ů</w:t>
      </w:r>
      <w:r w:rsidRPr="00AF29D0">
        <w:rPr>
          <w:rFonts w:cs="Arial"/>
          <w:szCs w:val="20"/>
        </w:rPr>
        <w:t>, po které byli nemocensky pojišt</w:t>
      </w:r>
      <w:r>
        <w:rPr>
          <w:rFonts w:cs="Arial"/>
          <w:szCs w:val="20"/>
        </w:rPr>
        <w:t>ě</w:t>
      </w:r>
      <w:r w:rsidRPr="00AF29D0">
        <w:rPr>
          <w:rFonts w:cs="Arial"/>
          <w:szCs w:val="20"/>
        </w:rPr>
        <w:t>ní zam</w:t>
      </w:r>
      <w:r>
        <w:rPr>
          <w:rFonts w:cs="Arial"/>
          <w:szCs w:val="20"/>
        </w:rPr>
        <w:t>ě</w:t>
      </w:r>
      <w:r w:rsidRPr="00AF29D0">
        <w:rPr>
          <w:rFonts w:cs="Arial"/>
          <w:szCs w:val="20"/>
        </w:rPr>
        <w:t>stnanci práce neschopni z d</w:t>
      </w:r>
      <w:r>
        <w:rPr>
          <w:rFonts w:cs="Arial"/>
          <w:szCs w:val="20"/>
        </w:rPr>
        <w:t>ů</w:t>
      </w:r>
      <w:r w:rsidRPr="00AF29D0">
        <w:rPr>
          <w:rFonts w:cs="Arial"/>
          <w:szCs w:val="20"/>
        </w:rPr>
        <w:t>vodu uvedených</w:t>
      </w:r>
      <w:r>
        <w:rPr>
          <w:rFonts w:cs="Arial"/>
          <w:szCs w:val="20"/>
        </w:rPr>
        <w:t xml:space="preserve"> </w:t>
      </w:r>
      <w:r w:rsidRPr="00AF29D0">
        <w:rPr>
          <w:rFonts w:cs="Arial"/>
          <w:szCs w:val="20"/>
        </w:rPr>
        <w:t>p</w:t>
      </w:r>
      <w:r>
        <w:rPr>
          <w:rFonts w:cs="Arial"/>
          <w:szCs w:val="20"/>
        </w:rPr>
        <w:t>ř</w:t>
      </w:r>
      <w:r w:rsidRPr="00AF29D0">
        <w:rPr>
          <w:rFonts w:cs="Arial"/>
          <w:szCs w:val="20"/>
        </w:rPr>
        <w:t>í</w:t>
      </w:r>
      <w:r>
        <w:rPr>
          <w:rFonts w:cs="Arial"/>
          <w:szCs w:val="20"/>
        </w:rPr>
        <w:t>č</w:t>
      </w:r>
      <w:r w:rsidRPr="00AF29D0">
        <w:rPr>
          <w:rFonts w:cs="Arial"/>
          <w:szCs w:val="20"/>
        </w:rPr>
        <w:t>in. Kalendá</w:t>
      </w:r>
      <w:r>
        <w:rPr>
          <w:rFonts w:cs="Arial"/>
          <w:szCs w:val="20"/>
        </w:rPr>
        <w:t>ř</w:t>
      </w:r>
      <w:r w:rsidRPr="00AF29D0">
        <w:rPr>
          <w:rFonts w:cs="Arial"/>
          <w:szCs w:val="20"/>
        </w:rPr>
        <w:t xml:space="preserve">ní dny </w:t>
      </w:r>
      <w:r>
        <w:rPr>
          <w:rFonts w:cs="Arial"/>
          <w:szCs w:val="20"/>
        </w:rPr>
        <w:t>p</w:t>
      </w:r>
      <w:r w:rsidRPr="00AF29D0">
        <w:rPr>
          <w:rFonts w:cs="Arial"/>
          <w:szCs w:val="20"/>
        </w:rPr>
        <w:t>racovní neschopnosti se zjistí na základ</w:t>
      </w:r>
      <w:r>
        <w:rPr>
          <w:rFonts w:cs="Arial"/>
          <w:szCs w:val="20"/>
        </w:rPr>
        <w:t>ě</w:t>
      </w:r>
      <w:r w:rsidRPr="00AF29D0">
        <w:rPr>
          <w:rFonts w:cs="Arial"/>
          <w:szCs w:val="20"/>
        </w:rPr>
        <w:t xml:space="preserve"> hlášení o </w:t>
      </w:r>
      <w:r>
        <w:rPr>
          <w:rFonts w:cs="Arial"/>
          <w:szCs w:val="20"/>
        </w:rPr>
        <w:t>vzniku</w:t>
      </w:r>
      <w:r w:rsidRPr="00AF29D0">
        <w:rPr>
          <w:rFonts w:cs="Arial"/>
          <w:szCs w:val="20"/>
        </w:rPr>
        <w:t xml:space="preserve"> a ukon</w:t>
      </w:r>
      <w:r>
        <w:rPr>
          <w:rFonts w:cs="Arial"/>
          <w:szCs w:val="20"/>
        </w:rPr>
        <w:t>č</w:t>
      </w:r>
      <w:r w:rsidRPr="00AF29D0">
        <w:rPr>
          <w:rFonts w:cs="Arial"/>
          <w:szCs w:val="20"/>
        </w:rPr>
        <w:t>ení pracovní neschopnosti.</w:t>
      </w:r>
      <w:r>
        <w:rPr>
          <w:rFonts w:cs="Arial"/>
          <w:szCs w:val="20"/>
        </w:rPr>
        <w:t xml:space="preserve"> </w:t>
      </w:r>
      <w:r w:rsidRPr="00334C19">
        <w:rPr>
          <w:rFonts w:cs="Arial"/>
          <w:szCs w:val="20"/>
        </w:rPr>
        <w:t xml:space="preserve">Do </w:t>
      </w:r>
      <w:r>
        <w:rPr>
          <w:rFonts w:cs="Arial"/>
          <w:szCs w:val="20"/>
        </w:rPr>
        <w:t>p</w:t>
      </w:r>
      <w:r w:rsidRPr="00334C19">
        <w:rPr>
          <w:rFonts w:cs="Arial"/>
          <w:szCs w:val="20"/>
        </w:rPr>
        <w:t>o</w:t>
      </w:r>
      <w:r>
        <w:rPr>
          <w:rFonts w:cs="Arial"/>
          <w:szCs w:val="20"/>
        </w:rPr>
        <w:t>č</w:t>
      </w:r>
      <w:r w:rsidRPr="00334C19">
        <w:rPr>
          <w:rFonts w:cs="Arial"/>
          <w:szCs w:val="20"/>
        </w:rPr>
        <w:t>tu p</w:t>
      </w:r>
      <w:r>
        <w:rPr>
          <w:rFonts w:cs="Arial"/>
          <w:szCs w:val="20"/>
        </w:rPr>
        <w:t>ř</w:t>
      </w:r>
      <w:r w:rsidRPr="00334C19">
        <w:rPr>
          <w:rFonts w:cs="Arial"/>
          <w:szCs w:val="20"/>
        </w:rPr>
        <w:t>ípad</w:t>
      </w:r>
      <w:r>
        <w:rPr>
          <w:rFonts w:cs="Arial"/>
          <w:szCs w:val="20"/>
        </w:rPr>
        <w:t>ů</w:t>
      </w:r>
      <w:r w:rsidRPr="00334C19">
        <w:rPr>
          <w:rFonts w:cs="Arial"/>
          <w:szCs w:val="20"/>
        </w:rPr>
        <w:t xml:space="preserve"> a po</w:t>
      </w:r>
      <w:r>
        <w:rPr>
          <w:rFonts w:cs="Arial"/>
          <w:szCs w:val="20"/>
        </w:rPr>
        <w:t>č</w:t>
      </w:r>
      <w:r w:rsidRPr="00334C19">
        <w:rPr>
          <w:rFonts w:cs="Arial"/>
          <w:szCs w:val="20"/>
        </w:rPr>
        <w:t>tu kalendá</w:t>
      </w:r>
      <w:r>
        <w:rPr>
          <w:rFonts w:cs="Arial"/>
          <w:szCs w:val="20"/>
        </w:rPr>
        <w:t>ř</w:t>
      </w:r>
      <w:r w:rsidRPr="00334C19">
        <w:rPr>
          <w:rFonts w:cs="Arial"/>
          <w:szCs w:val="20"/>
        </w:rPr>
        <w:t>ních dn</w:t>
      </w:r>
      <w:r>
        <w:rPr>
          <w:rFonts w:cs="Arial"/>
          <w:szCs w:val="20"/>
        </w:rPr>
        <w:t>ů</w:t>
      </w:r>
      <w:r w:rsidRPr="00334C19">
        <w:rPr>
          <w:rFonts w:cs="Arial"/>
          <w:szCs w:val="20"/>
        </w:rPr>
        <w:t xml:space="preserve"> pracovní neschopnosti pa</w:t>
      </w:r>
      <w:r>
        <w:rPr>
          <w:rFonts w:cs="Arial"/>
          <w:szCs w:val="20"/>
        </w:rPr>
        <w:t>tří</w:t>
      </w:r>
      <w:r w:rsidRPr="00334C19">
        <w:rPr>
          <w:rFonts w:cs="Arial"/>
          <w:szCs w:val="20"/>
        </w:rPr>
        <w:t xml:space="preserve"> i pracovní neschopnost vzniklá po zániku pojišt</w:t>
      </w:r>
      <w:r>
        <w:rPr>
          <w:rFonts w:cs="Arial"/>
          <w:szCs w:val="20"/>
        </w:rPr>
        <w:t>ě</w:t>
      </w:r>
      <w:r w:rsidRPr="00334C19">
        <w:rPr>
          <w:rFonts w:cs="Arial"/>
          <w:szCs w:val="20"/>
        </w:rPr>
        <w:t>ní v tzv. ochranné lh</w:t>
      </w:r>
      <w:r>
        <w:rPr>
          <w:rFonts w:cs="Arial"/>
          <w:szCs w:val="20"/>
        </w:rPr>
        <w:t>ů</w:t>
      </w:r>
      <w:r w:rsidRPr="00334C19">
        <w:rPr>
          <w:rFonts w:cs="Arial"/>
          <w:szCs w:val="20"/>
        </w:rPr>
        <w:t>t</w:t>
      </w:r>
      <w:r>
        <w:rPr>
          <w:rFonts w:cs="Arial"/>
          <w:szCs w:val="20"/>
        </w:rPr>
        <w:t>ě</w:t>
      </w:r>
      <w:r w:rsidRPr="00334C19">
        <w:rPr>
          <w:rFonts w:cs="Arial"/>
          <w:szCs w:val="20"/>
        </w:rPr>
        <w:t xml:space="preserve"> 7 kalendá</w:t>
      </w:r>
      <w:r>
        <w:rPr>
          <w:rFonts w:cs="Arial"/>
          <w:szCs w:val="20"/>
        </w:rPr>
        <w:t>ř</w:t>
      </w:r>
      <w:r w:rsidRPr="00334C19">
        <w:rPr>
          <w:rFonts w:cs="Arial"/>
          <w:szCs w:val="20"/>
        </w:rPr>
        <w:t>ních dnu.</w:t>
      </w:r>
    </w:p>
    <w:p w:rsidR="00624531" w:rsidRDefault="00624531" w:rsidP="008845EE">
      <w:pPr>
        <w:autoSpaceDE w:val="0"/>
        <w:autoSpaceDN w:val="0"/>
        <w:adjustRightInd w:val="0"/>
        <w:spacing w:line="240" w:lineRule="auto"/>
        <w:jc w:val="both"/>
        <w:rPr>
          <w:rFonts w:cs="Arial"/>
          <w:b/>
          <w:szCs w:val="20"/>
          <w:u w:val="single"/>
        </w:rPr>
      </w:pPr>
    </w:p>
    <w:p w:rsidR="00624531" w:rsidRPr="009D600C" w:rsidRDefault="00624531" w:rsidP="008845EE">
      <w:pPr>
        <w:autoSpaceDE w:val="0"/>
        <w:autoSpaceDN w:val="0"/>
        <w:adjustRightInd w:val="0"/>
        <w:spacing w:line="240" w:lineRule="auto"/>
        <w:jc w:val="both"/>
        <w:rPr>
          <w:rFonts w:cs="Arial"/>
          <w:b/>
          <w:szCs w:val="20"/>
          <w:u w:val="single"/>
        </w:rPr>
      </w:pPr>
      <w:r w:rsidRPr="009D600C">
        <w:rPr>
          <w:rFonts w:cs="Arial"/>
          <w:b/>
          <w:szCs w:val="20"/>
          <w:u w:val="single"/>
        </w:rPr>
        <w:t xml:space="preserve">Počet pracovních úrazů bez následné </w:t>
      </w:r>
      <w:r>
        <w:rPr>
          <w:rFonts w:cs="Arial"/>
          <w:b/>
          <w:szCs w:val="20"/>
          <w:u w:val="single"/>
        </w:rPr>
        <w:t xml:space="preserve">dočasné </w:t>
      </w:r>
      <w:r w:rsidRPr="009D600C">
        <w:rPr>
          <w:rFonts w:cs="Arial"/>
          <w:b/>
          <w:szCs w:val="20"/>
          <w:u w:val="single"/>
        </w:rPr>
        <w:t>pracovní neschopnosti</w:t>
      </w:r>
    </w:p>
    <w:p w:rsidR="00624531" w:rsidRDefault="00624531" w:rsidP="008845EE">
      <w:pPr>
        <w:ind w:left="410"/>
        <w:jc w:val="both"/>
        <w:rPr>
          <w:rFonts w:cs="Arial"/>
          <w:szCs w:val="20"/>
        </w:rPr>
      </w:pPr>
      <w:r w:rsidRPr="00AF29D0">
        <w:rPr>
          <w:rFonts w:cs="Arial"/>
          <w:szCs w:val="20"/>
        </w:rPr>
        <w:t>Ukazatel zahrnuje nov</w:t>
      </w:r>
      <w:r>
        <w:rPr>
          <w:rFonts w:cs="Arial"/>
          <w:szCs w:val="20"/>
        </w:rPr>
        <w:t>ě</w:t>
      </w:r>
      <w:r w:rsidRPr="00AF29D0">
        <w:rPr>
          <w:rFonts w:cs="Arial"/>
          <w:szCs w:val="20"/>
        </w:rPr>
        <w:t xml:space="preserve"> vzniklé p</w:t>
      </w:r>
      <w:r>
        <w:rPr>
          <w:rFonts w:cs="Arial"/>
          <w:szCs w:val="20"/>
        </w:rPr>
        <w:t>ř</w:t>
      </w:r>
      <w:r w:rsidRPr="00AF29D0">
        <w:rPr>
          <w:rFonts w:cs="Arial"/>
          <w:szCs w:val="20"/>
        </w:rPr>
        <w:t>ípady pracovních úrazu, kterými nebyla zp</w:t>
      </w:r>
      <w:r>
        <w:rPr>
          <w:rFonts w:cs="Arial"/>
          <w:szCs w:val="20"/>
        </w:rPr>
        <w:t>ů</w:t>
      </w:r>
      <w:r w:rsidRPr="00AF29D0">
        <w:rPr>
          <w:rFonts w:cs="Arial"/>
          <w:szCs w:val="20"/>
        </w:rPr>
        <w:t>sobena následná pracovní neschopnost.</w:t>
      </w:r>
      <w:r>
        <w:rPr>
          <w:rFonts w:cs="Arial"/>
          <w:szCs w:val="20"/>
        </w:rPr>
        <w:t xml:space="preserve"> </w:t>
      </w:r>
      <w:r w:rsidRPr="00AF29D0">
        <w:rPr>
          <w:rFonts w:cs="Arial"/>
          <w:szCs w:val="20"/>
        </w:rPr>
        <w:t>K otázce rozlišení p</w:t>
      </w:r>
      <w:r>
        <w:rPr>
          <w:rFonts w:cs="Arial"/>
          <w:szCs w:val="20"/>
        </w:rPr>
        <w:t>říčin</w:t>
      </w:r>
      <w:r w:rsidRPr="00AF29D0">
        <w:rPr>
          <w:rFonts w:cs="Arial"/>
          <w:szCs w:val="20"/>
        </w:rPr>
        <w:t xml:space="preserve"> v p</w:t>
      </w:r>
      <w:r>
        <w:rPr>
          <w:rFonts w:cs="Arial"/>
          <w:szCs w:val="20"/>
        </w:rPr>
        <w:t>ř</w:t>
      </w:r>
      <w:r w:rsidRPr="00AF29D0">
        <w:rPr>
          <w:rFonts w:cs="Arial"/>
          <w:szCs w:val="20"/>
        </w:rPr>
        <w:t>ípade p</w:t>
      </w:r>
      <w:r>
        <w:rPr>
          <w:rFonts w:cs="Arial"/>
          <w:szCs w:val="20"/>
        </w:rPr>
        <w:t>ř</w:t>
      </w:r>
      <w:r w:rsidRPr="00AF29D0">
        <w:rPr>
          <w:rFonts w:cs="Arial"/>
          <w:szCs w:val="20"/>
        </w:rPr>
        <w:t xml:space="preserve">erušení </w:t>
      </w:r>
      <w:r>
        <w:rPr>
          <w:rFonts w:cs="Arial"/>
          <w:szCs w:val="20"/>
        </w:rPr>
        <w:t>č</w:t>
      </w:r>
      <w:r w:rsidRPr="00AF29D0">
        <w:rPr>
          <w:rFonts w:cs="Arial"/>
          <w:szCs w:val="20"/>
        </w:rPr>
        <w:t>i pokra</w:t>
      </w:r>
      <w:r>
        <w:rPr>
          <w:rFonts w:cs="Arial"/>
          <w:szCs w:val="20"/>
        </w:rPr>
        <w:t>č</w:t>
      </w:r>
      <w:r w:rsidRPr="00AF29D0">
        <w:rPr>
          <w:rFonts w:cs="Arial"/>
          <w:szCs w:val="20"/>
        </w:rPr>
        <w:t>ování pracovní neschopnosti nutno dodat, že v p</w:t>
      </w:r>
      <w:r>
        <w:rPr>
          <w:rFonts w:cs="Arial"/>
          <w:szCs w:val="20"/>
        </w:rPr>
        <w:t>ř</w:t>
      </w:r>
      <w:r w:rsidRPr="00AF29D0">
        <w:rPr>
          <w:rFonts w:cs="Arial"/>
          <w:szCs w:val="20"/>
        </w:rPr>
        <w:t>ípad</w:t>
      </w:r>
      <w:r>
        <w:rPr>
          <w:rFonts w:cs="Arial"/>
          <w:szCs w:val="20"/>
        </w:rPr>
        <w:t>ě</w:t>
      </w:r>
      <w:r w:rsidRPr="00AF29D0">
        <w:rPr>
          <w:rFonts w:cs="Arial"/>
          <w:szCs w:val="20"/>
        </w:rPr>
        <w:t>, když do</w:t>
      </w:r>
      <w:r>
        <w:rPr>
          <w:rFonts w:cs="Arial"/>
          <w:szCs w:val="20"/>
        </w:rPr>
        <w:t xml:space="preserve"> </w:t>
      </w:r>
      <w:r w:rsidRPr="00AF29D0">
        <w:rPr>
          <w:rFonts w:cs="Arial"/>
          <w:szCs w:val="20"/>
        </w:rPr>
        <w:t>dvou m</w:t>
      </w:r>
      <w:r>
        <w:rPr>
          <w:rFonts w:cs="Arial"/>
          <w:szCs w:val="20"/>
        </w:rPr>
        <w:t>ě</w:t>
      </w:r>
      <w:r w:rsidRPr="00AF29D0">
        <w:rPr>
          <w:rFonts w:cs="Arial"/>
          <w:szCs w:val="20"/>
        </w:rPr>
        <w:t>síc</w:t>
      </w:r>
      <w:r>
        <w:rPr>
          <w:rFonts w:cs="Arial"/>
          <w:szCs w:val="20"/>
        </w:rPr>
        <w:t>ů</w:t>
      </w:r>
      <w:r w:rsidRPr="00AF29D0">
        <w:rPr>
          <w:rFonts w:cs="Arial"/>
          <w:szCs w:val="20"/>
        </w:rPr>
        <w:t xml:space="preserve"> od skon</w:t>
      </w:r>
      <w:r>
        <w:rPr>
          <w:rFonts w:cs="Arial"/>
          <w:szCs w:val="20"/>
        </w:rPr>
        <w:t>č</w:t>
      </w:r>
      <w:r w:rsidRPr="00AF29D0">
        <w:rPr>
          <w:rFonts w:cs="Arial"/>
          <w:szCs w:val="20"/>
        </w:rPr>
        <w:t>ení pracovní neschopnosti pro pracovní úraz vznikne další pracovní neschopnost, která na základe</w:t>
      </w:r>
      <w:r>
        <w:rPr>
          <w:rFonts w:cs="Arial"/>
          <w:szCs w:val="20"/>
        </w:rPr>
        <w:t xml:space="preserve"> </w:t>
      </w:r>
      <w:r w:rsidRPr="00AF29D0">
        <w:rPr>
          <w:rFonts w:cs="Arial"/>
          <w:szCs w:val="20"/>
        </w:rPr>
        <w:t>posouzení p</w:t>
      </w:r>
      <w:r>
        <w:rPr>
          <w:rFonts w:cs="Arial"/>
          <w:szCs w:val="20"/>
        </w:rPr>
        <w:t>ř</w:t>
      </w:r>
      <w:r w:rsidRPr="00AF29D0">
        <w:rPr>
          <w:rFonts w:cs="Arial"/>
          <w:szCs w:val="20"/>
        </w:rPr>
        <w:t>íslušného léka</w:t>
      </w:r>
      <w:r>
        <w:rPr>
          <w:rFonts w:cs="Arial"/>
          <w:szCs w:val="20"/>
        </w:rPr>
        <w:t>ř</w:t>
      </w:r>
      <w:r w:rsidRPr="00AF29D0">
        <w:rPr>
          <w:rFonts w:cs="Arial"/>
          <w:szCs w:val="20"/>
        </w:rPr>
        <w:t>e (nap</w:t>
      </w:r>
      <w:r>
        <w:rPr>
          <w:rFonts w:cs="Arial"/>
          <w:szCs w:val="20"/>
        </w:rPr>
        <w:t>ř</w:t>
      </w:r>
      <w:r w:rsidRPr="00AF29D0">
        <w:rPr>
          <w:rFonts w:cs="Arial"/>
          <w:szCs w:val="20"/>
        </w:rPr>
        <w:t>. léka</w:t>
      </w:r>
      <w:r>
        <w:rPr>
          <w:rFonts w:cs="Arial"/>
          <w:szCs w:val="20"/>
        </w:rPr>
        <w:t>ř</w:t>
      </w:r>
      <w:r w:rsidRPr="00AF29D0">
        <w:rPr>
          <w:rFonts w:cs="Arial"/>
          <w:szCs w:val="20"/>
        </w:rPr>
        <w:t>e závodní preventivní pé</w:t>
      </w:r>
      <w:r>
        <w:rPr>
          <w:rFonts w:cs="Arial"/>
          <w:szCs w:val="20"/>
        </w:rPr>
        <w:t>č</w:t>
      </w:r>
      <w:r w:rsidRPr="00AF29D0">
        <w:rPr>
          <w:rFonts w:cs="Arial"/>
          <w:szCs w:val="20"/>
        </w:rPr>
        <w:t>e) souvisí s prvním pracovním úrazem, nelze toto</w:t>
      </w:r>
      <w:r>
        <w:rPr>
          <w:rFonts w:cs="Arial"/>
          <w:szCs w:val="20"/>
        </w:rPr>
        <w:t xml:space="preserve"> </w:t>
      </w:r>
      <w:r w:rsidRPr="00AF29D0">
        <w:rPr>
          <w:rFonts w:cs="Arial"/>
          <w:szCs w:val="20"/>
        </w:rPr>
        <w:t>klasifikovat jako nový p</w:t>
      </w:r>
      <w:r>
        <w:rPr>
          <w:rFonts w:cs="Arial"/>
          <w:szCs w:val="20"/>
        </w:rPr>
        <w:t>ř</w:t>
      </w:r>
      <w:r w:rsidRPr="00AF29D0">
        <w:rPr>
          <w:rFonts w:cs="Arial"/>
          <w:szCs w:val="20"/>
        </w:rPr>
        <w:t xml:space="preserve">ípad. </w:t>
      </w:r>
    </w:p>
    <w:p w:rsidR="00624531" w:rsidRDefault="00624531" w:rsidP="008845EE">
      <w:pPr>
        <w:ind w:left="410"/>
        <w:jc w:val="both"/>
        <w:rPr>
          <w:rFonts w:cs="Arial"/>
          <w:szCs w:val="20"/>
        </w:rPr>
      </w:pPr>
    </w:p>
    <w:p w:rsidR="00624531" w:rsidRPr="009D600C" w:rsidRDefault="00624531" w:rsidP="008845EE">
      <w:pPr>
        <w:autoSpaceDE w:val="0"/>
        <w:autoSpaceDN w:val="0"/>
        <w:adjustRightInd w:val="0"/>
        <w:spacing w:line="240" w:lineRule="auto"/>
        <w:jc w:val="both"/>
        <w:rPr>
          <w:rFonts w:cs="Arial"/>
          <w:b/>
          <w:szCs w:val="20"/>
          <w:u w:val="single"/>
        </w:rPr>
      </w:pPr>
      <w:r>
        <w:rPr>
          <w:rFonts w:cs="Arial"/>
          <w:b/>
          <w:szCs w:val="20"/>
          <w:u w:val="single"/>
        </w:rPr>
        <w:t>Údaje týkající se</w:t>
      </w:r>
      <w:r w:rsidRPr="009D600C">
        <w:rPr>
          <w:rFonts w:cs="Arial"/>
          <w:b/>
          <w:szCs w:val="20"/>
          <w:u w:val="single"/>
        </w:rPr>
        <w:t xml:space="preserve"> nemocensky pojištěných mladistvých </w:t>
      </w:r>
    </w:p>
    <w:p w:rsidR="00624531" w:rsidRDefault="00624531" w:rsidP="008845EE">
      <w:pPr>
        <w:ind w:left="410"/>
        <w:jc w:val="both"/>
        <w:rPr>
          <w:rFonts w:cs="Arial"/>
          <w:szCs w:val="20"/>
        </w:rPr>
      </w:pPr>
      <w:r>
        <w:rPr>
          <w:rFonts w:cs="Arial"/>
          <w:szCs w:val="20"/>
        </w:rPr>
        <w:t xml:space="preserve">Ukazatele uvádí </w:t>
      </w:r>
      <w:r w:rsidRPr="00AF29D0">
        <w:rPr>
          <w:rFonts w:cs="Arial"/>
          <w:szCs w:val="20"/>
        </w:rPr>
        <w:t xml:space="preserve">pouze </w:t>
      </w:r>
      <w:r w:rsidRPr="00334C19">
        <w:rPr>
          <w:rFonts w:cs="Arial"/>
          <w:szCs w:val="20"/>
        </w:rPr>
        <w:t>údaje týkající se mladistvých nemocensky pojišt</w:t>
      </w:r>
      <w:r>
        <w:rPr>
          <w:rFonts w:cs="Arial"/>
          <w:szCs w:val="20"/>
        </w:rPr>
        <w:t>ě</w:t>
      </w:r>
      <w:r w:rsidRPr="00334C19">
        <w:rPr>
          <w:rFonts w:cs="Arial"/>
          <w:szCs w:val="20"/>
        </w:rPr>
        <w:t>ných zam</w:t>
      </w:r>
      <w:r>
        <w:rPr>
          <w:rFonts w:cs="Arial"/>
          <w:szCs w:val="20"/>
        </w:rPr>
        <w:t>ě</w:t>
      </w:r>
      <w:r w:rsidRPr="00334C19">
        <w:rPr>
          <w:rFonts w:cs="Arial"/>
          <w:szCs w:val="20"/>
        </w:rPr>
        <w:t>stnanc</w:t>
      </w:r>
      <w:r>
        <w:rPr>
          <w:rFonts w:cs="Arial"/>
          <w:szCs w:val="20"/>
        </w:rPr>
        <w:t>ů</w:t>
      </w:r>
      <w:r w:rsidRPr="00334C19">
        <w:rPr>
          <w:rFonts w:cs="Arial"/>
          <w:szCs w:val="20"/>
        </w:rPr>
        <w:t xml:space="preserve"> </w:t>
      </w:r>
      <w:r w:rsidRPr="00AF29D0">
        <w:rPr>
          <w:rFonts w:cs="Arial"/>
          <w:szCs w:val="20"/>
        </w:rPr>
        <w:t>do 18 let v</w:t>
      </w:r>
      <w:r>
        <w:rPr>
          <w:rFonts w:cs="Arial"/>
          <w:szCs w:val="20"/>
        </w:rPr>
        <w:t>ě</w:t>
      </w:r>
      <w:r w:rsidRPr="00AF29D0">
        <w:rPr>
          <w:rFonts w:cs="Arial"/>
          <w:szCs w:val="20"/>
        </w:rPr>
        <w:t xml:space="preserve">ku </w:t>
      </w:r>
      <w:r w:rsidRPr="00334C19">
        <w:rPr>
          <w:rFonts w:cs="Arial"/>
          <w:szCs w:val="20"/>
        </w:rPr>
        <w:t>v</w:t>
      </w:r>
      <w:r>
        <w:rPr>
          <w:rFonts w:cs="Arial"/>
          <w:szCs w:val="20"/>
        </w:rPr>
        <w:t>č</w:t>
      </w:r>
      <w:r w:rsidRPr="00334C19">
        <w:rPr>
          <w:rFonts w:cs="Arial"/>
          <w:szCs w:val="20"/>
        </w:rPr>
        <w:t>etn</w:t>
      </w:r>
      <w:r>
        <w:rPr>
          <w:rFonts w:cs="Arial"/>
          <w:szCs w:val="20"/>
        </w:rPr>
        <w:t>ě</w:t>
      </w:r>
      <w:r w:rsidRPr="00AF29D0">
        <w:rPr>
          <w:rFonts w:cs="Arial"/>
          <w:szCs w:val="20"/>
        </w:rPr>
        <w:t>.</w:t>
      </w:r>
    </w:p>
    <w:p w:rsidR="00624531" w:rsidRDefault="00624531" w:rsidP="008845EE">
      <w:pPr>
        <w:autoSpaceDE w:val="0"/>
        <w:autoSpaceDN w:val="0"/>
        <w:adjustRightInd w:val="0"/>
        <w:spacing w:line="240" w:lineRule="auto"/>
        <w:rPr>
          <w:rFonts w:cs="Arial"/>
          <w:b/>
          <w:szCs w:val="20"/>
          <w:u w:val="single"/>
        </w:rPr>
      </w:pPr>
    </w:p>
    <w:p w:rsidR="00624531" w:rsidRPr="0006789D" w:rsidRDefault="00624531" w:rsidP="008845EE">
      <w:pPr>
        <w:autoSpaceDE w:val="0"/>
        <w:autoSpaceDN w:val="0"/>
        <w:adjustRightInd w:val="0"/>
        <w:spacing w:line="240" w:lineRule="auto"/>
        <w:rPr>
          <w:rFonts w:cs="Arial"/>
          <w:szCs w:val="20"/>
          <w:u w:val="single"/>
        </w:rPr>
      </w:pPr>
      <w:r w:rsidRPr="0006789D">
        <w:rPr>
          <w:rFonts w:cs="Arial"/>
          <w:b/>
          <w:szCs w:val="20"/>
          <w:u w:val="single"/>
        </w:rPr>
        <w:t>Pracovní úrazy s pracovní neschopností nad 3 dny</w:t>
      </w:r>
      <w:r w:rsidRPr="0006789D">
        <w:rPr>
          <w:rFonts w:cs="Arial"/>
          <w:szCs w:val="20"/>
          <w:u w:val="single"/>
        </w:rPr>
        <w:t xml:space="preserve"> </w:t>
      </w:r>
    </w:p>
    <w:p w:rsidR="00624531" w:rsidRPr="00AF29D0" w:rsidRDefault="00624531" w:rsidP="008845EE">
      <w:pPr>
        <w:ind w:left="410"/>
        <w:jc w:val="both"/>
        <w:rPr>
          <w:rFonts w:cs="Arial"/>
          <w:szCs w:val="20"/>
        </w:rPr>
      </w:pPr>
      <w:r w:rsidRPr="00E55234">
        <w:rPr>
          <w:rFonts w:cs="Arial"/>
          <w:szCs w:val="20"/>
        </w:rPr>
        <w:t>Ukazatel zahrnuje případy pracovních úraz</w:t>
      </w:r>
      <w:r>
        <w:rPr>
          <w:rFonts w:cs="Arial"/>
          <w:szCs w:val="20"/>
        </w:rPr>
        <w:t>ů</w:t>
      </w:r>
      <w:r w:rsidRPr="00E55234">
        <w:rPr>
          <w:rFonts w:cs="Arial"/>
          <w:szCs w:val="20"/>
        </w:rPr>
        <w:t>, které měly za následek pracovní neschopnost delší než 3 kalendá</w:t>
      </w:r>
      <w:r>
        <w:rPr>
          <w:rFonts w:cs="Arial"/>
          <w:szCs w:val="20"/>
        </w:rPr>
        <w:t>ř</w:t>
      </w:r>
      <w:r w:rsidRPr="00E55234">
        <w:rPr>
          <w:rFonts w:cs="Arial"/>
          <w:szCs w:val="20"/>
        </w:rPr>
        <w:t>ní dny</w:t>
      </w:r>
      <w:r>
        <w:rPr>
          <w:rFonts w:cs="Arial"/>
          <w:szCs w:val="20"/>
        </w:rPr>
        <w:t xml:space="preserve">, </w:t>
      </w:r>
      <w:r w:rsidRPr="00E55234">
        <w:rPr>
          <w:rFonts w:cs="Arial"/>
          <w:szCs w:val="20"/>
        </w:rPr>
        <w:t>mimo den, kdy k úrazu došlo.</w:t>
      </w:r>
    </w:p>
    <w:p w:rsidR="00624531" w:rsidRDefault="00624531" w:rsidP="008845EE">
      <w:pPr>
        <w:pStyle w:val="Heading3"/>
      </w:pPr>
    </w:p>
    <w:p w:rsidR="00624531" w:rsidRPr="0006789D" w:rsidRDefault="00624531" w:rsidP="008845EE">
      <w:pPr>
        <w:pStyle w:val="Heading3"/>
        <w:spacing w:after="120"/>
        <w:rPr>
          <w:color w:val="auto"/>
          <w:u w:val="single"/>
        </w:rPr>
      </w:pPr>
      <w:r w:rsidRPr="0006789D">
        <w:rPr>
          <w:color w:val="auto"/>
          <w:u w:val="single"/>
        </w:rPr>
        <w:t>Způsob výpočtu sledovaných relativních ukazatelů:</w:t>
      </w:r>
    </w:p>
    <w:p w:rsidR="00624531" w:rsidRPr="00C83C3E" w:rsidRDefault="00624531" w:rsidP="008845EE">
      <w:pPr>
        <w:pStyle w:val="BodyTextIndent"/>
        <w:spacing w:after="60" w:line="288" w:lineRule="auto"/>
        <w:ind w:left="0"/>
        <w:jc w:val="both"/>
        <w:rPr>
          <w:rFonts w:cs="Arial"/>
        </w:rPr>
      </w:pPr>
      <w:r w:rsidRPr="00C83C3E">
        <w:rPr>
          <w:rFonts w:cs="Arial"/>
          <w:b/>
        </w:rPr>
        <w:t>Četnost případů na 100 pojištěnců</w:t>
      </w:r>
      <w:r w:rsidRPr="00C83C3E">
        <w:rPr>
          <w:rFonts w:cs="Arial"/>
        </w:rPr>
        <w:t xml:space="preserve"> = nově hlášené případy </w:t>
      </w:r>
      <w:r>
        <w:rPr>
          <w:rFonts w:cs="Arial"/>
        </w:rPr>
        <w:t xml:space="preserve">dočasné </w:t>
      </w:r>
      <w:r w:rsidRPr="00C83C3E">
        <w:rPr>
          <w:rFonts w:cs="Arial"/>
        </w:rPr>
        <w:t>pracovní neschopnosti x 100 / průměrný počet osob nemocensky pojištěných</w:t>
      </w:r>
    </w:p>
    <w:p w:rsidR="00624531" w:rsidRPr="00C83C3E" w:rsidRDefault="00624531" w:rsidP="008845EE">
      <w:pPr>
        <w:pStyle w:val="BodyTextIndent"/>
        <w:spacing w:after="60" w:line="288" w:lineRule="auto"/>
        <w:ind w:left="0"/>
        <w:jc w:val="both"/>
        <w:rPr>
          <w:rFonts w:cs="Arial"/>
        </w:rPr>
      </w:pPr>
      <w:r w:rsidRPr="00C83C3E">
        <w:rPr>
          <w:rFonts w:cs="Arial"/>
          <w:b/>
        </w:rPr>
        <w:t>Průměrná délka trvání případu ve dnech</w:t>
      </w:r>
      <w:r w:rsidRPr="00C83C3E">
        <w:rPr>
          <w:rFonts w:cs="Arial"/>
        </w:rPr>
        <w:t xml:space="preserve"> =</w:t>
      </w:r>
      <w:r w:rsidRPr="00C83C3E">
        <w:rPr>
          <w:rFonts w:cs="Arial"/>
          <w:b/>
        </w:rPr>
        <w:t xml:space="preserve"> </w:t>
      </w:r>
      <w:r w:rsidRPr="00C83C3E">
        <w:rPr>
          <w:rFonts w:cs="Arial"/>
        </w:rPr>
        <w:t xml:space="preserve">kalendářní dny </w:t>
      </w:r>
      <w:r>
        <w:rPr>
          <w:rFonts w:cs="Arial"/>
        </w:rPr>
        <w:t xml:space="preserve">dočasné </w:t>
      </w:r>
      <w:r w:rsidRPr="00C83C3E">
        <w:rPr>
          <w:rFonts w:cs="Arial"/>
        </w:rPr>
        <w:t xml:space="preserve">pracovní neschopnosti / nově hlášené případy </w:t>
      </w:r>
      <w:r>
        <w:rPr>
          <w:rFonts w:cs="Arial"/>
        </w:rPr>
        <w:t xml:space="preserve">dočasné </w:t>
      </w:r>
      <w:r w:rsidRPr="00C83C3E">
        <w:rPr>
          <w:rFonts w:cs="Arial"/>
        </w:rPr>
        <w:t>pracovní neschopnosti</w:t>
      </w:r>
    </w:p>
    <w:p w:rsidR="00624531" w:rsidRPr="00C83C3E" w:rsidRDefault="00624531" w:rsidP="008845EE">
      <w:pPr>
        <w:pStyle w:val="BodyTextIndent"/>
        <w:spacing w:after="60" w:line="288" w:lineRule="auto"/>
        <w:ind w:left="0"/>
        <w:jc w:val="both"/>
        <w:rPr>
          <w:rFonts w:cs="Arial"/>
        </w:rPr>
      </w:pPr>
      <w:r w:rsidRPr="00C83C3E">
        <w:rPr>
          <w:rFonts w:cs="Arial"/>
          <w:b/>
        </w:rPr>
        <w:t>Průměrné procento pracovní neschopnosti</w:t>
      </w:r>
      <w:r w:rsidRPr="00C83C3E">
        <w:rPr>
          <w:rFonts w:cs="Arial"/>
        </w:rPr>
        <w:t xml:space="preserve"> = kalendářní dny </w:t>
      </w:r>
      <w:r>
        <w:rPr>
          <w:rFonts w:cs="Arial"/>
        </w:rPr>
        <w:t xml:space="preserve">dočasné </w:t>
      </w:r>
      <w:r w:rsidRPr="00C83C3E">
        <w:rPr>
          <w:rFonts w:cs="Arial"/>
        </w:rPr>
        <w:t>pracovní neschopnosti x 100 / (průměrný počet osob nemocensky pojištěných x počet kalendářních dnů ve sledovaném období)</w:t>
      </w:r>
    </w:p>
    <w:p w:rsidR="00624531" w:rsidRPr="00C83C3E" w:rsidRDefault="00624531" w:rsidP="008845EE">
      <w:pPr>
        <w:pStyle w:val="BodyTextIndent"/>
        <w:spacing w:line="288" w:lineRule="auto"/>
        <w:ind w:left="0"/>
        <w:jc w:val="both"/>
        <w:rPr>
          <w:rFonts w:cs="Arial"/>
        </w:rPr>
      </w:pPr>
      <w:r w:rsidRPr="00C83C3E">
        <w:rPr>
          <w:rFonts w:cs="Arial"/>
          <w:b/>
        </w:rPr>
        <w:t xml:space="preserve">Průměrný denní stav práce neschopných </w:t>
      </w:r>
      <w:r w:rsidRPr="00C83C3E">
        <w:rPr>
          <w:rFonts w:cs="Arial"/>
        </w:rPr>
        <w:t>=</w:t>
      </w:r>
      <w:r w:rsidRPr="00C83C3E">
        <w:rPr>
          <w:rFonts w:cs="Arial"/>
          <w:b/>
        </w:rPr>
        <w:t xml:space="preserve"> </w:t>
      </w:r>
      <w:r w:rsidRPr="00C83C3E">
        <w:rPr>
          <w:rFonts w:cs="Arial"/>
        </w:rPr>
        <w:t xml:space="preserve">kalendářní dny </w:t>
      </w:r>
      <w:r>
        <w:rPr>
          <w:rFonts w:cs="Arial"/>
        </w:rPr>
        <w:t xml:space="preserve">dočasné </w:t>
      </w:r>
      <w:r w:rsidRPr="00C83C3E">
        <w:rPr>
          <w:rFonts w:cs="Arial"/>
        </w:rPr>
        <w:t>pracovní neschopnosti / počet kalendářních dnů ve sledovaném období</w:t>
      </w:r>
    </w:p>
    <w:p w:rsidR="00624531" w:rsidRPr="00AF29D0" w:rsidRDefault="00624531" w:rsidP="008845EE">
      <w:pPr>
        <w:pStyle w:val="ListParagraph"/>
        <w:spacing w:after="200" w:line="276" w:lineRule="auto"/>
        <w:jc w:val="both"/>
        <w:rPr>
          <w:rStyle w:val="Hyperlink"/>
          <w:rFonts w:ascii="Arial" w:hAnsi="Arial" w:cs="Arial"/>
        </w:rPr>
      </w:pPr>
    </w:p>
    <w:p w:rsidR="00624531" w:rsidRDefault="00624531" w:rsidP="00010D38">
      <w:pPr>
        <w:pStyle w:val="Heading1"/>
        <w:jc w:val="both"/>
        <w:rPr>
          <w:rFonts w:cs="Arial"/>
          <w:sz w:val="28"/>
        </w:rPr>
      </w:pPr>
    </w:p>
    <w:p w:rsidR="00624531" w:rsidRDefault="00624531" w:rsidP="00010D38">
      <w:pPr>
        <w:pStyle w:val="Heading1"/>
        <w:jc w:val="both"/>
        <w:rPr>
          <w:rFonts w:cs="Arial"/>
          <w:sz w:val="28"/>
        </w:rPr>
      </w:pPr>
    </w:p>
    <w:p w:rsidR="00624531" w:rsidRDefault="00624531" w:rsidP="00010D38">
      <w:pPr>
        <w:pStyle w:val="Heading1"/>
        <w:jc w:val="both"/>
        <w:rPr>
          <w:rFonts w:cs="Arial"/>
          <w:sz w:val="28"/>
        </w:rPr>
      </w:pPr>
    </w:p>
    <w:p w:rsidR="00624531" w:rsidRDefault="00624531" w:rsidP="00010D38">
      <w:pPr>
        <w:pStyle w:val="Heading1"/>
        <w:jc w:val="both"/>
        <w:rPr>
          <w:rFonts w:cs="Arial"/>
          <w:sz w:val="28"/>
        </w:rPr>
      </w:pPr>
    </w:p>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Pr="007161EF" w:rsidRDefault="00624531" w:rsidP="007161EF"/>
    <w:p w:rsidR="00624531" w:rsidRPr="00DA78CF" w:rsidRDefault="00624531" w:rsidP="00010D38">
      <w:pPr>
        <w:pStyle w:val="Heading1"/>
        <w:jc w:val="both"/>
        <w:rPr>
          <w:sz w:val="28"/>
        </w:rPr>
      </w:pPr>
      <w:r>
        <w:rPr>
          <w:rFonts w:cs="Arial"/>
          <w:sz w:val="28"/>
        </w:rPr>
        <w:t>4   Dočasná pracovní neschopnost pro nemoc a úraz v České republice - výsledky za rok 2014</w:t>
      </w:r>
    </w:p>
    <w:p w:rsidR="00624531" w:rsidRDefault="00624531" w:rsidP="00010D38">
      <w:pPr>
        <w:jc w:val="both"/>
        <w:rPr>
          <w:rFonts w:cs="Arial"/>
        </w:rPr>
      </w:pPr>
      <w:r w:rsidRPr="00DB1BF3">
        <w:rPr>
          <w:rFonts w:cs="Arial"/>
          <w:b/>
          <w:u w:val="single"/>
        </w:rPr>
        <w:t>Průměrný počet nemocensky pojištěných</w:t>
      </w:r>
      <w:r w:rsidRPr="000D54EE">
        <w:rPr>
          <w:rFonts w:cs="Arial"/>
          <w:b/>
        </w:rPr>
        <w:t xml:space="preserve"> </w:t>
      </w:r>
      <w:r w:rsidRPr="009A2485">
        <w:rPr>
          <w:rFonts w:cs="Arial"/>
        </w:rPr>
        <w:t>za rok 2014 činil 4 464,1 tis. osob, což je o 23,8 tis. osob více než v roce 2013 (4 440,3 tis. osob), z čehož muži tvořili 50,9</w:t>
      </w:r>
      <w:r>
        <w:rPr>
          <w:rFonts w:cs="Arial"/>
        </w:rPr>
        <w:t> </w:t>
      </w:r>
      <w:r w:rsidRPr="009A2485">
        <w:rPr>
          <w:rFonts w:cs="Arial"/>
        </w:rPr>
        <w:t>%. V celkovém počtu nemocensky pojištěných představují ženy méně než polovinu (49,1</w:t>
      </w:r>
      <w:r>
        <w:rPr>
          <w:rFonts w:cs="Arial"/>
        </w:rPr>
        <w:t> </w:t>
      </w:r>
      <w:r w:rsidRPr="009A2485">
        <w:rPr>
          <w:rFonts w:cs="Arial"/>
        </w:rPr>
        <w:t>%), ovšem připadá na ně 52,0</w:t>
      </w:r>
      <w:r>
        <w:rPr>
          <w:rFonts w:cs="Arial"/>
        </w:rPr>
        <w:t> </w:t>
      </w:r>
      <w:r w:rsidRPr="009A2485">
        <w:rPr>
          <w:rFonts w:cs="Arial"/>
        </w:rPr>
        <w:t>% případů pracovní neschopnosti. Průměrný počet nemocensky pojištěn žen meziročně vzrostl z 2 179,6 tis. osob v roce 2013 na 2</w:t>
      </w:r>
      <w:r>
        <w:rPr>
          <w:rFonts w:cs="Arial"/>
        </w:rPr>
        <w:t> </w:t>
      </w:r>
      <w:r w:rsidRPr="009A2485">
        <w:rPr>
          <w:rFonts w:cs="Arial"/>
        </w:rPr>
        <w:t>191,2</w:t>
      </w:r>
      <w:r>
        <w:rPr>
          <w:rFonts w:cs="Arial"/>
        </w:rPr>
        <w:t> </w:t>
      </w:r>
      <w:r w:rsidRPr="009A2485">
        <w:rPr>
          <w:rFonts w:cs="Arial"/>
        </w:rPr>
        <w:t>tis.</w:t>
      </w:r>
      <w:r>
        <w:rPr>
          <w:rFonts w:cs="Arial"/>
        </w:rPr>
        <w:t> </w:t>
      </w:r>
      <w:r w:rsidRPr="009A2485">
        <w:rPr>
          <w:rFonts w:cs="Arial"/>
        </w:rPr>
        <w:t>osob v roce 2014 (tj. o 0</w:t>
      </w:r>
      <w:r>
        <w:rPr>
          <w:rFonts w:cs="Arial"/>
        </w:rPr>
        <w:t xml:space="preserve">,5 %) </w:t>
      </w:r>
    </w:p>
    <w:p w:rsidR="00624531" w:rsidRPr="009447F4" w:rsidRDefault="00624531" w:rsidP="00010D38">
      <w:pPr>
        <w:jc w:val="both"/>
        <w:rPr>
          <w:rFonts w:cs="Arial"/>
          <w:u w:val="single"/>
        </w:rPr>
      </w:pPr>
    </w:p>
    <w:p w:rsidR="00624531" w:rsidRDefault="00624531" w:rsidP="00640187">
      <w:pPr>
        <w:jc w:val="both"/>
        <w:rPr>
          <w:rFonts w:cs="Arial"/>
          <w:b/>
        </w:rPr>
      </w:pPr>
      <w:r w:rsidRPr="009447F4">
        <w:rPr>
          <w:rFonts w:cs="Arial"/>
          <w:b/>
          <w:u w:val="single"/>
        </w:rPr>
        <w:t>Počet nově hlášených případů dočasné pracovní neschopnosti</w:t>
      </w:r>
      <w:r w:rsidRPr="009447F4">
        <w:rPr>
          <w:rFonts w:cs="Arial"/>
          <w:u w:val="single"/>
        </w:rPr>
        <w:t xml:space="preserve"> </w:t>
      </w:r>
      <w:r w:rsidRPr="009447F4">
        <w:rPr>
          <w:rFonts w:cs="Arial"/>
          <w:b/>
          <w:u w:val="single"/>
        </w:rPr>
        <w:t>celkem</w:t>
      </w:r>
      <w:r w:rsidRPr="009447F4">
        <w:rPr>
          <w:rFonts w:cs="Arial"/>
          <w:b/>
        </w:rPr>
        <w:t xml:space="preserve"> </w:t>
      </w:r>
      <w:r w:rsidRPr="000E5D29">
        <w:rPr>
          <w:rFonts w:cs="Arial"/>
        </w:rPr>
        <w:t>se meziročně snížil z 1 331,48 tis. případů v roce 2013 na 1 314,79 tis. případů v roce 2014 (tj. o 1,3</w:t>
      </w:r>
      <w:r>
        <w:rPr>
          <w:rFonts w:cs="Arial"/>
        </w:rPr>
        <w:t> </w:t>
      </w:r>
      <w:r w:rsidRPr="000E5D29">
        <w:rPr>
          <w:rFonts w:cs="Arial"/>
        </w:rPr>
        <w:t>%), z celkového počtu tvoří muži 48,04</w:t>
      </w:r>
      <w:r>
        <w:rPr>
          <w:rFonts w:cs="Arial"/>
        </w:rPr>
        <w:t> </w:t>
      </w:r>
      <w:r w:rsidRPr="000E5D29">
        <w:rPr>
          <w:rFonts w:cs="Arial"/>
        </w:rPr>
        <w:t xml:space="preserve">%. Do celkového počtu nově hlášených případů </w:t>
      </w:r>
      <w:r>
        <w:rPr>
          <w:rFonts w:cs="Arial"/>
        </w:rPr>
        <w:t xml:space="preserve">dočasné </w:t>
      </w:r>
      <w:r w:rsidRPr="000E5D29">
        <w:rPr>
          <w:rFonts w:cs="Arial"/>
        </w:rPr>
        <w:t xml:space="preserve">pracovní neschopnosti bylo zahrnuto 1 146,32 tis. případů pracovní neschopnosti </w:t>
      </w:r>
      <w:r w:rsidRPr="00B832C2">
        <w:rPr>
          <w:rFonts w:cs="Arial"/>
          <w:b/>
        </w:rPr>
        <w:t>pro nemoc</w:t>
      </w:r>
      <w:r w:rsidRPr="000E5D29">
        <w:rPr>
          <w:rFonts w:cs="Arial"/>
        </w:rPr>
        <w:t xml:space="preserve">, 45,06 tis. případů </w:t>
      </w:r>
      <w:r w:rsidRPr="00B832C2">
        <w:rPr>
          <w:rFonts w:cs="Arial"/>
          <w:b/>
        </w:rPr>
        <w:t>pro pracovní úraz</w:t>
      </w:r>
      <w:r w:rsidRPr="000E5D29">
        <w:rPr>
          <w:rFonts w:cs="Arial"/>
        </w:rPr>
        <w:t xml:space="preserve"> a 123,41 tis. případů </w:t>
      </w:r>
      <w:r w:rsidRPr="00B832C2">
        <w:rPr>
          <w:rFonts w:cs="Arial"/>
          <w:b/>
        </w:rPr>
        <w:t>ostatních úrazů</w:t>
      </w:r>
      <w:r w:rsidRPr="000E5D29">
        <w:rPr>
          <w:rFonts w:cs="Arial"/>
        </w:rPr>
        <w:t>. Podíl nemocí na počtu všech nově hlášených případů dočasné pracovní neschopnosti je dlouhodobě kolem 90</w:t>
      </w:r>
      <w:r>
        <w:rPr>
          <w:rFonts w:cs="Arial"/>
        </w:rPr>
        <w:t> </w:t>
      </w:r>
      <w:r w:rsidRPr="000E5D29">
        <w:rPr>
          <w:rFonts w:cs="Arial"/>
        </w:rPr>
        <w:t xml:space="preserve">% </w:t>
      </w:r>
      <w:r>
        <w:rPr>
          <w:rFonts w:cs="Arial"/>
        </w:rPr>
        <w:t>O</w:t>
      </w:r>
      <w:r w:rsidRPr="000E5D29">
        <w:rPr>
          <w:rFonts w:cs="Arial"/>
        </w:rPr>
        <w:t>statní úrazy mají v příčinách nových případů pracovní neschopnosti mírnou převahu nad úrazy pracovními. Tyto poměry zůstávají relativně stabilní, i když v posledních letech se podíl pracovních neschopností pro nemoci mírně snižuje. Legislativní změny způsobující snížení celkového počtu případů pracovních neschopností nejvíce působí právě na případy pracovní neschopnosti pro nemoc, zatímco počty případů pracovní neschopnosti pro úrazy ovlivňují již méně</w:t>
      </w:r>
      <w:r w:rsidRPr="000E5D29">
        <w:rPr>
          <w:rFonts w:cs="Arial"/>
          <w:b/>
        </w:rPr>
        <w:t>.</w:t>
      </w:r>
      <w:r>
        <w:rPr>
          <w:rFonts w:cs="Arial"/>
          <w:b/>
        </w:rPr>
        <w:t xml:space="preserve">  </w:t>
      </w:r>
    </w:p>
    <w:p w:rsidR="00624531" w:rsidRDefault="00624531" w:rsidP="00640187">
      <w:pPr>
        <w:jc w:val="both"/>
        <w:rPr>
          <w:rFonts w:cs="Arial"/>
          <w:b/>
        </w:rPr>
      </w:pPr>
    </w:p>
    <w:p w:rsidR="00624531" w:rsidRPr="00F65AC2" w:rsidRDefault="00624531" w:rsidP="00927F74">
      <w:pPr>
        <w:jc w:val="both"/>
        <w:rPr>
          <w:rFonts w:cs="Arial"/>
          <w:b/>
        </w:rPr>
      </w:pPr>
      <w:r w:rsidRPr="00F65AC2">
        <w:rPr>
          <w:rFonts w:cs="Arial"/>
          <w:b/>
        </w:rPr>
        <w:t>Graf 1: Počet pojištěnců a nově hlášených případů dočasné pracovní neschopnosti pro nemoc a úraz v letech 2003 - 2014</w:t>
      </w:r>
    </w:p>
    <w:p w:rsidR="00624531" w:rsidRPr="002A26CF" w:rsidRDefault="00624531" w:rsidP="00927F74">
      <w:pPr>
        <w:jc w:val="both"/>
        <w:rPr>
          <w:rFonts w:cs="Arial"/>
          <w:sz w:val="10"/>
          <w:szCs w:val="1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25pt">
            <v:imagedata r:id="rId11" o:title=""/>
          </v:shape>
        </w:pict>
      </w:r>
    </w:p>
    <w:p w:rsidR="00624531" w:rsidRDefault="00624531" w:rsidP="002175C5">
      <w:pPr>
        <w:spacing w:after="120"/>
        <w:jc w:val="both"/>
        <w:rPr>
          <w:rFonts w:cs="Arial"/>
          <w:b/>
        </w:rPr>
      </w:pPr>
      <w:r w:rsidRPr="009A2485">
        <w:rPr>
          <w:rFonts w:cs="Arial"/>
        </w:rPr>
        <w:t xml:space="preserve">Počet nově hlášených případů pracovní neschopnosti </w:t>
      </w:r>
      <w:r w:rsidRPr="00AF16F5">
        <w:rPr>
          <w:rFonts w:cs="Arial"/>
          <w:b/>
        </w:rPr>
        <w:t>žen</w:t>
      </w:r>
      <w:r w:rsidRPr="009A2485">
        <w:rPr>
          <w:rFonts w:cs="Arial"/>
        </w:rPr>
        <w:t xml:space="preserve"> celkem</w:t>
      </w:r>
      <w:r w:rsidRPr="000E5D29">
        <w:rPr>
          <w:rFonts w:cs="Arial"/>
        </w:rPr>
        <w:t xml:space="preserve"> se meziročně snížil z 693,31 tis. případů na 683,11 tis. případů v roce 2014 (tj. o 1,5</w:t>
      </w:r>
      <w:r>
        <w:rPr>
          <w:rFonts w:cs="Arial"/>
        </w:rPr>
        <w:t> </w:t>
      </w:r>
      <w:r w:rsidRPr="000E5D29">
        <w:rPr>
          <w:rFonts w:cs="Arial"/>
        </w:rPr>
        <w:t xml:space="preserve">%). Do celkového počtu nově hlášených případů </w:t>
      </w:r>
      <w:r>
        <w:rPr>
          <w:rFonts w:cs="Arial"/>
        </w:rPr>
        <w:t xml:space="preserve">dočasné </w:t>
      </w:r>
      <w:r w:rsidRPr="000E5D29">
        <w:rPr>
          <w:rFonts w:cs="Arial"/>
        </w:rPr>
        <w:t xml:space="preserve">pracovní neschopnosti </w:t>
      </w:r>
      <w:r>
        <w:rPr>
          <w:rFonts w:cs="Arial"/>
        </w:rPr>
        <w:t xml:space="preserve">žen </w:t>
      </w:r>
      <w:r w:rsidRPr="000E5D29">
        <w:rPr>
          <w:rFonts w:cs="Arial"/>
        </w:rPr>
        <w:t xml:space="preserve">bylo zahrnuto </w:t>
      </w:r>
      <w:r w:rsidRPr="006D1C49">
        <w:rPr>
          <w:rFonts w:cs="Arial"/>
        </w:rPr>
        <w:t>627,83</w:t>
      </w:r>
      <w:r w:rsidRPr="000E5D29">
        <w:rPr>
          <w:rFonts w:cs="Arial"/>
        </w:rPr>
        <w:t xml:space="preserve"> tis. případů pracovní neschopnosti pro nemoc, </w:t>
      </w:r>
      <w:r w:rsidRPr="006D1C49">
        <w:rPr>
          <w:rFonts w:cs="Arial"/>
        </w:rPr>
        <w:t xml:space="preserve">13,32 </w:t>
      </w:r>
      <w:r w:rsidRPr="000E5D29">
        <w:rPr>
          <w:rFonts w:cs="Arial"/>
        </w:rPr>
        <w:t xml:space="preserve">tis. případů pro pracovní úraz a </w:t>
      </w:r>
      <w:r w:rsidRPr="006D1C49">
        <w:rPr>
          <w:rFonts w:cs="Arial"/>
        </w:rPr>
        <w:t>41,96</w:t>
      </w:r>
      <w:r>
        <w:rPr>
          <w:rFonts w:cs="Arial"/>
        </w:rPr>
        <w:t xml:space="preserve"> </w:t>
      </w:r>
      <w:r w:rsidRPr="000E5D29">
        <w:rPr>
          <w:rFonts w:cs="Arial"/>
        </w:rPr>
        <w:t xml:space="preserve">tis. případů ostatních úrazů. Vyšší podíl žen na pracovní neschopnosti pro nemoc, patrně souvisí s mateřskou úlohou žen, u nichž mohou být důvodem pracovní neschopnosti také komplikace v těhotenství, potraty nebo také hospitalizacemi jako doprovod dítěte. </w:t>
      </w:r>
      <w:r>
        <w:rPr>
          <w:rFonts w:cs="Arial"/>
        </w:rPr>
        <w:t>Mezi pohlavími je ve skladbě důvodů dočasné pracovní neschopnosti</w:t>
      </w:r>
      <w:r w:rsidRPr="00AF16F5">
        <w:rPr>
          <w:rFonts w:cs="Arial"/>
        </w:rPr>
        <w:t xml:space="preserve"> </w:t>
      </w:r>
      <w:r>
        <w:rPr>
          <w:rFonts w:cs="Arial"/>
        </w:rPr>
        <w:t xml:space="preserve">dlouhodobě patrný rozdíl, zatímco u žen je častější dočasná pracovní neschopnost pro nemoc, muži výrazně dominují v počtu dočasné pracovní neschopnosti pro úrazy, jak pracovní tak ostatní. </w:t>
      </w:r>
      <w:r w:rsidRPr="000E5D29">
        <w:rPr>
          <w:rFonts w:cs="Arial"/>
        </w:rPr>
        <w:t>Případy pracovní neschopnosti z celkového počtu pracovních úrazů, jsou u žen hlášeny pouze u 29,6</w:t>
      </w:r>
      <w:r>
        <w:rPr>
          <w:rFonts w:cs="Arial"/>
        </w:rPr>
        <w:t> </w:t>
      </w:r>
      <w:r w:rsidRPr="000E5D29">
        <w:rPr>
          <w:rFonts w:cs="Arial"/>
        </w:rPr>
        <w:t>% což je dáno i odlišnou strukturou zaměstnanosti žen, oproti mužům</w:t>
      </w:r>
      <w:r w:rsidRPr="005B4602">
        <w:rPr>
          <w:rFonts w:cs="Arial"/>
          <w:b/>
        </w:rPr>
        <w:t>.</w:t>
      </w:r>
      <w:r w:rsidRPr="009447F4">
        <w:rPr>
          <w:rFonts w:cs="Arial"/>
        </w:rPr>
        <w:t xml:space="preserve"> </w:t>
      </w:r>
      <w:r w:rsidRPr="000E5D29">
        <w:rPr>
          <w:rFonts w:cs="Arial"/>
        </w:rPr>
        <w:t xml:space="preserve">Rozdíly mezi muži a ženami jsou </w:t>
      </w:r>
      <w:r>
        <w:rPr>
          <w:rFonts w:cs="Arial"/>
        </w:rPr>
        <w:t xml:space="preserve">ještě </w:t>
      </w:r>
      <w:r w:rsidRPr="000E5D29">
        <w:rPr>
          <w:rFonts w:cs="Arial"/>
        </w:rPr>
        <w:t>výraznější, pokud bereme v úvahu pouze případy pracovní neschopnosti po nemoc (muži 518,49 tis. případů, ženy 627,83 tis. případů).</w:t>
      </w:r>
      <w:r>
        <w:rPr>
          <w:rFonts w:cs="Arial"/>
        </w:rPr>
        <w:t xml:space="preserve"> </w:t>
      </w:r>
      <w:r w:rsidRPr="005B4602">
        <w:rPr>
          <w:rFonts w:cs="Arial"/>
          <w:b/>
        </w:rPr>
        <w:t xml:space="preserve"> </w:t>
      </w:r>
    </w:p>
    <w:p w:rsidR="00624531" w:rsidRDefault="00624531" w:rsidP="00010D38">
      <w:pPr>
        <w:jc w:val="both"/>
        <w:rPr>
          <w:rFonts w:cs="Arial"/>
        </w:rPr>
      </w:pPr>
      <w:r w:rsidRPr="00342412">
        <w:rPr>
          <w:rFonts w:cs="Arial"/>
          <w:b/>
        </w:rPr>
        <w:t>Z celorepublikového počtu</w:t>
      </w:r>
      <w:r>
        <w:rPr>
          <w:rFonts w:cs="Arial"/>
        </w:rPr>
        <w:t xml:space="preserve"> bylo nejvíce </w:t>
      </w:r>
      <w:r w:rsidRPr="005224D4">
        <w:rPr>
          <w:rFonts w:cs="Arial"/>
        </w:rPr>
        <w:t>nov</w:t>
      </w:r>
      <w:r>
        <w:rPr>
          <w:rFonts w:cs="Arial"/>
        </w:rPr>
        <w:t>ých</w:t>
      </w:r>
      <w:r w:rsidRPr="005224D4">
        <w:rPr>
          <w:rFonts w:cs="Arial"/>
        </w:rPr>
        <w:t xml:space="preserve"> případů</w:t>
      </w:r>
      <w:r w:rsidRPr="000D54EE">
        <w:rPr>
          <w:rFonts w:cs="Arial"/>
          <w:b/>
        </w:rPr>
        <w:t xml:space="preserve"> </w:t>
      </w:r>
      <w:r w:rsidRPr="005224D4">
        <w:rPr>
          <w:rFonts w:cs="Arial"/>
        </w:rPr>
        <w:t>dočasné pracovní neschopnost</w:t>
      </w:r>
      <w:r>
        <w:rPr>
          <w:rFonts w:cs="Arial"/>
        </w:rPr>
        <w:t xml:space="preserve">i </w:t>
      </w:r>
      <w:r w:rsidRPr="005B4602">
        <w:rPr>
          <w:rFonts w:cs="Arial"/>
        </w:rPr>
        <w:t xml:space="preserve">hlášeno </w:t>
      </w:r>
      <w:r w:rsidRPr="00F634D8">
        <w:rPr>
          <w:rFonts w:cs="Arial"/>
          <w:b/>
        </w:rPr>
        <w:t>u odvětví</w:t>
      </w:r>
      <w:r w:rsidRPr="005B4602">
        <w:rPr>
          <w:rFonts w:cs="Arial"/>
        </w:rPr>
        <w:t xml:space="preserve"> Zpracovatelský průmysl</w:t>
      </w:r>
      <w:r>
        <w:rPr>
          <w:rFonts w:cs="Arial"/>
        </w:rPr>
        <w:t xml:space="preserve"> (437,40 tis. případů) a u odvětví </w:t>
      </w:r>
      <w:r w:rsidRPr="005B4602">
        <w:rPr>
          <w:rFonts w:cs="Arial"/>
        </w:rPr>
        <w:t>Velkoobchod a maloobchod; opravy a údržba morových vozidel</w:t>
      </w:r>
      <w:r>
        <w:rPr>
          <w:rFonts w:cs="Arial"/>
        </w:rPr>
        <w:t xml:space="preserve"> (158,88 tis. případů), naopak nejméně byly hlášeny u odvětví </w:t>
      </w:r>
      <w:r w:rsidRPr="000E5D29">
        <w:rPr>
          <w:rFonts w:cs="Arial"/>
        </w:rPr>
        <w:t>Výroby, rozvodu elektřiny a jiných energií</w:t>
      </w:r>
      <w:r>
        <w:rPr>
          <w:rFonts w:cs="Arial"/>
        </w:rPr>
        <w:t xml:space="preserve"> (6,42 tis. případů) a u </w:t>
      </w:r>
      <w:r w:rsidRPr="000E5D29">
        <w:rPr>
          <w:rFonts w:cs="Arial"/>
        </w:rPr>
        <w:t>Činností v oblasti nemovitostí</w:t>
      </w:r>
      <w:r>
        <w:rPr>
          <w:rFonts w:cs="Arial"/>
        </w:rPr>
        <w:t xml:space="preserve"> (10,44 tis. případů).</w:t>
      </w:r>
      <w:r w:rsidRPr="005224D4">
        <w:rPr>
          <w:rFonts w:cs="Arial"/>
        </w:rPr>
        <w:t xml:space="preserve"> </w:t>
      </w:r>
      <w:r>
        <w:rPr>
          <w:rFonts w:cs="Arial"/>
        </w:rPr>
        <w:t xml:space="preserve">Nejvíce </w:t>
      </w:r>
      <w:r w:rsidRPr="005224D4">
        <w:rPr>
          <w:rFonts w:cs="Arial"/>
        </w:rPr>
        <w:t>nově hlášených případů</w:t>
      </w:r>
      <w:r w:rsidRPr="000D54EE">
        <w:rPr>
          <w:rFonts w:cs="Arial"/>
          <w:b/>
        </w:rPr>
        <w:t xml:space="preserve"> </w:t>
      </w:r>
      <w:r w:rsidRPr="005224D4">
        <w:rPr>
          <w:rFonts w:cs="Arial"/>
        </w:rPr>
        <w:t xml:space="preserve">dočasné pracovní neschopnosti </w:t>
      </w:r>
      <w:r w:rsidRPr="00F634D8">
        <w:rPr>
          <w:rFonts w:cs="Arial"/>
          <w:b/>
        </w:rPr>
        <w:t>pro nemoc</w:t>
      </w:r>
      <w:r>
        <w:rPr>
          <w:rFonts w:cs="Arial"/>
        </w:rPr>
        <w:t xml:space="preserve"> bylo evidováno </w:t>
      </w:r>
      <w:r w:rsidRPr="000E5D29">
        <w:rPr>
          <w:rFonts w:cs="Arial"/>
        </w:rPr>
        <w:t>v oblasti Zpracovatelsk</w:t>
      </w:r>
      <w:r>
        <w:rPr>
          <w:rFonts w:cs="Arial"/>
        </w:rPr>
        <w:t>ém</w:t>
      </w:r>
      <w:r w:rsidRPr="000E5D29">
        <w:rPr>
          <w:rFonts w:cs="Arial"/>
        </w:rPr>
        <w:t xml:space="preserve"> průmysl</w:t>
      </w:r>
      <w:r>
        <w:rPr>
          <w:rFonts w:cs="Arial"/>
        </w:rPr>
        <w:t xml:space="preserve">u (371,23 tis. případů), nejméně případů pro nemoc bylo hlášeno u </w:t>
      </w:r>
      <w:r w:rsidRPr="000E5D29">
        <w:rPr>
          <w:rFonts w:cs="Arial"/>
        </w:rPr>
        <w:t>Výroby, rozvodu elektřiny a jiných energií</w:t>
      </w:r>
      <w:r>
        <w:rPr>
          <w:rFonts w:cs="Arial"/>
        </w:rPr>
        <w:t xml:space="preserve"> (5,60) a u odvětví </w:t>
      </w:r>
      <w:r w:rsidRPr="000E5D29">
        <w:rPr>
          <w:rFonts w:cs="Arial"/>
        </w:rPr>
        <w:t>Činností v oblasti nemovitostí (</w:t>
      </w:r>
      <w:r>
        <w:rPr>
          <w:rFonts w:cs="Arial"/>
        </w:rPr>
        <w:t xml:space="preserve">9,26 tis. případů). Co se týče počtu nově hlášených případů dočasné pracovní neschopnosti z důvodu </w:t>
      </w:r>
      <w:r w:rsidRPr="00F634D8">
        <w:rPr>
          <w:rFonts w:cs="Arial"/>
          <w:b/>
        </w:rPr>
        <w:t>pracovní úrazovosti</w:t>
      </w:r>
      <w:r>
        <w:rPr>
          <w:rFonts w:cs="Arial"/>
        </w:rPr>
        <w:t>, což je zřejmě ukazatel vyjadřující mnohem věrohodněji „stupeň rizikovosti“ daného odvětví, n</w:t>
      </w:r>
      <w:r w:rsidRPr="000E5D29">
        <w:rPr>
          <w:rFonts w:cs="Arial"/>
        </w:rPr>
        <w:t xml:space="preserve">ejvíce </w:t>
      </w:r>
      <w:r>
        <w:rPr>
          <w:rFonts w:cs="Arial"/>
        </w:rPr>
        <w:t xml:space="preserve">nově hlášených </w:t>
      </w:r>
      <w:r w:rsidRPr="00DA01A4">
        <w:rPr>
          <w:rFonts w:cs="Arial"/>
        </w:rPr>
        <w:t xml:space="preserve">případů </w:t>
      </w:r>
      <w:r>
        <w:rPr>
          <w:rFonts w:cs="Arial"/>
        </w:rPr>
        <w:t xml:space="preserve">dočasné </w:t>
      </w:r>
      <w:r w:rsidRPr="00DA01A4">
        <w:rPr>
          <w:rFonts w:cs="Arial"/>
        </w:rPr>
        <w:t xml:space="preserve">pracovní neschopnosti </w:t>
      </w:r>
      <w:r>
        <w:rPr>
          <w:rFonts w:cs="Arial"/>
        </w:rPr>
        <w:t xml:space="preserve">pro pracovní úraz bylo hlášeno v odvětví </w:t>
      </w:r>
      <w:r w:rsidRPr="000E5D29">
        <w:rPr>
          <w:rFonts w:cs="Arial"/>
        </w:rPr>
        <w:t>Zpracovatelsk</w:t>
      </w:r>
      <w:r>
        <w:rPr>
          <w:rFonts w:cs="Arial"/>
        </w:rPr>
        <w:t>ého</w:t>
      </w:r>
      <w:r w:rsidRPr="000E5D29">
        <w:rPr>
          <w:rFonts w:cs="Arial"/>
        </w:rPr>
        <w:t xml:space="preserve"> průmysl</w:t>
      </w:r>
      <w:r>
        <w:rPr>
          <w:rFonts w:cs="Arial"/>
        </w:rPr>
        <w:t xml:space="preserve">u (19,28 tis. případů), naopak nejméně pracovních úrazů bylo hlášeno u oblasti </w:t>
      </w:r>
      <w:r w:rsidRPr="000E5D29">
        <w:rPr>
          <w:rFonts w:cs="Arial"/>
        </w:rPr>
        <w:t>Peněžnictví a pojišťovnictví</w:t>
      </w:r>
      <w:r>
        <w:rPr>
          <w:rFonts w:cs="Arial"/>
        </w:rPr>
        <w:t xml:space="preserve"> (</w:t>
      </w:r>
      <w:r>
        <w:rPr>
          <w:rFonts w:cs="Arial"/>
          <w:szCs w:val="20"/>
        </w:rPr>
        <w:t>0,10 tis. případů).</w:t>
      </w:r>
      <w:r>
        <w:rPr>
          <w:rFonts w:cs="Arial"/>
        </w:rPr>
        <w:t xml:space="preserve"> </w:t>
      </w:r>
      <w:r w:rsidRPr="000E5D29">
        <w:rPr>
          <w:rFonts w:cs="Arial"/>
        </w:rPr>
        <w:t xml:space="preserve">Nejvíce </w:t>
      </w:r>
      <w:r w:rsidRPr="00DA01A4">
        <w:rPr>
          <w:rFonts w:cs="Arial"/>
        </w:rPr>
        <w:t xml:space="preserve">případů </w:t>
      </w:r>
      <w:r>
        <w:rPr>
          <w:rFonts w:cs="Arial"/>
        </w:rPr>
        <w:t xml:space="preserve">dočasné </w:t>
      </w:r>
      <w:r w:rsidRPr="00DA01A4">
        <w:rPr>
          <w:rFonts w:cs="Arial"/>
        </w:rPr>
        <w:t xml:space="preserve">pracovní neschopnosti </w:t>
      </w:r>
      <w:r w:rsidRPr="00F634D8">
        <w:rPr>
          <w:rFonts w:cs="Arial"/>
          <w:b/>
        </w:rPr>
        <w:t>pro ostatní úraz</w:t>
      </w:r>
      <w:r>
        <w:rPr>
          <w:rFonts w:cs="Arial"/>
        </w:rPr>
        <w:t xml:space="preserve"> bylo hlášeno u </w:t>
      </w:r>
      <w:r w:rsidRPr="000E5D29">
        <w:rPr>
          <w:rFonts w:cs="Arial"/>
        </w:rPr>
        <w:t>Zpracovatelsk</w:t>
      </w:r>
      <w:r>
        <w:rPr>
          <w:rFonts w:cs="Arial"/>
        </w:rPr>
        <w:t xml:space="preserve">ého </w:t>
      </w:r>
      <w:r w:rsidRPr="000E5D29">
        <w:rPr>
          <w:rFonts w:cs="Arial"/>
        </w:rPr>
        <w:t>průmysl</w:t>
      </w:r>
      <w:r>
        <w:rPr>
          <w:rFonts w:cs="Arial"/>
        </w:rPr>
        <w:t xml:space="preserve">u (46,89 tis. případů) a u odvětví </w:t>
      </w:r>
      <w:r w:rsidRPr="008D3500">
        <w:rPr>
          <w:rFonts w:cs="Arial"/>
        </w:rPr>
        <w:t>Velkoobchod a maloobchod; opravy a údržba morových vozidel</w:t>
      </w:r>
      <w:r>
        <w:rPr>
          <w:rFonts w:cs="Arial"/>
        </w:rPr>
        <w:t xml:space="preserve"> (14,40 tis. případů), nejméně hlášených ostatních úrazů bylo u odvětví </w:t>
      </w:r>
      <w:r w:rsidRPr="000E5D29">
        <w:rPr>
          <w:rFonts w:cs="Arial"/>
        </w:rPr>
        <w:t>Výroby, rozvodu elektřiny a jiných energií</w:t>
      </w:r>
      <w:r>
        <w:rPr>
          <w:rFonts w:cs="Arial"/>
        </w:rPr>
        <w:t xml:space="preserve"> (0,68 tis. případů). Tyto absolutní údaje je však nutné posuzovat také v kontextu zaměstnanosti v daném odvětví, a proto má v případě odvětví vyšší vypovídací schopnost ukazatel relativní, například počet nově hlášených případů dočasné pracovní neschopnosti na 100 pojištěnců.</w:t>
      </w:r>
    </w:p>
    <w:p w:rsidR="00624531" w:rsidRDefault="00624531" w:rsidP="00010D38">
      <w:pPr>
        <w:jc w:val="both"/>
        <w:rPr>
          <w:rFonts w:cs="Arial"/>
          <w:noProof/>
        </w:rPr>
      </w:pPr>
    </w:p>
    <w:p w:rsidR="00624531" w:rsidRDefault="00624531" w:rsidP="00010D38">
      <w:pPr>
        <w:jc w:val="both"/>
        <w:rPr>
          <w:rFonts w:cs="Arial"/>
          <w:noProof/>
        </w:rPr>
      </w:pPr>
    </w:p>
    <w:p w:rsidR="00624531" w:rsidRDefault="00624531" w:rsidP="002175C5">
      <w:pPr>
        <w:spacing w:after="120"/>
        <w:jc w:val="both"/>
        <w:rPr>
          <w:rFonts w:cs="Arial"/>
        </w:rPr>
      </w:pPr>
      <w:r w:rsidRPr="00DB1BF3">
        <w:rPr>
          <w:rFonts w:cs="Arial"/>
          <w:b/>
          <w:u w:val="single"/>
        </w:rPr>
        <w:t>Počet nově hlášených případů dočasné pracovní neschopnosti na 100 pojištěnců</w:t>
      </w:r>
      <w:r w:rsidRPr="000E5D29">
        <w:rPr>
          <w:rFonts w:cs="Arial"/>
        </w:rPr>
        <w:t xml:space="preserve"> meziročně poklesl z 29,99</w:t>
      </w:r>
      <w:r>
        <w:rPr>
          <w:rFonts w:cs="Arial"/>
        </w:rPr>
        <w:t xml:space="preserve"> </w:t>
      </w:r>
      <w:r w:rsidRPr="000E5D29">
        <w:rPr>
          <w:rFonts w:cs="Arial"/>
        </w:rPr>
        <w:t>případů v roce 2013 na 29,45</w:t>
      </w:r>
      <w:r>
        <w:rPr>
          <w:rFonts w:cs="Arial"/>
        </w:rPr>
        <w:t xml:space="preserve"> </w:t>
      </w:r>
      <w:r w:rsidRPr="000E5D29">
        <w:rPr>
          <w:rFonts w:cs="Arial"/>
        </w:rPr>
        <w:t>případů v roce 2014 (tj. o 1,8 %)</w:t>
      </w:r>
      <w:r>
        <w:rPr>
          <w:rFonts w:cs="Arial"/>
        </w:rPr>
        <w:t>, z celkového počtu bylo u mužů hlášeno 27,79 případů (u žen 31,18 případů).</w:t>
      </w:r>
      <w:r w:rsidRPr="000E5D29">
        <w:rPr>
          <w:rFonts w:cs="Arial"/>
        </w:rPr>
        <w:t xml:space="preserve"> V roce 2014 bylo zapříčiněno </w:t>
      </w:r>
      <w:r w:rsidRPr="00D27230">
        <w:rPr>
          <w:rFonts w:cs="Arial"/>
        </w:rPr>
        <w:t xml:space="preserve">25,68 </w:t>
      </w:r>
      <w:r w:rsidRPr="000E5D29">
        <w:rPr>
          <w:rFonts w:cs="Arial"/>
        </w:rPr>
        <w:t xml:space="preserve">nově hlášených případů </w:t>
      </w:r>
      <w:r>
        <w:rPr>
          <w:rFonts w:cs="Arial"/>
        </w:rPr>
        <w:t xml:space="preserve">dočasné </w:t>
      </w:r>
      <w:r w:rsidRPr="000E5D29">
        <w:rPr>
          <w:rFonts w:cs="Arial"/>
        </w:rPr>
        <w:t xml:space="preserve">pracovní neschopnosti </w:t>
      </w:r>
      <w:r w:rsidRPr="00C22F2F">
        <w:rPr>
          <w:rFonts w:cs="Arial"/>
          <w:b/>
        </w:rPr>
        <w:t>nemocí</w:t>
      </w:r>
      <w:r w:rsidRPr="000E5D29">
        <w:rPr>
          <w:rFonts w:cs="Arial"/>
        </w:rPr>
        <w:t xml:space="preserve">, </w:t>
      </w:r>
      <w:r>
        <w:rPr>
          <w:rFonts w:cs="Arial"/>
        </w:rPr>
        <w:t>1</w:t>
      </w:r>
      <w:r w:rsidRPr="000E5D29">
        <w:rPr>
          <w:rFonts w:cs="Arial"/>
        </w:rPr>
        <w:t>,</w:t>
      </w:r>
      <w:r>
        <w:rPr>
          <w:rFonts w:cs="Arial"/>
        </w:rPr>
        <w:t>01</w:t>
      </w:r>
      <w:r w:rsidRPr="000E5D29">
        <w:rPr>
          <w:rFonts w:cs="Arial"/>
        </w:rPr>
        <w:t xml:space="preserve"> případů </w:t>
      </w:r>
      <w:r w:rsidRPr="00C22F2F">
        <w:rPr>
          <w:rFonts w:cs="Arial"/>
          <w:b/>
        </w:rPr>
        <w:t>pracovními úrazy</w:t>
      </w:r>
      <w:r w:rsidRPr="000E5D29">
        <w:rPr>
          <w:rFonts w:cs="Arial"/>
        </w:rPr>
        <w:t xml:space="preserve"> a </w:t>
      </w:r>
      <w:r>
        <w:rPr>
          <w:rFonts w:cs="Arial"/>
        </w:rPr>
        <w:t>2</w:t>
      </w:r>
      <w:r w:rsidRPr="000E5D29">
        <w:rPr>
          <w:rFonts w:cs="Arial"/>
        </w:rPr>
        <w:t>,</w:t>
      </w:r>
      <w:r>
        <w:rPr>
          <w:rFonts w:cs="Arial"/>
        </w:rPr>
        <w:t>76</w:t>
      </w:r>
      <w:r w:rsidRPr="000E5D29">
        <w:rPr>
          <w:rFonts w:cs="Arial"/>
        </w:rPr>
        <w:t xml:space="preserve"> případů ostatními </w:t>
      </w:r>
      <w:r w:rsidRPr="00C22F2F">
        <w:rPr>
          <w:rFonts w:cs="Arial"/>
          <w:b/>
        </w:rPr>
        <w:t>úrazy</w:t>
      </w:r>
      <w:r>
        <w:rPr>
          <w:rFonts w:cs="Arial"/>
        </w:rPr>
        <w:t xml:space="preserve">. </w:t>
      </w:r>
    </w:p>
    <w:p w:rsidR="00624531" w:rsidRDefault="00624531" w:rsidP="00CC2828">
      <w:pPr>
        <w:pStyle w:val="BodyTextIndent"/>
        <w:spacing w:line="288" w:lineRule="auto"/>
        <w:ind w:left="0"/>
        <w:jc w:val="both"/>
        <w:rPr>
          <w:rFonts w:cs="Arial"/>
        </w:rPr>
      </w:pPr>
      <w:r>
        <w:t xml:space="preserve">Nejjednodušším ukazatelem v oblasti dočasné pracovní neschopnosti, který odráží četnost jejího výskytu, je </w:t>
      </w:r>
      <w:r>
        <w:rPr>
          <w:b/>
          <w:bCs/>
        </w:rPr>
        <w:t>počet nově hlášených případů pracovní neschopnosti.</w:t>
      </w:r>
      <w:r>
        <w:t xml:space="preserve"> V souvislosti se změnami počtu nemocensky pojištěných osob je třeba hodnotit tento ukazatel v relativní výši, tj. ke stejnému počtu pojištěných. </w:t>
      </w:r>
      <w:r w:rsidRPr="00AF19A6">
        <w:rPr>
          <w:b/>
        </w:rPr>
        <w:t xml:space="preserve">Celková četnost výskytu </w:t>
      </w:r>
      <w:r>
        <w:rPr>
          <w:b/>
        </w:rPr>
        <w:t xml:space="preserve">dočasné </w:t>
      </w:r>
      <w:r w:rsidRPr="00AF19A6">
        <w:rPr>
          <w:b/>
        </w:rPr>
        <w:t xml:space="preserve">pracovní neschopnosti má dlouhodobě klesající tendenci. </w:t>
      </w:r>
      <w:r>
        <w:t>Zatímco v roce 1970 připadalo téměř 110 případů pracovní neschopnosti na 100 pojištěnců, bylo to v roce 1989 jen 101 případů, v 1990 dosahovala četnost nově hlášených případů pracovní neschopnosti 95 případů, v roce 2003 necelých 82 případů a v roce 2014 to bylo pouze 29,45 případů. Vývoj zmíněného ukazatele v průběhu celého období a v hlubším strukturálním členění ukazuje, že nejrychleji se snižoval počet nově hlášených případů z důvodu nemoci, dále z důvodu ostatních (nepracovních úrazů) a nejpomaleji z důvodu pracovních úrazů. Rychleji klesal počet nově hlášených případů pracovní neschopnosti mužů než žen. V případě žen je patrný vyšší podíl nově hlášených případů z důvodu nemoci, opačně tomu je v případě ostatních a pracovních úrazů.</w:t>
      </w:r>
    </w:p>
    <w:p w:rsidR="00624531" w:rsidRDefault="00624531" w:rsidP="00010D38">
      <w:pPr>
        <w:jc w:val="both"/>
        <w:rPr>
          <w:rFonts w:cs="Arial"/>
        </w:rPr>
      </w:pPr>
      <w:r w:rsidRPr="000E5D29">
        <w:rPr>
          <w:rFonts w:cs="Arial"/>
        </w:rPr>
        <w:t>Nejvíce případů pracovní neschopnosti na 100 pojištěnců v roce 2014 bylo hlášeno v Plzeňském kraji (35,53), Libereckém kraji (34,75)</w:t>
      </w:r>
      <w:r>
        <w:rPr>
          <w:rFonts w:cs="Arial"/>
        </w:rPr>
        <w:t>,</w:t>
      </w:r>
      <w:r w:rsidRPr="000E5D29">
        <w:rPr>
          <w:rFonts w:cs="Arial"/>
        </w:rPr>
        <w:t xml:space="preserve"> Karlovarském kraji (34,34)</w:t>
      </w:r>
      <w:r>
        <w:rPr>
          <w:rFonts w:cs="Arial"/>
        </w:rPr>
        <w:t>.</w:t>
      </w:r>
      <w:r w:rsidRPr="000E5D29">
        <w:rPr>
          <w:rFonts w:cs="Arial"/>
        </w:rPr>
        <w:t xml:space="preserve"> Nejméně pak v Hlavním městě Praha (25,76) a Olomouckém kraji (26,11). V roce 2014 byl rozdíl mezi kraji s nejvyšším a nejnižším počtem pracovní neschopnosti na 100 pojištěnců téměř 10 případů. </w:t>
      </w:r>
      <w:r w:rsidRPr="009A2485">
        <w:rPr>
          <w:rFonts w:cs="Arial"/>
        </w:rPr>
        <w:t xml:space="preserve">Počet nově hlášených případů </w:t>
      </w:r>
      <w:r>
        <w:rPr>
          <w:rFonts w:cs="Arial"/>
        </w:rPr>
        <w:t xml:space="preserve">dočasné </w:t>
      </w:r>
      <w:r w:rsidRPr="009A2485">
        <w:rPr>
          <w:rFonts w:cs="Arial"/>
        </w:rPr>
        <w:t>pracovní neschopnosti na 100 žen</w:t>
      </w:r>
      <w:r w:rsidRPr="000E5D29">
        <w:rPr>
          <w:rFonts w:cs="Arial"/>
        </w:rPr>
        <w:t xml:space="preserve"> meziročně klesl z 31,81 případů v roce 2013 na 31,18 případů v roce 2014 (tj. o 2 %). V roce 2014 bylo zapříčiněno 28,65 nově hlášených případů </w:t>
      </w:r>
      <w:r>
        <w:rPr>
          <w:rFonts w:cs="Arial"/>
        </w:rPr>
        <w:t xml:space="preserve">dočasné </w:t>
      </w:r>
      <w:r w:rsidRPr="000E5D29">
        <w:rPr>
          <w:rFonts w:cs="Arial"/>
        </w:rPr>
        <w:t xml:space="preserve">pracovní neschopnosti na 100 žen nemocí, 0,61 případů pracovními úrazy a 1,91 případů ostatními úrazy. </w:t>
      </w:r>
      <w:r w:rsidRPr="009D2785">
        <w:rPr>
          <w:rFonts w:cs="Arial"/>
          <w:b/>
        </w:rPr>
        <w:t xml:space="preserve">Rozdíly intenzity dočasné pracovní neschopnosti </w:t>
      </w:r>
      <w:r w:rsidRPr="000E5D29">
        <w:rPr>
          <w:rFonts w:cs="Arial"/>
        </w:rPr>
        <w:t>podle územního členění jsou značně ovlivněny strukturou zaměstnanosti, charakterem převažující ekonomické činnosti a mírou nezaměstnanosti v daném regionu.</w:t>
      </w:r>
    </w:p>
    <w:p w:rsidR="00624531" w:rsidRDefault="00624531" w:rsidP="00010D38">
      <w:pPr>
        <w:jc w:val="both"/>
        <w:rPr>
          <w:rFonts w:cs="Arial"/>
        </w:rPr>
      </w:pPr>
    </w:p>
    <w:p w:rsidR="00624531" w:rsidRDefault="00624531" w:rsidP="00010D38">
      <w:pPr>
        <w:jc w:val="both"/>
        <w:rPr>
          <w:rFonts w:cs="Arial"/>
        </w:rPr>
      </w:pPr>
    </w:p>
    <w:p w:rsidR="00624531" w:rsidRDefault="00624531" w:rsidP="00010D38">
      <w:pPr>
        <w:jc w:val="both"/>
        <w:rPr>
          <w:rFonts w:cs="Arial"/>
        </w:rPr>
      </w:pPr>
    </w:p>
    <w:p w:rsidR="00624531" w:rsidRDefault="00624531" w:rsidP="00010D38">
      <w:pPr>
        <w:jc w:val="both"/>
        <w:rPr>
          <w:rFonts w:cs="Arial"/>
        </w:rPr>
      </w:pPr>
    </w:p>
    <w:p w:rsidR="00624531" w:rsidRDefault="00624531" w:rsidP="002175C5">
      <w:pPr>
        <w:jc w:val="both"/>
        <w:rPr>
          <w:rFonts w:cs="Arial"/>
          <w:b/>
        </w:rPr>
      </w:pPr>
      <w:r w:rsidRPr="005F222A">
        <w:rPr>
          <w:rFonts w:cs="Arial"/>
          <w:b/>
        </w:rPr>
        <w:t>Graf 2: Počet případů dočasné pracovní neschopnosti na 100 pojištěnců a průměrné trvání dočasné pracovní neschopnosti v krajích v ČR v roce 2014</w:t>
      </w:r>
    </w:p>
    <w:p w:rsidR="00624531" w:rsidRDefault="00624531" w:rsidP="002175C5">
      <w:pPr>
        <w:jc w:val="both"/>
        <w:rPr>
          <w:rFonts w:cs="Arial"/>
          <w:b/>
        </w:rPr>
      </w:pPr>
      <w:r>
        <w:pict>
          <v:shape id="_x0000_i1026" type="#_x0000_t75" style="width:475.5pt;height:211.5pt">
            <v:imagedata r:id="rId12" o:title=""/>
          </v:shape>
        </w:pict>
      </w:r>
    </w:p>
    <w:p w:rsidR="00624531" w:rsidRDefault="00624531" w:rsidP="00010D38">
      <w:pPr>
        <w:jc w:val="both"/>
        <w:rPr>
          <w:rFonts w:cs="Arial"/>
        </w:rPr>
      </w:pPr>
    </w:p>
    <w:p w:rsidR="00624531" w:rsidRDefault="00624531" w:rsidP="00010D38">
      <w:pPr>
        <w:jc w:val="both"/>
        <w:rPr>
          <w:rFonts w:cs="Arial"/>
        </w:rPr>
      </w:pPr>
      <w:r w:rsidRPr="009D2785">
        <w:rPr>
          <w:rFonts w:cs="Arial"/>
        </w:rPr>
        <w:t>Nejvíce případů</w:t>
      </w:r>
      <w:r w:rsidRPr="00DA01A4">
        <w:rPr>
          <w:rFonts w:cs="Arial"/>
        </w:rPr>
        <w:t xml:space="preserve"> </w:t>
      </w:r>
      <w:r>
        <w:rPr>
          <w:rFonts w:cs="Arial"/>
        </w:rPr>
        <w:t xml:space="preserve">dočasné </w:t>
      </w:r>
      <w:r w:rsidRPr="00DA01A4">
        <w:rPr>
          <w:rFonts w:cs="Arial"/>
        </w:rPr>
        <w:t>pracovní neschopnosti na 100 pojištěnců</w:t>
      </w:r>
      <w:r w:rsidRPr="000E5D29">
        <w:rPr>
          <w:rFonts w:cs="Arial"/>
        </w:rPr>
        <w:t xml:space="preserve"> </w:t>
      </w:r>
      <w:r>
        <w:rPr>
          <w:rFonts w:cs="Arial"/>
        </w:rPr>
        <w:t xml:space="preserve">celkem </w:t>
      </w:r>
      <w:r w:rsidRPr="000E5D29">
        <w:rPr>
          <w:rFonts w:cs="Arial"/>
        </w:rPr>
        <w:t xml:space="preserve">v roce 2014 </w:t>
      </w:r>
      <w:r w:rsidRPr="005561CF">
        <w:rPr>
          <w:rFonts w:cs="Arial"/>
          <w:b/>
        </w:rPr>
        <w:t>bylo evidováno</w:t>
      </w:r>
      <w:r w:rsidRPr="000E5D29">
        <w:rPr>
          <w:rFonts w:cs="Arial"/>
        </w:rPr>
        <w:t xml:space="preserve"> </w:t>
      </w:r>
      <w:r w:rsidRPr="00F634D8">
        <w:rPr>
          <w:rFonts w:cs="Arial"/>
          <w:b/>
        </w:rPr>
        <w:t>v oblasti</w:t>
      </w:r>
      <w:r w:rsidRPr="000E5D29">
        <w:rPr>
          <w:rFonts w:cs="Arial"/>
        </w:rPr>
        <w:t xml:space="preserve"> Administrativní a podpůrné činnosti (40,30), následuje Zpracovatelský průmysl (</w:t>
      </w:r>
      <w:r>
        <w:rPr>
          <w:rFonts w:cs="Arial"/>
        </w:rPr>
        <w:t>37</w:t>
      </w:r>
      <w:r w:rsidRPr="000E5D29">
        <w:rPr>
          <w:rFonts w:cs="Arial"/>
        </w:rPr>
        <w:t>,</w:t>
      </w:r>
      <w:r>
        <w:rPr>
          <w:rFonts w:cs="Arial"/>
        </w:rPr>
        <w:t>69</w:t>
      </w:r>
      <w:r w:rsidRPr="000E5D29">
        <w:rPr>
          <w:rFonts w:cs="Arial"/>
        </w:rPr>
        <w:t>) a dále u fyzicky náročných činností v </w:t>
      </w:r>
      <w:r>
        <w:rPr>
          <w:rFonts w:cs="Arial"/>
        </w:rPr>
        <w:t xml:space="preserve"> </w:t>
      </w:r>
      <w:r w:rsidRPr="000E5D29">
        <w:rPr>
          <w:rFonts w:cs="Arial"/>
        </w:rPr>
        <w:t xml:space="preserve">oblasti Těžba a dobývání (35,96). Nejméně časté případy pracovní neschopnosti na 100 pojištěnců v roce 2014 byly evidovány u a osob </w:t>
      </w:r>
      <w:r>
        <w:rPr>
          <w:rFonts w:cs="Arial"/>
        </w:rPr>
        <w:t xml:space="preserve">v odvětví </w:t>
      </w:r>
      <w:r w:rsidRPr="000E5D29">
        <w:rPr>
          <w:rFonts w:cs="Arial"/>
        </w:rPr>
        <w:t xml:space="preserve">zabývajících </w:t>
      </w:r>
      <w:r>
        <w:rPr>
          <w:rFonts w:cs="Arial"/>
        </w:rPr>
        <w:t xml:space="preserve">se </w:t>
      </w:r>
      <w:r w:rsidRPr="000E5D29">
        <w:rPr>
          <w:rFonts w:cs="Arial"/>
        </w:rPr>
        <w:t>Činnost</w:t>
      </w:r>
      <w:r>
        <w:rPr>
          <w:rFonts w:cs="Arial"/>
        </w:rPr>
        <w:t>í</w:t>
      </w:r>
      <w:r w:rsidRPr="000E5D29">
        <w:rPr>
          <w:rFonts w:cs="Arial"/>
        </w:rPr>
        <w:t xml:space="preserve"> exteritoriálních organizací a orgánů</w:t>
      </w:r>
      <w:r>
        <w:rPr>
          <w:rFonts w:cs="Arial"/>
        </w:rPr>
        <w:t xml:space="preserve"> (4,55), </w:t>
      </w:r>
      <w:r w:rsidRPr="000E5D29">
        <w:rPr>
          <w:rFonts w:cs="Arial"/>
        </w:rPr>
        <w:t>Činností v oblasti nemovitostí (13,97), nízký počet případů byl hlášen</w:t>
      </w:r>
      <w:r>
        <w:rPr>
          <w:rFonts w:cs="Arial"/>
        </w:rPr>
        <w:t xml:space="preserve"> i </w:t>
      </w:r>
      <w:r w:rsidRPr="000E5D29">
        <w:rPr>
          <w:rFonts w:cs="Arial"/>
        </w:rPr>
        <w:t>v Profesních, vědeckých a technických činnostech (18,33) a také ve skupině Výroby, rozvodu elektřiny a jiných energií (19,69).</w:t>
      </w:r>
      <w:r>
        <w:rPr>
          <w:rFonts w:cs="Arial"/>
        </w:rPr>
        <w:t xml:space="preserve"> Z celorepublikového celkového počtu bylo n</w:t>
      </w:r>
      <w:r w:rsidRPr="000E5D29">
        <w:rPr>
          <w:rFonts w:cs="Arial"/>
        </w:rPr>
        <w:t xml:space="preserve">ejvíce </w:t>
      </w:r>
      <w:r w:rsidRPr="00DA01A4">
        <w:rPr>
          <w:rFonts w:cs="Arial"/>
        </w:rPr>
        <w:t xml:space="preserve">případů </w:t>
      </w:r>
      <w:r>
        <w:rPr>
          <w:rFonts w:cs="Arial"/>
        </w:rPr>
        <w:t xml:space="preserve">dočasné </w:t>
      </w:r>
      <w:r w:rsidRPr="00DA01A4">
        <w:rPr>
          <w:rFonts w:cs="Arial"/>
        </w:rPr>
        <w:t>pracovní neschopnosti na 100 pojištěnců</w:t>
      </w:r>
      <w:r>
        <w:rPr>
          <w:rFonts w:cs="Arial"/>
        </w:rPr>
        <w:t xml:space="preserve"> </w:t>
      </w:r>
      <w:r w:rsidRPr="005561CF">
        <w:rPr>
          <w:rFonts w:cs="Arial"/>
          <w:b/>
        </w:rPr>
        <w:t>pro nemoc</w:t>
      </w:r>
      <w:r>
        <w:rPr>
          <w:rFonts w:cs="Arial"/>
        </w:rPr>
        <w:t xml:space="preserve"> evidováno </w:t>
      </w:r>
      <w:r w:rsidRPr="000E5D29">
        <w:rPr>
          <w:rFonts w:cs="Arial"/>
        </w:rPr>
        <w:t>v oblasti Administrativní a podpůrné činnosti (</w:t>
      </w:r>
      <w:r>
        <w:rPr>
          <w:rFonts w:cs="Arial"/>
        </w:rPr>
        <w:t xml:space="preserve">35,97) a </w:t>
      </w:r>
      <w:r w:rsidRPr="000E5D29">
        <w:rPr>
          <w:rFonts w:cs="Arial"/>
        </w:rPr>
        <w:t>Zpracovatelsk</w:t>
      </w:r>
      <w:r>
        <w:rPr>
          <w:rFonts w:cs="Arial"/>
        </w:rPr>
        <w:t>ém</w:t>
      </w:r>
      <w:r w:rsidRPr="000E5D29">
        <w:rPr>
          <w:rFonts w:cs="Arial"/>
        </w:rPr>
        <w:t xml:space="preserve"> průmysl</w:t>
      </w:r>
      <w:r>
        <w:rPr>
          <w:rFonts w:cs="Arial"/>
        </w:rPr>
        <w:t>u</w:t>
      </w:r>
      <w:r w:rsidRPr="000E5D29">
        <w:rPr>
          <w:rFonts w:cs="Arial"/>
        </w:rPr>
        <w:t xml:space="preserve"> (3</w:t>
      </w:r>
      <w:r>
        <w:rPr>
          <w:rFonts w:cs="Arial"/>
        </w:rPr>
        <w:t>1</w:t>
      </w:r>
      <w:r w:rsidRPr="000E5D29">
        <w:rPr>
          <w:rFonts w:cs="Arial"/>
        </w:rPr>
        <w:t>,9</w:t>
      </w:r>
      <w:r>
        <w:rPr>
          <w:rFonts w:cs="Arial"/>
        </w:rPr>
        <w:t>9</w:t>
      </w:r>
      <w:r w:rsidRPr="000E5D29">
        <w:rPr>
          <w:rFonts w:cs="Arial"/>
        </w:rPr>
        <w:t>)</w:t>
      </w:r>
      <w:r>
        <w:rPr>
          <w:rFonts w:cs="Arial"/>
        </w:rPr>
        <w:t>, n</w:t>
      </w:r>
      <w:r w:rsidRPr="000E5D29">
        <w:rPr>
          <w:rFonts w:cs="Arial"/>
        </w:rPr>
        <w:t xml:space="preserve">ejméně </w:t>
      </w:r>
      <w:r>
        <w:rPr>
          <w:rFonts w:cs="Arial"/>
        </w:rPr>
        <w:t xml:space="preserve">případů pro nemoc pak u </w:t>
      </w:r>
      <w:r w:rsidRPr="000E5D29">
        <w:rPr>
          <w:rFonts w:cs="Arial"/>
        </w:rPr>
        <w:t>Činnosti exteritoriálních organizací a orgánů</w:t>
      </w:r>
      <w:r>
        <w:rPr>
          <w:rFonts w:cs="Arial"/>
        </w:rPr>
        <w:t xml:space="preserve"> (4,55) a u </w:t>
      </w:r>
      <w:r w:rsidRPr="002F0AD0">
        <w:rPr>
          <w:rFonts w:cs="Arial"/>
        </w:rPr>
        <w:t>Činnosti v oblasti nemovitostí</w:t>
      </w:r>
      <w:r>
        <w:rPr>
          <w:rFonts w:cs="Arial"/>
        </w:rPr>
        <w:t xml:space="preserve"> (12,39). </w:t>
      </w:r>
      <w:r w:rsidRPr="000E5D29">
        <w:rPr>
          <w:rFonts w:cs="Arial"/>
        </w:rPr>
        <w:t xml:space="preserve">Nejvíce </w:t>
      </w:r>
      <w:r w:rsidRPr="00DA01A4">
        <w:rPr>
          <w:rFonts w:cs="Arial"/>
        </w:rPr>
        <w:t xml:space="preserve">případů </w:t>
      </w:r>
      <w:r>
        <w:rPr>
          <w:rFonts w:cs="Arial"/>
        </w:rPr>
        <w:t xml:space="preserve">dočasné </w:t>
      </w:r>
      <w:r w:rsidRPr="00DA01A4">
        <w:rPr>
          <w:rFonts w:cs="Arial"/>
        </w:rPr>
        <w:t>pracovní neschopnosti na 100 pojištěnců</w:t>
      </w:r>
      <w:r>
        <w:rPr>
          <w:rFonts w:cs="Arial"/>
        </w:rPr>
        <w:t xml:space="preserve"> </w:t>
      </w:r>
      <w:r w:rsidRPr="005561CF">
        <w:rPr>
          <w:rFonts w:cs="Arial"/>
          <w:b/>
        </w:rPr>
        <w:t>pro pracovní</w:t>
      </w:r>
      <w:r>
        <w:rPr>
          <w:rFonts w:cs="Arial"/>
        </w:rPr>
        <w:t xml:space="preserve"> </w:t>
      </w:r>
      <w:r w:rsidRPr="005F222A">
        <w:rPr>
          <w:rFonts w:cs="Arial"/>
          <w:b/>
        </w:rPr>
        <w:t>úraz</w:t>
      </w:r>
      <w:r>
        <w:rPr>
          <w:rFonts w:cs="Arial"/>
        </w:rPr>
        <w:t xml:space="preserve"> bylo hlášeno u oblasti </w:t>
      </w:r>
      <w:r w:rsidRPr="000E5D29">
        <w:rPr>
          <w:rFonts w:cs="Arial"/>
        </w:rPr>
        <w:t>Zemědělství, lesnictví a rybářství (</w:t>
      </w:r>
      <w:r>
        <w:rPr>
          <w:rFonts w:cs="Arial"/>
        </w:rPr>
        <w:t>2,37)</w:t>
      </w:r>
      <w:r>
        <w:rPr>
          <w:rFonts w:cs="Arial"/>
          <w:szCs w:val="20"/>
        </w:rPr>
        <w:t xml:space="preserve">, dále u oblasti </w:t>
      </w:r>
      <w:r w:rsidRPr="00B26988">
        <w:rPr>
          <w:rFonts w:cs="Arial"/>
        </w:rPr>
        <w:t>Zásobování vodou; činnosti související s odpadními vodami, odpady a sanacemi</w:t>
      </w:r>
      <w:r>
        <w:rPr>
          <w:rFonts w:cs="Arial"/>
        </w:rPr>
        <w:t xml:space="preserve"> (1,66) a </w:t>
      </w:r>
      <w:r w:rsidRPr="000E5D29">
        <w:rPr>
          <w:rFonts w:cs="Arial"/>
        </w:rPr>
        <w:t>v oblasti Těžba a dobývání (</w:t>
      </w:r>
      <w:r>
        <w:rPr>
          <w:rFonts w:cs="Arial"/>
        </w:rPr>
        <w:t xml:space="preserve">1,49), naopak nejméně pracovních úrazů je hlášeno u </w:t>
      </w:r>
      <w:r w:rsidRPr="000E5D29">
        <w:rPr>
          <w:rFonts w:cs="Arial"/>
          <w:szCs w:val="20"/>
        </w:rPr>
        <w:t>Informačních a komunikačních činností</w:t>
      </w:r>
      <w:r>
        <w:rPr>
          <w:rFonts w:cs="Arial"/>
          <w:szCs w:val="20"/>
        </w:rPr>
        <w:t xml:space="preserve"> (0,10) a </w:t>
      </w:r>
      <w:r w:rsidRPr="000E5D29">
        <w:rPr>
          <w:rFonts w:cs="Arial"/>
        </w:rPr>
        <w:t>Peněžnictví a pojišťovnictví</w:t>
      </w:r>
      <w:r>
        <w:rPr>
          <w:rFonts w:cs="Arial"/>
        </w:rPr>
        <w:t xml:space="preserve"> (0,11). </w:t>
      </w:r>
      <w:r w:rsidRPr="000E5D29">
        <w:rPr>
          <w:rFonts w:cs="Arial"/>
        </w:rPr>
        <w:t xml:space="preserve">Nejvíce </w:t>
      </w:r>
      <w:r w:rsidRPr="00DA01A4">
        <w:rPr>
          <w:rFonts w:cs="Arial"/>
        </w:rPr>
        <w:t xml:space="preserve">případů </w:t>
      </w:r>
      <w:r>
        <w:rPr>
          <w:rFonts w:cs="Arial"/>
        </w:rPr>
        <w:t xml:space="preserve">dočasné </w:t>
      </w:r>
      <w:r w:rsidRPr="00DA01A4">
        <w:rPr>
          <w:rFonts w:cs="Arial"/>
        </w:rPr>
        <w:t>pracovní neschopnosti na 100 pojištěnců</w:t>
      </w:r>
      <w:r>
        <w:rPr>
          <w:rFonts w:cs="Arial"/>
        </w:rPr>
        <w:t xml:space="preserve"> </w:t>
      </w:r>
      <w:r w:rsidRPr="005561CF">
        <w:rPr>
          <w:rFonts w:cs="Arial"/>
          <w:b/>
        </w:rPr>
        <w:t>pro ostatní úraz</w:t>
      </w:r>
      <w:r>
        <w:rPr>
          <w:rFonts w:cs="Arial"/>
        </w:rPr>
        <w:t xml:space="preserve"> bylo hlášeno pro oblast</w:t>
      </w:r>
      <w:r w:rsidRPr="00E80628">
        <w:rPr>
          <w:rFonts w:cs="Arial"/>
        </w:rPr>
        <w:t xml:space="preserve"> </w:t>
      </w:r>
      <w:r w:rsidRPr="000E5D29">
        <w:rPr>
          <w:rFonts w:cs="Arial"/>
        </w:rPr>
        <w:t>Těžba a dobývání (</w:t>
      </w:r>
      <w:r>
        <w:rPr>
          <w:rFonts w:cs="Arial"/>
        </w:rPr>
        <w:t xml:space="preserve">4,60) a </w:t>
      </w:r>
      <w:r w:rsidRPr="000E5D29">
        <w:rPr>
          <w:rFonts w:cs="Arial"/>
        </w:rPr>
        <w:t>Zpracovatelsk</w:t>
      </w:r>
      <w:r>
        <w:rPr>
          <w:rFonts w:cs="Arial"/>
        </w:rPr>
        <w:t>ém</w:t>
      </w:r>
      <w:r w:rsidRPr="000E5D29">
        <w:rPr>
          <w:rFonts w:cs="Arial"/>
        </w:rPr>
        <w:t xml:space="preserve"> průmysl</w:t>
      </w:r>
      <w:r>
        <w:rPr>
          <w:rFonts w:cs="Arial"/>
        </w:rPr>
        <w:t xml:space="preserve">u (4,04), nejméně případů pro ostatní úraz bylo hlášeno u </w:t>
      </w:r>
      <w:r w:rsidRPr="000E5D29">
        <w:rPr>
          <w:rFonts w:cs="Arial"/>
          <w:szCs w:val="20"/>
        </w:rPr>
        <w:t>Informačních a komunikačních činností</w:t>
      </w:r>
      <w:r>
        <w:rPr>
          <w:rFonts w:cs="Arial"/>
          <w:szCs w:val="20"/>
        </w:rPr>
        <w:t xml:space="preserve"> (1,12)</w:t>
      </w:r>
      <w:r w:rsidRPr="003C4DC2">
        <w:rPr>
          <w:rFonts w:cs="Arial"/>
          <w:szCs w:val="20"/>
        </w:rPr>
        <w:t xml:space="preserve"> </w:t>
      </w:r>
      <w:r>
        <w:rPr>
          <w:rFonts w:cs="Arial"/>
          <w:szCs w:val="20"/>
        </w:rPr>
        <w:t xml:space="preserve">a </w:t>
      </w:r>
      <w:r w:rsidRPr="000E5D29">
        <w:rPr>
          <w:rFonts w:cs="Arial"/>
        </w:rPr>
        <w:t>Peněžnictví a pojišťovnictví</w:t>
      </w:r>
      <w:r>
        <w:rPr>
          <w:rFonts w:cs="Arial"/>
        </w:rPr>
        <w:t xml:space="preserve"> (1,24). </w:t>
      </w:r>
    </w:p>
    <w:p w:rsidR="00624531" w:rsidRDefault="00624531" w:rsidP="00010D38">
      <w:pPr>
        <w:jc w:val="both"/>
        <w:rPr>
          <w:rFonts w:cs="Arial"/>
        </w:rPr>
      </w:pPr>
    </w:p>
    <w:p w:rsidR="00624531" w:rsidRPr="005F222A" w:rsidRDefault="00624531" w:rsidP="005F222A">
      <w:pPr>
        <w:jc w:val="both"/>
        <w:rPr>
          <w:rFonts w:cs="Arial"/>
          <w:b/>
        </w:rPr>
      </w:pPr>
    </w:p>
    <w:p w:rsidR="00624531" w:rsidRDefault="00624531" w:rsidP="009D2785">
      <w:pPr>
        <w:pStyle w:val="BodyTextIndent"/>
        <w:spacing w:line="288" w:lineRule="auto"/>
        <w:ind w:left="0"/>
        <w:jc w:val="both"/>
        <w:rPr>
          <w:rFonts w:cs="Arial"/>
        </w:rPr>
      </w:pPr>
      <w:bookmarkStart w:id="0" w:name="RANGE!C4:J29"/>
      <w:bookmarkEnd w:id="0"/>
      <w:r w:rsidRPr="00DB1BF3">
        <w:rPr>
          <w:rFonts w:cs="Arial"/>
          <w:b/>
          <w:u w:val="single"/>
        </w:rPr>
        <w:t>Průměrná délka trvání 1 případu dočasné pracovní neschopnosti</w:t>
      </w:r>
      <w:r w:rsidRPr="000E5D29">
        <w:rPr>
          <w:rFonts w:cs="Arial"/>
        </w:rPr>
        <w:t xml:space="preserve"> se meziročně zvýšila ze 44</w:t>
      </w:r>
      <w:r>
        <w:rPr>
          <w:rFonts w:cs="Arial"/>
        </w:rPr>
        <w:t xml:space="preserve"> </w:t>
      </w:r>
      <w:r w:rsidRPr="000E5D29">
        <w:rPr>
          <w:rFonts w:cs="Arial"/>
        </w:rPr>
        <w:t>dní v roce 2013 na 45,81 dn</w:t>
      </w:r>
      <w:r>
        <w:rPr>
          <w:rFonts w:cs="Arial"/>
        </w:rPr>
        <w:t>e</w:t>
      </w:r>
      <w:r w:rsidRPr="000E5D29">
        <w:rPr>
          <w:rFonts w:cs="Arial"/>
        </w:rPr>
        <w:t xml:space="preserve"> v roce 2014</w:t>
      </w:r>
      <w:r>
        <w:rPr>
          <w:rFonts w:cs="Arial"/>
        </w:rPr>
        <w:t xml:space="preserve">. </w:t>
      </w:r>
      <w:r w:rsidRPr="000E5D29">
        <w:rPr>
          <w:rFonts w:cs="Arial"/>
        </w:rPr>
        <w:t xml:space="preserve">Do celkového počtu </w:t>
      </w:r>
      <w:r>
        <w:rPr>
          <w:rFonts w:cs="Arial"/>
        </w:rPr>
        <w:t xml:space="preserve">délky trvání 1 případu dočasné pracovní neschopnosti </w:t>
      </w:r>
      <w:r w:rsidRPr="000E5D29">
        <w:rPr>
          <w:rFonts w:cs="Arial"/>
        </w:rPr>
        <w:t xml:space="preserve">bylo zahrnuto </w:t>
      </w:r>
      <w:r>
        <w:rPr>
          <w:rFonts w:cs="Arial"/>
        </w:rPr>
        <w:t xml:space="preserve">44,57 dne </w:t>
      </w:r>
      <w:r w:rsidRPr="00DF6C6B">
        <w:rPr>
          <w:rFonts w:cs="Arial"/>
          <w:b/>
        </w:rPr>
        <w:t>pro nemoc</w:t>
      </w:r>
      <w:r>
        <w:rPr>
          <w:rFonts w:cs="Arial"/>
        </w:rPr>
        <w:t>, 54,30 dne</w:t>
      </w:r>
      <w:r w:rsidRPr="000E5D29">
        <w:rPr>
          <w:rFonts w:cs="Arial"/>
        </w:rPr>
        <w:t xml:space="preserve"> </w:t>
      </w:r>
      <w:r w:rsidRPr="00DF6C6B">
        <w:rPr>
          <w:rFonts w:cs="Arial"/>
          <w:b/>
        </w:rPr>
        <w:t>pro pracovní úraz</w:t>
      </w:r>
      <w:r w:rsidRPr="000E5D29">
        <w:rPr>
          <w:rFonts w:cs="Arial"/>
        </w:rPr>
        <w:t xml:space="preserve"> a </w:t>
      </w:r>
      <w:r>
        <w:rPr>
          <w:rFonts w:cs="Arial"/>
        </w:rPr>
        <w:t xml:space="preserve">54,25 dne </w:t>
      </w:r>
      <w:r w:rsidRPr="00DF6C6B">
        <w:rPr>
          <w:rFonts w:cs="Arial"/>
          <w:b/>
        </w:rPr>
        <w:t>pro ostatní úraz</w:t>
      </w:r>
      <w:r>
        <w:rPr>
          <w:rFonts w:cs="Arial"/>
        </w:rPr>
        <w:t xml:space="preserve">. </w:t>
      </w:r>
      <w:r w:rsidRPr="000E5D29">
        <w:rPr>
          <w:rFonts w:cs="Arial"/>
        </w:rPr>
        <w:t>Nejdelší průměrná doba trvání jednoho případu dočasné pracovní neschopnosti v roce 2014 byla zaznamenána ve Zlínském kraji (55,52</w:t>
      </w:r>
      <w:r>
        <w:rPr>
          <w:rFonts w:cs="Arial"/>
        </w:rPr>
        <w:t xml:space="preserve"> dne</w:t>
      </w:r>
      <w:r w:rsidRPr="000E5D29">
        <w:rPr>
          <w:rFonts w:cs="Arial"/>
        </w:rPr>
        <w:t>), nejkratší zůstává v Praze (40</w:t>
      </w:r>
      <w:r>
        <w:rPr>
          <w:rFonts w:cs="Arial"/>
        </w:rPr>
        <w:t xml:space="preserve"> </w:t>
      </w:r>
      <w:r w:rsidRPr="000E5D29">
        <w:rPr>
          <w:rFonts w:cs="Arial"/>
        </w:rPr>
        <w:t>dn</w:t>
      </w:r>
      <w:r>
        <w:rPr>
          <w:rFonts w:cs="Arial"/>
        </w:rPr>
        <w:t>í</w:t>
      </w:r>
      <w:r w:rsidRPr="000E5D29">
        <w:rPr>
          <w:rFonts w:cs="Arial"/>
        </w:rPr>
        <w:t>). Praha si zachovává s přehledem pozici kraje s nejkratší průměrnou délkou trvání pracovní neschopnosti.</w:t>
      </w:r>
      <w:r>
        <w:rPr>
          <w:rFonts w:cs="Arial"/>
        </w:rPr>
        <w:t xml:space="preserve"> </w:t>
      </w:r>
      <w:r w:rsidRPr="009A2485">
        <w:rPr>
          <w:rFonts w:cs="Arial"/>
        </w:rPr>
        <w:t xml:space="preserve">Průměrná délka trvání 1 případu </w:t>
      </w:r>
      <w:r>
        <w:rPr>
          <w:rFonts w:cs="Arial"/>
        </w:rPr>
        <w:t xml:space="preserve">dočasné </w:t>
      </w:r>
      <w:r w:rsidRPr="009A2485">
        <w:rPr>
          <w:rFonts w:cs="Arial"/>
        </w:rPr>
        <w:t>pracovní neschopnosti žen</w:t>
      </w:r>
      <w:r w:rsidRPr="000E5D29">
        <w:rPr>
          <w:rFonts w:cs="Arial"/>
          <w:b/>
        </w:rPr>
        <w:t xml:space="preserve"> </w:t>
      </w:r>
      <w:r w:rsidRPr="000E5D29">
        <w:rPr>
          <w:rFonts w:cs="Arial"/>
        </w:rPr>
        <w:t>se meziročně zvýšila na 48,02 dn</w:t>
      </w:r>
      <w:r>
        <w:rPr>
          <w:rFonts w:cs="Arial"/>
        </w:rPr>
        <w:t>e</w:t>
      </w:r>
      <w:r w:rsidRPr="000E5D29">
        <w:rPr>
          <w:rFonts w:cs="Arial"/>
        </w:rPr>
        <w:t xml:space="preserve"> v roce 2014 (</w:t>
      </w:r>
      <w:r>
        <w:rPr>
          <w:rFonts w:cs="Arial"/>
        </w:rPr>
        <w:t xml:space="preserve">muži 43,42 dne). </w:t>
      </w:r>
    </w:p>
    <w:p w:rsidR="00624531" w:rsidRDefault="00624531" w:rsidP="009D2785">
      <w:pPr>
        <w:pStyle w:val="BodyTextIndent"/>
        <w:spacing w:line="288" w:lineRule="auto"/>
        <w:ind w:left="0"/>
        <w:jc w:val="both"/>
        <w:rPr>
          <w:rFonts w:cs="Arial"/>
        </w:rPr>
      </w:pPr>
    </w:p>
    <w:p w:rsidR="00624531" w:rsidRDefault="00624531" w:rsidP="009D2785">
      <w:pPr>
        <w:pStyle w:val="BodyTextIndent"/>
        <w:spacing w:line="288" w:lineRule="auto"/>
        <w:ind w:left="0"/>
        <w:jc w:val="both"/>
      </w:pPr>
      <w:r>
        <w:rPr>
          <w:rFonts w:cs="Arial"/>
        </w:rPr>
        <w:t xml:space="preserve">Komplexnějším ukazatelem dočasné pracovní neschopnosti v porovnání s počtem nově hlášených případů,  je </w:t>
      </w:r>
      <w:r w:rsidRPr="00731005">
        <w:rPr>
          <w:rFonts w:cs="Arial"/>
          <w:b/>
        </w:rPr>
        <w:t>počet kalendářních dnů dočasné pracovní neschopnosti na jeden nově hlášený případ</w:t>
      </w:r>
      <w:r>
        <w:rPr>
          <w:rFonts w:cs="Arial"/>
          <w:b/>
        </w:rPr>
        <w:t xml:space="preserve">, </w:t>
      </w:r>
      <w:r w:rsidRPr="00731005">
        <w:rPr>
          <w:rFonts w:cs="Arial"/>
        </w:rPr>
        <w:t>který vyjadřuje skutečný dopad dočasné pracovní neschopnosti do využití fondu pracovní doby (váhu průměrného případu pracovní neschopnosti v čase)</w:t>
      </w:r>
      <w:r>
        <w:rPr>
          <w:rFonts w:cs="Arial"/>
        </w:rPr>
        <w:t xml:space="preserve">. </w:t>
      </w:r>
      <w:r w:rsidRPr="00512CE1">
        <w:rPr>
          <w:b/>
        </w:rPr>
        <w:t>V zásadě lze říci, že</w:t>
      </w:r>
      <w:r>
        <w:t xml:space="preserve"> </w:t>
      </w:r>
      <w:r w:rsidRPr="00217507">
        <w:rPr>
          <w:b/>
        </w:rPr>
        <w:t>průměrná délka pracovní neschopnosti se stále prodlužuje</w:t>
      </w:r>
      <w:r>
        <w:t>. Již v v sedmdesátých a osmdesátých letech mírně vzrostla, z 15,81 dne v  roce 1970 na 17,10 dne v roce 1989 (v souboru nemocensky pojištěných osob tehdejší ČSR). V roce 1990 v porovnání s rokem 1989 došlo k jejímu značnému prodloužení na 18,39 dne (tj. o 7,5 %). V  letech 1990 – 2003 se</w:t>
      </w:r>
      <w:r>
        <w:rPr>
          <w:b/>
          <w:bCs/>
        </w:rPr>
        <w:t xml:space="preserve"> </w:t>
      </w:r>
      <w:r>
        <w:t>průměrná</w:t>
      </w:r>
      <w:r>
        <w:rPr>
          <w:b/>
          <w:bCs/>
        </w:rPr>
        <w:t xml:space="preserve"> </w:t>
      </w:r>
      <w:r>
        <w:t>délka pracovní neschopnosti</w:t>
      </w:r>
      <w:r>
        <w:rPr>
          <w:b/>
          <w:bCs/>
        </w:rPr>
        <w:t xml:space="preserve"> </w:t>
      </w:r>
      <w:r>
        <w:t>jak celkově, tak zejména z důvodu pracovní neschopnosti pro nemoc a ostatní úrazy dále prodlužovala velmi dynamicky. V období let 2003 – 2014 se dále prodloužila z 30,45 dne na 45,81 dne (viz tabulka č. 1 a graf č. 3).</w:t>
      </w:r>
    </w:p>
    <w:p w:rsidR="00624531" w:rsidRDefault="00624531" w:rsidP="00A165BD">
      <w:pPr>
        <w:pStyle w:val="BodyTextIndent"/>
        <w:spacing w:line="288" w:lineRule="auto"/>
        <w:ind w:left="0"/>
        <w:jc w:val="both"/>
        <w:rPr>
          <w:b/>
        </w:rPr>
      </w:pPr>
    </w:p>
    <w:p w:rsidR="00624531" w:rsidRPr="005F222A" w:rsidRDefault="00624531" w:rsidP="005F222A">
      <w:pPr>
        <w:pStyle w:val="BodyTextIndent"/>
        <w:spacing w:line="288" w:lineRule="auto"/>
        <w:ind w:left="0"/>
        <w:jc w:val="both"/>
        <w:rPr>
          <w:rFonts w:cs="Arial"/>
        </w:rPr>
      </w:pPr>
      <w:r w:rsidRPr="005F222A">
        <w:rPr>
          <w:rFonts w:cs="Arial"/>
          <w:b/>
        </w:rPr>
        <w:t>Graf 3:</w:t>
      </w:r>
      <w:r>
        <w:rPr>
          <w:rFonts w:cs="Arial"/>
        </w:rPr>
        <w:t xml:space="preserve"> </w:t>
      </w:r>
      <w:r w:rsidRPr="005F222A">
        <w:rPr>
          <w:rFonts w:cs="Arial"/>
          <w:b/>
          <w:bCs/>
        </w:rPr>
        <w:t>Průměrná délka trvání dočasné pracovní neschopnosti pro nemoc a úraz v kalendářních dnech v letech 2003 - 2014</w:t>
      </w:r>
    </w:p>
    <w:p w:rsidR="00624531" w:rsidRDefault="00624531" w:rsidP="005F222A">
      <w:pPr>
        <w:pStyle w:val="BodyTextIndent"/>
        <w:spacing w:line="288" w:lineRule="auto"/>
        <w:ind w:left="0"/>
        <w:jc w:val="both"/>
        <w:rPr>
          <w:rFonts w:cs="Arial"/>
        </w:rPr>
      </w:pPr>
      <w:r>
        <w:pict>
          <v:shape id="_x0000_i1027" type="#_x0000_t75" style="width:471.75pt;height:235.5pt">
            <v:imagedata r:id="rId13" o:title=""/>
          </v:shape>
        </w:pict>
      </w:r>
    </w:p>
    <w:p w:rsidR="00624531" w:rsidRDefault="00624531" w:rsidP="00A165BD">
      <w:pPr>
        <w:pStyle w:val="BodyTextIndent"/>
        <w:spacing w:line="288" w:lineRule="auto"/>
        <w:ind w:left="0"/>
        <w:jc w:val="both"/>
        <w:rPr>
          <w:b/>
        </w:rPr>
      </w:pPr>
    </w:p>
    <w:p w:rsidR="00624531" w:rsidRDefault="00624531" w:rsidP="005F222A">
      <w:pPr>
        <w:pStyle w:val="BodyTextIndent"/>
        <w:spacing w:after="240" w:line="288" w:lineRule="auto"/>
        <w:ind w:left="0"/>
        <w:jc w:val="both"/>
        <w:rPr>
          <w:rFonts w:cs="Arial"/>
        </w:rPr>
      </w:pPr>
      <w:r w:rsidRPr="00A165BD">
        <w:rPr>
          <w:b/>
        </w:rPr>
        <w:t>C</w:t>
      </w:r>
      <w:r w:rsidRPr="00A165BD">
        <w:rPr>
          <w:rFonts w:cs="Arial"/>
          <w:b/>
        </w:rPr>
        <w:t>elorepubliková</w:t>
      </w:r>
      <w:r w:rsidRPr="000E5D29">
        <w:rPr>
          <w:rFonts w:cs="Arial"/>
        </w:rPr>
        <w:t xml:space="preserve"> </w:t>
      </w:r>
      <w:r w:rsidRPr="009D0FC7">
        <w:rPr>
          <w:rFonts w:cs="Arial"/>
          <w:b/>
        </w:rPr>
        <w:t>průměrná délka trvání 1 případu dočasné pracovní neschopnosti</w:t>
      </w:r>
      <w:r w:rsidRPr="000E5D29">
        <w:rPr>
          <w:rFonts w:cs="Arial"/>
          <w:b/>
        </w:rPr>
        <w:t xml:space="preserve"> </w:t>
      </w:r>
      <w:r w:rsidRPr="000E5D29">
        <w:rPr>
          <w:rFonts w:cs="Arial"/>
        </w:rPr>
        <w:t xml:space="preserve">byla v roce 2014 výrazně překročena </w:t>
      </w:r>
      <w:r w:rsidRPr="00AC2B2E">
        <w:rPr>
          <w:rFonts w:cs="Arial"/>
          <w:b/>
        </w:rPr>
        <w:t>v odvětví</w:t>
      </w:r>
      <w:r w:rsidRPr="000E5D29">
        <w:rPr>
          <w:rFonts w:cs="Arial"/>
        </w:rPr>
        <w:t xml:space="preserve"> Zemědělství, lesnictví a rybářství (60,56 dn</w:t>
      </w:r>
      <w:r>
        <w:rPr>
          <w:rFonts w:cs="Arial"/>
        </w:rPr>
        <w:t>e</w:t>
      </w:r>
      <w:r w:rsidRPr="000E5D29">
        <w:rPr>
          <w:rFonts w:cs="Arial"/>
        </w:rPr>
        <w:t>), dále ve Stavebnictví (59,94 dn</w:t>
      </w:r>
      <w:r>
        <w:rPr>
          <w:rFonts w:cs="Arial"/>
        </w:rPr>
        <w:t>e</w:t>
      </w:r>
      <w:r w:rsidRPr="000E5D29">
        <w:rPr>
          <w:rFonts w:cs="Arial"/>
        </w:rPr>
        <w:t>), a v Ubytování, stravování a pohostinství (58,70 dn</w:t>
      </w:r>
      <w:r>
        <w:rPr>
          <w:rFonts w:cs="Arial"/>
        </w:rPr>
        <w:t>e</w:t>
      </w:r>
      <w:r w:rsidRPr="000E5D29">
        <w:rPr>
          <w:rFonts w:cs="Arial"/>
        </w:rPr>
        <w:t>). Průměrné trvání 1 případu pracovní neschopnosti kratší než 28 dní v roce 2014 bylo evidováno u pracovníků v odvětví Informačních a komunikativních činností (27,80 dn</w:t>
      </w:r>
      <w:r>
        <w:rPr>
          <w:rFonts w:cs="Arial"/>
        </w:rPr>
        <w:t>e</w:t>
      </w:r>
      <w:r w:rsidRPr="000E5D29">
        <w:rPr>
          <w:rFonts w:cs="Arial"/>
        </w:rPr>
        <w:t>). Dalšími oblastmi ekonomických činností</w:t>
      </w:r>
      <w:r w:rsidRPr="000E5D29">
        <w:rPr>
          <w:rFonts w:cs="Arial"/>
          <w:color w:val="FF0000"/>
        </w:rPr>
        <w:t xml:space="preserve"> </w:t>
      </w:r>
      <w:r w:rsidRPr="000E5D29">
        <w:rPr>
          <w:rFonts w:cs="Arial"/>
        </w:rPr>
        <w:t>s relativně nízkou průměrnou délkou pracovní neschopnosti byly Činnosti exteritoriálních organizací a orgánů (32,33 dn</w:t>
      </w:r>
      <w:r>
        <w:rPr>
          <w:rFonts w:cs="Arial"/>
        </w:rPr>
        <w:t>e</w:t>
      </w:r>
      <w:r w:rsidRPr="000E5D29">
        <w:rPr>
          <w:rFonts w:cs="Arial"/>
        </w:rPr>
        <w:t>), Peněžnictví a pojišťovnictví (34,25 dn</w:t>
      </w:r>
      <w:r>
        <w:rPr>
          <w:rFonts w:cs="Arial"/>
        </w:rPr>
        <w:t>e</w:t>
      </w:r>
      <w:r w:rsidRPr="000E5D29">
        <w:rPr>
          <w:rFonts w:cs="Arial"/>
        </w:rPr>
        <w:t>) a Vzdělávání (35,63 dn</w:t>
      </w:r>
      <w:r>
        <w:rPr>
          <w:rFonts w:cs="Arial"/>
        </w:rPr>
        <w:t>e</w:t>
      </w:r>
      <w:r w:rsidRPr="000E5D29">
        <w:rPr>
          <w:rFonts w:cs="Arial"/>
        </w:rPr>
        <w:t>).</w:t>
      </w:r>
      <w:r w:rsidRPr="002F0AD0">
        <w:rPr>
          <w:rFonts w:cs="Arial"/>
        </w:rPr>
        <w:t xml:space="preserve"> </w:t>
      </w:r>
      <w:r w:rsidRPr="009D0FC7">
        <w:rPr>
          <w:rFonts w:cs="Arial"/>
          <w:b/>
        </w:rPr>
        <w:t>Nejdelší průměrná doba trvání jednoho případu dočasné pracovní neschopnosti pr</w:t>
      </w:r>
      <w:r w:rsidRPr="00AC2B2E">
        <w:rPr>
          <w:rFonts w:cs="Arial"/>
          <w:b/>
        </w:rPr>
        <w:t>o nemoc</w:t>
      </w:r>
      <w:r>
        <w:rPr>
          <w:rFonts w:cs="Arial"/>
        </w:rPr>
        <w:t xml:space="preserve"> byla evidována </w:t>
      </w:r>
      <w:r w:rsidRPr="00DB1BF3">
        <w:rPr>
          <w:rFonts w:cs="Arial"/>
          <w:b/>
        </w:rPr>
        <w:t>u oblastí</w:t>
      </w:r>
      <w:r>
        <w:rPr>
          <w:rFonts w:cs="Arial"/>
        </w:rPr>
        <w:t xml:space="preserve"> </w:t>
      </w:r>
      <w:r w:rsidRPr="000E5D29">
        <w:rPr>
          <w:rFonts w:cs="Arial"/>
        </w:rPr>
        <w:t>Zemědělství, lesnictví a rybářství</w:t>
      </w:r>
      <w:r>
        <w:rPr>
          <w:rFonts w:cs="Arial"/>
        </w:rPr>
        <w:t xml:space="preserve"> (60,97 dne), </w:t>
      </w:r>
      <w:r w:rsidRPr="002F0AD0">
        <w:rPr>
          <w:rFonts w:cs="Arial"/>
        </w:rPr>
        <w:t>Stavebnictví</w:t>
      </w:r>
      <w:r>
        <w:rPr>
          <w:rFonts w:cs="Arial"/>
        </w:rPr>
        <w:t xml:space="preserve"> (58 dní), </w:t>
      </w:r>
      <w:r w:rsidRPr="002F0AD0">
        <w:rPr>
          <w:rFonts w:cs="Arial"/>
        </w:rPr>
        <w:t>Činnosti v oblasti nemovitostí</w:t>
      </w:r>
      <w:r>
        <w:rPr>
          <w:rFonts w:cs="Arial"/>
        </w:rPr>
        <w:t xml:space="preserve"> (54,74 dne) a </w:t>
      </w:r>
      <w:r w:rsidRPr="002F0AD0">
        <w:rPr>
          <w:rFonts w:cs="Arial"/>
        </w:rPr>
        <w:t>Zdravotní a sociální péče</w:t>
      </w:r>
      <w:r>
        <w:rPr>
          <w:rFonts w:cs="Arial"/>
        </w:rPr>
        <w:t xml:space="preserve"> (50,93 dne), </w:t>
      </w:r>
      <w:r w:rsidRPr="009D0FC7">
        <w:rPr>
          <w:rFonts w:cs="Arial"/>
          <w:b/>
        </w:rPr>
        <w:t>naopak nejkratší dobu</w:t>
      </w:r>
      <w:r>
        <w:rPr>
          <w:rFonts w:cs="Arial"/>
        </w:rPr>
        <w:t xml:space="preserve"> se marodilo v oblasti </w:t>
      </w:r>
      <w:r w:rsidRPr="000E5D29">
        <w:rPr>
          <w:rFonts w:cs="Arial"/>
        </w:rPr>
        <w:t>Informačních a komunikačních činností</w:t>
      </w:r>
      <w:r>
        <w:rPr>
          <w:rFonts w:cs="Arial"/>
        </w:rPr>
        <w:t xml:space="preserve"> (26,73 dne). </w:t>
      </w:r>
      <w:r w:rsidRPr="009D0FC7">
        <w:rPr>
          <w:rFonts w:cs="Arial"/>
          <w:b/>
        </w:rPr>
        <w:t>Nejdelší průměrná doba trvání jednoho případu dočasné pracovní neschopnosti</w:t>
      </w:r>
      <w:r>
        <w:rPr>
          <w:rFonts w:cs="Arial"/>
        </w:rPr>
        <w:t xml:space="preserve"> </w:t>
      </w:r>
      <w:r w:rsidRPr="00371AD1">
        <w:rPr>
          <w:rFonts w:cs="Arial"/>
          <w:b/>
        </w:rPr>
        <w:t>pro pracovní</w:t>
      </w:r>
      <w:r>
        <w:rPr>
          <w:rFonts w:cs="Arial"/>
        </w:rPr>
        <w:t xml:space="preserve"> </w:t>
      </w:r>
      <w:r w:rsidRPr="00371AD1">
        <w:rPr>
          <w:rFonts w:cs="Arial"/>
          <w:b/>
        </w:rPr>
        <w:t>úraz</w:t>
      </w:r>
      <w:r>
        <w:rPr>
          <w:rFonts w:cs="Arial"/>
        </w:rPr>
        <w:t xml:space="preserve"> byla hlášena v odvětví </w:t>
      </w:r>
      <w:r w:rsidRPr="000E5D29">
        <w:rPr>
          <w:rFonts w:cs="Arial"/>
        </w:rPr>
        <w:t xml:space="preserve">Těžba a dobývání </w:t>
      </w:r>
      <w:r>
        <w:rPr>
          <w:rFonts w:cs="Arial"/>
        </w:rPr>
        <w:t>(122,63 dne),</w:t>
      </w:r>
      <w:r w:rsidRPr="008F3683">
        <w:rPr>
          <w:rFonts w:cs="Arial"/>
        </w:rPr>
        <w:t xml:space="preserve"> </w:t>
      </w:r>
      <w:r>
        <w:rPr>
          <w:rFonts w:cs="Arial"/>
        </w:rPr>
        <w:t xml:space="preserve">oblasti </w:t>
      </w:r>
      <w:r w:rsidRPr="000E5D29">
        <w:rPr>
          <w:rFonts w:cs="Arial"/>
        </w:rPr>
        <w:t>Výroby, rozvodu elektřiny a jiných energií</w:t>
      </w:r>
      <w:r>
        <w:rPr>
          <w:rFonts w:cs="Arial"/>
        </w:rPr>
        <w:t xml:space="preserve"> (75,06 dne) a Stavebnictví (70,95 dne), </w:t>
      </w:r>
      <w:r w:rsidRPr="009D0FC7">
        <w:rPr>
          <w:rFonts w:cs="Arial"/>
          <w:b/>
        </w:rPr>
        <w:t>nejméně pracovních úrazů</w:t>
      </w:r>
      <w:r>
        <w:rPr>
          <w:rFonts w:cs="Arial"/>
        </w:rPr>
        <w:t xml:space="preserve"> bylo hlášeno u oblasti </w:t>
      </w:r>
      <w:r w:rsidRPr="00804B1C">
        <w:rPr>
          <w:rFonts w:cs="Arial"/>
        </w:rPr>
        <w:t xml:space="preserve">Ubytování, stravování a pohostinství </w:t>
      </w:r>
      <w:r>
        <w:rPr>
          <w:rFonts w:cs="Arial"/>
        </w:rPr>
        <w:t xml:space="preserve">(47,95 dne) a Zpracovatelského průmyslu (47,98 dne). </w:t>
      </w:r>
      <w:r w:rsidRPr="009D0FC7">
        <w:rPr>
          <w:rFonts w:cs="Arial"/>
          <w:b/>
        </w:rPr>
        <w:t xml:space="preserve">Nejdelší průměrná doba trvání jednoho případu dočasné pracovní neschopnosti </w:t>
      </w:r>
      <w:r w:rsidRPr="00371AD1">
        <w:rPr>
          <w:rFonts w:cs="Arial"/>
          <w:b/>
        </w:rPr>
        <w:t>pro ostatní úraz</w:t>
      </w:r>
      <w:r>
        <w:rPr>
          <w:rFonts w:cs="Arial"/>
        </w:rPr>
        <w:t xml:space="preserve"> byla evidována u oblasti </w:t>
      </w:r>
      <w:r w:rsidRPr="002F0AD0">
        <w:rPr>
          <w:rFonts w:cs="Arial"/>
        </w:rPr>
        <w:t>Činnosti v oblasti nemovitostí</w:t>
      </w:r>
      <w:r>
        <w:rPr>
          <w:rFonts w:cs="Arial"/>
        </w:rPr>
        <w:t xml:space="preserve"> (69,80 dne), </w:t>
      </w:r>
      <w:r w:rsidRPr="00804B1C">
        <w:rPr>
          <w:rFonts w:cs="Arial"/>
        </w:rPr>
        <w:t xml:space="preserve">Ubytování, stravování a pohostinství </w:t>
      </w:r>
      <w:r>
        <w:rPr>
          <w:rFonts w:cs="Arial"/>
        </w:rPr>
        <w:t xml:space="preserve">(63,23 dne) a u </w:t>
      </w:r>
      <w:r w:rsidRPr="000E5D29">
        <w:rPr>
          <w:rFonts w:cs="Arial"/>
        </w:rPr>
        <w:t>Zemědělství, lesnictví a rybářství</w:t>
      </w:r>
      <w:r>
        <w:rPr>
          <w:rFonts w:cs="Arial"/>
        </w:rPr>
        <w:t xml:space="preserve"> (60,86 dne), </w:t>
      </w:r>
      <w:r w:rsidRPr="009D0FC7">
        <w:rPr>
          <w:rFonts w:cs="Arial"/>
          <w:b/>
        </w:rPr>
        <w:t>nejméně ostatních úrazů</w:t>
      </w:r>
      <w:r>
        <w:rPr>
          <w:rFonts w:cs="Arial"/>
        </w:rPr>
        <w:t xml:space="preserve"> je hlášeno u odvětví </w:t>
      </w:r>
      <w:r w:rsidRPr="005E6083">
        <w:rPr>
          <w:rFonts w:cs="Arial"/>
        </w:rPr>
        <w:t>Výroba a rozvod elektřiny a jiných energií</w:t>
      </w:r>
      <w:r>
        <w:rPr>
          <w:rFonts w:cs="Arial"/>
        </w:rPr>
        <w:t xml:space="preserve"> (49,16 dne).</w:t>
      </w:r>
    </w:p>
    <w:p w:rsidR="00624531" w:rsidRDefault="00624531" w:rsidP="00010D38">
      <w:pPr>
        <w:jc w:val="both"/>
        <w:rPr>
          <w:rFonts w:cs="Arial"/>
        </w:rPr>
      </w:pPr>
      <w:r w:rsidRPr="00DB1BF3">
        <w:rPr>
          <w:rFonts w:cs="Arial"/>
          <w:b/>
          <w:u w:val="single"/>
        </w:rPr>
        <w:t>Počet kalendářních dnů dočasné pracovní neschopnosti</w:t>
      </w:r>
      <w:r w:rsidRPr="000E5D29">
        <w:rPr>
          <w:rFonts w:cs="Arial"/>
          <w:b/>
        </w:rPr>
        <w:t xml:space="preserve"> </w:t>
      </w:r>
      <w:r w:rsidRPr="000E5D29">
        <w:rPr>
          <w:rFonts w:cs="Arial"/>
        </w:rPr>
        <w:t>meziročně vrostl z 58 586,69 tis. prostonaných dnů v roce 2013 na 60 234,94 tis. prostonaných dnů v roce 2014</w:t>
      </w:r>
      <w:r>
        <w:rPr>
          <w:rFonts w:cs="Arial"/>
        </w:rPr>
        <w:t>.</w:t>
      </w:r>
      <w:r w:rsidRPr="000D7D9A">
        <w:rPr>
          <w:rFonts w:cs="Arial"/>
        </w:rPr>
        <w:t xml:space="preserve"> </w:t>
      </w:r>
      <w:r>
        <w:rPr>
          <w:rFonts w:cs="Arial"/>
        </w:rPr>
        <w:t xml:space="preserve">V celkovém počtu kalendářních dnů dočasné pracovní neschopnosti bylo zahrnuto </w:t>
      </w:r>
      <w:r w:rsidRPr="00D83126">
        <w:rPr>
          <w:rFonts w:cs="Arial"/>
        </w:rPr>
        <w:t>51</w:t>
      </w:r>
      <w:r>
        <w:rPr>
          <w:rFonts w:cs="Arial"/>
        </w:rPr>
        <w:t xml:space="preserve"> </w:t>
      </w:r>
      <w:r w:rsidRPr="00D83126">
        <w:rPr>
          <w:rFonts w:cs="Arial"/>
        </w:rPr>
        <w:t xml:space="preserve">092,95 </w:t>
      </w:r>
      <w:r>
        <w:rPr>
          <w:rFonts w:cs="Arial"/>
        </w:rPr>
        <w:t xml:space="preserve">tis. prostonaných dnů </w:t>
      </w:r>
      <w:r w:rsidRPr="002C239D">
        <w:rPr>
          <w:rFonts w:cs="Arial"/>
          <w:b/>
        </w:rPr>
        <w:t>pro nemoc</w:t>
      </w:r>
      <w:r>
        <w:rPr>
          <w:rFonts w:cs="Arial"/>
        </w:rPr>
        <w:t xml:space="preserve">, </w:t>
      </w:r>
      <w:r w:rsidRPr="00D83126">
        <w:rPr>
          <w:rFonts w:cs="Arial"/>
        </w:rPr>
        <w:t>2</w:t>
      </w:r>
      <w:r>
        <w:rPr>
          <w:rFonts w:cs="Arial"/>
        </w:rPr>
        <w:t xml:space="preserve"> </w:t>
      </w:r>
      <w:r w:rsidRPr="00D83126">
        <w:rPr>
          <w:rFonts w:cs="Arial"/>
        </w:rPr>
        <w:t>446,64</w:t>
      </w:r>
      <w:r w:rsidRPr="000E5D29">
        <w:rPr>
          <w:rFonts w:cs="Arial"/>
        </w:rPr>
        <w:t xml:space="preserve"> tis. </w:t>
      </w:r>
      <w:r>
        <w:rPr>
          <w:rFonts w:cs="Arial"/>
        </w:rPr>
        <w:t>dnů</w:t>
      </w:r>
      <w:r w:rsidRPr="000E5D29">
        <w:rPr>
          <w:rFonts w:cs="Arial"/>
        </w:rPr>
        <w:t xml:space="preserve"> </w:t>
      </w:r>
      <w:r w:rsidRPr="002C239D">
        <w:rPr>
          <w:rFonts w:cs="Arial"/>
          <w:b/>
        </w:rPr>
        <w:t>pro pracovní úraz</w:t>
      </w:r>
      <w:r w:rsidRPr="000E5D29">
        <w:rPr>
          <w:rFonts w:cs="Arial"/>
        </w:rPr>
        <w:t xml:space="preserve"> a </w:t>
      </w:r>
      <w:r w:rsidRPr="00D83126">
        <w:rPr>
          <w:rFonts w:cs="Arial"/>
        </w:rPr>
        <w:t xml:space="preserve">6 695,35 </w:t>
      </w:r>
      <w:r w:rsidRPr="000E5D29">
        <w:rPr>
          <w:rFonts w:cs="Arial"/>
        </w:rPr>
        <w:t xml:space="preserve">tis. </w:t>
      </w:r>
      <w:r>
        <w:rPr>
          <w:rFonts w:cs="Arial"/>
        </w:rPr>
        <w:t xml:space="preserve">prostonaných dnů </w:t>
      </w:r>
      <w:r w:rsidRPr="002C239D">
        <w:rPr>
          <w:rFonts w:cs="Arial"/>
          <w:b/>
        </w:rPr>
        <w:t>pro ostatní úrazy</w:t>
      </w:r>
      <w:r>
        <w:rPr>
          <w:rFonts w:cs="Arial"/>
        </w:rPr>
        <w:t xml:space="preserve">. </w:t>
      </w:r>
      <w:r w:rsidRPr="000D7D9A">
        <w:rPr>
          <w:rFonts w:cs="Arial"/>
        </w:rPr>
        <w:t>Ženy prostonaly 32 806,14 tis. dnů, o 5 377,34 tis. d</w:t>
      </w:r>
      <w:r w:rsidRPr="000E5D29">
        <w:rPr>
          <w:rFonts w:cs="Arial"/>
        </w:rPr>
        <w:t>nů více než muž</w:t>
      </w:r>
      <w:r>
        <w:rPr>
          <w:rFonts w:cs="Arial"/>
        </w:rPr>
        <w:t>i, kteří prostonali</w:t>
      </w:r>
      <w:r w:rsidRPr="000E5D29">
        <w:rPr>
          <w:rFonts w:cs="Arial"/>
        </w:rPr>
        <w:t xml:space="preserve"> 27 428,80 tis. </w:t>
      </w:r>
      <w:r>
        <w:rPr>
          <w:rFonts w:cs="Arial"/>
        </w:rPr>
        <w:t xml:space="preserve">dnů. </w:t>
      </w:r>
    </w:p>
    <w:p w:rsidR="00624531" w:rsidRDefault="00624531" w:rsidP="00010D38">
      <w:pPr>
        <w:jc w:val="both"/>
        <w:rPr>
          <w:rFonts w:cs="Arial"/>
          <w:b/>
        </w:rPr>
      </w:pPr>
    </w:p>
    <w:p w:rsidR="00624531" w:rsidRDefault="00624531" w:rsidP="00010D38">
      <w:pPr>
        <w:jc w:val="both"/>
        <w:rPr>
          <w:rFonts w:cs="Arial"/>
        </w:rPr>
      </w:pPr>
      <w:r w:rsidRPr="00371AD1">
        <w:rPr>
          <w:rFonts w:cs="Arial"/>
          <w:b/>
        </w:rPr>
        <w:t>Nejvíce prostonaných dnů z celorepublikového počtu bylo v odvětví</w:t>
      </w:r>
      <w:r>
        <w:rPr>
          <w:rFonts w:cs="Arial"/>
        </w:rPr>
        <w:t xml:space="preserve"> Zpracovatelský průmysl (</w:t>
      </w:r>
      <w:r w:rsidRPr="00C800A2">
        <w:rPr>
          <w:rFonts w:cs="Arial"/>
        </w:rPr>
        <w:t>19 590,54</w:t>
      </w:r>
      <w:r>
        <w:rPr>
          <w:rFonts w:cs="Arial"/>
        </w:rPr>
        <w:t xml:space="preserve"> tis.), kde bylo evidováno i nejvíce prostonaných dnů pro nemoc (16 278,51 tis.), pro pracovní úrazy (925,08 tis.) a pro ostatní úrazy (2 386,95 tis.). </w:t>
      </w:r>
      <w:r w:rsidRPr="009D0FC7">
        <w:rPr>
          <w:rFonts w:cs="Arial"/>
          <w:b/>
        </w:rPr>
        <w:t>Naopak nejméně prostonaných dnů</w:t>
      </w:r>
      <w:r>
        <w:rPr>
          <w:rFonts w:cs="Arial"/>
        </w:rPr>
        <w:t xml:space="preserve"> bylo hlášeno v oblasti </w:t>
      </w:r>
      <w:r w:rsidRPr="000E5D29">
        <w:rPr>
          <w:rFonts w:cs="Arial"/>
        </w:rPr>
        <w:t>Výroby, rozvodu elektřiny a jiných energií</w:t>
      </w:r>
      <w:r>
        <w:rPr>
          <w:rFonts w:cs="Arial"/>
        </w:rPr>
        <w:t xml:space="preserve"> (262,02 tis.), kde bylo evidováno i nejméně prostonaných dnů pro nemoc (218,16 tis.), pro pracovní úrazy (10,58 tis.) a pro ostatní úrazy (33,28 tis.).</w:t>
      </w:r>
    </w:p>
    <w:p w:rsidR="00624531" w:rsidRDefault="00624531" w:rsidP="00010D38">
      <w:pPr>
        <w:jc w:val="both"/>
        <w:rPr>
          <w:rFonts w:cs="Arial"/>
        </w:rPr>
      </w:pPr>
    </w:p>
    <w:p w:rsidR="00624531" w:rsidRDefault="00624531" w:rsidP="00216143">
      <w:pPr>
        <w:pStyle w:val="BodyTextIndent"/>
        <w:spacing w:after="240" w:line="288" w:lineRule="auto"/>
        <w:ind w:left="0"/>
        <w:jc w:val="both"/>
        <w:rPr>
          <w:rFonts w:cs="Arial"/>
        </w:rPr>
      </w:pPr>
      <w:r w:rsidRPr="00DB1BF3">
        <w:rPr>
          <w:rFonts w:cs="Arial"/>
          <w:b/>
          <w:u w:val="single"/>
        </w:rPr>
        <w:t>Průměrné procento pracovní neschopnosti</w:t>
      </w:r>
      <w:r w:rsidRPr="000D7D9A">
        <w:rPr>
          <w:rFonts w:cs="Arial"/>
        </w:rPr>
        <w:t xml:space="preserve"> udává,</w:t>
      </w:r>
      <w:r w:rsidRPr="000E5D29">
        <w:rPr>
          <w:rFonts w:cs="Arial"/>
        </w:rPr>
        <w:t xml:space="preserve"> kolik</w:t>
      </w:r>
      <w:r>
        <w:rPr>
          <w:rFonts w:cs="Arial"/>
        </w:rPr>
        <w:t xml:space="preserve"> </w:t>
      </w:r>
      <w:r w:rsidRPr="000E5D29">
        <w:rPr>
          <w:rFonts w:cs="Arial"/>
        </w:rPr>
        <w:t xml:space="preserve">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sidRPr="00CB4A82">
        <w:rPr>
          <w:rFonts w:cs="Arial"/>
          <w:b/>
        </w:rPr>
        <w:t xml:space="preserve">Hodnota průměrného procenta pracovní neschopnosti </w:t>
      </w:r>
      <w:r w:rsidRPr="00B866BA">
        <w:rPr>
          <w:rFonts w:cs="Arial"/>
        </w:rPr>
        <w:t xml:space="preserve">se na počátku devadesátých let pohybovala okolo 5, následně se do roku 2003 postupně zvyšovala, až dosáhla svého maxima 6,81. </w:t>
      </w:r>
      <w:r w:rsidRPr="009D0FC7">
        <w:rPr>
          <w:rFonts w:cs="Arial"/>
          <w:b/>
        </w:rPr>
        <w:t>Od roku 2005 se projevila klesající tendence v hodnotách průměrného procenta pracovní neschopnosti,</w:t>
      </w:r>
      <w:r w:rsidRPr="00B866BA">
        <w:rPr>
          <w:rFonts w:cs="Arial"/>
        </w:rPr>
        <w:t xml:space="preserve"> </w:t>
      </w:r>
      <w:r w:rsidRPr="009D0FC7">
        <w:rPr>
          <w:rFonts w:cs="Arial"/>
          <w:b/>
        </w:rPr>
        <w:t>která byla silně umocněna legislativními změnami</w:t>
      </w:r>
      <w:r w:rsidRPr="00B866BA">
        <w:rPr>
          <w:rFonts w:cs="Arial"/>
        </w:rPr>
        <w:t xml:space="preserve"> v roce 2009, kdy výše průměrného procenta pracovní neschopnosti dosáhla historicky nejnižší úrovně od počátku šedesátých let 4,18, v roce 2010 se jeho úroveň ještě více snížila na hodnotu 3,76. </w:t>
      </w:r>
      <w:r>
        <w:rPr>
          <w:rFonts w:cs="Arial"/>
        </w:rPr>
        <w:t xml:space="preserve">Jeho hodnota </w:t>
      </w:r>
      <w:r w:rsidRPr="00B866BA">
        <w:rPr>
          <w:rFonts w:cs="Arial"/>
        </w:rPr>
        <w:t xml:space="preserve">v roce 2011 </w:t>
      </w:r>
      <w:r>
        <w:rPr>
          <w:rFonts w:cs="Arial"/>
        </w:rPr>
        <w:t>dosáhla 3,64, i v</w:t>
      </w:r>
      <w:r w:rsidRPr="00FB4BF0">
        <w:rPr>
          <w:rFonts w:cs="Arial"/>
        </w:rPr>
        <w:t xml:space="preserve"> roce 2012 pokračuje </w:t>
      </w:r>
      <w:r>
        <w:rPr>
          <w:rFonts w:cs="Arial"/>
        </w:rPr>
        <w:t xml:space="preserve">vývoj v trendu </w:t>
      </w:r>
      <w:r w:rsidRPr="00FB4BF0">
        <w:rPr>
          <w:rFonts w:cs="Arial"/>
        </w:rPr>
        <w:t xml:space="preserve">poklesu </w:t>
      </w:r>
      <w:r>
        <w:rPr>
          <w:rFonts w:cs="Arial"/>
        </w:rPr>
        <w:t xml:space="preserve">této hodnoty na </w:t>
      </w:r>
      <w:r w:rsidRPr="00FB4BF0">
        <w:rPr>
          <w:rFonts w:cs="Arial"/>
        </w:rPr>
        <w:t>3,45</w:t>
      </w:r>
      <w:r w:rsidRPr="00AC2B2E">
        <w:rPr>
          <w:rFonts w:cs="Arial"/>
          <w:b/>
        </w:rPr>
        <w:t>. V roce 2013 se jeho hodnota meziročně zvýšila na 3,62 a dlouhodobý pokles průměrného procenta pracovní neschopnosti, patrný od roku 2005 se zastavil.</w:t>
      </w:r>
      <w:r w:rsidRPr="00E5774A">
        <w:rPr>
          <w:rFonts w:cs="Arial"/>
        </w:rPr>
        <w:t xml:space="preserve"> </w:t>
      </w:r>
      <w:r w:rsidRPr="00AC2B2E">
        <w:rPr>
          <w:rFonts w:cs="Arial"/>
          <w:b/>
        </w:rPr>
        <w:t>Ve stejném trendu pokračoval i vývoj v roce 2014,</w:t>
      </w:r>
      <w:r w:rsidRPr="00E5774A">
        <w:rPr>
          <w:rFonts w:cs="Arial"/>
        </w:rPr>
        <w:t xml:space="preserve"> </w:t>
      </w:r>
      <w:r w:rsidRPr="00A165BD">
        <w:rPr>
          <w:rFonts w:cs="Arial"/>
          <w:b/>
        </w:rPr>
        <w:t>hodnota</w:t>
      </w:r>
      <w:r w:rsidRPr="00E5774A">
        <w:rPr>
          <w:rFonts w:cs="Arial"/>
        </w:rPr>
        <w:t xml:space="preserve"> průměrného procenta pracovní neschopnosti </w:t>
      </w:r>
      <w:r w:rsidRPr="00A165BD">
        <w:rPr>
          <w:rFonts w:cs="Arial"/>
          <w:b/>
        </w:rPr>
        <w:t>se</w:t>
      </w:r>
      <w:r w:rsidRPr="00E5774A">
        <w:rPr>
          <w:rFonts w:cs="Arial"/>
        </w:rPr>
        <w:t xml:space="preserve"> oproti loňskému roku </w:t>
      </w:r>
      <w:r w:rsidRPr="00A165BD">
        <w:rPr>
          <w:rFonts w:cs="Arial"/>
          <w:b/>
        </w:rPr>
        <w:t>meziročně</w:t>
      </w:r>
      <w:r w:rsidRPr="00E5774A">
        <w:rPr>
          <w:rFonts w:cs="Arial"/>
        </w:rPr>
        <w:t xml:space="preserve"> </w:t>
      </w:r>
      <w:r w:rsidRPr="00A165BD">
        <w:rPr>
          <w:rFonts w:cs="Arial"/>
          <w:b/>
        </w:rPr>
        <w:t>zvýšila</w:t>
      </w:r>
      <w:r w:rsidRPr="00E5774A">
        <w:rPr>
          <w:rFonts w:cs="Arial"/>
        </w:rPr>
        <w:t xml:space="preserve"> a jeho hodnota byla </w:t>
      </w:r>
      <w:r w:rsidRPr="00A165BD">
        <w:rPr>
          <w:b/>
        </w:rPr>
        <w:t>3,70</w:t>
      </w:r>
      <w:r>
        <w:t xml:space="preserve"> </w:t>
      </w:r>
      <w:r>
        <w:rPr>
          <w:rFonts w:cs="Arial"/>
        </w:rPr>
        <w:t>(muži 3,31, ženy 4,10). (viz graf č. 4 a tabulka č. 2).</w:t>
      </w:r>
    </w:p>
    <w:p w:rsidR="00624531" w:rsidRDefault="00624531" w:rsidP="00216143">
      <w:pPr>
        <w:pStyle w:val="BodyTextIndent"/>
        <w:spacing w:line="288" w:lineRule="auto"/>
        <w:ind w:left="0"/>
        <w:jc w:val="both"/>
        <w:rPr>
          <w:rFonts w:cs="Arial"/>
          <w:b/>
        </w:rPr>
      </w:pPr>
    </w:p>
    <w:p w:rsidR="00624531" w:rsidRPr="00216143" w:rsidRDefault="00624531" w:rsidP="00216143">
      <w:pPr>
        <w:pStyle w:val="BodyTextIndent"/>
        <w:spacing w:line="288" w:lineRule="auto"/>
        <w:ind w:left="0"/>
        <w:jc w:val="both"/>
        <w:rPr>
          <w:rFonts w:cs="Arial"/>
        </w:rPr>
      </w:pPr>
      <w:r w:rsidRPr="00216143">
        <w:rPr>
          <w:rFonts w:cs="Arial"/>
          <w:b/>
        </w:rPr>
        <w:t xml:space="preserve">Graf 4: </w:t>
      </w:r>
      <w:r w:rsidRPr="00216143">
        <w:rPr>
          <w:rFonts w:cs="Arial"/>
          <w:b/>
          <w:bCs/>
        </w:rPr>
        <w:t>Struktura průměrného procenta pracovní neschopnosti pro nemoc a úraz</w:t>
      </w:r>
      <w:r>
        <w:rPr>
          <w:rFonts w:cs="Arial"/>
          <w:b/>
          <w:bCs/>
        </w:rPr>
        <w:t>;</w:t>
      </w:r>
      <w:r w:rsidRPr="00216143">
        <w:rPr>
          <w:rFonts w:cs="Arial"/>
          <w:b/>
          <w:bCs/>
        </w:rPr>
        <w:t xml:space="preserve"> 2003</w:t>
      </w:r>
      <w:r>
        <w:rPr>
          <w:rFonts w:cs="Arial"/>
          <w:b/>
          <w:bCs/>
        </w:rPr>
        <w:t>–</w:t>
      </w:r>
      <w:r w:rsidRPr="00216143">
        <w:rPr>
          <w:rFonts w:cs="Arial"/>
          <w:b/>
          <w:bCs/>
        </w:rPr>
        <w:t xml:space="preserve">2014 </w:t>
      </w:r>
    </w:p>
    <w:p w:rsidR="00624531" w:rsidRDefault="00624531" w:rsidP="00CB6FD3">
      <w:pPr>
        <w:pStyle w:val="BodyTextIndent"/>
        <w:spacing w:line="288" w:lineRule="auto"/>
        <w:ind w:left="0"/>
        <w:jc w:val="both"/>
        <w:rPr>
          <w:rFonts w:cs="Arial"/>
        </w:rPr>
      </w:pPr>
      <w:r>
        <w:pict>
          <v:shape id="_x0000_i1028" type="#_x0000_t75" style="width:480pt;height:218.25pt">
            <v:imagedata r:id="rId14" o:title=""/>
          </v:shape>
        </w:pict>
      </w:r>
    </w:p>
    <w:p w:rsidR="00624531" w:rsidRDefault="00624531" w:rsidP="00CB6FD3">
      <w:pPr>
        <w:pStyle w:val="BodyTextIndent"/>
        <w:spacing w:line="288" w:lineRule="auto"/>
        <w:ind w:left="0"/>
        <w:jc w:val="both"/>
        <w:rPr>
          <w:rFonts w:cs="Arial"/>
        </w:rPr>
      </w:pPr>
    </w:p>
    <w:p w:rsidR="00624531" w:rsidRDefault="00624531" w:rsidP="00B0101B">
      <w:pPr>
        <w:spacing w:after="240"/>
        <w:jc w:val="both"/>
        <w:rPr>
          <w:rFonts w:cs="Arial"/>
        </w:rPr>
      </w:pPr>
      <w:r w:rsidRPr="00312CCD">
        <w:rPr>
          <w:rFonts w:cs="Arial"/>
          <w:b/>
        </w:rPr>
        <w:t>Nejvyšší hodnoty průměrného procenta pracovní neschopnosti</w:t>
      </w:r>
      <w:r w:rsidRPr="000E5D29">
        <w:rPr>
          <w:rFonts w:cs="Arial"/>
        </w:rPr>
        <w:t xml:space="preserve"> byly v Moravskoslezském kraji (4,38) a v Jihočeském kraji (4,40). V Praze byla v roce 2014 díky relativně nízkému počtu případů pracovní neschopnosti na 100 pojištěnců a krátké průměrné době trvání pracovní </w:t>
      </w:r>
      <w:r>
        <w:rPr>
          <w:rFonts w:cs="Arial"/>
        </w:rPr>
        <w:t xml:space="preserve">dočasné </w:t>
      </w:r>
      <w:r w:rsidRPr="000E5D29">
        <w:rPr>
          <w:rFonts w:cs="Arial"/>
        </w:rPr>
        <w:t xml:space="preserve">neschopnosti nejnižší </w:t>
      </w:r>
      <w:r w:rsidRPr="00BC6945">
        <w:rPr>
          <w:rFonts w:cs="Arial"/>
          <w:b/>
        </w:rPr>
        <w:t>Nejvyšší hodnoty průměrného procenta pracovní neschopnosti</w:t>
      </w:r>
      <w:r>
        <w:rPr>
          <w:rFonts w:cs="Arial"/>
        </w:rPr>
        <w:t xml:space="preserve"> byly v Moravskoslezském kraji (4,38) a Jihočeském kraji (4,40). </w:t>
      </w:r>
      <w:r w:rsidRPr="00BC6945">
        <w:rPr>
          <w:rFonts w:cs="Arial"/>
          <w:b/>
        </w:rPr>
        <w:t>V Praze byla v roce 2014</w:t>
      </w:r>
      <w:r>
        <w:rPr>
          <w:rFonts w:cs="Arial"/>
        </w:rPr>
        <w:t xml:space="preserve"> díky relativně nízkému počtu případů dočasné pracovní neschopnosti </w:t>
      </w:r>
      <w:r w:rsidRPr="00BC6945">
        <w:rPr>
          <w:rFonts w:cs="Arial"/>
          <w:b/>
        </w:rPr>
        <w:t xml:space="preserve">nejnižší hodnota </w:t>
      </w:r>
      <w:r w:rsidRPr="00BC6945">
        <w:rPr>
          <w:rFonts w:cs="Arial"/>
        </w:rPr>
        <w:t>průměrného procenta pracovní neschopnosti</w:t>
      </w:r>
      <w:r w:rsidRPr="00BC6945">
        <w:rPr>
          <w:rFonts w:cs="Arial"/>
          <w:b/>
        </w:rPr>
        <w:t xml:space="preserve"> (2,82).</w:t>
      </w:r>
      <w:r w:rsidRPr="000E5D29">
        <w:rPr>
          <w:rFonts w:cs="Arial"/>
        </w:rPr>
        <w:t xml:space="preserve"> Poměrně </w:t>
      </w:r>
      <w:r w:rsidRPr="00312CCD">
        <w:rPr>
          <w:rFonts w:cs="Arial"/>
          <w:b/>
        </w:rPr>
        <w:t>nízké hodnoty</w:t>
      </w:r>
      <w:r w:rsidRPr="000E5D29">
        <w:rPr>
          <w:rFonts w:cs="Arial"/>
        </w:rPr>
        <w:t xml:space="preserve"> průměrného procenta pracovní neschopnosti v roce 2014 byly evidovány také v Královéhradecké kraji (3,66) a Jihomoravském kraji (3,72). Ve sledovaném roce dosáhla úroveň </w:t>
      </w:r>
      <w:r w:rsidRPr="000D7D9A">
        <w:rPr>
          <w:rFonts w:cs="Arial"/>
        </w:rPr>
        <w:t>průměrného procenta pracovní neschopnosti u žen</w:t>
      </w:r>
      <w:r w:rsidRPr="000E5D29">
        <w:rPr>
          <w:rFonts w:cs="Arial"/>
        </w:rPr>
        <w:t xml:space="preserve"> na hodnotu 4,10 (v roce 2013 byla jeho hodnota 3,97). </w:t>
      </w:r>
    </w:p>
    <w:p w:rsidR="00624531" w:rsidRDefault="00624531" w:rsidP="00010D38">
      <w:pPr>
        <w:jc w:val="both"/>
        <w:rPr>
          <w:rFonts w:cs="Arial"/>
          <w:b/>
        </w:rPr>
      </w:pPr>
    </w:p>
    <w:p w:rsidR="00624531" w:rsidRDefault="00624531" w:rsidP="00010D38">
      <w:pPr>
        <w:jc w:val="both"/>
        <w:rPr>
          <w:rFonts w:cs="Arial"/>
          <w:b/>
        </w:rPr>
      </w:pPr>
    </w:p>
    <w:p w:rsidR="00624531" w:rsidRDefault="00624531" w:rsidP="00010D38">
      <w:pPr>
        <w:jc w:val="both"/>
        <w:rPr>
          <w:rFonts w:cs="Arial"/>
          <w:b/>
        </w:rPr>
      </w:pPr>
      <w:r w:rsidRPr="00B0101B">
        <w:rPr>
          <w:rFonts w:cs="Arial"/>
          <w:b/>
        </w:rPr>
        <w:t xml:space="preserve">Tabulka </w:t>
      </w:r>
      <w:r>
        <w:rPr>
          <w:rFonts w:cs="Arial"/>
          <w:b/>
        </w:rPr>
        <w:t>1</w:t>
      </w:r>
      <w:r w:rsidRPr="00B0101B">
        <w:rPr>
          <w:rFonts w:cs="Arial"/>
          <w:b/>
        </w:rPr>
        <w:t xml:space="preserve">: Průměrné procento pracovní neschopnosti v krajích a ČR za období 2003 </w:t>
      </w:r>
      <w:r>
        <w:rPr>
          <w:rFonts w:cs="Arial"/>
          <w:b/>
        </w:rPr>
        <w:t>–</w:t>
      </w:r>
      <w:r w:rsidRPr="00B0101B">
        <w:rPr>
          <w:rFonts w:cs="Arial"/>
          <w:b/>
        </w:rPr>
        <w:t xml:space="preserve"> 2014</w:t>
      </w:r>
    </w:p>
    <w:tbl>
      <w:tblPr>
        <w:tblW w:w="9620" w:type="dxa"/>
        <w:tblInd w:w="57" w:type="dxa"/>
        <w:tblCellMar>
          <w:left w:w="70" w:type="dxa"/>
          <w:right w:w="70" w:type="dxa"/>
        </w:tblCellMar>
        <w:tblLook w:val="00A0"/>
      </w:tblPr>
      <w:tblGrid>
        <w:gridCol w:w="1360"/>
        <w:gridCol w:w="620"/>
        <w:gridCol w:w="620"/>
        <w:gridCol w:w="620"/>
        <w:gridCol w:w="620"/>
        <w:gridCol w:w="620"/>
        <w:gridCol w:w="620"/>
        <w:gridCol w:w="620"/>
        <w:gridCol w:w="620"/>
        <w:gridCol w:w="620"/>
        <w:gridCol w:w="620"/>
        <w:gridCol w:w="620"/>
        <w:gridCol w:w="620"/>
        <w:gridCol w:w="857"/>
      </w:tblGrid>
      <w:tr w:rsidR="00624531" w:rsidRPr="00B0101B" w:rsidTr="00B0101B">
        <w:trPr>
          <w:trHeight w:val="480"/>
        </w:trPr>
        <w:tc>
          <w:tcPr>
            <w:tcW w:w="1360" w:type="dxa"/>
            <w:tcBorders>
              <w:top w:val="single" w:sz="8" w:space="0" w:color="auto"/>
              <w:left w:val="nil"/>
              <w:bottom w:val="single" w:sz="8" w:space="0" w:color="auto"/>
              <w:right w:val="nil"/>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Kraj</w:t>
            </w:r>
          </w:p>
        </w:tc>
        <w:tc>
          <w:tcPr>
            <w:tcW w:w="620" w:type="dxa"/>
            <w:tcBorders>
              <w:top w:val="single" w:sz="8" w:space="0" w:color="auto"/>
              <w:left w:val="single" w:sz="4" w:space="0" w:color="auto"/>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2003</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2004</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2005</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2006</w:t>
            </w:r>
          </w:p>
        </w:tc>
        <w:tc>
          <w:tcPr>
            <w:tcW w:w="620" w:type="dxa"/>
            <w:tcBorders>
              <w:top w:val="single" w:sz="8" w:space="0" w:color="auto"/>
              <w:left w:val="nil"/>
              <w:bottom w:val="single" w:sz="8" w:space="0" w:color="auto"/>
              <w:right w:val="single" w:sz="4" w:space="0" w:color="auto"/>
            </w:tcBorders>
            <w:shd w:val="clear" w:color="000000" w:fill="F2DDDC"/>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2007</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2008</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2009</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2010</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2011</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2012</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2013</w:t>
            </w:r>
          </w:p>
        </w:tc>
        <w:tc>
          <w:tcPr>
            <w:tcW w:w="620" w:type="dxa"/>
            <w:tcBorders>
              <w:top w:val="single" w:sz="8" w:space="0" w:color="auto"/>
              <w:left w:val="nil"/>
              <w:bottom w:val="single" w:sz="8" w:space="0" w:color="auto"/>
              <w:right w:val="single" w:sz="4" w:space="0" w:color="auto"/>
            </w:tcBorders>
            <w:shd w:val="clear" w:color="000000" w:fill="F2DDDC"/>
            <w:noWrap/>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2014</w:t>
            </w:r>
          </w:p>
        </w:tc>
        <w:tc>
          <w:tcPr>
            <w:tcW w:w="820" w:type="dxa"/>
            <w:tcBorders>
              <w:top w:val="single" w:sz="8" w:space="0" w:color="auto"/>
              <w:left w:val="nil"/>
              <w:bottom w:val="single" w:sz="8" w:space="0" w:color="auto"/>
              <w:right w:val="nil"/>
            </w:tcBorders>
            <w:shd w:val="clear" w:color="000000" w:fill="F2DDDC"/>
            <w:vAlign w:val="center"/>
          </w:tcPr>
          <w:p w:rsidR="00624531" w:rsidRPr="00B0101B" w:rsidRDefault="00624531" w:rsidP="00B0101B">
            <w:pPr>
              <w:spacing w:line="240" w:lineRule="auto"/>
              <w:jc w:val="center"/>
              <w:rPr>
                <w:rFonts w:cs="Arial"/>
                <w:b/>
                <w:bCs/>
                <w:sz w:val="16"/>
                <w:szCs w:val="16"/>
              </w:rPr>
            </w:pPr>
            <w:r w:rsidRPr="00B0101B">
              <w:rPr>
                <w:rFonts w:cs="Arial"/>
                <w:b/>
                <w:bCs/>
                <w:sz w:val="16"/>
                <w:szCs w:val="16"/>
              </w:rPr>
              <w:t>Index 2003=100</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Hl.m. Praha</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5,363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4,605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4,706</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4,478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4,320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3,964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3,320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3,039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2,927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2,623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2,651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2,823</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52,6</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Středočeský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6,180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5,405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5,673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5,476</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5,399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5,156</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4,248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3,879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3,749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3,544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3,637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3,746</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60,6</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Jihočeský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6,841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6,027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6,528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6,189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6,015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5,599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4,572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4,210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4,190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4,123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4,354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4,399</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64,3</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Plzeňský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6,927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6,021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6,480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6,040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5,862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5,503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4,391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3,951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3,812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3,827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4,054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4,117</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59,4</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Karlovarský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6,569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5,685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5,996</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5,655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5,544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5,221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4,107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3,610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3,472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3,499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3,793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3,947</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60,1</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Ústecký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6,855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5,884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6,042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5,744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5,548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5,260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4,101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3,691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3,603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3,686</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3,954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3,970</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57,9</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Liberecký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7,657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6,489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6,722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6,462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6,271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5,906</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4,667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4,050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3,915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3,911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4,152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4,072</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53,2</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Královéhradecký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6,982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6,033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6,427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5,963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5,849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5,279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4,145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3,728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3,625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3,480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3,655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3,655</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52,3</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Pardubický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6,999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6,099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6,491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6,144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5,825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5,311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4,281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3,771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3,632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3,533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3,692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3,854</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55,1</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Vysočina</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7,082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6,103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6,356</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5,973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5,861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5,451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4,309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3,923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3,788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3,574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3,899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4,037</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57,0</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Jihomoravský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7,162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6,161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6,492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6,192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5,882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5,371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4,313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3,841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3,663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3,494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3,673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3,723</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52,0</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Olomoucký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7,580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6,399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6,650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6,395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6,248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5,616</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4,461</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3,919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3,727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3,712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3,824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3,869</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51,0</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Zlínský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8,060</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6,883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7,168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6,755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6,415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6,059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5,222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4,634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4,383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4,108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4,412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4,403</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54,6</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sz w:val="16"/>
                <w:szCs w:val="16"/>
              </w:rPr>
            </w:pPr>
            <w:r w:rsidRPr="00B0101B">
              <w:rPr>
                <w:rFonts w:cs="Arial"/>
                <w:sz w:val="16"/>
                <w:szCs w:val="16"/>
              </w:rPr>
              <w:t>Moravskoslezský</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8,067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6,824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7,225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6,924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6,777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6,045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4,772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4,284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4,263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3,989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4,315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4,378</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sz w:val="16"/>
                <w:szCs w:val="16"/>
              </w:rPr>
            </w:pPr>
            <w:r w:rsidRPr="00B0101B">
              <w:rPr>
                <w:rFonts w:cs="Arial"/>
                <w:sz w:val="16"/>
                <w:szCs w:val="16"/>
              </w:rPr>
              <w:t>54,3</w:t>
            </w:r>
          </w:p>
        </w:tc>
      </w:tr>
      <w:tr w:rsidR="00624531" w:rsidRPr="00B0101B" w:rsidTr="00B0101B">
        <w:trPr>
          <w:trHeight w:val="300"/>
        </w:trPr>
        <w:tc>
          <w:tcPr>
            <w:tcW w:w="1360" w:type="dxa"/>
            <w:tcBorders>
              <w:top w:val="nil"/>
              <w:left w:val="nil"/>
              <w:bottom w:val="nil"/>
              <w:right w:val="nil"/>
            </w:tcBorders>
            <w:noWrap/>
            <w:vAlign w:val="bottom"/>
          </w:tcPr>
          <w:p w:rsidR="00624531" w:rsidRPr="00B0101B" w:rsidRDefault="00624531" w:rsidP="00B0101B">
            <w:pPr>
              <w:spacing w:line="240" w:lineRule="auto"/>
              <w:rPr>
                <w:rFonts w:cs="Arial"/>
                <w:b/>
                <w:bCs/>
                <w:sz w:val="16"/>
                <w:szCs w:val="16"/>
              </w:rPr>
            </w:pPr>
            <w:r w:rsidRPr="00B0101B">
              <w:rPr>
                <w:rFonts w:cs="Arial"/>
                <w:b/>
                <w:bCs/>
                <w:sz w:val="16"/>
                <w:szCs w:val="16"/>
              </w:rPr>
              <w:t>ČR celkem</w:t>
            </w:r>
          </w:p>
        </w:tc>
        <w:tc>
          <w:tcPr>
            <w:tcW w:w="620" w:type="dxa"/>
            <w:tcBorders>
              <w:top w:val="nil"/>
              <w:left w:val="single" w:sz="4" w:space="0" w:color="auto"/>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6,814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5,857</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6,126</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5,814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5,619</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5,184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4,184</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3,763</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3,638</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3,452</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3,615</w:t>
            </w:r>
          </w:p>
        </w:tc>
        <w:tc>
          <w:tcPr>
            <w:tcW w:w="620" w:type="dxa"/>
            <w:tcBorders>
              <w:top w:val="nil"/>
              <w:left w:val="nil"/>
              <w:bottom w:val="nil"/>
              <w:right w:val="single" w:sz="4" w:space="0" w:color="auto"/>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3,697</w:t>
            </w:r>
          </w:p>
        </w:tc>
        <w:tc>
          <w:tcPr>
            <w:tcW w:w="820" w:type="dxa"/>
            <w:tcBorders>
              <w:top w:val="nil"/>
              <w:left w:val="nil"/>
              <w:bottom w:val="nil"/>
              <w:right w:val="nil"/>
            </w:tcBorders>
            <w:noWrap/>
            <w:vAlign w:val="bottom"/>
          </w:tcPr>
          <w:p w:rsidR="00624531" w:rsidRPr="00B0101B" w:rsidRDefault="00624531" w:rsidP="00B0101B">
            <w:pPr>
              <w:spacing w:line="240" w:lineRule="auto"/>
              <w:jc w:val="right"/>
              <w:rPr>
                <w:rFonts w:cs="Arial"/>
                <w:b/>
                <w:bCs/>
                <w:sz w:val="16"/>
                <w:szCs w:val="16"/>
              </w:rPr>
            </w:pPr>
            <w:r w:rsidRPr="00B0101B">
              <w:rPr>
                <w:rFonts w:cs="Arial"/>
                <w:b/>
                <w:bCs/>
                <w:sz w:val="16"/>
                <w:szCs w:val="16"/>
              </w:rPr>
              <w:t>54,3</w:t>
            </w:r>
          </w:p>
        </w:tc>
      </w:tr>
    </w:tbl>
    <w:p w:rsidR="00624531" w:rsidRPr="00B0101B" w:rsidRDefault="00624531" w:rsidP="00010D38">
      <w:pPr>
        <w:jc w:val="both"/>
        <w:rPr>
          <w:rFonts w:cs="Arial"/>
          <w:b/>
        </w:rPr>
      </w:pPr>
    </w:p>
    <w:p w:rsidR="00624531" w:rsidRDefault="00624531" w:rsidP="00010D38">
      <w:pPr>
        <w:jc w:val="both"/>
        <w:rPr>
          <w:rFonts w:cs="Arial"/>
          <w:b/>
        </w:rPr>
      </w:pPr>
    </w:p>
    <w:p w:rsidR="00624531" w:rsidRDefault="00624531" w:rsidP="00877D90">
      <w:pPr>
        <w:spacing w:after="240"/>
        <w:jc w:val="both"/>
        <w:rPr>
          <w:rFonts w:cs="Arial"/>
          <w:szCs w:val="20"/>
        </w:rPr>
      </w:pPr>
      <w:r w:rsidRPr="00A165BD">
        <w:rPr>
          <w:rFonts w:cs="Arial"/>
          <w:b/>
        </w:rPr>
        <w:t>Nejvyšší průměrné procento dočasné pracovní neschopnosti v roce 2014 bylo</w:t>
      </w:r>
      <w:r w:rsidRPr="000E5D29">
        <w:rPr>
          <w:rFonts w:cs="Arial"/>
        </w:rPr>
        <w:t xml:space="preserve"> </w:t>
      </w:r>
      <w:r w:rsidRPr="00312CCD">
        <w:rPr>
          <w:rFonts w:cs="Arial"/>
          <w:b/>
        </w:rPr>
        <w:t>v odvětví</w:t>
      </w:r>
      <w:r w:rsidRPr="000E5D29">
        <w:rPr>
          <w:rFonts w:cs="Arial"/>
        </w:rPr>
        <w:t xml:space="preserve"> Těžba a dobývání (4,73), ve Zpracovatelském průmyslu (4,63) a také v Zemědělství, lesnictví a rybářství (</w:t>
      </w:r>
      <w:r w:rsidRPr="000E5D29">
        <w:rPr>
          <w:rFonts w:cs="Arial"/>
          <w:szCs w:val="20"/>
        </w:rPr>
        <w:t>4,39)</w:t>
      </w:r>
      <w:r w:rsidRPr="000E5D29">
        <w:rPr>
          <w:rFonts w:cs="Arial"/>
        </w:rPr>
        <w:t xml:space="preserve">. </w:t>
      </w:r>
      <w:r w:rsidRPr="002D3A4E">
        <w:rPr>
          <w:rFonts w:cs="Arial"/>
          <w:b/>
        </w:rPr>
        <w:t>Nejnižší</w:t>
      </w:r>
      <w:r w:rsidRPr="000E5D29">
        <w:rPr>
          <w:rFonts w:cs="Arial"/>
        </w:rPr>
        <w:t xml:space="preserve"> </w:t>
      </w:r>
      <w:r w:rsidRPr="002D3A4E">
        <w:rPr>
          <w:rFonts w:cs="Arial"/>
          <w:b/>
        </w:rPr>
        <w:t>průměrné procento pracovní neschopnosti</w:t>
      </w:r>
      <w:r w:rsidRPr="000E5D29">
        <w:rPr>
          <w:rFonts w:cs="Arial"/>
        </w:rPr>
        <w:t xml:space="preserve"> v roce 2014 dle ekonomických činností bylo v odvětví</w:t>
      </w:r>
      <w:r w:rsidRPr="000E5D29">
        <w:rPr>
          <w:rFonts w:cs="Arial"/>
          <w:szCs w:val="20"/>
        </w:rPr>
        <w:t xml:space="preserve"> Informačních a komunikačních činností (1,65), Profesní, vědecké technické činnosti (2,06), Výroba, rozvod elektřiny a jiných energií (2,20). </w:t>
      </w:r>
      <w:r>
        <w:rPr>
          <w:rFonts w:cs="Arial"/>
          <w:szCs w:val="20"/>
        </w:rPr>
        <w:t xml:space="preserve">Rozdíly v úrovni ve výši průměrného procenta pracovní neschopnosti posuzované z pohledu různých charakteristik (vlastnictví, velikost podniku, region) svědčí o tom, že úroveň dočasné pracovní neschopnosti není závislá pouze na objektivních zdravotních faktorech. Regionální úroveň dočasné pracovní neschopnosti je v zásadě dána odvětvovou strukturou ekonomiky a s ní související velikostní strukturou podniku. </w:t>
      </w:r>
    </w:p>
    <w:p w:rsidR="00624531" w:rsidRDefault="00624531" w:rsidP="00877D90">
      <w:pPr>
        <w:jc w:val="both"/>
        <w:rPr>
          <w:rFonts w:cs="Arial"/>
          <w:b/>
          <w:bCs/>
          <w:szCs w:val="20"/>
        </w:rPr>
      </w:pPr>
      <w:r w:rsidRPr="00877D90">
        <w:rPr>
          <w:rFonts w:cs="Arial"/>
          <w:b/>
          <w:szCs w:val="20"/>
        </w:rPr>
        <w:t xml:space="preserve">Graf 5: </w:t>
      </w:r>
      <w:r w:rsidRPr="00877D90">
        <w:rPr>
          <w:rFonts w:cs="Arial"/>
          <w:b/>
          <w:bCs/>
          <w:szCs w:val="20"/>
        </w:rPr>
        <w:t>Průměrné procento dočasné pracovní neschopnosti podle skupin CZ-NACE v roce 2014</w:t>
      </w:r>
    </w:p>
    <w:p w:rsidR="00624531" w:rsidRPr="00877D90" w:rsidRDefault="00624531" w:rsidP="00877D90">
      <w:pPr>
        <w:jc w:val="both"/>
        <w:rPr>
          <w:rFonts w:cs="Arial"/>
          <w:b/>
          <w:szCs w:val="20"/>
        </w:rPr>
      </w:pPr>
      <w:r w:rsidRPr="00F57D96">
        <w:rPr>
          <w:szCs w:val="20"/>
        </w:rPr>
        <w:pict>
          <v:shape id="_x0000_i1029" type="#_x0000_t75" style="width:479.25pt;height:220.5pt">
            <v:imagedata r:id="rId15" o:title=""/>
          </v:shape>
        </w:pict>
      </w:r>
    </w:p>
    <w:p w:rsidR="00624531" w:rsidRDefault="00624531" w:rsidP="00010D38">
      <w:pPr>
        <w:jc w:val="both"/>
        <w:rPr>
          <w:rFonts w:cs="Arial"/>
          <w:szCs w:val="20"/>
        </w:rPr>
      </w:pPr>
    </w:p>
    <w:p w:rsidR="00624531" w:rsidRDefault="00624531" w:rsidP="00010D38">
      <w:pPr>
        <w:jc w:val="both"/>
        <w:rPr>
          <w:rFonts w:cs="Arial"/>
        </w:rPr>
      </w:pPr>
      <w:r w:rsidRPr="000E5D29">
        <w:rPr>
          <w:rFonts w:cs="Arial"/>
        </w:rPr>
        <w:t xml:space="preserve">V roce 2014 v České republice v důsledku </w:t>
      </w:r>
      <w:r>
        <w:rPr>
          <w:rFonts w:cs="Arial"/>
        </w:rPr>
        <w:t xml:space="preserve">dočasné </w:t>
      </w:r>
      <w:r w:rsidRPr="000E5D29">
        <w:rPr>
          <w:rFonts w:cs="Arial"/>
        </w:rPr>
        <w:t xml:space="preserve">pracovní neschopnosti pro nemoc a úraz </w:t>
      </w:r>
      <w:r w:rsidRPr="000E5D29">
        <w:rPr>
          <w:rFonts w:cs="Arial"/>
          <w:b/>
        </w:rPr>
        <w:t xml:space="preserve">denně chybělo na svých pracovištích </w:t>
      </w:r>
      <w:r w:rsidRPr="000E5D29">
        <w:rPr>
          <w:rFonts w:cs="Arial"/>
        </w:rPr>
        <w:t>165,03 tis. pojištěnců, což ve srovnání se stejným obdobím v loňském roce (160,51 tis. pojištěnců) bylo o 4,52 tis. pojištěnců více</w:t>
      </w:r>
      <w:r>
        <w:rPr>
          <w:rFonts w:cs="Arial"/>
        </w:rPr>
        <w:t xml:space="preserve"> (muži 75,15 tis., ženy 89,88 tis.). Z celkového počtu chybělo na pracovištích 139,98 tis. pojištěnců </w:t>
      </w:r>
      <w:r w:rsidRPr="00E70729">
        <w:rPr>
          <w:rFonts w:cs="Arial"/>
          <w:b/>
        </w:rPr>
        <w:t>pro nemoc</w:t>
      </w:r>
      <w:r>
        <w:rPr>
          <w:rFonts w:cs="Arial"/>
        </w:rPr>
        <w:t xml:space="preserve">, 6,70 tis. pojištěnců </w:t>
      </w:r>
      <w:r w:rsidRPr="00E70729">
        <w:rPr>
          <w:rFonts w:cs="Arial"/>
          <w:b/>
        </w:rPr>
        <w:t>pro pracovní úraz</w:t>
      </w:r>
      <w:r>
        <w:rPr>
          <w:rFonts w:cs="Arial"/>
        </w:rPr>
        <w:t xml:space="preserve"> a 18,34 tis. pojištěnců </w:t>
      </w:r>
      <w:r w:rsidRPr="00EF437D">
        <w:rPr>
          <w:rFonts w:cs="Arial"/>
          <w:b/>
        </w:rPr>
        <w:t>pro ostatní</w:t>
      </w:r>
      <w:r>
        <w:rPr>
          <w:rFonts w:cs="Arial"/>
        </w:rPr>
        <w:t xml:space="preserve"> úraz.</w:t>
      </w:r>
      <w:r w:rsidRPr="004D081A">
        <w:rPr>
          <w:rFonts w:cs="Arial"/>
        </w:rPr>
        <w:t xml:space="preserve"> </w:t>
      </w:r>
      <w:r>
        <w:rPr>
          <w:rFonts w:cs="Arial"/>
        </w:rPr>
        <w:t xml:space="preserve">Nejvíce pojištěnců z celorepublikového počtu marodilo </w:t>
      </w:r>
      <w:r w:rsidRPr="00413C10">
        <w:rPr>
          <w:rFonts w:cs="Arial"/>
          <w:b/>
        </w:rPr>
        <w:t>v odvětví</w:t>
      </w:r>
      <w:r>
        <w:rPr>
          <w:rFonts w:cs="Arial"/>
        </w:rPr>
        <w:t xml:space="preserve"> Zpracovatelského průmyslu (53,67 tis.), naopak nejméně pojištěnců marodilo v oblasti </w:t>
      </w:r>
      <w:r w:rsidRPr="000E5D29">
        <w:rPr>
          <w:rFonts w:cs="Arial"/>
        </w:rPr>
        <w:t>Výroby, rozvodu elektřiny a jiných energií</w:t>
      </w:r>
      <w:r>
        <w:rPr>
          <w:rFonts w:cs="Arial"/>
        </w:rPr>
        <w:t xml:space="preserve"> (0,72 tis.). </w:t>
      </w:r>
    </w:p>
    <w:tbl>
      <w:tblPr>
        <w:tblW w:w="9906" w:type="dxa"/>
        <w:tblInd w:w="55" w:type="dxa"/>
        <w:tblCellMar>
          <w:left w:w="70" w:type="dxa"/>
          <w:right w:w="70" w:type="dxa"/>
        </w:tblCellMar>
        <w:tblLook w:val="00A0"/>
      </w:tblPr>
      <w:tblGrid>
        <w:gridCol w:w="160"/>
        <w:gridCol w:w="2420"/>
        <w:gridCol w:w="1180"/>
        <w:gridCol w:w="1200"/>
        <w:gridCol w:w="1280"/>
        <w:gridCol w:w="1200"/>
        <w:gridCol w:w="1300"/>
        <w:gridCol w:w="1034"/>
        <w:gridCol w:w="146"/>
      </w:tblGrid>
      <w:tr w:rsidR="00624531" w:rsidRPr="00D07337" w:rsidTr="00CF79BF">
        <w:trPr>
          <w:trHeight w:val="525"/>
        </w:trPr>
        <w:tc>
          <w:tcPr>
            <w:tcW w:w="146" w:type="dxa"/>
            <w:tcBorders>
              <w:top w:val="nil"/>
              <w:left w:val="nil"/>
              <w:bottom w:val="nil"/>
              <w:right w:val="nil"/>
            </w:tcBorders>
            <w:noWrap/>
            <w:vAlign w:val="bottom"/>
          </w:tcPr>
          <w:p w:rsidR="00624531" w:rsidRPr="00D07337" w:rsidRDefault="00624531" w:rsidP="00586FC5">
            <w:pPr>
              <w:spacing w:line="240" w:lineRule="auto"/>
              <w:rPr>
                <w:rFonts w:cs="Arial"/>
                <w:color w:val="000000"/>
                <w:sz w:val="16"/>
                <w:szCs w:val="16"/>
              </w:rPr>
            </w:pPr>
          </w:p>
        </w:tc>
        <w:tc>
          <w:tcPr>
            <w:tcW w:w="9760" w:type="dxa"/>
            <w:gridSpan w:val="8"/>
            <w:tcBorders>
              <w:top w:val="nil"/>
              <w:left w:val="nil"/>
              <w:bottom w:val="single" w:sz="8" w:space="0" w:color="auto"/>
              <w:right w:val="nil"/>
            </w:tcBorders>
          </w:tcPr>
          <w:p w:rsidR="00624531" w:rsidRDefault="00624531" w:rsidP="00D07337">
            <w:pPr>
              <w:spacing w:line="240" w:lineRule="auto"/>
              <w:rPr>
                <w:rFonts w:cs="Arial"/>
                <w:b/>
                <w:bCs/>
                <w:color w:val="000000"/>
                <w:sz w:val="18"/>
                <w:szCs w:val="18"/>
              </w:rPr>
            </w:pPr>
          </w:p>
          <w:p w:rsidR="00624531" w:rsidRPr="00D07337" w:rsidRDefault="00624531" w:rsidP="003221C6">
            <w:pPr>
              <w:spacing w:line="240" w:lineRule="auto"/>
              <w:rPr>
                <w:rFonts w:cs="Arial"/>
                <w:b/>
                <w:bCs/>
                <w:color w:val="000000"/>
                <w:sz w:val="18"/>
                <w:szCs w:val="18"/>
              </w:rPr>
            </w:pPr>
            <w:r w:rsidRPr="00D07337">
              <w:rPr>
                <w:rFonts w:cs="Arial"/>
                <w:b/>
                <w:bCs/>
                <w:color w:val="000000"/>
                <w:sz w:val="18"/>
                <w:szCs w:val="18"/>
              </w:rPr>
              <w:t>Tabulka</w:t>
            </w:r>
            <w:r>
              <w:rPr>
                <w:rFonts w:cs="Arial"/>
                <w:b/>
                <w:bCs/>
                <w:color w:val="000000"/>
                <w:sz w:val="18"/>
                <w:szCs w:val="18"/>
              </w:rPr>
              <w:t xml:space="preserve"> 2</w:t>
            </w:r>
            <w:r w:rsidRPr="00D07337">
              <w:rPr>
                <w:rFonts w:cs="Arial"/>
                <w:b/>
                <w:bCs/>
                <w:color w:val="000000"/>
                <w:sz w:val="18"/>
                <w:szCs w:val="18"/>
              </w:rPr>
              <w:t>: Základní ukazatele dočasné pracovní neschopnosti pro nemoc a úraz podle skupin CZ-NACE v ČR za rok 2014</w:t>
            </w:r>
            <w:r w:rsidRPr="00D07337">
              <w:rPr>
                <w:rFonts w:cs="Arial"/>
                <w:b/>
                <w:bCs/>
                <w:color w:val="000000"/>
                <w:sz w:val="18"/>
                <w:szCs w:val="18"/>
                <w:vertAlign w:val="superscript"/>
              </w:rPr>
              <w:t xml:space="preserve">*) </w:t>
            </w:r>
            <w:r>
              <w:rPr>
                <w:rFonts w:cs="Arial"/>
                <w:b/>
                <w:bCs/>
                <w:color w:val="000000"/>
                <w:sz w:val="18"/>
                <w:szCs w:val="18"/>
                <w:vertAlign w:val="superscript"/>
              </w:rPr>
              <w:t xml:space="preserve"> </w:t>
            </w:r>
          </w:p>
        </w:tc>
      </w:tr>
      <w:tr w:rsidR="00624531" w:rsidRPr="00D07337" w:rsidTr="00CF79BF">
        <w:trPr>
          <w:trHeight w:val="1575"/>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color w:val="000000"/>
                <w:sz w:val="16"/>
                <w:szCs w:val="16"/>
              </w:rPr>
            </w:pPr>
          </w:p>
        </w:tc>
        <w:tc>
          <w:tcPr>
            <w:tcW w:w="2420" w:type="dxa"/>
            <w:tcBorders>
              <w:top w:val="nil"/>
              <w:left w:val="nil"/>
              <w:bottom w:val="single" w:sz="8" w:space="0" w:color="auto"/>
              <w:right w:val="single" w:sz="8" w:space="0" w:color="auto"/>
            </w:tcBorders>
            <w:shd w:val="clear" w:color="000000" w:fill="F2DDDC"/>
            <w:vAlign w:val="center"/>
          </w:tcPr>
          <w:p w:rsidR="00624531" w:rsidRPr="00D07337" w:rsidRDefault="00624531" w:rsidP="00D07337">
            <w:pPr>
              <w:spacing w:line="240" w:lineRule="auto"/>
              <w:jc w:val="center"/>
              <w:rPr>
                <w:rFonts w:cs="Arial"/>
                <w:color w:val="000000"/>
                <w:sz w:val="16"/>
                <w:szCs w:val="16"/>
              </w:rPr>
            </w:pPr>
            <w:r w:rsidRPr="00D07337">
              <w:rPr>
                <w:rFonts w:cs="Arial"/>
                <w:color w:val="000000"/>
                <w:sz w:val="16"/>
                <w:szCs w:val="16"/>
              </w:rPr>
              <w:t>CZ-NACE</w:t>
            </w:r>
          </w:p>
        </w:tc>
        <w:tc>
          <w:tcPr>
            <w:tcW w:w="1180" w:type="dxa"/>
            <w:tcBorders>
              <w:top w:val="nil"/>
              <w:left w:val="nil"/>
              <w:bottom w:val="single" w:sz="8" w:space="0" w:color="auto"/>
              <w:right w:val="single" w:sz="8" w:space="0" w:color="auto"/>
            </w:tcBorders>
            <w:shd w:val="clear" w:color="000000" w:fill="F2DDDC"/>
            <w:vAlign w:val="center"/>
          </w:tcPr>
          <w:p w:rsidR="00624531" w:rsidRPr="00D07337" w:rsidRDefault="00624531" w:rsidP="00D07337">
            <w:pPr>
              <w:spacing w:line="240" w:lineRule="auto"/>
              <w:jc w:val="center"/>
              <w:rPr>
                <w:rFonts w:cs="Arial"/>
                <w:color w:val="000000"/>
                <w:sz w:val="16"/>
                <w:szCs w:val="16"/>
              </w:rPr>
            </w:pPr>
            <w:r w:rsidRPr="00D07337">
              <w:rPr>
                <w:rFonts w:cs="Arial"/>
                <w:color w:val="000000"/>
                <w:sz w:val="16"/>
                <w:szCs w:val="16"/>
              </w:rPr>
              <w:t xml:space="preserve">Průměrný počet nemocensky pojištěných </w:t>
            </w:r>
          </w:p>
        </w:tc>
        <w:tc>
          <w:tcPr>
            <w:tcW w:w="1200" w:type="dxa"/>
            <w:tcBorders>
              <w:top w:val="nil"/>
              <w:left w:val="nil"/>
              <w:bottom w:val="single" w:sz="8" w:space="0" w:color="auto"/>
              <w:right w:val="single" w:sz="8" w:space="0" w:color="auto"/>
            </w:tcBorders>
            <w:shd w:val="clear" w:color="000000" w:fill="F2DDDC"/>
            <w:vAlign w:val="center"/>
          </w:tcPr>
          <w:p w:rsidR="00624531" w:rsidRPr="00D07337" w:rsidRDefault="00624531" w:rsidP="00D07337">
            <w:pPr>
              <w:spacing w:line="240" w:lineRule="auto"/>
              <w:jc w:val="center"/>
              <w:rPr>
                <w:rFonts w:cs="Arial"/>
                <w:color w:val="000000"/>
                <w:sz w:val="16"/>
                <w:szCs w:val="16"/>
              </w:rPr>
            </w:pPr>
            <w:r w:rsidRPr="00D07337">
              <w:rPr>
                <w:rFonts w:cs="Arial"/>
                <w:color w:val="000000"/>
                <w:sz w:val="16"/>
                <w:szCs w:val="16"/>
              </w:rPr>
              <w:t xml:space="preserve">Počet nově hlášených případů pracovní neschopnosti </w:t>
            </w:r>
          </w:p>
        </w:tc>
        <w:tc>
          <w:tcPr>
            <w:tcW w:w="1280" w:type="dxa"/>
            <w:tcBorders>
              <w:top w:val="nil"/>
              <w:left w:val="nil"/>
              <w:bottom w:val="single" w:sz="8" w:space="0" w:color="auto"/>
              <w:right w:val="single" w:sz="8" w:space="0" w:color="auto"/>
            </w:tcBorders>
            <w:shd w:val="clear" w:color="000000" w:fill="F2DDDC"/>
            <w:vAlign w:val="center"/>
          </w:tcPr>
          <w:p w:rsidR="00624531" w:rsidRPr="00D07337" w:rsidRDefault="00624531" w:rsidP="00D07337">
            <w:pPr>
              <w:spacing w:line="240" w:lineRule="auto"/>
              <w:jc w:val="center"/>
              <w:rPr>
                <w:rFonts w:cs="Arial"/>
                <w:color w:val="000000"/>
                <w:sz w:val="16"/>
                <w:szCs w:val="16"/>
              </w:rPr>
            </w:pPr>
            <w:r w:rsidRPr="00D07337">
              <w:rPr>
                <w:rFonts w:cs="Arial"/>
                <w:color w:val="000000"/>
                <w:sz w:val="16"/>
                <w:szCs w:val="16"/>
              </w:rPr>
              <w:t>Počet nově hlášených případů pracovní neschopnosti na 100 pojištěnců</w:t>
            </w:r>
          </w:p>
        </w:tc>
        <w:tc>
          <w:tcPr>
            <w:tcW w:w="1200" w:type="dxa"/>
            <w:tcBorders>
              <w:top w:val="nil"/>
              <w:left w:val="nil"/>
              <w:bottom w:val="single" w:sz="8" w:space="0" w:color="auto"/>
              <w:right w:val="single" w:sz="8" w:space="0" w:color="auto"/>
            </w:tcBorders>
            <w:shd w:val="clear" w:color="000000" w:fill="F2DDDC"/>
            <w:vAlign w:val="center"/>
          </w:tcPr>
          <w:p w:rsidR="00624531" w:rsidRPr="00D07337" w:rsidRDefault="00624531" w:rsidP="00D07337">
            <w:pPr>
              <w:spacing w:line="240" w:lineRule="auto"/>
              <w:jc w:val="center"/>
              <w:rPr>
                <w:rFonts w:cs="Arial"/>
                <w:color w:val="000000"/>
                <w:sz w:val="16"/>
                <w:szCs w:val="16"/>
              </w:rPr>
            </w:pPr>
            <w:r w:rsidRPr="00D07337">
              <w:rPr>
                <w:rFonts w:cs="Arial"/>
                <w:color w:val="000000"/>
                <w:sz w:val="16"/>
                <w:szCs w:val="16"/>
              </w:rPr>
              <w:t xml:space="preserve">Průměrné procento pracovní neschopnosti </w:t>
            </w:r>
          </w:p>
        </w:tc>
        <w:tc>
          <w:tcPr>
            <w:tcW w:w="1300" w:type="dxa"/>
            <w:tcBorders>
              <w:top w:val="nil"/>
              <w:left w:val="nil"/>
              <w:bottom w:val="single" w:sz="8" w:space="0" w:color="auto"/>
              <w:right w:val="single" w:sz="8" w:space="0" w:color="auto"/>
            </w:tcBorders>
            <w:shd w:val="clear" w:color="000000" w:fill="F2DDDC"/>
            <w:vAlign w:val="center"/>
          </w:tcPr>
          <w:p w:rsidR="00624531" w:rsidRPr="00D07337" w:rsidRDefault="00624531" w:rsidP="00D07337">
            <w:pPr>
              <w:spacing w:line="240" w:lineRule="auto"/>
              <w:jc w:val="center"/>
              <w:rPr>
                <w:rFonts w:cs="Arial"/>
                <w:color w:val="000000"/>
                <w:sz w:val="16"/>
                <w:szCs w:val="16"/>
              </w:rPr>
            </w:pPr>
            <w:r w:rsidRPr="00D07337">
              <w:rPr>
                <w:rFonts w:cs="Arial"/>
                <w:color w:val="000000"/>
                <w:sz w:val="16"/>
                <w:szCs w:val="16"/>
              </w:rPr>
              <w:t>Počet kalendářních dnů pracovní neschopnosti na 1 nově hlášený případ</w:t>
            </w:r>
          </w:p>
        </w:tc>
        <w:tc>
          <w:tcPr>
            <w:tcW w:w="1180" w:type="dxa"/>
            <w:gridSpan w:val="2"/>
            <w:tcBorders>
              <w:top w:val="nil"/>
              <w:left w:val="nil"/>
              <w:bottom w:val="single" w:sz="8" w:space="0" w:color="auto"/>
              <w:right w:val="nil"/>
            </w:tcBorders>
            <w:shd w:val="clear" w:color="000000" w:fill="F2DDDC"/>
            <w:vAlign w:val="center"/>
          </w:tcPr>
          <w:p w:rsidR="00624531" w:rsidRPr="00D07337" w:rsidRDefault="00624531" w:rsidP="00D07337">
            <w:pPr>
              <w:spacing w:line="240" w:lineRule="auto"/>
              <w:jc w:val="center"/>
              <w:rPr>
                <w:rFonts w:cs="Arial"/>
                <w:color w:val="000000"/>
                <w:sz w:val="16"/>
                <w:szCs w:val="16"/>
              </w:rPr>
            </w:pPr>
            <w:r w:rsidRPr="00D07337">
              <w:rPr>
                <w:rFonts w:cs="Arial"/>
                <w:color w:val="000000"/>
                <w:sz w:val="16"/>
                <w:szCs w:val="16"/>
              </w:rPr>
              <w:t>Průměrný denní stav práce neschopných</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A. Zeměď,lesnic.,rybářství</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112 878</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29 852</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26,45</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4,388</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60,56</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4 953</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B. Těžba a dobývání</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31 948</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11 487</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35,96</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4,726</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47,98</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1 510</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C. Zpracovatelský průmysl</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1 160 604</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437 396</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37,69</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4,625</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44,79</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53 673</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D. Výr.a rozv.el.a.j.energ</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32 600</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6 419</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19,69</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2,202</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40,82</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718</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E. Zás.vodou;čin.s odpady</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57 607</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17 119</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29,72</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3,918</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48,12</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2 257</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F. Stavebnictví</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240 129</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64 785</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26,98</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4,382</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59,28</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10 523</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G. VO,MO;opravy motor.voz.</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603 711</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158 876</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26,32</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3,628</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50,32</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21 904</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H. Doprava a skladování</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276 967</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75 519</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27,27</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3,801</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50,88</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10 527</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I. Ubyt.,strav.a pohost.</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134 738</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31 862</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23,65</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3,803</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58,70</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5 124</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J. Info.a komunik.činnosti</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115 919</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25 150</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21,70</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1,652</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27,80</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1 915</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K. Peněžnictví a pojišťov.</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91 223</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23 022</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25,24</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2,368</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34,25</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2 160</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L. Čin.v obl.nemovitostí</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74 742</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10 438</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13,97</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2,153</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56,27</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1 609</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M. Profes.,věd.a tech.čin</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201 078</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36 862</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18,33</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2,055</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40,92</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4 133</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N. Administr.a podpůr.čin.</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244 459</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98 508</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40,30</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4,561</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41,32</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11 151</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O. Veř.spr. obrana;soc.zab</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260 352</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68 432</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26,28</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2,737</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38,01</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7 127</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P. Vzdělávání</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340 407</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82 953</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24,37</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2,379</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35,63</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8 098</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Q. Zdravotní a soc.péče</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333 642</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84 874</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25,44</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3,601</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51,67</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12 015</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R. Kultur,zábav.a rekr.čin</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63 867</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13 120</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20,54</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2,488</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44,21</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1 589</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S. Ostatní činnosti</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64 383</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15 154</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23,54</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3,198</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49,59</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2 059</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T. Činnosti domácností</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2</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U. Čin.exteritoriál.org.</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66</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4,55</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1,918</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32,33</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1</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sz w:val="16"/>
                <w:szCs w:val="16"/>
              </w:rPr>
            </w:pPr>
            <w:r w:rsidRPr="00D07337">
              <w:rPr>
                <w:rFonts w:cs="Arial"/>
                <w:sz w:val="16"/>
                <w:szCs w:val="16"/>
              </w:rPr>
              <w:t>Nezjištěno</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x</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x</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x</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x</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x</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sz w:val="16"/>
                <w:szCs w:val="16"/>
              </w:rPr>
            </w:pPr>
            <w:r w:rsidRPr="00D07337">
              <w:rPr>
                <w:rFonts w:cs="Arial"/>
                <w:sz w:val="16"/>
                <w:szCs w:val="16"/>
              </w:rPr>
              <w:t>x</w:t>
            </w:r>
          </w:p>
        </w:tc>
      </w:tr>
      <w:tr w:rsidR="00624531" w:rsidRPr="00D07337" w:rsidTr="00CF79BF">
        <w:trPr>
          <w:trHeight w:val="222"/>
        </w:trPr>
        <w:tc>
          <w:tcPr>
            <w:tcW w:w="146" w:type="dxa"/>
            <w:tcBorders>
              <w:top w:val="nil"/>
              <w:left w:val="nil"/>
              <w:bottom w:val="nil"/>
              <w:right w:val="nil"/>
            </w:tcBorders>
            <w:noWrap/>
            <w:vAlign w:val="bottom"/>
          </w:tcPr>
          <w:p w:rsidR="00624531" w:rsidRPr="00D07337" w:rsidRDefault="00624531" w:rsidP="00D07337">
            <w:pPr>
              <w:spacing w:line="240" w:lineRule="auto"/>
              <w:rPr>
                <w:rFonts w:cs="Arial"/>
                <w:sz w:val="16"/>
                <w:szCs w:val="16"/>
              </w:rPr>
            </w:pPr>
          </w:p>
        </w:tc>
        <w:tc>
          <w:tcPr>
            <w:tcW w:w="2420" w:type="dxa"/>
            <w:tcBorders>
              <w:top w:val="nil"/>
              <w:left w:val="nil"/>
              <w:bottom w:val="nil"/>
              <w:right w:val="single" w:sz="8" w:space="0" w:color="auto"/>
            </w:tcBorders>
            <w:noWrap/>
            <w:vAlign w:val="bottom"/>
          </w:tcPr>
          <w:p w:rsidR="00624531" w:rsidRPr="00D07337" w:rsidRDefault="00624531" w:rsidP="00D07337">
            <w:pPr>
              <w:spacing w:line="240" w:lineRule="auto"/>
              <w:rPr>
                <w:rFonts w:cs="Arial"/>
                <w:b/>
                <w:bCs/>
                <w:sz w:val="16"/>
                <w:szCs w:val="16"/>
              </w:rPr>
            </w:pPr>
            <w:r w:rsidRPr="00D07337">
              <w:rPr>
                <w:rFonts w:cs="Arial"/>
                <w:b/>
                <w:bCs/>
                <w:sz w:val="16"/>
                <w:szCs w:val="16"/>
              </w:rPr>
              <w:t>Celkem</w:t>
            </w:r>
          </w:p>
        </w:tc>
        <w:tc>
          <w:tcPr>
            <w:tcW w:w="11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b/>
                <w:bCs/>
                <w:sz w:val="16"/>
                <w:szCs w:val="16"/>
              </w:rPr>
            </w:pPr>
            <w:r w:rsidRPr="00D07337">
              <w:rPr>
                <w:rFonts w:cs="Arial"/>
                <w:b/>
                <w:bCs/>
                <w:sz w:val="16"/>
                <w:szCs w:val="16"/>
              </w:rPr>
              <w:t>4 464 057</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b/>
                <w:bCs/>
                <w:sz w:val="16"/>
                <w:szCs w:val="16"/>
              </w:rPr>
            </w:pPr>
            <w:r w:rsidRPr="00D07337">
              <w:rPr>
                <w:rFonts w:cs="Arial"/>
                <w:b/>
                <w:bCs/>
                <w:sz w:val="16"/>
                <w:szCs w:val="16"/>
              </w:rPr>
              <w:t>1 314 790</w:t>
            </w:r>
          </w:p>
        </w:tc>
        <w:tc>
          <w:tcPr>
            <w:tcW w:w="128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b/>
                <w:bCs/>
                <w:sz w:val="16"/>
                <w:szCs w:val="16"/>
              </w:rPr>
            </w:pPr>
            <w:r w:rsidRPr="00D07337">
              <w:rPr>
                <w:rFonts w:cs="Arial"/>
                <w:b/>
                <w:bCs/>
                <w:sz w:val="16"/>
                <w:szCs w:val="16"/>
              </w:rPr>
              <w:t>29,45</w:t>
            </w:r>
          </w:p>
        </w:tc>
        <w:tc>
          <w:tcPr>
            <w:tcW w:w="12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b/>
                <w:bCs/>
                <w:sz w:val="16"/>
                <w:szCs w:val="16"/>
              </w:rPr>
            </w:pPr>
            <w:r w:rsidRPr="00D07337">
              <w:rPr>
                <w:rFonts w:cs="Arial"/>
                <w:b/>
                <w:bCs/>
                <w:sz w:val="16"/>
                <w:szCs w:val="16"/>
              </w:rPr>
              <w:t>3,697</w:t>
            </w:r>
          </w:p>
        </w:tc>
        <w:tc>
          <w:tcPr>
            <w:tcW w:w="1300" w:type="dxa"/>
            <w:tcBorders>
              <w:top w:val="nil"/>
              <w:left w:val="nil"/>
              <w:bottom w:val="nil"/>
              <w:right w:val="single" w:sz="8" w:space="0" w:color="auto"/>
            </w:tcBorders>
            <w:noWrap/>
            <w:vAlign w:val="bottom"/>
          </w:tcPr>
          <w:p w:rsidR="00624531" w:rsidRPr="00D07337" w:rsidRDefault="00624531" w:rsidP="00D07337">
            <w:pPr>
              <w:spacing w:line="240" w:lineRule="auto"/>
              <w:jc w:val="right"/>
              <w:rPr>
                <w:rFonts w:cs="Arial"/>
                <w:b/>
                <w:bCs/>
                <w:sz w:val="16"/>
                <w:szCs w:val="16"/>
              </w:rPr>
            </w:pPr>
            <w:r w:rsidRPr="00D07337">
              <w:rPr>
                <w:rFonts w:cs="Arial"/>
                <w:b/>
                <w:bCs/>
                <w:sz w:val="16"/>
                <w:szCs w:val="16"/>
              </w:rPr>
              <w:t>45,81</w:t>
            </w:r>
          </w:p>
        </w:tc>
        <w:tc>
          <w:tcPr>
            <w:tcW w:w="1180" w:type="dxa"/>
            <w:gridSpan w:val="2"/>
            <w:tcBorders>
              <w:top w:val="nil"/>
              <w:left w:val="nil"/>
              <w:bottom w:val="nil"/>
              <w:right w:val="nil"/>
            </w:tcBorders>
            <w:noWrap/>
            <w:vAlign w:val="bottom"/>
          </w:tcPr>
          <w:p w:rsidR="00624531" w:rsidRPr="00D07337" w:rsidRDefault="00624531" w:rsidP="00D07337">
            <w:pPr>
              <w:spacing w:line="240" w:lineRule="auto"/>
              <w:jc w:val="right"/>
              <w:rPr>
                <w:rFonts w:cs="Arial"/>
                <w:b/>
                <w:bCs/>
                <w:sz w:val="16"/>
                <w:szCs w:val="16"/>
              </w:rPr>
            </w:pPr>
            <w:r w:rsidRPr="00D07337">
              <w:rPr>
                <w:rFonts w:cs="Arial"/>
                <w:b/>
                <w:bCs/>
                <w:sz w:val="16"/>
                <w:szCs w:val="16"/>
              </w:rPr>
              <w:t>165 028</w:t>
            </w:r>
          </w:p>
        </w:tc>
      </w:tr>
      <w:tr w:rsidR="00624531" w:rsidRPr="00D07337" w:rsidTr="00D07337">
        <w:trPr>
          <w:gridAfter w:val="1"/>
          <w:wAfter w:w="146" w:type="dxa"/>
          <w:trHeight w:val="222"/>
        </w:trPr>
        <w:tc>
          <w:tcPr>
            <w:tcW w:w="9760" w:type="dxa"/>
            <w:gridSpan w:val="8"/>
            <w:tcBorders>
              <w:top w:val="nil"/>
              <w:left w:val="nil"/>
              <w:bottom w:val="nil"/>
              <w:right w:val="nil"/>
            </w:tcBorders>
            <w:vAlign w:val="bottom"/>
          </w:tcPr>
          <w:p w:rsidR="00624531" w:rsidRDefault="00624531" w:rsidP="00D07337">
            <w:pPr>
              <w:spacing w:line="240" w:lineRule="auto"/>
              <w:rPr>
                <w:rFonts w:cs="Arial"/>
                <w:sz w:val="16"/>
                <w:szCs w:val="16"/>
              </w:rPr>
            </w:pPr>
          </w:p>
          <w:p w:rsidR="00624531" w:rsidRPr="00D07337" w:rsidRDefault="00624531" w:rsidP="00D07337">
            <w:pPr>
              <w:spacing w:line="240" w:lineRule="auto"/>
              <w:rPr>
                <w:rFonts w:cs="Arial"/>
                <w:sz w:val="16"/>
                <w:szCs w:val="16"/>
              </w:rPr>
            </w:pPr>
            <w:r w:rsidRPr="00D07337">
              <w:rPr>
                <w:rFonts w:cs="Arial"/>
                <w:sz w:val="16"/>
                <w:szCs w:val="16"/>
              </w:rPr>
              <w:t>*) -  ležatá čárka na místě čísla značí, že se jev nevyskytoval</w:t>
            </w:r>
          </w:p>
        </w:tc>
      </w:tr>
      <w:tr w:rsidR="00624531" w:rsidRPr="00D07337" w:rsidTr="00D07337">
        <w:trPr>
          <w:gridAfter w:val="1"/>
          <w:wAfter w:w="146" w:type="dxa"/>
          <w:trHeight w:val="222"/>
        </w:trPr>
        <w:tc>
          <w:tcPr>
            <w:tcW w:w="9760" w:type="dxa"/>
            <w:gridSpan w:val="8"/>
            <w:tcBorders>
              <w:top w:val="nil"/>
              <w:left w:val="nil"/>
              <w:bottom w:val="nil"/>
              <w:right w:val="nil"/>
            </w:tcBorders>
            <w:vAlign w:val="bottom"/>
          </w:tcPr>
          <w:p w:rsidR="00624531" w:rsidRPr="00D07337" w:rsidRDefault="00624531" w:rsidP="00D07337">
            <w:pPr>
              <w:spacing w:line="240" w:lineRule="auto"/>
              <w:rPr>
                <w:rFonts w:cs="Arial"/>
                <w:sz w:val="16"/>
                <w:szCs w:val="16"/>
              </w:rPr>
            </w:pPr>
            <w:r w:rsidRPr="00D07337">
              <w:rPr>
                <w:rFonts w:cs="Arial"/>
                <w:sz w:val="16"/>
                <w:szCs w:val="16"/>
              </w:rPr>
              <w:t xml:space="preserve">   x  ležatý křížek na místě čísla značí, že zápis není možný z logických důvodů</w:t>
            </w:r>
          </w:p>
        </w:tc>
      </w:tr>
    </w:tbl>
    <w:p w:rsidR="00624531" w:rsidRDefault="00624531" w:rsidP="001916D7">
      <w:pPr>
        <w:pStyle w:val="Heading1"/>
        <w:rPr>
          <w:rFonts w:cs="Arial"/>
          <w:sz w:val="28"/>
        </w:rPr>
      </w:pPr>
    </w:p>
    <w:p w:rsidR="00624531" w:rsidRDefault="00624531" w:rsidP="00A57A3A">
      <w:pPr>
        <w:pStyle w:val="ListParagraph"/>
        <w:spacing w:after="200" w:line="276" w:lineRule="auto"/>
        <w:jc w:val="both"/>
        <w:rPr>
          <w:rStyle w:val="Hyperlink"/>
          <w:rFonts w:ascii="Arial" w:hAnsi="Arial" w:cs="Arial"/>
        </w:rPr>
      </w:pPr>
    </w:p>
    <w:p w:rsidR="00624531" w:rsidRPr="00AF29D0" w:rsidRDefault="00624531" w:rsidP="00A57A3A">
      <w:pPr>
        <w:pStyle w:val="ListParagraph"/>
        <w:spacing w:after="200" w:line="276" w:lineRule="auto"/>
        <w:jc w:val="both"/>
        <w:rPr>
          <w:rStyle w:val="Hyperlink"/>
          <w:rFonts w:ascii="Arial" w:hAnsi="Arial" w:cs="Arial"/>
        </w:rPr>
      </w:pPr>
    </w:p>
    <w:p w:rsidR="00624531" w:rsidRDefault="00624531" w:rsidP="00F42B21">
      <w:pPr>
        <w:pStyle w:val="Heading1"/>
        <w:rPr>
          <w:rFonts w:cs="Arial"/>
          <w:sz w:val="28"/>
        </w:rPr>
      </w:pPr>
    </w:p>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Default="00624531" w:rsidP="007161EF"/>
    <w:p w:rsidR="00624531" w:rsidRPr="00643E8B" w:rsidRDefault="00624531" w:rsidP="00912D30">
      <w:pPr>
        <w:pStyle w:val="Heading1"/>
        <w:pageBreakBefore/>
      </w:pPr>
      <w:r>
        <w:rPr>
          <w:rFonts w:cs="Arial"/>
          <w:sz w:val="28"/>
        </w:rPr>
        <w:t>Použité značky</w:t>
      </w:r>
    </w:p>
    <w:p w:rsidR="00624531" w:rsidRPr="00B71F9B" w:rsidRDefault="00624531" w:rsidP="00A9323C">
      <w:pPr>
        <w:pStyle w:val="BodyTextIndent"/>
        <w:ind w:left="0"/>
        <w:jc w:val="both"/>
        <w:rPr>
          <w:rFonts w:cs="Arial"/>
        </w:rPr>
      </w:pPr>
      <w:r w:rsidRPr="00B71F9B">
        <w:rPr>
          <w:rFonts w:cs="Arial"/>
        </w:rPr>
        <w:t>-</w:t>
      </w:r>
      <w:r w:rsidRPr="00B71F9B">
        <w:rPr>
          <w:rFonts w:cs="Arial"/>
        </w:rPr>
        <w:tab/>
        <w:t>ležatá čárka na místě čísla značí, že se jev nevyskytoval</w:t>
      </w:r>
    </w:p>
    <w:p w:rsidR="00624531" w:rsidRPr="00B71F9B" w:rsidRDefault="00624531" w:rsidP="00A9323C">
      <w:pPr>
        <w:pStyle w:val="BodyTextIndent"/>
        <w:ind w:left="0"/>
        <w:jc w:val="both"/>
        <w:rPr>
          <w:rFonts w:cs="Arial"/>
        </w:rPr>
      </w:pPr>
      <w:r w:rsidRPr="00B71F9B">
        <w:rPr>
          <w:rFonts w:cs="Arial"/>
        </w:rPr>
        <w:t>x</w:t>
      </w:r>
      <w:r w:rsidRPr="00B71F9B">
        <w:rPr>
          <w:rFonts w:cs="Arial"/>
        </w:rPr>
        <w:tab/>
        <w:t>ležatý křížek na místě čísla značí, že zápis není možný z logických důvodů</w:t>
      </w:r>
    </w:p>
    <w:p w:rsidR="00624531" w:rsidRPr="00B71F9B" w:rsidRDefault="00624531" w:rsidP="00A9323C">
      <w:pPr>
        <w:pStyle w:val="BodyTextIndent"/>
        <w:ind w:left="0"/>
        <w:jc w:val="both"/>
        <w:rPr>
          <w:rFonts w:cs="Arial"/>
        </w:rPr>
      </w:pPr>
      <w:r w:rsidRPr="00B71F9B">
        <w:rPr>
          <w:rFonts w:cs="Arial"/>
        </w:rPr>
        <w:t>i. d.</w:t>
      </w:r>
      <w:r w:rsidRPr="00B71F9B">
        <w:rPr>
          <w:rFonts w:cs="Arial"/>
        </w:rPr>
        <w:tab/>
        <w:t>individuální data</w:t>
      </w:r>
    </w:p>
    <w:p w:rsidR="00624531" w:rsidRPr="007C427E" w:rsidRDefault="00624531" w:rsidP="00A9323C">
      <w:pPr>
        <w:pStyle w:val="BodyTextIndent"/>
        <w:ind w:left="0"/>
        <w:jc w:val="both"/>
        <w:rPr>
          <w:rFonts w:cs="Arial"/>
        </w:rPr>
      </w:pPr>
    </w:p>
    <w:p w:rsidR="00624531" w:rsidRDefault="00624531" w:rsidP="00A9323C"/>
    <w:p w:rsidR="00624531" w:rsidRDefault="00624531" w:rsidP="00062EC5">
      <w:pPr>
        <w:pStyle w:val="Heading2"/>
      </w:pPr>
    </w:p>
    <w:sectPr w:rsidR="00624531" w:rsidSect="00D54851">
      <w:headerReference w:type="even" r:id="rId16"/>
      <w:headerReference w:type="default" r:id="rId17"/>
      <w:footerReference w:type="even" r:id="rId18"/>
      <w:footerReference w:type="default" r:id="rId19"/>
      <w:pgSz w:w="11906" w:h="16838" w:code="9"/>
      <w:pgMar w:top="993"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31" w:rsidRDefault="00624531" w:rsidP="00E71A58">
      <w:r>
        <w:separator/>
      </w:r>
    </w:p>
  </w:endnote>
  <w:endnote w:type="continuationSeparator" w:id="0">
    <w:p w:rsidR="00624531" w:rsidRDefault="00624531"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31" w:rsidRDefault="00624531" w:rsidP="00B95312">
    <w:pPr>
      <w:pStyle w:val="Footer"/>
      <w:tabs>
        <w:tab w:val="left" w:pos="878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31" w:rsidRDefault="00624531" w:rsidP="00B95312">
    <w:pPr>
      <w:pStyle w:val="Footer"/>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alt="Description: 3" style="position:absolute;margin-left:445.7pt;margin-top:-4.1pt;width:36.75pt;height:17.25pt;z-index:251658240;visibility:visible">
          <v:imagedata r:id="rId1" o:title=""/>
        </v:shape>
      </w:pict>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Pr>
        <w:rFonts w:ascii="Arial" w:hAnsi="Arial" w:cs="Arial"/>
        <w:noProof/>
        <w:sz w:val="16"/>
        <w:szCs w:val="16"/>
      </w:rPr>
      <w:t>6</w:t>
    </w:r>
    <w:r w:rsidRPr="005A21E0">
      <w:rPr>
        <w:rFonts w:ascii="Arial" w:hAnsi="Arial" w:cs="Arial"/>
        <w:sz w:val="16"/>
        <w:szCs w:val="16"/>
      </w:rPr>
      <w:fldChar w:fldCharType="end"/>
    </w:r>
    <w:r>
      <w:rPr>
        <w:rFonts w:ascii="Arial" w:hAnsi="Arial" w:cs="Arial"/>
        <w:sz w:val="16"/>
        <w:szCs w:val="16"/>
      </w:rPr>
      <w:tab/>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31" w:rsidRDefault="00624531" w:rsidP="003A6B38">
    <w:pPr>
      <w:pStyle w:val="Footer"/>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0" type="#_x0000_t75" alt="Description: 3" style="position:absolute;margin-left:.3pt;margin-top:7.1pt;width:39pt;height:21pt;z-index:251657216;visibility:visible">
          <v:imagedata r:id="rId1" o:title=""/>
        </v:shape>
      </w:pict>
    </w:r>
    <w:r>
      <w:tab/>
    </w:r>
    <w:r>
      <w:tab/>
    </w:r>
    <w:r w:rsidRPr="00DC5B3B">
      <w:t xml:space="preserve">                              </w:t>
    </w:r>
  </w:p>
  <w:p w:rsidR="00624531" w:rsidRDefault="00624531" w:rsidP="00EE3E78">
    <w:pPr>
      <w:pStyle w:val="Footer"/>
      <w:tabs>
        <w:tab w:val="clear" w:pos="4536"/>
        <w:tab w:val="clear" w:pos="9072"/>
        <w:tab w:val="left" w:pos="1134"/>
        <w:tab w:val="left" w:pos="1920"/>
        <w:tab w:val="center" w:pos="4820"/>
        <w:tab w:val="left" w:pos="9495"/>
        <w:tab w:val="right" w:pos="963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2015</w:t>
    </w:r>
  </w:p>
  <w:p w:rsidR="00624531" w:rsidRDefault="00624531" w:rsidP="00B95312">
    <w:pPr>
      <w:pStyle w:val="Footer"/>
      <w:tabs>
        <w:tab w:val="clear" w:pos="4536"/>
        <w:tab w:val="clear" w:pos="9072"/>
        <w:tab w:val="left" w:pos="1134"/>
        <w:tab w:val="left" w:pos="1920"/>
        <w:tab w:val="center" w:pos="4820"/>
        <w:tab w:val="left" w:pos="9495"/>
        <w:tab w:val="right" w:pos="9639"/>
      </w:tabs>
      <w:jc w:val="right"/>
    </w:pP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Pr>
        <w:rFonts w:ascii="Arial" w:hAnsi="Arial" w:cs="Arial"/>
        <w:noProof/>
        <w:sz w:val="16"/>
        <w:szCs w:val="16"/>
      </w:rPr>
      <w:t>5</w:t>
    </w:r>
    <w:r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531" w:rsidRDefault="00624531" w:rsidP="00E71A58">
      <w:r>
        <w:separator/>
      </w:r>
    </w:p>
  </w:footnote>
  <w:footnote w:type="continuationSeparator" w:id="0">
    <w:p w:rsidR="00624531" w:rsidRDefault="00624531"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31" w:rsidRPr="00DC5B3B" w:rsidRDefault="00624531" w:rsidP="00705FFC">
    <w:pPr>
      <w:pStyle w:val="Header"/>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rok 2014</w:t>
    </w:r>
  </w:p>
  <w:p w:rsidR="00624531" w:rsidRPr="00AD306C" w:rsidRDefault="00624531" w:rsidP="00AD306C">
    <w:pPr>
      <w:pStyle w:val="Header"/>
      <w:tabs>
        <w:tab w:val="clear" w:pos="4536"/>
        <w:tab w:val="clear" w:pos="9072"/>
        <w:tab w:val="left" w:pos="-6379"/>
        <w:tab w:val="center" w:pos="4820"/>
        <w:tab w:val="right" w:pos="9639"/>
      </w:tabs>
      <w:rPr>
        <w:rFonts w:ascii="Arial" w:hAnsi="Arial" w:cs="Arial"/>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31" w:rsidRPr="00DC5B3B" w:rsidRDefault="00624531" w:rsidP="00705FFC">
    <w:pPr>
      <w:pStyle w:val="Header"/>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rok 2014</w:t>
    </w:r>
  </w:p>
  <w:p w:rsidR="00624531" w:rsidRPr="00705FFC" w:rsidRDefault="00624531" w:rsidP="00705FFC">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E8FA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1ABA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DEC9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AED6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1346C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D20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6C3F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FA39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64BF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304306"/>
    <w:lvl w:ilvl="0">
      <w:start w:val="1"/>
      <w:numFmt w:val="bullet"/>
      <w:lvlText w:val=""/>
      <w:lvlJc w:val="left"/>
      <w:pPr>
        <w:tabs>
          <w:tab w:val="num" w:pos="360"/>
        </w:tabs>
        <w:ind w:left="360" w:hanging="360"/>
      </w:pPr>
      <w:rPr>
        <w:rFonts w:ascii="Symbol" w:hAnsi="Symbol" w:hint="default"/>
      </w:rPr>
    </w:lvl>
  </w:abstractNum>
  <w:abstractNum w:abstractNumId="10">
    <w:nsid w:val="013E45A9"/>
    <w:multiLevelType w:val="multilevel"/>
    <w:tmpl w:val="27A42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CA0F9A"/>
    <w:multiLevelType w:val="singleLevel"/>
    <w:tmpl w:val="99B8CF6A"/>
    <w:lvl w:ilvl="0">
      <w:numFmt w:val="bullet"/>
      <w:lvlText w:val="-"/>
      <w:lvlJc w:val="left"/>
      <w:pPr>
        <w:tabs>
          <w:tab w:val="num" w:pos="360"/>
        </w:tabs>
        <w:ind w:left="360" w:hanging="360"/>
      </w:pPr>
      <w:rPr>
        <w:rFonts w:ascii="Times New Roman" w:hAnsi="Times New Roman" w:hint="default"/>
      </w:rPr>
    </w:lvl>
  </w:abstractNum>
  <w:abstractNum w:abstractNumId="12">
    <w:nsid w:val="117C7CD1"/>
    <w:multiLevelType w:val="hybridMultilevel"/>
    <w:tmpl w:val="CDA83050"/>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14D437DE"/>
    <w:multiLevelType w:val="multilevel"/>
    <w:tmpl w:val="12C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CE009A"/>
    <w:multiLevelType w:val="hybridMultilevel"/>
    <w:tmpl w:val="D7FC9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F20338E"/>
    <w:multiLevelType w:val="multilevel"/>
    <w:tmpl w:val="1040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3B461E"/>
    <w:multiLevelType w:val="hybridMultilevel"/>
    <w:tmpl w:val="659EE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EB3518C"/>
    <w:multiLevelType w:val="multilevel"/>
    <w:tmpl w:val="3BD0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140EDE"/>
    <w:multiLevelType w:val="multilevel"/>
    <w:tmpl w:val="1B6E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90450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nsid w:val="35CD4827"/>
    <w:multiLevelType w:val="multilevel"/>
    <w:tmpl w:val="957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787A4F"/>
    <w:multiLevelType w:val="multilevel"/>
    <w:tmpl w:val="27A42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A093B14"/>
    <w:multiLevelType w:val="hybridMultilevel"/>
    <w:tmpl w:val="6FC2C2D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15C3B29"/>
    <w:multiLevelType w:val="multilevel"/>
    <w:tmpl w:val="27A42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2C07DA1"/>
    <w:multiLevelType w:val="multilevel"/>
    <w:tmpl w:val="C8EA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532FF2"/>
    <w:multiLevelType w:val="hybridMultilevel"/>
    <w:tmpl w:val="27A42D8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65917B6"/>
    <w:multiLevelType w:val="multilevel"/>
    <w:tmpl w:val="988C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384A27"/>
    <w:multiLevelType w:val="hybridMultilevel"/>
    <w:tmpl w:val="1050503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8DA211C"/>
    <w:multiLevelType w:val="multilevel"/>
    <w:tmpl w:val="F18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D5C8D"/>
    <w:multiLevelType w:val="multilevel"/>
    <w:tmpl w:val="27A42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893836"/>
    <w:multiLevelType w:val="multilevel"/>
    <w:tmpl w:val="27A42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1B12878"/>
    <w:multiLevelType w:val="multilevel"/>
    <w:tmpl w:val="6B78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8B651D"/>
    <w:multiLevelType w:val="multilevel"/>
    <w:tmpl w:val="A90E0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1211E7"/>
    <w:multiLevelType w:val="multilevel"/>
    <w:tmpl w:val="DFD0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D52D61"/>
    <w:multiLevelType w:val="multilevel"/>
    <w:tmpl w:val="4164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FF55B5"/>
    <w:multiLevelType w:val="hybridMultilevel"/>
    <w:tmpl w:val="337C6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28F4BE0"/>
    <w:multiLevelType w:val="hybridMultilevel"/>
    <w:tmpl w:val="34644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A837EB6"/>
    <w:multiLevelType w:val="multilevel"/>
    <w:tmpl w:val="BA88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DE5DD2"/>
    <w:multiLevelType w:val="multilevel"/>
    <w:tmpl w:val="3CB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3E5C0C"/>
    <w:multiLevelType w:val="hybridMultilevel"/>
    <w:tmpl w:val="3E78042E"/>
    <w:lvl w:ilvl="0" w:tplc="328A275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84A7EF1"/>
    <w:multiLevelType w:val="hybridMultilevel"/>
    <w:tmpl w:val="F9FCE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B3C10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2">
    <w:nsid w:val="7DA33127"/>
    <w:multiLevelType w:val="hybridMultilevel"/>
    <w:tmpl w:val="39968720"/>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num w:numId="1">
    <w:abstractNumId w:val="27"/>
  </w:num>
  <w:num w:numId="2">
    <w:abstractNumId w:val="22"/>
  </w:num>
  <w:num w:numId="3">
    <w:abstractNumId w:val="39"/>
  </w:num>
  <w:num w:numId="4">
    <w:abstractNumId w:val="37"/>
  </w:num>
  <w:num w:numId="5">
    <w:abstractNumId w:val="26"/>
  </w:num>
  <w:num w:numId="6">
    <w:abstractNumId w:val="20"/>
  </w:num>
  <w:num w:numId="7">
    <w:abstractNumId w:val="28"/>
  </w:num>
  <w:num w:numId="8">
    <w:abstractNumId w:val="34"/>
  </w:num>
  <w:num w:numId="9">
    <w:abstractNumId w:val="11"/>
  </w:num>
  <w:num w:numId="10">
    <w:abstractNumId w:val="19"/>
  </w:num>
  <w:num w:numId="11">
    <w:abstractNumId w:val="41"/>
  </w:num>
  <w:num w:numId="12">
    <w:abstractNumId w:val="12"/>
  </w:num>
  <w:num w:numId="13">
    <w:abstractNumId w:val="40"/>
  </w:num>
  <w:num w:numId="14">
    <w:abstractNumId w:val="25"/>
  </w:num>
  <w:num w:numId="15">
    <w:abstractNumId w:val="29"/>
  </w:num>
  <w:num w:numId="16">
    <w:abstractNumId w:val="23"/>
  </w:num>
  <w:num w:numId="17">
    <w:abstractNumId w:val="30"/>
  </w:num>
  <w:num w:numId="18">
    <w:abstractNumId w:val="10"/>
  </w:num>
  <w:num w:numId="19">
    <w:abstractNumId w:val="21"/>
  </w:num>
  <w:num w:numId="20">
    <w:abstractNumId w:val="42"/>
  </w:num>
  <w:num w:numId="21">
    <w:abstractNumId w:val="31"/>
  </w:num>
  <w:num w:numId="22">
    <w:abstractNumId w:val="32"/>
  </w:num>
  <w:num w:numId="23">
    <w:abstractNumId w:val="15"/>
  </w:num>
  <w:num w:numId="24">
    <w:abstractNumId w:val="13"/>
  </w:num>
  <w:num w:numId="25">
    <w:abstractNumId w:val="33"/>
  </w:num>
  <w:num w:numId="26">
    <w:abstractNumId w:val="17"/>
  </w:num>
  <w:num w:numId="27">
    <w:abstractNumId w:val="18"/>
  </w:num>
  <w:num w:numId="28">
    <w:abstractNumId w:val="24"/>
  </w:num>
  <w:num w:numId="29">
    <w:abstractNumId w:val="38"/>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14"/>
  </w:num>
  <w:num w:numId="41">
    <w:abstractNumId w:val="35"/>
  </w:num>
  <w:num w:numId="42">
    <w:abstractNumId w:val="36"/>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3FD"/>
    <w:rsid w:val="000001C6"/>
    <w:rsid w:val="000018BD"/>
    <w:rsid w:val="000022D3"/>
    <w:rsid w:val="00002568"/>
    <w:rsid w:val="00002873"/>
    <w:rsid w:val="00002D21"/>
    <w:rsid w:val="0000565B"/>
    <w:rsid w:val="0000767A"/>
    <w:rsid w:val="00010702"/>
    <w:rsid w:val="00010D38"/>
    <w:rsid w:val="0001429C"/>
    <w:rsid w:val="00016851"/>
    <w:rsid w:val="00017B9D"/>
    <w:rsid w:val="00020CE8"/>
    <w:rsid w:val="000267AC"/>
    <w:rsid w:val="000270D2"/>
    <w:rsid w:val="000308E7"/>
    <w:rsid w:val="0003230E"/>
    <w:rsid w:val="000324A9"/>
    <w:rsid w:val="00032D24"/>
    <w:rsid w:val="0004694F"/>
    <w:rsid w:val="000476BD"/>
    <w:rsid w:val="00054569"/>
    <w:rsid w:val="00054CC1"/>
    <w:rsid w:val="00056E5F"/>
    <w:rsid w:val="00057532"/>
    <w:rsid w:val="00060C45"/>
    <w:rsid w:val="000612BB"/>
    <w:rsid w:val="00061F26"/>
    <w:rsid w:val="00062EC5"/>
    <w:rsid w:val="0006789D"/>
    <w:rsid w:val="0007052D"/>
    <w:rsid w:val="00073CF2"/>
    <w:rsid w:val="000768C7"/>
    <w:rsid w:val="00082D7B"/>
    <w:rsid w:val="000843DC"/>
    <w:rsid w:val="00085A6A"/>
    <w:rsid w:val="00086738"/>
    <w:rsid w:val="00087634"/>
    <w:rsid w:val="0009245A"/>
    <w:rsid w:val="00093946"/>
    <w:rsid w:val="00097082"/>
    <w:rsid w:val="000A1183"/>
    <w:rsid w:val="000A3090"/>
    <w:rsid w:val="000A41EC"/>
    <w:rsid w:val="000A6B40"/>
    <w:rsid w:val="000A72B5"/>
    <w:rsid w:val="000B084E"/>
    <w:rsid w:val="000B1D1F"/>
    <w:rsid w:val="000B6F13"/>
    <w:rsid w:val="000C08CE"/>
    <w:rsid w:val="000C3408"/>
    <w:rsid w:val="000C3642"/>
    <w:rsid w:val="000D21E1"/>
    <w:rsid w:val="000D26D0"/>
    <w:rsid w:val="000D307F"/>
    <w:rsid w:val="000D4D70"/>
    <w:rsid w:val="000D54EE"/>
    <w:rsid w:val="000D65A8"/>
    <w:rsid w:val="000D7D9A"/>
    <w:rsid w:val="000E2649"/>
    <w:rsid w:val="000E437C"/>
    <w:rsid w:val="000E43F7"/>
    <w:rsid w:val="000E4BCA"/>
    <w:rsid w:val="000E5CC8"/>
    <w:rsid w:val="000E5D29"/>
    <w:rsid w:val="000E6E87"/>
    <w:rsid w:val="000E7E25"/>
    <w:rsid w:val="000F1738"/>
    <w:rsid w:val="000F3C92"/>
    <w:rsid w:val="000F65FD"/>
    <w:rsid w:val="000F6985"/>
    <w:rsid w:val="00100014"/>
    <w:rsid w:val="00102FBF"/>
    <w:rsid w:val="001030CE"/>
    <w:rsid w:val="00106C4C"/>
    <w:rsid w:val="0010730A"/>
    <w:rsid w:val="00111FDE"/>
    <w:rsid w:val="00116D61"/>
    <w:rsid w:val="00117C0C"/>
    <w:rsid w:val="0012078A"/>
    <w:rsid w:val="00121587"/>
    <w:rsid w:val="0013240A"/>
    <w:rsid w:val="001338A8"/>
    <w:rsid w:val="001349CA"/>
    <w:rsid w:val="00136E0B"/>
    <w:rsid w:val="00137282"/>
    <w:rsid w:val="001405FA"/>
    <w:rsid w:val="00141F4C"/>
    <w:rsid w:val="001425C3"/>
    <w:rsid w:val="001442C1"/>
    <w:rsid w:val="00144984"/>
    <w:rsid w:val="00145058"/>
    <w:rsid w:val="001472E3"/>
    <w:rsid w:val="00147CD2"/>
    <w:rsid w:val="001511AD"/>
    <w:rsid w:val="0015450B"/>
    <w:rsid w:val="0015675F"/>
    <w:rsid w:val="00161041"/>
    <w:rsid w:val="00163793"/>
    <w:rsid w:val="00166C1F"/>
    <w:rsid w:val="00170F86"/>
    <w:rsid w:val="001714F2"/>
    <w:rsid w:val="00171ABE"/>
    <w:rsid w:val="00174302"/>
    <w:rsid w:val="001801F3"/>
    <w:rsid w:val="00180630"/>
    <w:rsid w:val="00181023"/>
    <w:rsid w:val="00181E40"/>
    <w:rsid w:val="00185010"/>
    <w:rsid w:val="001904AA"/>
    <w:rsid w:val="001916D7"/>
    <w:rsid w:val="00193560"/>
    <w:rsid w:val="001951EA"/>
    <w:rsid w:val="0019636B"/>
    <w:rsid w:val="001A22B9"/>
    <w:rsid w:val="001A50C5"/>
    <w:rsid w:val="001A552F"/>
    <w:rsid w:val="001B0E66"/>
    <w:rsid w:val="001B11B0"/>
    <w:rsid w:val="001B1D2D"/>
    <w:rsid w:val="001B22C9"/>
    <w:rsid w:val="001B29B3"/>
    <w:rsid w:val="001B3110"/>
    <w:rsid w:val="001B6E7A"/>
    <w:rsid w:val="001B781B"/>
    <w:rsid w:val="001C1DF3"/>
    <w:rsid w:val="001C247D"/>
    <w:rsid w:val="001C328E"/>
    <w:rsid w:val="001E7B98"/>
    <w:rsid w:val="001F2C41"/>
    <w:rsid w:val="001F324D"/>
    <w:rsid w:val="001F4597"/>
    <w:rsid w:val="001F55D3"/>
    <w:rsid w:val="001F6302"/>
    <w:rsid w:val="001F70C7"/>
    <w:rsid w:val="00200B80"/>
    <w:rsid w:val="00201791"/>
    <w:rsid w:val="002025C0"/>
    <w:rsid w:val="00210AA5"/>
    <w:rsid w:val="00216143"/>
    <w:rsid w:val="00216A3D"/>
    <w:rsid w:val="00217507"/>
    <w:rsid w:val="002175C5"/>
    <w:rsid w:val="00220BFF"/>
    <w:rsid w:val="0022139E"/>
    <w:rsid w:val="0022182D"/>
    <w:rsid w:val="002221E5"/>
    <w:rsid w:val="002227D6"/>
    <w:rsid w:val="002252E0"/>
    <w:rsid w:val="002255F6"/>
    <w:rsid w:val="00226F52"/>
    <w:rsid w:val="00227638"/>
    <w:rsid w:val="00227885"/>
    <w:rsid w:val="00227978"/>
    <w:rsid w:val="0023368A"/>
    <w:rsid w:val="00236443"/>
    <w:rsid w:val="0023720D"/>
    <w:rsid w:val="00241BA6"/>
    <w:rsid w:val="002436BA"/>
    <w:rsid w:val="00244A15"/>
    <w:rsid w:val="00246FBD"/>
    <w:rsid w:val="00247772"/>
    <w:rsid w:val="0024799E"/>
    <w:rsid w:val="00253ECC"/>
    <w:rsid w:val="00255C3D"/>
    <w:rsid w:val="0026277B"/>
    <w:rsid w:val="00263841"/>
    <w:rsid w:val="002638B2"/>
    <w:rsid w:val="00264C1E"/>
    <w:rsid w:val="002719EF"/>
    <w:rsid w:val="0027657E"/>
    <w:rsid w:val="00277683"/>
    <w:rsid w:val="00283ABD"/>
    <w:rsid w:val="00284F4A"/>
    <w:rsid w:val="00285A7E"/>
    <w:rsid w:val="0028644C"/>
    <w:rsid w:val="002879F7"/>
    <w:rsid w:val="00291C9A"/>
    <w:rsid w:val="00292708"/>
    <w:rsid w:val="0029561B"/>
    <w:rsid w:val="002977C6"/>
    <w:rsid w:val="002A26CF"/>
    <w:rsid w:val="002A320D"/>
    <w:rsid w:val="002A543B"/>
    <w:rsid w:val="002B24F3"/>
    <w:rsid w:val="002B5585"/>
    <w:rsid w:val="002B5A44"/>
    <w:rsid w:val="002C041B"/>
    <w:rsid w:val="002C118D"/>
    <w:rsid w:val="002C239D"/>
    <w:rsid w:val="002C3809"/>
    <w:rsid w:val="002C43BD"/>
    <w:rsid w:val="002C51FF"/>
    <w:rsid w:val="002C5B87"/>
    <w:rsid w:val="002C674E"/>
    <w:rsid w:val="002D1D02"/>
    <w:rsid w:val="002D3A4E"/>
    <w:rsid w:val="002D412B"/>
    <w:rsid w:val="002E02A1"/>
    <w:rsid w:val="002E3457"/>
    <w:rsid w:val="002E435C"/>
    <w:rsid w:val="002E5163"/>
    <w:rsid w:val="002E76A5"/>
    <w:rsid w:val="002F0AD0"/>
    <w:rsid w:val="002F1D24"/>
    <w:rsid w:val="002F3370"/>
    <w:rsid w:val="002F5007"/>
    <w:rsid w:val="002F6AD5"/>
    <w:rsid w:val="002F7ECA"/>
    <w:rsid w:val="003000FF"/>
    <w:rsid w:val="00304771"/>
    <w:rsid w:val="00305850"/>
    <w:rsid w:val="00305BE2"/>
    <w:rsid w:val="00306C5B"/>
    <w:rsid w:val="00312CCD"/>
    <w:rsid w:val="0031627C"/>
    <w:rsid w:val="003171E1"/>
    <w:rsid w:val="00320214"/>
    <w:rsid w:val="003209D6"/>
    <w:rsid w:val="00321BE6"/>
    <w:rsid w:val="003221C6"/>
    <w:rsid w:val="0032341F"/>
    <w:rsid w:val="003267A1"/>
    <w:rsid w:val="0033060A"/>
    <w:rsid w:val="00331F1D"/>
    <w:rsid w:val="003323FD"/>
    <w:rsid w:val="00334C19"/>
    <w:rsid w:val="00335256"/>
    <w:rsid w:val="00337873"/>
    <w:rsid w:val="00342412"/>
    <w:rsid w:val="00352B6E"/>
    <w:rsid w:val="003530EE"/>
    <w:rsid w:val="00353EB2"/>
    <w:rsid w:val="003556D8"/>
    <w:rsid w:val="00363241"/>
    <w:rsid w:val="003657F3"/>
    <w:rsid w:val="00365FF1"/>
    <w:rsid w:val="00371AD1"/>
    <w:rsid w:val="003761D9"/>
    <w:rsid w:val="00377491"/>
    <w:rsid w:val="00380A51"/>
    <w:rsid w:val="003815DF"/>
    <w:rsid w:val="00383370"/>
    <w:rsid w:val="00383D19"/>
    <w:rsid w:val="00385D98"/>
    <w:rsid w:val="003862DC"/>
    <w:rsid w:val="00387E49"/>
    <w:rsid w:val="00394261"/>
    <w:rsid w:val="0039561D"/>
    <w:rsid w:val="003A2B4D"/>
    <w:rsid w:val="003A478C"/>
    <w:rsid w:val="003A5525"/>
    <w:rsid w:val="003A6B38"/>
    <w:rsid w:val="003A74C1"/>
    <w:rsid w:val="003A7E98"/>
    <w:rsid w:val="003B0343"/>
    <w:rsid w:val="003B2C39"/>
    <w:rsid w:val="003B5341"/>
    <w:rsid w:val="003B5A32"/>
    <w:rsid w:val="003B6423"/>
    <w:rsid w:val="003B76DF"/>
    <w:rsid w:val="003C0B10"/>
    <w:rsid w:val="003C4DC2"/>
    <w:rsid w:val="003C6B66"/>
    <w:rsid w:val="003C6CC2"/>
    <w:rsid w:val="003E334B"/>
    <w:rsid w:val="003E4DB6"/>
    <w:rsid w:val="003E4EA8"/>
    <w:rsid w:val="003E54ED"/>
    <w:rsid w:val="003F1684"/>
    <w:rsid w:val="003F2DF1"/>
    <w:rsid w:val="003F313C"/>
    <w:rsid w:val="003F3D0D"/>
    <w:rsid w:val="003F75F4"/>
    <w:rsid w:val="004004F4"/>
    <w:rsid w:val="00401BBC"/>
    <w:rsid w:val="0040326D"/>
    <w:rsid w:val="00405207"/>
    <w:rsid w:val="00407108"/>
    <w:rsid w:val="00407C2F"/>
    <w:rsid w:val="004111D0"/>
    <w:rsid w:val="004136A0"/>
    <w:rsid w:val="00413C10"/>
    <w:rsid w:val="004161AB"/>
    <w:rsid w:val="00417098"/>
    <w:rsid w:val="00417CEE"/>
    <w:rsid w:val="00433F87"/>
    <w:rsid w:val="004377E4"/>
    <w:rsid w:val="004378EB"/>
    <w:rsid w:val="00437965"/>
    <w:rsid w:val="00440FDB"/>
    <w:rsid w:val="00441FF1"/>
    <w:rsid w:val="004461BF"/>
    <w:rsid w:val="00446342"/>
    <w:rsid w:val="00447CEB"/>
    <w:rsid w:val="004500F6"/>
    <w:rsid w:val="004573E9"/>
    <w:rsid w:val="00462C19"/>
    <w:rsid w:val="004643A3"/>
    <w:rsid w:val="00467E3B"/>
    <w:rsid w:val="00473000"/>
    <w:rsid w:val="00473F8A"/>
    <w:rsid w:val="00476265"/>
    <w:rsid w:val="0048046B"/>
    <w:rsid w:val="0048086F"/>
    <w:rsid w:val="0048139F"/>
    <w:rsid w:val="004877D4"/>
    <w:rsid w:val="00496F87"/>
    <w:rsid w:val="004A77DF"/>
    <w:rsid w:val="004B104D"/>
    <w:rsid w:val="004B55B7"/>
    <w:rsid w:val="004C0255"/>
    <w:rsid w:val="004C33A7"/>
    <w:rsid w:val="004C3867"/>
    <w:rsid w:val="004C4CD0"/>
    <w:rsid w:val="004C695C"/>
    <w:rsid w:val="004C70DC"/>
    <w:rsid w:val="004C7ED8"/>
    <w:rsid w:val="004D0211"/>
    <w:rsid w:val="004D081A"/>
    <w:rsid w:val="004D438E"/>
    <w:rsid w:val="004D63BF"/>
    <w:rsid w:val="004E02A4"/>
    <w:rsid w:val="004E1BBC"/>
    <w:rsid w:val="004E33A2"/>
    <w:rsid w:val="004E385F"/>
    <w:rsid w:val="004E5ED1"/>
    <w:rsid w:val="004E7DDD"/>
    <w:rsid w:val="004F06F5"/>
    <w:rsid w:val="004F31B1"/>
    <w:rsid w:val="004F3754"/>
    <w:rsid w:val="00505E81"/>
    <w:rsid w:val="005102CD"/>
    <w:rsid w:val="005103A5"/>
    <w:rsid w:val="005108C0"/>
    <w:rsid w:val="00510D3F"/>
    <w:rsid w:val="00511873"/>
    <w:rsid w:val="00512369"/>
    <w:rsid w:val="00512926"/>
    <w:rsid w:val="00512CE1"/>
    <w:rsid w:val="00513B7E"/>
    <w:rsid w:val="00514128"/>
    <w:rsid w:val="00514204"/>
    <w:rsid w:val="0051621F"/>
    <w:rsid w:val="005224D4"/>
    <w:rsid w:val="00522BE4"/>
    <w:rsid w:val="00525137"/>
    <w:rsid w:val="005251DD"/>
    <w:rsid w:val="00525993"/>
    <w:rsid w:val="00526E7C"/>
    <w:rsid w:val="00526F31"/>
    <w:rsid w:val="00527213"/>
    <w:rsid w:val="00530720"/>
    <w:rsid w:val="00531005"/>
    <w:rsid w:val="00534115"/>
    <w:rsid w:val="00534965"/>
    <w:rsid w:val="00534BD7"/>
    <w:rsid w:val="005353C9"/>
    <w:rsid w:val="00536F5D"/>
    <w:rsid w:val="00537C06"/>
    <w:rsid w:val="00551D3C"/>
    <w:rsid w:val="00552510"/>
    <w:rsid w:val="00554BFE"/>
    <w:rsid w:val="00554ECA"/>
    <w:rsid w:val="005561CF"/>
    <w:rsid w:val="005622B7"/>
    <w:rsid w:val="005622F2"/>
    <w:rsid w:val="00562859"/>
    <w:rsid w:val="005653E3"/>
    <w:rsid w:val="00565C4F"/>
    <w:rsid w:val="005663AD"/>
    <w:rsid w:val="00572B14"/>
    <w:rsid w:val="005738B9"/>
    <w:rsid w:val="00573EBF"/>
    <w:rsid w:val="005745A3"/>
    <w:rsid w:val="00575B2C"/>
    <w:rsid w:val="005763A2"/>
    <w:rsid w:val="005777FF"/>
    <w:rsid w:val="00580082"/>
    <w:rsid w:val="00582490"/>
    <w:rsid w:val="00582A76"/>
    <w:rsid w:val="00583FFD"/>
    <w:rsid w:val="00586788"/>
    <w:rsid w:val="00586FC5"/>
    <w:rsid w:val="00591CFA"/>
    <w:rsid w:val="00593152"/>
    <w:rsid w:val="005A21E0"/>
    <w:rsid w:val="005A462C"/>
    <w:rsid w:val="005B0B36"/>
    <w:rsid w:val="005B20E9"/>
    <w:rsid w:val="005B3A1D"/>
    <w:rsid w:val="005B4602"/>
    <w:rsid w:val="005B59C8"/>
    <w:rsid w:val="005B7316"/>
    <w:rsid w:val="005D5802"/>
    <w:rsid w:val="005D6CC5"/>
    <w:rsid w:val="005D6CCE"/>
    <w:rsid w:val="005E0178"/>
    <w:rsid w:val="005E0657"/>
    <w:rsid w:val="005E5CE0"/>
    <w:rsid w:val="005E6083"/>
    <w:rsid w:val="005E6166"/>
    <w:rsid w:val="005E6B14"/>
    <w:rsid w:val="005E7B2D"/>
    <w:rsid w:val="005F0687"/>
    <w:rsid w:val="005F1716"/>
    <w:rsid w:val="005F222A"/>
    <w:rsid w:val="005F3F54"/>
    <w:rsid w:val="005F7B95"/>
    <w:rsid w:val="00601B7B"/>
    <w:rsid w:val="00604307"/>
    <w:rsid w:val="0060487F"/>
    <w:rsid w:val="00605775"/>
    <w:rsid w:val="0060667C"/>
    <w:rsid w:val="00612758"/>
    <w:rsid w:val="006141FE"/>
    <w:rsid w:val="00615BC3"/>
    <w:rsid w:val="00616424"/>
    <w:rsid w:val="00616DA7"/>
    <w:rsid w:val="006213A2"/>
    <w:rsid w:val="00623C45"/>
    <w:rsid w:val="00624093"/>
    <w:rsid w:val="00624531"/>
    <w:rsid w:val="0063203B"/>
    <w:rsid w:val="0063405A"/>
    <w:rsid w:val="00635470"/>
    <w:rsid w:val="00640187"/>
    <w:rsid w:val="006404A7"/>
    <w:rsid w:val="0064056C"/>
    <w:rsid w:val="0064095E"/>
    <w:rsid w:val="00643E8B"/>
    <w:rsid w:val="006441EF"/>
    <w:rsid w:val="006451E4"/>
    <w:rsid w:val="00647FEF"/>
    <w:rsid w:val="00650F8F"/>
    <w:rsid w:val="00652BFD"/>
    <w:rsid w:val="00657E87"/>
    <w:rsid w:val="00661A1D"/>
    <w:rsid w:val="00667B13"/>
    <w:rsid w:val="006710C9"/>
    <w:rsid w:val="00675E37"/>
    <w:rsid w:val="0068018E"/>
    <w:rsid w:val="0068260E"/>
    <w:rsid w:val="006842AE"/>
    <w:rsid w:val="00687A51"/>
    <w:rsid w:val="006905F4"/>
    <w:rsid w:val="00691821"/>
    <w:rsid w:val="00695BEF"/>
    <w:rsid w:val="00696607"/>
    <w:rsid w:val="006977F6"/>
    <w:rsid w:val="00697A13"/>
    <w:rsid w:val="006A0370"/>
    <w:rsid w:val="006A109C"/>
    <w:rsid w:val="006A6627"/>
    <w:rsid w:val="006A689C"/>
    <w:rsid w:val="006A69CA"/>
    <w:rsid w:val="006A6FC8"/>
    <w:rsid w:val="006A7032"/>
    <w:rsid w:val="006B0A04"/>
    <w:rsid w:val="006B21A9"/>
    <w:rsid w:val="006B50CA"/>
    <w:rsid w:val="006B5FA4"/>
    <w:rsid w:val="006B6317"/>
    <w:rsid w:val="006B75C2"/>
    <w:rsid w:val="006B78D8"/>
    <w:rsid w:val="006B79DE"/>
    <w:rsid w:val="006B7AB5"/>
    <w:rsid w:val="006C113F"/>
    <w:rsid w:val="006C11C0"/>
    <w:rsid w:val="006C2584"/>
    <w:rsid w:val="006C3CB1"/>
    <w:rsid w:val="006C5577"/>
    <w:rsid w:val="006C55EA"/>
    <w:rsid w:val="006C66A0"/>
    <w:rsid w:val="006D03F5"/>
    <w:rsid w:val="006D0712"/>
    <w:rsid w:val="006D1C49"/>
    <w:rsid w:val="006D1E4E"/>
    <w:rsid w:val="006D47FF"/>
    <w:rsid w:val="006D49B9"/>
    <w:rsid w:val="006D61F6"/>
    <w:rsid w:val="006E0A83"/>
    <w:rsid w:val="006E0D50"/>
    <w:rsid w:val="006E279A"/>
    <w:rsid w:val="006E27FD"/>
    <w:rsid w:val="006E313B"/>
    <w:rsid w:val="006E58A2"/>
    <w:rsid w:val="006E7873"/>
    <w:rsid w:val="006F1218"/>
    <w:rsid w:val="006F1E81"/>
    <w:rsid w:val="006F31EB"/>
    <w:rsid w:val="006F35C7"/>
    <w:rsid w:val="00701474"/>
    <w:rsid w:val="0070190F"/>
    <w:rsid w:val="0070244C"/>
    <w:rsid w:val="007026E9"/>
    <w:rsid w:val="007035C8"/>
    <w:rsid w:val="00704B44"/>
    <w:rsid w:val="00705EF2"/>
    <w:rsid w:val="00705FFC"/>
    <w:rsid w:val="00710439"/>
    <w:rsid w:val="007115A6"/>
    <w:rsid w:val="0071229A"/>
    <w:rsid w:val="00712BD8"/>
    <w:rsid w:val="0071356A"/>
    <w:rsid w:val="007154CE"/>
    <w:rsid w:val="007161EF"/>
    <w:rsid w:val="00717435"/>
    <w:rsid w:val="007211F5"/>
    <w:rsid w:val="0072498B"/>
    <w:rsid w:val="00726D9C"/>
    <w:rsid w:val="00730AE8"/>
    <w:rsid w:val="00730E33"/>
    <w:rsid w:val="00731005"/>
    <w:rsid w:val="007349AE"/>
    <w:rsid w:val="00736F97"/>
    <w:rsid w:val="00741493"/>
    <w:rsid w:val="00750B43"/>
    <w:rsid w:val="00752180"/>
    <w:rsid w:val="00755D3A"/>
    <w:rsid w:val="00756CFF"/>
    <w:rsid w:val="007609C6"/>
    <w:rsid w:val="00760CA7"/>
    <w:rsid w:val="00761880"/>
    <w:rsid w:val="007642C6"/>
    <w:rsid w:val="007648E5"/>
    <w:rsid w:val="007662AC"/>
    <w:rsid w:val="007706A6"/>
    <w:rsid w:val="00771A17"/>
    <w:rsid w:val="007747F1"/>
    <w:rsid w:val="00776527"/>
    <w:rsid w:val="00776B73"/>
    <w:rsid w:val="00780848"/>
    <w:rsid w:val="007825AD"/>
    <w:rsid w:val="00792038"/>
    <w:rsid w:val="007961F9"/>
    <w:rsid w:val="00797FB1"/>
    <w:rsid w:val="007A06EA"/>
    <w:rsid w:val="007B2F42"/>
    <w:rsid w:val="007B47EE"/>
    <w:rsid w:val="007B4E60"/>
    <w:rsid w:val="007B60D9"/>
    <w:rsid w:val="007B6A3D"/>
    <w:rsid w:val="007C054B"/>
    <w:rsid w:val="007C26A0"/>
    <w:rsid w:val="007C3820"/>
    <w:rsid w:val="007C427E"/>
    <w:rsid w:val="007C6235"/>
    <w:rsid w:val="007C6677"/>
    <w:rsid w:val="007C7FB7"/>
    <w:rsid w:val="007D10A0"/>
    <w:rsid w:val="007E12CE"/>
    <w:rsid w:val="007E235C"/>
    <w:rsid w:val="007E558D"/>
    <w:rsid w:val="007E7E61"/>
    <w:rsid w:val="007F09D4"/>
    <w:rsid w:val="007F15C0"/>
    <w:rsid w:val="007F3E4E"/>
    <w:rsid w:val="007F6378"/>
    <w:rsid w:val="007F670B"/>
    <w:rsid w:val="007F7688"/>
    <w:rsid w:val="007F76CE"/>
    <w:rsid w:val="0080135A"/>
    <w:rsid w:val="00804B1C"/>
    <w:rsid w:val="0081033A"/>
    <w:rsid w:val="0081117A"/>
    <w:rsid w:val="008126FF"/>
    <w:rsid w:val="008175A4"/>
    <w:rsid w:val="008208A1"/>
    <w:rsid w:val="00821810"/>
    <w:rsid w:val="00821B08"/>
    <w:rsid w:val="00821FF6"/>
    <w:rsid w:val="00823C87"/>
    <w:rsid w:val="008248E3"/>
    <w:rsid w:val="008254CF"/>
    <w:rsid w:val="00825E61"/>
    <w:rsid w:val="00826A24"/>
    <w:rsid w:val="0083143E"/>
    <w:rsid w:val="00832158"/>
    <w:rsid w:val="00834FAA"/>
    <w:rsid w:val="00836086"/>
    <w:rsid w:val="00836652"/>
    <w:rsid w:val="00837BF7"/>
    <w:rsid w:val="00841D9F"/>
    <w:rsid w:val="00842C71"/>
    <w:rsid w:val="00844043"/>
    <w:rsid w:val="008444B5"/>
    <w:rsid w:val="0084476E"/>
    <w:rsid w:val="00845C5D"/>
    <w:rsid w:val="00850A4D"/>
    <w:rsid w:val="00853946"/>
    <w:rsid w:val="00854B60"/>
    <w:rsid w:val="00861ACA"/>
    <w:rsid w:val="00863531"/>
    <w:rsid w:val="008710D7"/>
    <w:rsid w:val="0087159A"/>
    <w:rsid w:val="008730B5"/>
    <w:rsid w:val="008748AE"/>
    <w:rsid w:val="00874E38"/>
    <w:rsid w:val="00876086"/>
    <w:rsid w:val="00876E22"/>
    <w:rsid w:val="00877D90"/>
    <w:rsid w:val="00881105"/>
    <w:rsid w:val="008845EE"/>
    <w:rsid w:val="00885A13"/>
    <w:rsid w:val="008870D3"/>
    <w:rsid w:val="00887D84"/>
    <w:rsid w:val="00890879"/>
    <w:rsid w:val="008953D9"/>
    <w:rsid w:val="008A39F8"/>
    <w:rsid w:val="008A7915"/>
    <w:rsid w:val="008B05B8"/>
    <w:rsid w:val="008B0BD5"/>
    <w:rsid w:val="008B3783"/>
    <w:rsid w:val="008B73BE"/>
    <w:rsid w:val="008B7C02"/>
    <w:rsid w:val="008C0E88"/>
    <w:rsid w:val="008C1670"/>
    <w:rsid w:val="008C3B76"/>
    <w:rsid w:val="008C3DDF"/>
    <w:rsid w:val="008C43AA"/>
    <w:rsid w:val="008C5985"/>
    <w:rsid w:val="008D2438"/>
    <w:rsid w:val="008D2A16"/>
    <w:rsid w:val="008D3500"/>
    <w:rsid w:val="008D4C9A"/>
    <w:rsid w:val="008D594D"/>
    <w:rsid w:val="008D62D0"/>
    <w:rsid w:val="008D74A4"/>
    <w:rsid w:val="008D7A0D"/>
    <w:rsid w:val="008E0093"/>
    <w:rsid w:val="008E0FAC"/>
    <w:rsid w:val="008E31FF"/>
    <w:rsid w:val="008E54E9"/>
    <w:rsid w:val="008F3683"/>
    <w:rsid w:val="008F70F9"/>
    <w:rsid w:val="008F7139"/>
    <w:rsid w:val="008F7DB2"/>
    <w:rsid w:val="009003A8"/>
    <w:rsid w:val="00902EFF"/>
    <w:rsid w:val="009032A7"/>
    <w:rsid w:val="009033EC"/>
    <w:rsid w:val="0090382A"/>
    <w:rsid w:val="00912AFF"/>
    <w:rsid w:val="00912D30"/>
    <w:rsid w:val="009145C7"/>
    <w:rsid w:val="00916C26"/>
    <w:rsid w:val="009172FE"/>
    <w:rsid w:val="00921F14"/>
    <w:rsid w:val="00926BE6"/>
    <w:rsid w:val="00927F74"/>
    <w:rsid w:val="0093117A"/>
    <w:rsid w:val="00931A8E"/>
    <w:rsid w:val="00936939"/>
    <w:rsid w:val="009400ED"/>
    <w:rsid w:val="009416C3"/>
    <w:rsid w:val="0094427A"/>
    <w:rsid w:val="009447F4"/>
    <w:rsid w:val="00952E54"/>
    <w:rsid w:val="00953AFB"/>
    <w:rsid w:val="00956119"/>
    <w:rsid w:val="009562EF"/>
    <w:rsid w:val="00960F06"/>
    <w:rsid w:val="00961950"/>
    <w:rsid w:val="0097029B"/>
    <w:rsid w:val="00972EE8"/>
    <w:rsid w:val="00973454"/>
    <w:rsid w:val="00974463"/>
    <w:rsid w:val="00974923"/>
    <w:rsid w:val="00974D55"/>
    <w:rsid w:val="0097653C"/>
    <w:rsid w:val="00977D12"/>
    <w:rsid w:val="009823CD"/>
    <w:rsid w:val="0098356D"/>
    <w:rsid w:val="00990EEA"/>
    <w:rsid w:val="009910B0"/>
    <w:rsid w:val="0099142A"/>
    <w:rsid w:val="009938F9"/>
    <w:rsid w:val="009A1AB0"/>
    <w:rsid w:val="009A2485"/>
    <w:rsid w:val="009A2CDC"/>
    <w:rsid w:val="009B04D0"/>
    <w:rsid w:val="009B2C74"/>
    <w:rsid w:val="009B32DC"/>
    <w:rsid w:val="009B3FBF"/>
    <w:rsid w:val="009B6FD3"/>
    <w:rsid w:val="009B7951"/>
    <w:rsid w:val="009C1457"/>
    <w:rsid w:val="009C7309"/>
    <w:rsid w:val="009D0FC7"/>
    <w:rsid w:val="009D1238"/>
    <w:rsid w:val="009D2785"/>
    <w:rsid w:val="009D28CA"/>
    <w:rsid w:val="009D3960"/>
    <w:rsid w:val="009D5BA7"/>
    <w:rsid w:val="009D600C"/>
    <w:rsid w:val="009D6217"/>
    <w:rsid w:val="009D70D9"/>
    <w:rsid w:val="009E5464"/>
    <w:rsid w:val="009F2710"/>
    <w:rsid w:val="009F5B58"/>
    <w:rsid w:val="00A00305"/>
    <w:rsid w:val="00A026AD"/>
    <w:rsid w:val="00A06A88"/>
    <w:rsid w:val="00A10D66"/>
    <w:rsid w:val="00A111C6"/>
    <w:rsid w:val="00A13623"/>
    <w:rsid w:val="00A15377"/>
    <w:rsid w:val="00A165BD"/>
    <w:rsid w:val="00A166F5"/>
    <w:rsid w:val="00A1783F"/>
    <w:rsid w:val="00A20033"/>
    <w:rsid w:val="00A200DE"/>
    <w:rsid w:val="00A20FA9"/>
    <w:rsid w:val="00A21CB5"/>
    <w:rsid w:val="00A23AD1"/>
    <w:rsid w:val="00A23E43"/>
    <w:rsid w:val="00A25F2B"/>
    <w:rsid w:val="00A27322"/>
    <w:rsid w:val="00A275D6"/>
    <w:rsid w:val="00A33EFD"/>
    <w:rsid w:val="00A35033"/>
    <w:rsid w:val="00A42186"/>
    <w:rsid w:val="00A42802"/>
    <w:rsid w:val="00A45B45"/>
    <w:rsid w:val="00A45C31"/>
    <w:rsid w:val="00A45E9F"/>
    <w:rsid w:val="00A465B1"/>
    <w:rsid w:val="00A46DE0"/>
    <w:rsid w:val="00A47AE9"/>
    <w:rsid w:val="00A5068B"/>
    <w:rsid w:val="00A51C35"/>
    <w:rsid w:val="00A51D6C"/>
    <w:rsid w:val="00A53BE1"/>
    <w:rsid w:val="00A54513"/>
    <w:rsid w:val="00A54618"/>
    <w:rsid w:val="00A561A5"/>
    <w:rsid w:val="00A5706C"/>
    <w:rsid w:val="00A57A3A"/>
    <w:rsid w:val="00A60AFD"/>
    <w:rsid w:val="00A612AE"/>
    <w:rsid w:val="00A62CE1"/>
    <w:rsid w:val="00A64B65"/>
    <w:rsid w:val="00A67707"/>
    <w:rsid w:val="00A72F99"/>
    <w:rsid w:val="00A7336B"/>
    <w:rsid w:val="00A75E40"/>
    <w:rsid w:val="00A83432"/>
    <w:rsid w:val="00A83D8B"/>
    <w:rsid w:val="00A8509F"/>
    <w:rsid w:val="00A857C0"/>
    <w:rsid w:val="00A85A82"/>
    <w:rsid w:val="00A913BE"/>
    <w:rsid w:val="00A92CB1"/>
    <w:rsid w:val="00A9323C"/>
    <w:rsid w:val="00A95434"/>
    <w:rsid w:val="00A95960"/>
    <w:rsid w:val="00A96075"/>
    <w:rsid w:val="00A96B01"/>
    <w:rsid w:val="00AA1F21"/>
    <w:rsid w:val="00AA1F4F"/>
    <w:rsid w:val="00AA27F1"/>
    <w:rsid w:val="00AA4F00"/>
    <w:rsid w:val="00AA559A"/>
    <w:rsid w:val="00AA5E02"/>
    <w:rsid w:val="00AB10AE"/>
    <w:rsid w:val="00AB1CB5"/>
    <w:rsid w:val="00AB27EB"/>
    <w:rsid w:val="00AB2AF1"/>
    <w:rsid w:val="00AB5680"/>
    <w:rsid w:val="00AB5CA4"/>
    <w:rsid w:val="00AB73FC"/>
    <w:rsid w:val="00AC0266"/>
    <w:rsid w:val="00AC16A0"/>
    <w:rsid w:val="00AC1F02"/>
    <w:rsid w:val="00AC2B2E"/>
    <w:rsid w:val="00AC3880"/>
    <w:rsid w:val="00AD0CAA"/>
    <w:rsid w:val="00AD306C"/>
    <w:rsid w:val="00AE08A8"/>
    <w:rsid w:val="00AE1F20"/>
    <w:rsid w:val="00AE2524"/>
    <w:rsid w:val="00AE5BCF"/>
    <w:rsid w:val="00AE6036"/>
    <w:rsid w:val="00AF16F5"/>
    <w:rsid w:val="00AF19A6"/>
    <w:rsid w:val="00AF271E"/>
    <w:rsid w:val="00AF2852"/>
    <w:rsid w:val="00AF29D0"/>
    <w:rsid w:val="00AF38F4"/>
    <w:rsid w:val="00AF5458"/>
    <w:rsid w:val="00AF7AE3"/>
    <w:rsid w:val="00B0101B"/>
    <w:rsid w:val="00B016D4"/>
    <w:rsid w:val="00B01CAD"/>
    <w:rsid w:val="00B02145"/>
    <w:rsid w:val="00B027B1"/>
    <w:rsid w:val="00B03738"/>
    <w:rsid w:val="00B05421"/>
    <w:rsid w:val="00B078C4"/>
    <w:rsid w:val="00B121AE"/>
    <w:rsid w:val="00B134E2"/>
    <w:rsid w:val="00B17E71"/>
    <w:rsid w:val="00B17FDE"/>
    <w:rsid w:val="00B20BD3"/>
    <w:rsid w:val="00B22C5C"/>
    <w:rsid w:val="00B22D5E"/>
    <w:rsid w:val="00B26988"/>
    <w:rsid w:val="00B27293"/>
    <w:rsid w:val="00B27608"/>
    <w:rsid w:val="00B30977"/>
    <w:rsid w:val="00B31CF6"/>
    <w:rsid w:val="00B32DDB"/>
    <w:rsid w:val="00B369FF"/>
    <w:rsid w:val="00B43EB8"/>
    <w:rsid w:val="00B47CE3"/>
    <w:rsid w:val="00B5080B"/>
    <w:rsid w:val="00B52889"/>
    <w:rsid w:val="00B537D6"/>
    <w:rsid w:val="00B54214"/>
    <w:rsid w:val="00B54C89"/>
    <w:rsid w:val="00B566D2"/>
    <w:rsid w:val="00B57903"/>
    <w:rsid w:val="00B57F3A"/>
    <w:rsid w:val="00B6247D"/>
    <w:rsid w:val="00B6608F"/>
    <w:rsid w:val="00B71F9B"/>
    <w:rsid w:val="00B75233"/>
    <w:rsid w:val="00B76CCE"/>
    <w:rsid w:val="00B76D1E"/>
    <w:rsid w:val="00B77187"/>
    <w:rsid w:val="00B832C2"/>
    <w:rsid w:val="00B866BA"/>
    <w:rsid w:val="00B868BB"/>
    <w:rsid w:val="00B87774"/>
    <w:rsid w:val="00B95312"/>
    <w:rsid w:val="00B95940"/>
    <w:rsid w:val="00B95F50"/>
    <w:rsid w:val="00B97347"/>
    <w:rsid w:val="00B97BEC"/>
    <w:rsid w:val="00B97D6A"/>
    <w:rsid w:val="00BA1835"/>
    <w:rsid w:val="00BA493B"/>
    <w:rsid w:val="00BA67AC"/>
    <w:rsid w:val="00BA758B"/>
    <w:rsid w:val="00BB253A"/>
    <w:rsid w:val="00BB39F6"/>
    <w:rsid w:val="00BB6675"/>
    <w:rsid w:val="00BC0CC4"/>
    <w:rsid w:val="00BC0FA4"/>
    <w:rsid w:val="00BC217E"/>
    <w:rsid w:val="00BC2C2A"/>
    <w:rsid w:val="00BC3543"/>
    <w:rsid w:val="00BC3C0C"/>
    <w:rsid w:val="00BC6945"/>
    <w:rsid w:val="00BD061E"/>
    <w:rsid w:val="00BD1F8E"/>
    <w:rsid w:val="00BD366B"/>
    <w:rsid w:val="00BD3B58"/>
    <w:rsid w:val="00BD6D50"/>
    <w:rsid w:val="00BD723F"/>
    <w:rsid w:val="00BD77C9"/>
    <w:rsid w:val="00BD7F25"/>
    <w:rsid w:val="00BE006B"/>
    <w:rsid w:val="00BE00FB"/>
    <w:rsid w:val="00BE0C2C"/>
    <w:rsid w:val="00BE1962"/>
    <w:rsid w:val="00BE31CB"/>
    <w:rsid w:val="00BE61AD"/>
    <w:rsid w:val="00BE67BD"/>
    <w:rsid w:val="00BE6E4B"/>
    <w:rsid w:val="00BF0FB4"/>
    <w:rsid w:val="00BF1361"/>
    <w:rsid w:val="00BF19BC"/>
    <w:rsid w:val="00BF1BBE"/>
    <w:rsid w:val="00BF2F09"/>
    <w:rsid w:val="00BF4B64"/>
    <w:rsid w:val="00BF50DC"/>
    <w:rsid w:val="00BF5156"/>
    <w:rsid w:val="00BF6B39"/>
    <w:rsid w:val="00BF7728"/>
    <w:rsid w:val="00C0120C"/>
    <w:rsid w:val="00C13131"/>
    <w:rsid w:val="00C16B1D"/>
    <w:rsid w:val="00C16D4D"/>
    <w:rsid w:val="00C21F94"/>
    <w:rsid w:val="00C22F2F"/>
    <w:rsid w:val="00C313C0"/>
    <w:rsid w:val="00C403D8"/>
    <w:rsid w:val="00C44AB0"/>
    <w:rsid w:val="00C4743C"/>
    <w:rsid w:val="00C51787"/>
    <w:rsid w:val="00C519AF"/>
    <w:rsid w:val="00C52E1D"/>
    <w:rsid w:val="00C53EBB"/>
    <w:rsid w:val="00C544B0"/>
    <w:rsid w:val="00C601FF"/>
    <w:rsid w:val="00C60D5F"/>
    <w:rsid w:val="00C63252"/>
    <w:rsid w:val="00C654FA"/>
    <w:rsid w:val="00C6656A"/>
    <w:rsid w:val="00C71CDC"/>
    <w:rsid w:val="00C721D1"/>
    <w:rsid w:val="00C734AF"/>
    <w:rsid w:val="00C800A2"/>
    <w:rsid w:val="00C80F44"/>
    <w:rsid w:val="00C81F6A"/>
    <w:rsid w:val="00C8336A"/>
    <w:rsid w:val="00C83C3E"/>
    <w:rsid w:val="00C86BF6"/>
    <w:rsid w:val="00C90271"/>
    <w:rsid w:val="00C90CF4"/>
    <w:rsid w:val="00C93389"/>
    <w:rsid w:val="00C947BC"/>
    <w:rsid w:val="00C94BAB"/>
    <w:rsid w:val="00C9707C"/>
    <w:rsid w:val="00CA2135"/>
    <w:rsid w:val="00CA45B8"/>
    <w:rsid w:val="00CA5D2E"/>
    <w:rsid w:val="00CB0028"/>
    <w:rsid w:val="00CB4A82"/>
    <w:rsid w:val="00CB6FD3"/>
    <w:rsid w:val="00CC12C1"/>
    <w:rsid w:val="00CC279F"/>
    <w:rsid w:val="00CC2828"/>
    <w:rsid w:val="00CC5388"/>
    <w:rsid w:val="00CC73DE"/>
    <w:rsid w:val="00CD057E"/>
    <w:rsid w:val="00CD17DA"/>
    <w:rsid w:val="00CD18DE"/>
    <w:rsid w:val="00CD4307"/>
    <w:rsid w:val="00CE003C"/>
    <w:rsid w:val="00CE0744"/>
    <w:rsid w:val="00CE3720"/>
    <w:rsid w:val="00CE3BCD"/>
    <w:rsid w:val="00CE3F2C"/>
    <w:rsid w:val="00CE63E0"/>
    <w:rsid w:val="00CF3173"/>
    <w:rsid w:val="00CF51EC"/>
    <w:rsid w:val="00CF79BF"/>
    <w:rsid w:val="00D040DD"/>
    <w:rsid w:val="00D05478"/>
    <w:rsid w:val="00D05F75"/>
    <w:rsid w:val="00D07337"/>
    <w:rsid w:val="00D17C52"/>
    <w:rsid w:val="00D17FDA"/>
    <w:rsid w:val="00D2061B"/>
    <w:rsid w:val="00D2259F"/>
    <w:rsid w:val="00D24158"/>
    <w:rsid w:val="00D24C4E"/>
    <w:rsid w:val="00D267F5"/>
    <w:rsid w:val="00D27230"/>
    <w:rsid w:val="00D3005A"/>
    <w:rsid w:val="00D31445"/>
    <w:rsid w:val="00D31F68"/>
    <w:rsid w:val="00D32AAF"/>
    <w:rsid w:val="00D32D3B"/>
    <w:rsid w:val="00D44FBF"/>
    <w:rsid w:val="00D5269D"/>
    <w:rsid w:val="00D54851"/>
    <w:rsid w:val="00D57F73"/>
    <w:rsid w:val="00D60719"/>
    <w:rsid w:val="00D60E8A"/>
    <w:rsid w:val="00D6192C"/>
    <w:rsid w:val="00D64EAA"/>
    <w:rsid w:val="00D67679"/>
    <w:rsid w:val="00D70EED"/>
    <w:rsid w:val="00D730B3"/>
    <w:rsid w:val="00D7525D"/>
    <w:rsid w:val="00D83126"/>
    <w:rsid w:val="00D85C6A"/>
    <w:rsid w:val="00D93B6E"/>
    <w:rsid w:val="00D93F73"/>
    <w:rsid w:val="00D949F4"/>
    <w:rsid w:val="00D95700"/>
    <w:rsid w:val="00D95A1F"/>
    <w:rsid w:val="00D96100"/>
    <w:rsid w:val="00DA01A4"/>
    <w:rsid w:val="00DA29C9"/>
    <w:rsid w:val="00DA3A63"/>
    <w:rsid w:val="00DA78CF"/>
    <w:rsid w:val="00DB0A9B"/>
    <w:rsid w:val="00DB147D"/>
    <w:rsid w:val="00DB1BF3"/>
    <w:rsid w:val="00DB233D"/>
    <w:rsid w:val="00DB2AD9"/>
    <w:rsid w:val="00DB2C6A"/>
    <w:rsid w:val="00DC09B0"/>
    <w:rsid w:val="00DC18D4"/>
    <w:rsid w:val="00DC1A07"/>
    <w:rsid w:val="00DC3460"/>
    <w:rsid w:val="00DC34C3"/>
    <w:rsid w:val="00DC373E"/>
    <w:rsid w:val="00DC37F7"/>
    <w:rsid w:val="00DC59E2"/>
    <w:rsid w:val="00DC5B3B"/>
    <w:rsid w:val="00DC7D7C"/>
    <w:rsid w:val="00DD4F7E"/>
    <w:rsid w:val="00DD5F4C"/>
    <w:rsid w:val="00DD73BD"/>
    <w:rsid w:val="00DE247C"/>
    <w:rsid w:val="00DF35F3"/>
    <w:rsid w:val="00DF55FC"/>
    <w:rsid w:val="00DF6C6B"/>
    <w:rsid w:val="00E00580"/>
    <w:rsid w:val="00E01C0E"/>
    <w:rsid w:val="00E02AF7"/>
    <w:rsid w:val="00E04401"/>
    <w:rsid w:val="00E04694"/>
    <w:rsid w:val="00E069D1"/>
    <w:rsid w:val="00E1386E"/>
    <w:rsid w:val="00E16DE2"/>
    <w:rsid w:val="00E17F87"/>
    <w:rsid w:val="00E218FE"/>
    <w:rsid w:val="00E21E85"/>
    <w:rsid w:val="00E229C9"/>
    <w:rsid w:val="00E233B2"/>
    <w:rsid w:val="00E24855"/>
    <w:rsid w:val="00E264B5"/>
    <w:rsid w:val="00E27679"/>
    <w:rsid w:val="00E30A91"/>
    <w:rsid w:val="00E3545C"/>
    <w:rsid w:val="00E357B2"/>
    <w:rsid w:val="00E4150D"/>
    <w:rsid w:val="00E424B4"/>
    <w:rsid w:val="00E43B95"/>
    <w:rsid w:val="00E4465A"/>
    <w:rsid w:val="00E53521"/>
    <w:rsid w:val="00E55234"/>
    <w:rsid w:val="00E55CD0"/>
    <w:rsid w:val="00E57594"/>
    <w:rsid w:val="00E5774A"/>
    <w:rsid w:val="00E5784F"/>
    <w:rsid w:val="00E609E8"/>
    <w:rsid w:val="00E62A22"/>
    <w:rsid w:val="00E62D6F"/>
    <w:rsid w:val="00E63386"/>
    <w:rsid w:val="00E63B22"/>
    <w:rsid w:val="00E63ED7"/>
    <w:rsid w:val="00E65555"/>
    <w:rsid w:val="00E6641A"/>
    <w:rsid w:val="00E70729"/>
    <w:rsid w:val="00E71A58"/>
    <w:rsid w:val="00E73D13"/>
    <w:rsid w:val="00E757A4"/>
    <w:rsid w:val="00E80628"/>
    <w:rsid w:val="00E80E5F"/>
    <w:rsid w:val="00E87217"/>
    <w:rsid w:val="00E9090F"/>
    <w:rsid w:val="00E93346"/>
    <w:rsid w:val="00E9392E"/>
    <w:rsid w:val="00E93C44"/>
    <w:rsid w:val="00E975C2"/>
    <w:rsid w:val="00EA0C68"/>
    <w:rsid w:val="00EA0F89"/>
    <w:rsid w:val="00EA4153"/>
    <w:rsid w:val="00EB3793"/>
    <w:rsid w:val="00EB7C48"/>
    <w:rsid w:val="00EC2417"/>
    <w:rsid w:val="00EC3365"/>
    <w:rsid w:val="00EC7362"/>
    <w:rsid w:val="00ED286F"/>
    <w:rsid w:val="00ED3BAB"/>
    <w:rsid w:val="00ED41DD"/>
    <w:rsid w:val="00ED5586"/>
    <w:rsid w:val="00ED5F16"/>
    <w:rsid w:val="00ED743E"/>
    <w:rsid w:val="00EE0A9F"/>
    <w:rsid w:val="00EE0ABD"/>
    <w:rsid w:val="00EE2E10"/>
    <w:rsid w:val="00EE3E78"/>
    <w:rsid w:val="00EE6C57"/>
    <w:rsid w:val="00EE78F4"/>
    <w:rsid w:val="00EF1F5A"/>
    <w:rsid w:val="00EF437D"/>
    <w:rsid w:val="00EF4D97"/>
    <w:rsid w:val="00EF4EA3"/>
    <w:rsid w:val="00EF5A38"/>
    <w:rsid w:val="00EF5BD0"/>
    <w:rsid w:val="00EF618A"/>
    <w:rsid w:val="00F00F0A"/>
    <w:rsid w:val="00F041BF"/>
    <w:rsid w:val="00F04811"/>
    <w:rsid w:val="00F0488C"/>
    <w:rsid w:val="00F06633"/>
    <w:rsid w:val="00F110E6"/>
    <w:rsid w:val="00F1151E"/>
    <w:rsid w:val="00F12FD7"/>
    <w:rsid w:val="00F15BEF"/>
    <w:rsid w:val="00F218B5"/>
    <w:rsid w:val="00F21AC6"/>
    <w:rsid w:val="00F21D0E"/>
    <w:rsid w:val="00F2213F"/>
    <w:rsid w:val="00F24497"/>
    <w:rsid w:val="00F2467B"/>
    <w:rsid w:val="00F24CA6"/>
    <w:rsid w:val="00F24FAA"/>
    <w:rsid w:val="00F3364D"/>
    <w:rsid w:val="00F34749"/>
    <w:rsid w:val="00F42B21"/>
    <w:rsid w:val="00F44953"/>
    <w:rsid w:val="00F4515D"/>
    <w:rsid w:val="00F50359"/>
    <w:rsid w:val="00F527D0"/>
    <w:rsid w:val="00F5287E"/>
    <w:rsid w:val="00F54178"/>
    <w:rsid w:val="00F54C2C"/>
    <w:rsid w:val="00F55406"/>
    <w:rsid w:val="00F56375"/>
    <w:rsid w:val="00F57D96"/>
    <w:rsid w:val="00F634D8"/>
    <w:rsid w:val="00F635F0"/>
    <w:rsid w:val="00F63DDE"/>
    <w:rsid w:val="00F63FB7"/>
    <w:rsid w:val="00F643C1"/>
    <w:rsid w:val="00F65AC2"/>
    <w:rsid w:val="00F66EBB"/>
    <w:rsid w:val="00F71950"/>
    <w:rsid w:val="00F72D02"/>
    <w:rsid w:val="00F73A0C"/>
    <w:rsid w:val="00F76896"/>
    <w:rsid w:val="00F807DD"/>
    <w:rsid w:val="00F859E4"/>
    <w:rsid w:val="00F86DF8"/>
    <w:rsid w:val="00F92036"/>
    <w:rsid w:val="00F921A1"/>
    <w:rsid w:val="00F9705D"/>
    <w:rsid w:val="00FB251B"/>
    <w:rsid w:val="00FB3B91"/>
    <w:rsid w:val="00FB3F7D"/>
    <w:rsid w:val="00FB4756"/>
    <w:rsid w:val="00FB4BF0"/>
    <w:rsid w:val="00FB55A0"/>
    <w:rsid w:val="00FB7843"/>
    <w:rsid w:val="00FC0451"/>
    <w:rsid w:val="00FC09C4"/>
    <w:rsid w:val="00FC0E5F"/>
    <w:rsid w:val="00FC13A0"/>
    <w:rsid w:val="00FC25D6"/>
    <w:rsid w:val="00FC2A76"/>
    <w:rsid w:val="00FC2B44"/>
    <w:rsid w:val="00FC56DE"/>
    <w:rsid w:val="00FC5E4F"/>
    <w:rsid w:val="00FC6011"/>
    <w:rsid w:val="00FD0D6A"/>
    <w:rsid w:val="00FD6E8B"/>
    <w:rsid w:val="00FE025A"/>
    <w:rsid w:val="00FE2F78"/>
    <w:rsid w:val="00FE3C86"/>
    <w:rsid w:val="00FE4A9B"/>
    <w:rsid w:val="00FF164A"/>
    <w:rsid w:val="00FF525B"/>
    <w:rsid w:val="00FF61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EE"/>
    <w:pPr>
      <w:spacing w:line="288" w:lineRule="auto"/>
    </w:pPr>
    <w:rPr>
      <w:rFonts w:ascii="Arial" w:eastAsia="Times New Roman" w:hAnsi="Arial"/>
      <w:sz w:val="20"/>
      <w:szCs w:val="24"/>
    </w:rPr>
  </w:style>
  <w:style w:type="paragraph" w:styleId="Heading1">
    <w:name w:val="heading 1"/>
    <w:basedOn w:val="Normal"/>
    <w:next w:val="Normal"/>
    <w:link w:val="Heading1Char"/>
    <w:uiPriority w:val="99"/>
    <w:qFormat/>
    <w:rsid w:val="00BC3543"/>
    <w:pPr>
      <w:keepNext/>
      <w:keepLines/>
      <w:spacing w:after="200"/>
      <w:outlineLvl w:val="0"/>
    </w:pPr>
    <w:rPr>
      <w:rFonts w:eastAsia="MS Gothic"/>
      <w:b/>
      <w:bCs/>
      <w:color w:val="BC091B"/>
      <w:sz w:val="32"/>
      <w:szCs w:val="28"/>
    </w:rPr>
  </w:style>
  <w:style w:type="paragraph" w:styleId="Heading2">
    <w:name w:val="heading 2"/>
    <w:basedOn w:val="Normal"/>
    <w:next w:val="Normal"/>
    <w:link w:val="Heading2Char"/>
    <w:uiPriority w:val="99"/>
    <w:qFormat/>
    <w:rsid w:val="00BC3543"/>
    <w:pPr>
      <w:keepNext/>
      <w:keepLines/>
      <w:outlineLvl w:val="1"/>
    </w:pPr>
    <w:rPr>
      <w:rFonts w:eastAsia="MS Gothic"/>
      <w:b/>
      <w:bCs/>
      <w:color w:val="BC091B"/>
      <w:sz w:val="28"/>
      <w:szCs w:val="26"/>
    </w:rPr>
  </w:style>
  <w:style w:type="paragraph" w:styleId="Heading3">
    <w:name w:val="heading 3"/>
    <w:basedOn w:val="Normal"/>
    <w:next w:val="Normal"/>
    <w:link w:val="Heading3Char"/>
    <w:uiPriority w:val="99"/>
    <w:qFormat/>
    <w:rsid w:val="00BC3543"/>
    <w:pPr>
      <w:keepNext/>
      <w:keepLines/>
      <w:outlineLvl w:val="2"/>
    </w:pPr>
    <w:rPr>
      <w:rFonts w:eastAsia="MS Gothic"/>
      <w:b/>
      <w:bCs/>
      <w:color w:val="BC091B"/>
      <w:sz w:val="24"/>
    </w:rPr>
  </w:style>
  <w:style w:type="paragraph" w:styleId="Heading4">
    <w:name w:val="heading 4"/>
    <w:basedOn w:val="Normal"/>
    <w:next w:val="Normal"/>
    <w:link w:val="Heading4Char"/>
    <w:uiPriority w:val="99"/>
    <w:qFormat/>
    <w:rsid w:val="005108C0"/>
    <w:pPr>
      <w:keepNext/>
      <w:keepLines/>
      <w:outlineLvl w:val="3"/>
    </w:pPr>
    <w:rPr>
      <w:rFonts w:eastAsia="MS Gothic"/>
      <w:b/>
      <w:bCs/>
      <w:iCs/>
    </w:rPr>
  </w:style>
  <w:style w:type="paragraph" w:styleId="Heading6">
    <w:name w:val="heading 6"/>
    <w:basedOn w:val="Normal"/>
    <w:next w:val="Normal"/>
    <w:link w:val="Heading6Char"/>
    <w:uiPriority w:val="99"/>
    <w:qFormat/>
    <w:rsid w:val="0048046B"/>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3543"/>
    <w:rPr>
      <w:rFonts w:ascii="Arial" w:eastAsia="MS Gothic" w:hAnsi="Arial" w:cs="Times New Roman"/>
      <w:b/>
      <w:color w:val="BC091B"/>
      <w:sz w:val="28"/>
    </w:rPr>
  </w:style>
  <w:style w:type="character" w:customStyle="1" w:styleId="Heading2Char">
    <w:name w:val="Heading 2 Char"/>
    <w:basedOn w:val="DefaultParagraphFont"/>
    <w:link w:val="Heading2"/>
    <w:uiPriority w:val="99"/>
    <w:locked/>
    <w:rsid w:val="00BC3543"/>
    <w:rPr>
      <w:rFonts w:ascii="Arial" w:eastAsia="MS Gothic" w:hAnsi="Arial" w:cs="Times New Roman"/>
      <w:b/>
      <w:color w:val="BC091B"/>
      <w:sz w:val="26"/>
    </w:rPr>
  </w:style>
  <w:style w:type="character" w:customStyle="1" w:styleId="Heading3Char">
    <w:name w:val="Heading 3 Char"/>
    <w:basedOn w:val="DefaultParagraphFont"/>
    <w:link w:val="Heading3"/>
    <w:uiPriority w:val="99"/>
    <w:locked/>
    <w:rsid w:val="00BC3543"/>
    <w:rPr>
      <w:rFonts w:ascii="Arial" w:eastAsia="MS Gothic" w:hAnsi="Arial" w:cs="Times New Roman"/>
      <w:b/>
      <w:color w:val="BC091B"/>
      <w:sz w:val="24"/>
    </w:rPr>
  </w:style>
  <w:style w:type="character" w:customStyle="1" w:styleId="Heading4Char">
    <w:name w:val="Heading 4 Char"/>
    <w:basedOn w:val="DefaultParagraphFont"/>
    <w:link w:val="Heading4"/>
    <w:uiPriority w:val="99"/>
    <w:locked/>
    <w:rsid w:val="005108C0"/>
    <w:rPr>
      <w:rFonts w:ascii="Arial" w:eastAsia="MS Gothic" w:hAnsi="Arial" w:cs="Times New Roman"/>
      <w:b/>
      <w:sz w:val="24"/>
    </w:rPr>
  </w:style>
  <w:style w:type="character" w:customStyle="1" w:styleId="Heading6Char">
    <w:name w:val="Heading 6 Char"/>
    <w:basedOn w:val="DefaultParagraphFont"/>
    <w:link w:val="Heading6"/>
    <w:uiPriority w:val="99"/>
    <w:semiHidden/>
    <w:locked/>
    <w:rsid w:val="0048046B"/>
    <w:rPr>
      <w:rFonts w:ascii="Calibri" w:hAnsi="Calibri" w:cs="Times New Roman"/>
      <w:b/>
      <w:bCs/>
      <w:sz w:val="22"/>
      <w:szCs w:val="22"/>
    </w:rPr>
  </w:style>
  <w:style w:type="character" w:styleId="Hyperlink">
    <w:name w:val="Hyperlink"/>
    <w:basedOn w:val="DefaultParagraphFont"/>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Header">
    <w:name w:val="header"/>
    <w:basedOn w:val="Normal"/>
    <w:link w:val="HeaderChar"/>
    <w:uiPriority w:val="99"/>
    <w:rsid w:val="00E71A58"/>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E71A58"/>
    <w:rPr>
      <w:rFonts w:cs="Times New Roman"/>
    </w:rPr>
  </w:style>
  <w:style w:type="paragraph" w:styleId="Footer">
    <w:name w:val="footer"/>
    <w:basedOn w:val="Normal"/>
    <w:link w:val="FooterChar"/>
    <w:uiPriority w:val="99"/>
    <w:rsid w:val="00E71A58"/>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E71A58"/>
    <w:rPr>
      <w:rFonts w:cs="Times New Roman"/>
    </w:rPr>
  </w:style>
  <w:style w:type="paragraph" w:styleId="BalloonText">
    <w:name w:val="Balloon Text"/>
    <w:basedOn w:val="Normal"/>
    <w:link w:val="BalloonTextChar"/>
    <w:uiPriority w:val="99"/>
    <w:semiHidden/>
    <w:rsid w:val="00E71A58"/>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E71A58"/>
    <w:rPr>
      <w:rFonts w:ascii="Tahoma" w:hAnsi="Tahoma" w:cs="Times New Roman"/>
      <w:sz w:val="16"/>
    </w:rPr>
  </w:style>
  <w:style w:type="paragraph" w:customStyle="1" w:styleId="Zkladnodstavec">
    <w:name w:val="[Základní odstavec]"/>
    <w:basedOn w:val="Normal"/>
    <w:link w:val="ZkladnodstavecChar"/>
    <w:uiPriority w:val="99"/>
    <w:rsid w:val="001714F2"/>
    <w:pPr>
      <w:autoSpaceDE w:val="0"/>
      <w:autoSpaceDN w:val="0"/>
      <w:adjustRightInd w:val="0"/>
      <w:textAlignment w:val="center"/>
    </w:pPr>
    <w:rPr>
      <w:rFonts w:ascii="Minion Pro" w:eastAsia="Calibri" w:hAnsi="Minion Pro"/>
      <w:color w:val="000000"/>
      <w:sz w:val="24"/>
      <w:szCs w:val="20"/>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paragraph" w:styleId="Title">
    <w:name w:val="Title"/>
    <w:basedOn w:val="Normal"/>
    <w:next w:val="Normal"/>
    <w:link w:val="TitleChar"/>
    <w:uiPriority w:val="99"/>
    <w:qFormat/>
    <w:rsid w:val="0048086F"/>
    <w:pPr>
      <w:contextualSpacing/>
      <w:outlineLvl w:val="0"/>
    </w:pPr>
    <w:rPr>
      <w:rFonts w:eastAsia="MS Gothic"/>
      <w:b/>
      <w:caps/>
      <w:color w:val="BC091B"/>
      <w:sz w:val="56"/>
      <w:szCs w:val="52"/>
    </w:rPr>
  </w:style>
  <w:style w:type="character" w:customStyle="1" w:styleId="TitleChar">
    <w:name w:val="Title Char"/>
    <w:basedOn w:val="DefaultParagraphFont"/>
    <w:link w:val="Title"/>
    <w:uiPriority w:val="99"/>
    <w:locked/>
    <w:rsid w:val="0048086F"/>
    <w:rPr>
      <w:rFonts w:ascii="Arial" w:eastAsia="MS Gothic" w:hAnsi="Arial" w:cs="Times New Roman"/>
      <w:b/>
      <w:caps/>
      <w:color w:val="BC091B"/>
      <w:sz w:val="52"/>
    </w:rPr>
  </w:style>
  <w:style w:type="paragraph" w:styleId="Subtitle">
    <w:name w:val="Subtitle"/>
    <w:basedOn w:val="Normal"/>
    <w:next w:val="Normal"/>
    <w:link w:val="SubtitleChar"/>
    <w:uiPriority w:val="99"/>
    <w:qFormat/>
    <w:rsid w:val="00BC3543"/>
    <w:pPr>
      <w:numPr>
        <w:ilvl w:val="1"/>
      </w:numPr>
    </w:pPr>
    <w:rPr>
      <w:rFonts w:eastAsia="MS Gothic"/>
      <w:b/>
      <w:iCs/>
      <w:color w:val="BC091B"/>
      <w:sz w:val="28"/>
    </w:rPr>
  </w:style>
  <w:style w:type="character" w:customStyle="1" w:styleId="SubtitleChar">
    <w:name w:val="Subtitle Char"/>
    <w:basedOn w:val="DefaultParagraphFont"/>
    <w:link w:val="Subtitle"/>
    <w:uiPriority w:val="99"/>
    <w:locked/>
    <w:rsid w:val="00BC3543"/>
    <w:rPr>
      <w:rFonts w:ascii="Arial" w:eastAsia="MS Gothic" w:hAnsi="Arial" w:cs="Times New Roman"/>
      <w:b/>
      <w:color w:val="BC091B"/>
      <w:sz w:val="24"/>
    </w:rPr>
  </w:style>
  <w:style w:type="paragraph" w:customStyle="1" w:styleId="Stednmka21">
    <w:name w:val="Střední mřížka 21"/>
    <w:aliases w:val="Bez zarážky"/>
    <w:link w:val="Stednmka2Char"/>
    <w:uiPriority w:val="99"/>
    <w:rsid w:val="008D2A16"/>
    <w:pPr>
      <w:spacing w:line="288" w:lineRule="auto"/>
    </w:pPr>
    <w:rPr>
      <w:rFonts w:ascii="Arial" w:hAnsi="Arial"/>
    </w:rPr>
  </w:style>
  <w:style w:type="character" w:customStyle="1" w:styleId="Stednmka2Char">
    <w:name w:val="Střední mřížka 2 Char"/>
    <w:aliases w:val="Bez zarážky Char"/>
    <w:link w:val="Stednmka21"/>
    <w:uiPriority w:val="99"/>
    <w:locked/>
    <w:rsid w:val="00EE3E78"/>
    <w:rPr>
      <w:rFonts w:ascii="Arial" w:hAnsi="Arial"/>
      <w:sz w:val="22"/>
    </w:rPr>
  </w:style>
  <w:style w:type="paragraph" w:customStyle="1" w:styleId="Box1">
    <w:name w:val="Box 1"/>
    <w:basedOn w:val="Zkladnodstavec"/>
    <w:next w:val="Normal"/>
    <w:uiPriority w:val="99"/>
    <w:rsid w:val="00BC3543"/>
    <w:pPr>
      <w:ind w:left="1134"/>
    </w:pPr>
    <w:rPr>
      <w:rFonts w:ascii="Arial" w:hAnsi="Arial" w:cs="Arial"/>
      <w:color w:val="BC091B"/>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character" w:customStyle="1" w:styleId="Box2Char">
    <w:name w:val="Box 2 Char"/>
    <w:link w:val="Box2"/>
    <w:uiPriority w:val="99"/>
    <w:locked/>
    <w:rsid w:val="006710C9"/>
    <w:rPr>
      <w:rFonts w:ascii="Arial" w:hAnsi="Arial"/>
      <w:b/>
      <w:color w:val="000000"/>
      <w:sz w:val="24"/>
      <w:shd w:val="clear" w:color="auto" w:fill="CCC0D9"/>
    </w:rPr>
  </w:style>
  <w:style w:type="paragraph" w:customStyle="1" w:styleId="Box">
    <w:name w:val="Box"/>
    <w:next w:val="Normal"/>
    <w:link w:val="BoxChar"/>
    <w:uiPriority w:val="99"/>
    <w:rsid w:val="00210AA5"/>
    <w:pPr>
      <w:shd w:val="clear" w:color="auto" w:fill="F5DADD"/>
      <w:spacing w:line="288" w:lineRule="auto"/>
      <w:ind w:left="1134"/>
    </w:pPr>
    <w:rPr>
      <w:rFonts w:ascii="Arial" w:hAnsi="Arial"/>
      <w:color w:val="000000"/>
    </w:rPr>
  </w:style>
  <w:style w:type="character" w:customStyle="1" w:styleId="BoxChar">
    <w:name w:val="Box Char"/>
    <w:link w:val="Box"/>
    <w:uiPriority w:val="99"/>
    <w:locked/>
    <w:rsid w:val="00210AA5"/>
    <w:rPr>
      <w:rFonts w:ascii="Arial" w:hAnsi="Arial"/>
      <w:color w:val="000000"/>
      <w:sz w:val="22"/>
      <w:shd w:val="clear" w:color="auto" w:fill="F5DADD"/>
    </w:rPr>
  </w:style>
  <w:style w:type="paragraph" w:customStyle="1" w:styleId="TL-Kontakty">
    <w:name w:val="TL - Kontakty"/>
    <w:next w:val="Normal"/>
    <w:link w:val="TL-KontaktyChar"/>
    <w:uiPriority w:val="99"/>
    <w:rsid w:val="004F06F5"/>
    <w:pPr>
      <w:spacing w:after="80"/>
    </w:pPr>
    <w:rPr>
      <w:rFonts w:ascii="Arial" w:hAnsi="Arial"/>
      <w:b/>
      <w:caps/>
      <w:color w:val="BD1B21"/>
    </w:rPr>
  </w:style>
  <w:style w:type="character" w:customStyle="1" w:styleId="TL-KontaktyChar">
    <w:name w:val="TL - Kontakty Char"/>
    <w:link w:val="TL-Kontakty"/>
    <w:uiPriority w:val="99"/>
    <w:locked/>
    <w:rsid w:val="004F06F5"/>
    <w:rPr>
      <w:rFonts w:ascii="Arial" w:hAnsi="Arial"/>
      <w:b/>
      <w:caps/>
      <w:color w:val="BD1B21"/>
      <w:sz w:val="22"/>
    </w:rPr>
  </w:style>
  <w:style w:type="paragraph" w:customStyle="1" w:styleId="TL-Identifikace">
    <w:name w:val="TL - Identifikace"/>
    <w:next w:val="Normal"/>
    <w:link w:val="TL-IdentifikaceChar"/>
    <w:uiPriority w:val="99"/>
    <w:rsid w:val="004F06F5"/>
    <w:pPr>
      <w:spacing w:after="200" w:line="288" w:lineRule="auto"/>
    </w:pPr>
    <w:rPr>
      <w:rFonts w:ascii="Arial" w:hAnsi="Arial"/>
    </w:rPr>
  </w:style>
  <w:style w:type="character" w:customStyle="1" w:styleId="TL-IdentifikaceChar">
    <w:name w:val="TL - Identifikace Char"/>
    <w:link w:val="TL-Identifikace"/>
    <w:uiPriority w:val="99"/>
    <w:locked/>
    <w:rsid w:val="004F06F5"/>
    <w:rPr>
      <w:rFonts w:ascii="Arial" w:hAnsi="Arial"/>
      <w:sz w:val="22"/>
    </w:rPr>
  </w:style>
  <w:style w:type="paragraph" w:customStyle="1" w:styleId="3372873BB58A4DED866D2BE34882C06C">
    <w:name w:val="3372873BB58A4DED866D2BE34882C06C"/>
    <w:uiPriority w:val="99"/>
    <w:rsid w:val="00EE3E78"/>
    <w:pPr>
      <w:spacing w:after="200" w:line="276" w:lineRule="auto"/>
    </w:pPr>
    <w:rPr>
      <w:rFonts w:eastAsia="MS Mincho"/>
    </w:rPr>
  </w:style>
  <w:style w:type="paragraph" w:customStyle="1" w:styleId="233E5CD5853943F4BD7E8C4B124C0E1D">
    <w:name w:val="233E5CD5853943F4BD7E8C4B124C0E1D"/>
    <w:uiPriority w:val="99"/>
    <w:rsid w:val="00EE3E78"/>
    <w:pPr>
      <w:spacing w:after="200" w:line="276" w:lineRule="auto"/>
    </w:pPr>
    <w:rPr>
      <w:rFonts w:eastAsia="MS Mincho"/>
    </w:rPr>
  </w:style>
  <w:style w:type="paragraph" w:customStyle="1" w:styleId="D345FF3D873148C5AE3FBF3267827368">
    <w:name w:val="D345FF3D873148C5AE3FBF3267827368"/>
    <w:uiPriority w:val="99"/>
    <w:rsid w:val="00EE3E78"/>
    <w:pPr>
      <w:spacing w:after="200" w:line="276" w:lineRule="auto"/>
    </w:pPr>
    <w:rPr>
      <w:rFonts w:eastAsia="MS Mincho"/>
    </w:rPr>
  </w:style>
  <w:style w:type="paragraph" w:customStyle="1" w:styleId="TL-identifikace-sted">
    <w:name w:val="TL - identifikace - střed"/>
    <w:basedOn w:val="Normal"/>
    <w:link w:val="TL-identifikace-stedChar"/>
    <w:uiPriority w:val="99"/>
    <w:rsid w:val="006C113F"/>
    <w:pPr>
      <w:spacing w:after="200"/>
    </w:pPr>
    <w:rPr>
      <w:rFonts w:eastAsia="Calibri"/>
      <w:sz w:val="24"/>
      <w:szCs w:val="20"/>
    </w:rPr>
  </w:style>
  <w:style w:type="character" w:customStyle="1" w:styleId="TL-identifikace-stedChar">
    <w:name w:val="TL - identifikace - střed Char"/>
    <w:link w:val="TL-identifikace-sted"/>
    <w:uiPriority w:val="99"/>
    <w:locked/>
    <w:rsid w:val="006C113F"/>
    <w:rPr>
      <w:rFonts w:ascii="Arial" w:hAnsi="Arial"/>
      <w:sz w:val="24"/>
    </w:rPr>
  </w:style>
  <w:style w:type="paragraph" w:customStyle="1" w:styleId="TL-Identifikace-dole">
    <w:name w:val="TL - Identifikace - dole"/>
    <w:basedOn w:val="Normal"/>
    <w:link w:val="TL-Identifikace-doleChar"/>
    <w:uiPriority w:val="99"/>
    <w:rsid w:val="006C113F"/>
    <w:pPr>
      <w:spacing w:after="200"/>
    </w:pPr>
    <w:rPr>
      <w:rFonts w:eastAsia="Calibri"/>
      <w:szCs w:val="20"/>
      <w:lang w:eastAsia="ar-SA"/>
    </w:rPr>
  </w:style>
  <w:style w:type="character" w:customStyle="1" w:styleId="TL-Identifikace-doleChar">
    <w:name w:val="TL - Identifikace - dole Char"/>
    <w:link w:val="TL-Identifikace-dole"/>
    <w:uiPriority w:val="99"/>
    <w:locked/>
    <w:rsid w:val="006C113F"/>
    <w:rPr>
      <w:rFonts w:ascii="Arial" w:hAnsi="Arial"/>
      <w:lang w:eastAsia="ar-SA" w:bidi="ar-SA"/>
    </w:rPr>
  </w:style>
  <w:style w:type="paragraph" w:customStyle="1" w:styleId="Box-Lideaspolecnost">
    <w:name w:val="Box - Lide a spolecnost"/>
    <w:next w:val="Normal"/>
    <w:link w:val="Box-LideaspolecnostChar"/>
    <w:uiPriority w:val="99"/>
    <w:rsid w:val="00BC3543"/>
    <w:pPr>
      <w:shd w:val="clear" w:color="auto" w:fill="F5DADD"/>
      <w:spacing w:line="288" w:lineRule="auto"/>
      <w:ind w:left="1134"/>
    </w:pPr>
    <w:rPr>
      <w:rFonts w:ascii="Arial" w:hAnsi="Arial"/>
    </w:rPr>
  </w:style>
  <w:style w:type="character" w:customStyle="1" w:styleId="Box-LideaspolecnostChar">
    <w:name w:val="Box - Lide a spolecnost Char"/>
    <w:link w:val="Box-Lideaspolecnost"/>
    <w:uiPriority w:val="99"/>
    <w:locked/>
    <w:rsid w:val="00BC3543"/>
    <w:rPr>
      <w:rFonts w:ascii="Arial" w:hAnsi="Arial"/>
      <w:sz w:val="22"/>
      <w:shd w:val="clear" w:color="auto" w:fill="F5DADD"/>
      <w:lang w:val="cs-CZ" w:eastAsia="cs-CZ"/>
    </w:rPr>
  </w:style>
  <w:style w:type="paragraph" w:customStyle="1" w:styleId="Obsah">
    <w:name w:val="Obsah"/>
    <w:next w:val="Normal"/>
    <w:link w:val="ObsahChar"/>
    <w:uiPriority w:val="99"/>
    <w:rsid w:val="007B47EE"/>
    <w:pPr>
      <w:spacing w:after="200"/>
    </w:pPr>
    <w:rPr>
      <w:rFonts w:ascii="Arial" w:eastAsia="MS Gothic" w:hAnsi="Arial"/>
      <w:b/>
      <w:color w:val="BC091B"/>
    </w:rPr>
  </w:style>
  <w:style w:type="character" w:customStyle="1" w:styleId="ObsahChar">
    <w:name w:val="Obsah Char"/>
    <w:link w:val="Obsah"/>
    <w:uiPriority w:val="99"/>
    <w:locked/>
    <w:rsid w:val="007B47EE"/>
    <w:rPr>
      <w:rFonts w:ascii="Arial" w:eastAsia="MS Gothic" w:hAnsi="Arial"/>
      <w:b/>
      <w:color w:val="BC091B"/>
      <w:sz w:val="22"/>
    </w:rPr>
  </w:style>
  <w:style w:type="character" w:customStyle="1" w:styleId="right">
    <w:name w:val="right"/>
    <w:basedOn w:val="DefaultParagraphFont"/>
    <w:uiPriority w:val="99"/>
    <w:rsid w:val="00F859E4"/>
    <w:rPr>
      <w:rFonts w:cs="Times New Roman"/>
    </w:rPr>
  </w:style>
  <w:style w:type="paragraph" w:styleId="NormalWeb">
    <w:name w:val="Normal (Web)"/>
    <w:basedOn w:val="Normal"/>
    <w:uiPriority w:val="99"/>
    <w:rsid w:val="005D6CC5"/>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99"/>
    <w:qFormat/>
    <w:rsid w:val="007648E5"/>
    <w:pPr>
      <w:spacing w:line="240" w:lineRule="auto"/>
      <w:ind w:left="720"/>
      <w:contextualSpacing/>
    </w:pPr>
    <w:rPr>
      <w:rFonts w:ascii="Times New Roman" w:hAnsi="Times New Roman"/>
      <w:szCs w:val="20"/>
    </w:rPr>
  </w:style>
  <w:style w:type="paragraph" w:styleId="BodyTextIndent">
    <w:name w:val="Body Text Indent"/>
    <w:basedOn w:val="Normal"/>
    <w:link w:val="BodyTextIndentChar"/>
    <w:uiPriority w:val="99"/>
    <w:rsid w:val="00D7525D"/>
    <w:pPr>
      <w:spacing w:line="240" w:lineRule="auto"/>
      <w:ind w:left="360"/>
    </w:pPr>
    <w:rPr>
      <w:szCs w:val="20"/>
    </w:rPr>
  </w:style>
  <w:style w:type="character" w:customStyle="1" w:styleId="BodyTextIndentChar">
    <w:name w:val="Body Text Indent Char"/>
    <w:basedOn w:val="DefaultParagraphFont"/>
    <w:link w:val="BodyTextIndent"/>
    <w:uiPriority w:val="99"/>
    <w:locked/>
    <w:rsid w:val="00D7525D"/>
    <w:rPr>
      <w:rFonts w:ascii="Arial" w:hAnsi="Arial" w:cs="Times New Roman"/>
    </w:rPr>
  </w:style>
  <w:style w:type="character" w:styleId="CommentReference">
    <w:name w:val="annotation reference"/>
    <w:basedOn w:val="DefaultParagraphFont"/>
    <w:uiPriority w:val="99"/>
    <w:semiHidden/>
    <w:rsid w:val="000308E7"/>
    <w:rPr>
      <w:rFonts w:cs="Times New Roman"/>
      <w:sz w:val="16"/>
      <w:szCs w:val="16"/>
    </w:rPr>
  </w:style>
  <w:style w:type="paragraph" w:styleId="CommentText">
    <w:name w:val="annotation text"/>
    <w:basedOn w:val="Normal"/>
    <w:link w:val="CommentTextChar"/>
    <w:uiPriority w:val="99"/>
    <w:semiHidden/>
    <w:rsid w:val="000308E7"/>
    <w:rPr>
      <w:szCs w:val="20"/>
    </w:rPr>
  </w:style>
  <w:style w:type="character" w:customStyle="1" w:styleId="CommentTextChar">
    <w:name w:val="Comment Text Char"/>
    <w:basedOn w:val="DefaultParagraphFont"/>
    <w:link w:val="CommentText"/>
    <w:uiPriority w:val="99"/>
    <w:semiHidden/>
    <w:locked/>
    <w:rsid w:val="000308E7"/>
    <w:rPr>
      <w:rFonts w:ascii="Arial" w:hAnsi="Arial" w:cs="Times New Roman"/>
    </w:rPr>
  </w:style>
  <w:style w:type="paragraph" w:styleId="CommentSubject">
    <w:name w:val="annotation subject"/>
    <w:basedOn w:val="CommentText"/>
    <w:next w:val="CommentText"/>
    <w:link w:val="CommentSubjectChar"/>
    <w:uiPriority w:val="99"/>
    <w:semiHidden/>
    <w:rsid w:val="000308E7"/>
    <w:rPr>
      <w:b/>
      <w:bCs/>
    </w:rPr>
  </w:style>
  <w:style w:type="character" w:customStyle="1" w:styleId="CommentSubjectChar">
    <w:name w:val="Comment Subject Char"/>
    <w:basedOn w:val="CommentTextChar"/>
    <w:link w:val="CommentSubject"/>
    <w:uiPriority w:val="99"/>
    <w:semiHidden/>
    <w:locked/>
    <w:rsid w:val="000308E7"/>
    <w:rPr>
      <w:b/>
      <w:bCs/>
    </w:rPr>
  </w:style>
  <w:style w:type="character" w:styleId="FollowedHyperlink">
    <w:name w:val="FollowedHyperlink"/>
    <w:basedOn w:val="DefaultParagraphFont"/>
    <w:uiPriority w:val="99"/>
    <w:semiHidden/>
    <w:rsid w:val="00AB5CA4"/>
    <w:rPr>
      <w:rFonts w:cs="Times New Roman"/>
      <w:color w:val="800080"/>
      <w:u w:val="single"/>
    </w:rPr>
  </w:style>
  <w:style w:type="paragraph" w:customStyle="1" w:styleId="xl66">
    <w:name w:val="xl66"/>
    <w:basedOn w:val="Normal"/>
    <w:uiPriority w:val="99"/>
    <w:rsid w:val="00AB5CA4"/>
    <w:pPr>
      <w:spacing w:before="100" w:beforeAutospacing="1" w:after="100" w:afterAutospacing="1" w:line="240" w:lineRule="auto"/>
    </w:pPr>
    <w:rPr>
      <w:szCs w:val="20"/>
    </w:rPr>
  </w:style>
  <w:style w:type="paragraph" w:customStyle="1" w:styleId="xl67">
    <w:name w:val="xl67"/>
    <w:basedOn w:val="Normal"/>
    <w:uiPriority w:val="99"/>
    <w:rsid w:val="00AB5CA4"/>
    <w:pPr>
      <w:pBdr>
        <w:left w:val="single" w:sz="4" w:space="0" w:color="auto"/>
      </w:pBdr>
      <w:spacing w:before="100" w:beforeAutospacing="1" w:after="100" w:afterAutospacing="1" w:line="240" w:lineRule="auto"/>
    </w:pPr>
    <w:rPr>
      <w:b/>
      <w:bCs/>
      <w:sz w:val="16"/>
      <w:szCs w:val="16"/>
    </w:rPr>
  </w:style>
  <w:style w:type="paragraph" w:customStyle="1" w:styleId="xl68">
    <w:name w:val="xl68"/>
    <w:basedOn w:val="Normal"/>
    <w:uiPriority w:val="99"/>
    <w:rsid w:val="00AB5CA4"/>
    <w:pPr>
      <w:pBdr>
        <w:left w:val="single" w:sz="4" w:space="0" w:color="auto"/>
        <w:right w:val="single" w:sz="4" w:space="0" w:color="auto"/>
      </w:pBdr>
      <w:spacing w:before="100" w:beforeAutospacing="1" w:after="100" w:afterAutospacing="1" w:line="240" w:lineRule="auto"/>
      <w:jc w:val="right"/>
    </w:pPr>
    <w:rPr>
      <w:sz w:val="16"/>
      <w:szCs w:val="16"/>
    </w:rPr>
  </w:style>
  <w:style w:type="paragraph" w:customStyle="1" w:styleId="xl69">
    <w:name w:val="xl69"/>
    <w:basedOn w:val="Normal"/>
    <w:uiPriority w:val="99"/>
    <w:rsid w:val="00AB5CA4"/>
    <w:pPr>
      <w:pBdr>
        <w:left w:val="single" w:sz="4" w:space="0" w:color="auto"/>
        <w:right w:val="single" w:sz="4" w:space="0" w:color="auto"/>
      </w:pBdr>
      <w:spacing w:before="100" w:beforeAutospacing="1" w:after="100" w:afterAutospacing="1" w:line="240" w:lineRule="auto"/>
      <w:jc w:val="right"/>
    </w:pPr>
    <w:rPr>
      <w:rFonts w:cs="Arial"/>
      <w:sz w:val="16"/>
      <w:szCs w:val="16"/>
    </w:rPr>
  </w:style>
  <w:style w:type="paragraph" w:customStyle="1" w:styleId="xl70">
    <w:name w:val="xl70"/>
    <w:basedOn w:val="Normal"/>
    <w:uiPriority w:val="99"/>
    <w:rsid w:val="00AB5CA4"/>
    <w:pPr>
      <w:pBdr>
        <w:left w:val="single" w:sz="4" w:space="0" w:color="auto"/>
        <w:right w:val="single" w:sz="4" w:space="0" w:color="auto"/>
      </w:pBdr>
      <w:spacing w:before="100" w:beforeAutospacing="1" w:after="100" w:afterAutospacing="1" w:line="240" w:lineRule="auto"/>
      <w:jc w:val="right"/>
    </w:pPr>
    <w:rPr>
      <w:sz w:val="16"/>
      <w:szCs w:val="16"/>
    </w:rPr>
  </w:style>
  <w:style w:type="paragraph" w:customStyle="1" w:styleId="xl71">
    <w:name w:val="xl71"/>
    <w:basedOn w:val="Normal"/>
    <w:uiPriority w:val="99"/>
    <w:rsid w:val="00AB5CA4"/>
    <w:pPr>
      <w:pBdr>
        <w:left w:val="single" w:sz="4" w:space="0" w:color="auto"/>
        <w:right w:val="single" w:sz="4" w:space="0" w:color="auto"/>
      </w:pBdr>
      <w:spacing w:before="100" w:beforeAutospacing="1" w:after="100" w:afterAutospacing="1" w:line="240" w:lineRule="auto"/>
    </w:pPr>
    <w:rPr>
      <w:b/>
      <w:bCs/>
      <w:sz w:val="16"/>
      <w:szCs w:val="16"/>
    </w:rPr>
  </w:style>
  <w:style w:type="paragraph" w:customStyle="1" w:styleId="xl72">
    <w:name w:val="xl72"/>
    <w:basedOn w:val="Normal"/>
    <w:uiPriority w:val="99"/>
    <w:rsid w:val="00AB5CA4"/>
    <w:pPr>
      <w:pBdr>
        <w:left w:val="single" w:sz="4" w:space="0" w:color="auto"/>
        <w:right w:val="single" w:sz="4" w:space="0" w:color="auto"/>
      </w:pBdr>
      <w:spacing w:before="100" w:beforeAutospacing="1" w:after="100" w:afterAutospacing="1" w:line="240" w:lineRule="auto"/>
    </w:pPr>
    <w:rPr>
      <w:b/>
      <w:bCs/>
      <w:sz w:val="16"/>
      <w:szCs w:val="16"/>
    </w:rPr>
  </w:style>
  <w:style w:type="paragraph" w:customStyle="1" w:styleId="xl73">
    <w:name w:val="xl73"/>
    <w:basedOn w:val="Normal"/>
    <w:uiPriority w:val="99"/>
    <w:rsid w:val="00AB5CA4"/>
    <w:pPr>
      <w:spacing w:before="100" w:beforeAutospacing="1" w:after="100" w:afterAutospacing="1" w:line="240" w:lineRule="auto"/>
    </w:pPr>
    <w:rPr>
      <w:b/>
      <w:bCs/>
      <w:sz w:val="16"/>
      <w:szCs w:val="16"/>
    </w:rPr>
  </w:style>
  <w:style w:type="paragraph" w:customStyle="1" w:styleId="xl74">
    <w:name w:val="xl74"/>
    <w:basedOn w:val="Normal"/>
    <w:uiPriority w:val="99"/>
    <w:rsid w:val="00AB5CA4"/>
    <w:pPr>
      <w:pBdr>
        <w:left w:val="single" w:sz="4" w:space="0" w:color="auto"/>
      </w:pBdr>
      <w:spacing w:before="100" w:beforeAutospacing="1" w:after="100" w:afterAutospacing="1" w:line="240" w:lineRule="auto"/>
    </w:pPr>
    <w:rPr>
      <w:sz w:val="16"/>
      <w:szCs w:val="16"/>
    </w:rPr>
  </w:style>
  <w:style w:type="paragraph" w:customStyle="1" w:styleId="xl75">
    <w:name w:val="xl75"/>
    <w:basedOn w:val="Normal"/>
    <w:uiPriority w:val="99"/>
    <w:rsid w:val="00AB5CA4"/>
    <w:pPr>
      <w:pBdr>
        <w:left w:val="single" w:sz="4" w:space="0" w:color="auto"/>
        <w:right w:val="single" w:sz="4" w:space="0" w:color="auto"/>
      </w:pBdr>
      <w:spacing w:before="100" w:beforeAutospacing="1" w:after="100" w:afterAutospacing="1" w:line="240" w:lineRule="auto"/>
    </w:pPr>
    <w:rPr>
      <w:sz w:val="16"/>
      <w:szCs w:val="16"/>
    </w:rPr>
  </w:style>
  <w:style w:type="paragraph" w:customStyle="1" w:styleId="xl76">
    <w:name w:val="xl76"/>
    <w:basedOn w:val="Normal"/>
    <w:uiPriority w:val="99"/>
    <w:rsid w:val="00AB5CA4"/>
    <w:pPr>
      <w:spacing w:before="100" w:beforeAutospacing="1" w:after="100" w:afterAutospacing="1" w:line="240" w:lineRule="auto"/>
    </w:pPr>
    <w:rPr>
      <w:sz w:val="16"/>
      <w:szCs w:val="16"/>
    </w:rPr>
  </w:style>
  <w:style w:type="paragraph" w:customStyle="1" w:styleId="xl77">
    <w:name w:val="xl77"/>
    <w:basedOn w:val="Normal"/>
    <w:uiPriority w:val="99"/>
    <w:rsid w:val="00AB5CA4"/>
    <w:pPr>
      <w:pBdr>
        <w:top w:val="single" w:sz="4" w:space="0" w:color="auto"/>
        <w:left w:val="single" w:sz="4" w:space="0" w:color="auto"/>
      </w:pBdr>
      <w:spacing w:before="100" w:beforeAutospacing="1" w:after="100" w:afterAutospacing="1" w:line="240" w:lineRule="auto"/>
    </w:pPr>
    <w:rPr>
      <w:sz w:val="16"/>
      <w:szCs w:val="16"/>
    </w:rPr>
  </w:style>
  <w:style w:type="paragraph" w:customStyle="1" w:styleId="xl78">
    <w:name w:val="xl78"/>
    <w:basedOn w:val="Normal"/>
    <w:uiPriority w:val="99"/>
    <w:rsid w:val="00AB5CA4"/>
    <w:pPr>
      <w:pBdr>
        <w:top w:val="single" w:sz="4" w:space="0" w:color="auto"/>
        <w:left w:val="single" w:sz="4" w:space="0" w:color="auto"/>
        <w:right w:val="single" w:sz="4" w:space="0" w:color="auto"/>
      </w:pBdr>
      <w:spacing w:before="100" w:beforeAutospacing="1" w:after="100" w:afterAutospacing="1" w:line="240" w:lineRule="auto"/>
      <w:jc w:val="right"/>
    </w:pPr>
    <w:rPr>
      <w:sz w:val="16"/>
      <w:szCs w:val="16"/>
    </w:rPr>
  </w:style>
  <w:style w:type="paragraph" w:customStyle="1" w:styleId="xl79">
    <w:name w:val="xl79"/>
    <w:basedOn w:val="Normal"/>
    <w:uiPriority w:val="99"/>
    <w:rsid w:val="00AB5CA4"/>
    <w:pPr>
      <w:pBdr>
        <w:top w:val="single" w:sz="4" w:space="0" w:color="auto"/>
        <w:left w:val="single" w:sz="4" w:space="0" w:color="auto"/>
        <w:right w:val="single" w:sz="4" w:space="0" w:color="auto"/>
      </w:pBdr>
      <w:spacing w:before="100" w:beforeAutospacing="1" w:after="100" w:afterAutospacing="1" w:line="240" w:lineRule="auto"/>
      <w:jc w:val="right"/>
    </w:pPr>
    <w:rPr>
      <w:rFonts w:cs="Arial"/>
      <w:sz w:val="16"/>
      <w:szCs w:val="16"/>
    </w:rPr>
  </w:style>
  <w:style w:type="paragraph" w:customStyle="1" w:styleId="xl80">
    <w:name w:val="xl80"/>
    <w:basedOn w:val="Normal"/>
    <w:uiPriority w:val="99"/>
    <w:rsid w:val="00AB5CA4"/>
    <w:pPr>
      <w:pBdr>
        <w:top w:val="single" w:sz="4" w:space="0" w:color="auto"/>
        <w:left w:val="single" w:sz="4" w:space="0" w:color="auto"/>
        <w:right w:val="single" w:sz="4" w:space="0" w:color="auto"/>
      </w:pBdr>
      <w:spacing w:before="100" w:beforeAutospacing="1" w:after="100" w:afterAutospacing="1" w:line="240" w:lineRule="auto"/>
      <w:jc w:val="right"/>
    </w:pPr>
    <w:rPr>
      <w:sz w:val="16"/>
      <w:szCs w:val="16"/>
    </w:rPr>
  </w:style>
  <w:style w:type="paragraph" w:customStyle="1" w:styleId="xl81">
    <w:name w:val="xl81"/>
    <w:basedOn w:val="Normal"/>
    <w:uiPriority w:val="99"/>
    <w:rsid w:val="00AB5CA4"/>
    <w:pPr>
      <w:pBdr>
        <w:top w:val="single" w:sz="4" w:space="0" w:color="auto"/>
        <w:left w:val="single" w:sz="4" w:space="0" w:color="auto"/>
        <w:right w:val="single" w:sz="4" w:space="0" w:color="auto"/>
      </w:pBdr>
      <w:spacing w:before="100" w:beforeAutospacing="1" w:after="100" w:afterAutospacing="1" w:line="240" w:lineRule="auto"/>
    </w:pPr>
    <w:rPr>
      <w:sz w:val="16"/>
      <w:szCs w:val="16"/>
    </w:rPr>
  </w:style>
  <w:style w:type="paragraph" w:customStyle="1" w:styleId="xl82">
    <w:name w:val="xl82"/>
    <w:basedOn w:val="Normal"/>
    <w:uiPriority w:val="99"/>
    <w:rsid w:val="00AB5CA4"/>
    <w:pPr>
      <w:pBdr>
        <w:left w:val="single" w:sz="4" w:space="0" w:color="auto"/>
        <w:bottom w:val="single" w:sz="4" w:space="0" w:color="auto"/>
      </w:pBdr>
      <w:spacing w:before="100" w:beforeAutospacing="1" w:after="100" w:afterAutospacing="1" w:line="240" w:lineRule="auto"/>
    </w:pPr>
    <w:rPr>
      <w:b/>
      <w:bCs/>
      <w:sz w:val="16"/>
      <w:szCs w:val="16"/>
    </w:rPr>
  </w:style>
  <w:style w:type="paragraph" w:customStyle="1" w:styleId="xl83">
    <w:name w:val="xl83"/>
    <w:basedOn w:val="Normal"/>
    <w:uiPriority w:val="99"/>
    <w:rsid w:val="00AB5CA4"/>
    <w:pPr>
      <w:pBdr>
        <w:left w:val="single" w:sz="4" w:space="0" w:color="auto"/>
        <w:bottom w:val="single" w:sz="4" w:space="0" w:color="auto"/>
        <w:right w:val="single" w:sz="4" w:space="0" w:color="auto"/>
      </w:pBdr>
      <w:spacing w:before="100" w:beforeAutospacing="1" w:after="100" w:afterAutospacing="1" w:line="240" w:lineRule="auto"/>
      <w:jc w:val="right"/>
    </w:pPr>
    <w:rPr>
      <w:sz w:val="16"/>
      <w:szCs w:val="16"/>
    </w:rPr>
  </w:style>
  <w:style w:type="paragraph" w:customStyle="1" w:styleId="xl84">
    <w:name w:val="xl84"/>
    <w:basedOn w:val="Normal"/>
    <w:uiPriority w:val="99"/>
    <w:rsid w:val="00AB5CA4"/>
    <w:pPr>
      <w:pBdr>
        <w:left w:val="single" w:sz="4" w:space="0" w:color="auto"/>
        <w:bottom w:val="single" w:sz="4" w:space="0" w:color="auto"/>
        <w:right w:val="single" w:sz="4" w:space="0" w:color="auto"/>
      </w:pBdr>
      <w:spacing w:before="100" w:beforeAutospacing="1" w:after="100" w:afterAutospacing="1" w:line="240" w:lineRule="auto"/>
      <w:jc w:val="right"/>
    </w:pPr>
    <w:rPr>
      <w:rFonts w:cs="Arial"/>
      <w:sz w:val="16"/>
      <w:szCs w:val="16"/>
    </w:rPr>
  </w:style>
  <w:style w:type="paragraph" w:customStyle="1" w:styleId="xl85">
    <w:name w:val="xl85"/>
    <w:basedOn w:val="Normal"/>
    <w:uiPriority w:val="99"/>
    <w:rsid w:val="00AB5CA4"/>
    <w:pPr>
      <w:spacing w:before="100" w:beforeAutospacing="1" w:after="100" w:afterAutospacing="1" w:line="240" w:lineRule="auto"/>
      <w:jc w:val="right"/>
    </w:pPr>
    <w:rPr>
      <w:sz w:val="16"/>
      <w:szCs w:val="16"/>
    </w:rPr>
  </w:style>
  <w:style w:type="paragraph" w:customStyle="1" w:styleId="xl86">
    <w:name w:val="xl86"/>
    <w:basedOn w:val="Normal"/>
    <w:uiPriority w:val="99"/>
    <w:rsid w:val="00AB5CA4"/>
    <w:pPr>
      <w:spacing w:before="100" w:beforeAutospacing="1" w:after="100" w:afterAutospacing="1" w:line="240" w:lineRule="auto"/>
      <w:jc w:val="right"/>
    </w:pPr>
    <w:rPr>
      <w:rFonts w:cs="Arial"/>
      <w:sz w:val="16"/>
      <w:szCs w:val="16"/>
    </w:rPr>
  </w:style>
  <w:style w:type="paragraph" w:customStyle="1" w:styleId="xl87">
    <w:name w:val="xl87"/>
    <w:basedOn w:val="Normal"/>
    <w:uiPriority w:val="99"/>
    <w:rsid w:val="00AB5CA4"/>
    <w:pPr>
      <w:pBdr>
        <w:left w:val="single" w:sz="4" w:space="0" w:color="auto"/>
        <w:bottom w:val="single" w:sz="4" w:space="0" w:color="auto"/>
        <w:right w:val="single" w:sz="4" w:space="0" w:color="auto"/>
      </w:pBdr>
      <w:spacing w:before="100" w:beforeAutospacing="1" w:after="100" w:afterAutospacing="1" w:line="240" w:lineRule="auto"/>
    </w:pPr>
    <w:rPr>
      <w:b/>
      <w:bCs/>
      <w:sz w:val="16"/>
      <w:szCs w:val="16"/>
    </w:rPr>
  </w:style>
  <w:style w:type="paragraph" w:customStyle="1" w:styleId="xl88">
    <w:name w:val="xl88"/>
    <w:basedOn w:val="Normal"/>
    <w:uiPriority w:val="99"/>
    <w:rsid w:val="00AB5CA4"/>
    <w:pPr>
      <w:pBdr>
        <w:left w:val="single" w:sz="4" w:space="0" w:color="auto"/>
        <w:bottom w:val="single" w:sz="4" w:space="0" w:color="auto"/>
        <w:right w:val="single" w:sz="4" w:space="0" w:color="auto"/>
      </w:pBdr>
      <w:spacing w:before="100" w:beforeAutospacing="1" w:after="100" w:afterAutospacing="1" w:line="240" w:lineRule="auto"/>
    </w:pPr>
    <w:rPr>
      <w:b/>
      <w:bCs/>
      <w:sz w:val="16"/>
      <w:szCs w:val="16"/>
    </w:rPr>
  </w:style>
  <w:style w:type="paragraph" w:customStyle="1" w:styleId="xl89">
    <w:name w:val="xl89"/>
    <w:basedOn w:val="Normal"/>
    <w:uiPriority w:val="99"/>
    <w:rsid w:val="00AB5CA4"/>
    <w:pPr>
      <w:pBdr>
        <w:left w:val="single" w:sz="4" w:space="0" w:color="auto"/>
      </w:pBdr>
      <w:spacing w:before="100" w:beforeAutospacing="1" w:after="100" w:afterAutospacing="1" w:line="240" w:lineRule="auto"/>
      <w:jc w:val="right"/>
    </w:pPr>
    <w:rPr>
      <w:rFonts w:cs="Arial"/>
      <w:b/>
      <w:bCs/>
      <w:sz w:val="16"/>
      <w:szCs w:val="16"/>
    </w:rPr>
  </w:style>
  <w:style w:type="paragraph" w:customStyle="1" w:styleId="xl90">
    <w:name w:val="xl90"/>
    <w:basedOn w:val="Normal"/>
    <w:uiPriority w:val="99"/>
    <w:rsid w:val="00AB5CA4"/>
    <w:pPr>
      <w:pBdr>
        <w:left w:val="single" w:sz="4" w:space="0" w:color="auto"/>
        <w:right w:val="single" w:sz="4" w:space="0" w:color="auto"/>
      </w:pBdr>
      <w:spacing w:before="100" w:beforeAutospacing="1" w:after="100" w:afterAutospacing="1" w:line="240" w:lineRule="auto"/>
      <w:jc w:val="right"/>
    </w:pPr>
    <w:rPr>
      <w:rFonts w:cs="Arial"/>
      <w:b/>
      <w:bCs/>
      <w:sz w:val="16"/>
      <w:szCs w:val="16"/>
    </w:rPr>
  </w:style>
  <w:style w:type="paragraph" w:customStyle="1" w:styleId="xl91">
    <w:name w:val="xl91"/>
    <w:basedOn w:val="Normal"/>
    <w:uiPriority w:val="99"/>
    <w:rsid w:val="00AB5CA4"/>
    <w:pPr>
      <w:pBdr>
        <w:left w:val="single" w:sz="4" w:space="0" w:color="auto"/>
        <w:right w:val="single" w:sz="4" w:space="0" w:color="auto"/>
      </w:pBdr>
      <w:spacing w:before="100" w:beforeAutospacing="1" w:after="100" w:afterAutospacing="1" w:line="240" w:lineRule="auto"/>
      <w:jc w:val="right"/>
    </w:pPr>
    <w:rPr>
      <w:b/>
      <w:bCs/>
      <w:sz w:val="16"/>
      <w:szCs w:val="16"/>
    </w:rPr>
  </w:style>
  <w:style w:type="paragraph" w:customStyle="1" w:styleId="xl92">
    <w:name w:val="xl92"/>
    <w:basedOn w:val="Normal"/>
    <w:uiPriority w:val="99"/>
    <w:rsid w:val="00AB5CA4"/>
    <w:pPr>
      <w:pBdr>
        <w:left w:val="single" w:sz="4" w:space="0" w:color="auto"/>
        <w:right w:val="single" w:sz="4" w:space="0" w:color="auto"/>
      </w:pBdr>
      <w:spacing w:before="100" w:beforeAutospacing="1" w:after="100" w:afterAutospacing="1" w:line="240" w:lineRule="auto"/>
    </w:pPr>
    <w:rPr>
      <w:sz w:val="16"/>
      <w:szCs w:val="16"/>
    </w:rPr>
  </w:style>
  <w:style w:type="paragraph" w:customStyle="1" w:styleId="xl93">
    <w:name w:val="xl93"/>
    <w:basedOn w:val="Normal"/>
    <w:uiPriority w:val="99"/>
    <w:rsid w:val="00AB5CA4"/>
    <w:pPr>
      <w:pBdr>
        <w:left w:val="single" w:sz="4" w:space="0" w:color="auto"/>
        <w:right w:val="single" w:sz="4" w:space="0" w:color="auto"/>
      </w:pBdr>
      <w:spacing w:before="100" w:beforeAutospacing="1" w:after="100" w:afterAutospacing="1" w:line="240" w:lineRule="auto"/>
      <w:jc w:val="right"/>
    </w:pPr>
    <w:rPr>
      <w:sz w:val="16"/>
      <w:szCs w:val="16"/>
    </w:rPr>
  </w:style>
  <w:style w:type="paragraph" w:customStyle="1" w:styleId="xl94">
    <w:name w:val="xl94"/>
    <w:basedOn w:val="Normal"/>
    <w:uiPriority w:val="99"/>
    <w:rsid w:val="00AB5CA4"/>
    <w:pPr>
      <w:pBdr>
        <w:left w:val="single" w:sz="4" w:space="0" w:color="auto"/>
      </w:pBdr>
      <w:spacing w:before="100" w:beforeAutospacing="1" w:after="100" w:afterAutospacing="1" w:line="240" w:lineRule="auto"/>
    </w:pPr>
    <w:rPr>
      <w:b/>
      <w:bCs/>
      <w:sz w:val="16"/>
      <w:szCs w:val="16"/>
    </w:rPr>
  </w:style>
  <w:style w:type="paragraph" w:customStyle="1" w:styleId="xl95">
    <w:name w:val="xl95"/>
    <w:basedOn w:val="Normal"/>
    <w:uiPriority w:val="99"/>
    <w:rsid w:val="00AB5CA4"/>
    <w:pPr>
      <w:pBdr>
        <w:left w:val="single" w:sz="4" w:space="0" w:color="auto"/>
        <w:right w:val="single" w:sz="4" w:space="0" w:color="auto"/>
      </w:pBdr>
      <w:spacing w:before="100" w:beforeAutospacing="1" w:after="100" w:afterAutospacing="1" w:line="240" w:lineRule="auto"/>
      <w:jc w:val="right"/>
    </w:pPr>
    <w:rPr>
      <w:b/>
      <w:bCs/>
      <w:sz w:val="16"/>
      <w:szCs w:val="16"/>
    </w:rPr>
  </w:style>
  <w:style w:type="paragraph" w:customStyle="1" w:styleId="xl96">
    <w:name w:val="xl96"/>
    <w:basedOn w:val="Normal"/>
    <w:uiPriority w:val="99"/>
    <w:rsid w:val="00AB5CA4"/>
    <w:pPr>
      <w:pBdr>
        <w:left w:val="single" w:sz="4" w:space="0" w:color="auto"/>
        <w:right w:val="single" w:sz="4" w:space="0" w:color="auto"/>
      </w:pBdr>
      <w:spacing w:before="100" w:beforeAutospacing="1" w:after="100" w:afterAutospacing="1" w:line="240" w:lineRule="auto"/>
    </w:pPr>
    <w:rPr>
      <w:sz w:val="16"/>
      <w:szCs w:val="16"/>
    </w:rPr>
  </w:style>
  <w:style w:type="paragraph" w:customStyle="1" w:styleId="xl97">
    <w:name w:val="xl97"/>
    <w:basedOn w:val="Normal"/>
    <w:uiPriority w:val="99"/>
    <w:rsid w:val="00AB5CA4"/>
    <w:pPr>
      <w:pBdr>
        <w:top w:val="single" w:sz="8" w:space="0" w:color="auto"/>
        <w:left w:val="single" w:sz="4" w:space="0" w:color="auto"/>
        <w:bottom w:val="single" w:sz="8" w:space="0" w:color="auto"/>
      </w:pBdr>
      <w:shd w:val="clear" w:color="000000" w:fill="F2DDDC"/>
      <w:spacing w:before="100" w:beforeAutospacing="1" w:after="100" w:afterAutospacing="1" w:line="240" w:lineRule="auto"/>
      <w:jc w:val="center"/>
      <w:textAlignment w:val="center"/>
    </w:pPr>
    <w:rPr>
      <w:b/>
      <w:bCs/>
      <w:sz w:val="16"/>
      <w:szCs w:val="16"/>
    </w:rPr>
  </w:style>
  <w:style w:type="paragraph" w:customStyle="1" w:styleId="xl98">
    <w:name w:val="xl98"/>
    <w:basedOn w:val="Normal"/>
    <w:uiPriority w:val="99"/>
    <w:rsid w:val="00AB5CA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textAlignment w:val="center"/>
    </w:pPr>
    <w:rPr>
      <w:b/>
      <w:bCs/>
      <w:sz w:val="16"/>
      <w:szCs w:val="16"/>
    </w:rPr>
  </w:style>
  <w:style w:type="paragraph" w:customStyle="1" w:styleId="xl99">
    <w:name w:val="xl99"/>
    <w:basedOn w:val="Normal"/>
    <w:uiPriority w:val="99"/>
    <w:rsid w:val="00AB5CA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textAlignment w:val="center"/>
    </w:pPr>
    <w:rPr>
      <w:b/>
      <w:bCs/>
      <w:sz w:val="16"/>
      <w:szCs w:val="16"/>
    </w:rPr>
  </w:style>
  <w:style w:type="paragraph" w:customStyle="1" w:styleId="xl100">
    <w:name w:val="xl100"/>
    <w:basedOn w:val="Normal"/>
    <w:uiPriority w:val="99"/>
    <w:rsid w:val="00AB5CA4"/>
    <w:pPr>
      <w:pBdr>
        <w:top w:val="single" w:sz="8" w:space="0" w:color="auto"/>
        <w:bottom w:val="single" w:sz="8" w:space="0" w:color="auto"/>
      </w:pBdr>
      <w:shd w:val="clear" w:color="000000" w:fill="F2DDDC"/>
      <w:spacing w:before="100" w:beforeAutospacing="1" w:after="100" w:afterAutospacing="1" w:line="240" w:lineRule="auto"/>
      <w:jc w:val="center"/>
      <w:textAlignment w:val="center"/>
    </w:pPr>
    <w:rPr>
      <w:b/>
      <w:bCs/>
      <w:sz w:val="16"/>
      <w:szCs w:val="16"/>
    </w:rPr>
  </w:style>
  <w:style w:type="paragraph" w:customStyle="1" w:styleId="xl101">
    <w:name w:val="xl101"/>
    <w:basedOn w:val="Normal"/>
    <w:uiPriority w:val="99"/>
    <w:rsid w:val="00AB5CA4"/>
    <w:pPr>
      <w:spacing w:before="100" w:beforeAutospacing="1" w:after="100" w:afterAutospacing="1" w:line="240" w:lineRule="auto"/>
    </w:pPr>
    <w:rPr>
      <w:b/>
      <w:bCs/>
      <w:sz w:val="18"/>
      <w:szCs w:val="18"/>
    </w:rPr>
  </w:style>
  <w:style w:type="paragraph" w:customStyle="1" w:styleId="xl102">
    <w:name w:val="xl102"/>
    <w:basedOn w:val="Normal"/>
    <w:uiPriority w:val="99"/>
    <w:rsid w:val="00AB5CA4"/>
    <w:pPr>
      <w:pBdr>
        <w:top w:val="single" w:sz="4" w:space="0" w:color="auto"/>
        <w:bottom w:val="single" w:sz="4" w:space="0" w:color="auto"/>
      </w:pBdr>
      <w:shd w:val="clear" w:color="000000" w:fill="F2DDDC"/>
      <w:spacing w:before="100" w:beforeAutospacing="1" w:after="100" w:afterAutospacing="1" w:line="240" w:lineRule="auto"/>
      <w:textAlignment w:val="center"/>
    </w:pPr>
    <w:rPr>
      <w:b/>
      <w:bCs/>
      <w:sz w:val="16"/>
      <w:szCs w:val="16"/>
    </w:rPr>
  </w:style>
  <w:style w:type="paragraph" w:customStyle="1" w:styleId="xl103">
    <w:name w:val="xl103"/>
    <w:basedOn w:val="Normal"/>
    <w:uiPriority w:val="99"/>
    <w:rsid w:val="00AB5CA4"/>
    <w:pPr>
      <w:spacing w:before="100" w:beforeAutospacing="1" w:after="100" w:afterAutospacing="1" w:line="240" w:lineRule="auto"/>
    </w:pPr>
    <w:rPr>
      <w:rFonts w:cs="Arial"/>
      <w:sz w:val="16"/>
      <w:szCs w:val="16"/>
    </w:rPr>
  </w:style>
  <w:style w:type="paragraph" w:customStyle="1" w:styleId="xl104">
    <w:name w:val="xl104"/>
    <w:basedOn w:val="Normal"/>
    <w:uiPriority w:val="99"/>
    <w:rsid w:val="00AB5CA4"/>
    <w:pPr>
      <w:spacing w:before="100" w:beforeAutospacing="1" w:after="100" w:afterAutospacing="1" w:line="240" w:lineRule="auto"/>
    </w:pPr>
    <w:rPr>
      <w:szCs w:val="20"/>
    </w:rPr>
  </w:style>
  <w:style w:type="paragraph" w:customStyle="1" w:styleId="xl105">
    <w:name w:val="xl105"/>
    <w:basedOn w:val="Normal"/>
    <w:uiPriority w:val="99"/>
    <w:rsid w:val="00AB5CA4"/>
    <w:pPr>
      <w:pBdr>
        <w:bottom w:val="single" w:sz="8" w:space="0" w:color="auto"/>
      </w:pBdr>
      <w:spacing w:before="100" w:beforeAutospacing="1" w:after="100" w:afterAutospacing="1" w:line="240" w:lineRule="auto"/>
    </w:pPr>
    <w:rPr>
      <w:b/>
      <w:bCs/>
      <w:sz w:val="18"/>
      <w:szCs w:val="18"/>
    </w:rPr>
  </w:style>
  <w:style w:type="paragraph" w:customStyle="1" w:styleId="xl106">
    <w:name w:val="xl106"/>
    <w:basedOn w:val="Normal"/>
    <w:uiPriority w:val="99"/>
    <w:rsid w:val="00AB5CA4"/>
    <w:pPr>
      <w:pBdr>
        <w:bottom w:val="single" w:sz="8" w:space="0" w:color="auto"/>
      </w:pBdr>
      <w:spacing w:before="100" w:beforeAutospacing="1" w:after="100" w:afterAutospacing="1" w:line="240" w:lineRule="auto"/>
    </w:pPr>
    <w:rPr>
      <w:szCs w:val="20"/>
    </w:rPr>
  </w:style>
  <w:style w:type="paragraph" w:customStyle="1" w:styleId="xl107">
    <w:name w:val="xl107"/>
    <w:basedOn w:val="Normal"/>
    <w:uiPriority w:val="99"/>
    <w:rsid w:val="00FC2B44"/>
    <w:pPr>
      <w:spacing w:before="100" w:beforeAutospacing="1" w:after="100" w:afterAutospacing="1" w:line="240" w:lineRule="auto"/>
    </w:pPr>
    <w:rPr>
      <w:rFonts w:cs="Arial"/>
      <w:sz w:val="18"/>
      <w:szCs w:val="18"/>
    </w:rPr>
  </w:style>
  <w:style w:type="paragraph" w:customStyle="1" w:styleId="xl108">
    <w:name w:val="xl108"/>
    <w:basedOn w:val="Normal"/>
    <w:uiPriority w:val="99"/>
    <w:rsid w:val="00FC2B44"/>
    <w:pPr>
      <w:pBdr>
        <w:bottom w:val="single" w:sz="8" w:space="0" w:color="auto"/>
      </w:pBdr>
      <w:spacing w:before="100" w:beforeAutospacing="1" w:after="100" w:afterAutospacing="1" w:line="240" w:lineRule="auto"/>
    </w:pPr>
    <w:rPr>
      <w:rFonts w:cs="Arial"/>
      <w:b/>
      <w:bCs/>
      <w:sz w:val="18"/>
      <w:szCs w:val="18"/>
    </w:rPr>
  </w:style>
  <w:style w:type="paragraph" w:customStyle="1" w:styleId="xl109">
    <w:name w:val="xl109"/>
    <w:basedOn w:val="Normal"/>
    <w:uiPriority w:val="99"/>
    <w:rsid w:val="00FC2B44"/>
    <w:pPr>
      <w:pBdr>
        <w:bottom w:val="single" w:sz="8" w:space="0" w:color="auto"/>
      </w:pBdr>
      <w:spacing w:before="100" w:beforeAutospacing="1" w:after="100" w:afterAutospacing="1" w:line="240" w:lineRule="auto"/>
    </w:pPr>
    <w:rPr>
      <w:rFonts w:cs="Arial"/>
      <w:sz w:val="18"/>
      <w:szCs w:val="18"/>
    </w:rPr>
  </w:style>
</w:styles>
</file>

<file path=word/webSettings.xml><?xml version="1.0" encoding="utf-8"?>
<w:webSettings xmlns:r="http://schemas.openxmlformats.org/officeDocument/2006/relationships" xmlns:w="http://schemas.openxmlformats.org/wordprocessingml/2006/main">
  <w:divs>
    <w:div w:id="1065177880">
      <w:marLeft w:val="0"/>
      <w:marRight w:val="0"/>
      <w:marTop w:val="0"/>
      <w:marBottom w:val="0"/>
      <w:divBdr>
        <w:top w:val="none" w:sz="0" w:space="0" w:color="auto"/>
        <w:left w:val="none" w:sz="0" w:space="0" w:color="auto"/>
        <w:bottom w:val="none" w:sz="0" w:space="0" w:color="auto"/>
        <w:right w:val="none" w:sz="0" w:space="0" w:color="auto"/>
      </w:divBdr>
    </w:div>
    <w:div w:id="1065177881">
      <w:marLeft w:val="0"/>
      <w:marRight w:val="0"/>
      <w:marTop w:val="0"/>
      <w:marBottom w:val="0"/>
      <w:divBdr>
        <w:top w:val="none" w:sz="0" w:space="0" w:color="auto"/>
        <w:left w:val="none" w:sz="0" w:space="0" w:color="auto"/>
        <w:bottom w:val="none" w:sz="0" w:space="0" w:color="auto"/>
        <w:right w:val="none" w:sz="0" w:space="0" w:color="auto"/>
      </w:divBdr>
    </w:div>
    <w:div w:id="1065177882">
      <w:marLeft w:val="0"/>
      <w:marRight w:val="0"/>
      <w:marTop w:val="0"/>
      <w:marBottom w:val="0"/>
      <w:divBdr>
        <w:top w:val="none" w:sz="0" w:space="0" w:color="auto"/>
        <w:left w:val="none" w:sz="0" w:space="0" w:color="auto"/>
        <w:bottom w:val="none" w:sz="0" w:space="0" w:color="auto"/>
        <w:right w:val="none" w:sz="0" w:space="0" w:color="auto"/>
      </w:divBdr>
    </w:div>
    <w:div w:id="1065177883">
      <w:marLeft w:val="0"/>
      <w:marRight w:val="0"/>
      <w:marTop w:val="0"/>
      <w:marBottom w:val="0"/>
      <w:divBdr>
        <w:top w:val="none" w:sz="0" w:space="0" w:color="auto"/>
        <w:left w:val="none" w:sz="0" w:space="0" w:color="auto"/>
        <w:bottom w:val="none" w:sz="0" w:space="0" w:color="auto"/>
        <w:right w:val="none" w:sz="0" w:space="0" w:color="auto"/>
      </w:divBdr>
    </w:div>
    <w:div w:id="1065177884">
      <w:marLeft w:val="0"/>
      <w:marRight w:val="0"/>
      <w:marTop w:val="0"/>
      <w:marBottom w:val="0"/>
      <w:divBdr>
        <w:top w:val="none" w:sz="0" w:space="0" w:color="auto"/>
        <w:left w:val="none" w:sz="0" w:space="0" w:color="auto"/>
        <w:bottom w:val="none" w:sz="0" w:space="0" w:color="auto"/>
        <w:right w:val="none" w:sz="0" w:space="0" w:color="auto"/>
      </w:divBdr>
    </w:div>
    <w:div w:id="1065177885">
      <w:marLeft w:val="0"/>
      <w:marRight w:val="0"/>
      <w:marTop w:val="0"/>
      <w:marBottom w:val="0"/>
      <w:divBdr>
        <w:top w:val="none" w:sz="0" w:space="0" w:color="auto"/>
        <w:left w:val="none" w:sz="0" w:space="0" w:color="auto"/>
        <w:bottom w:val="none" w:sz="0" w:space="0" w:color="auto"/>
        <w:right w:val="none" w:sz="0" w:space="0" w:color="auto"/>
      </w:divBdr>
    </w:div>
    <w:div w:id="1065177886">
      <w:marLeft w:val="0"/>
      <w:marRight w:val="0"/>
      <w:marTop w:val="0"/>
      <w:marBottom w:val="0"/>
      <w:divBdr>
        <w:top w:val="none" w:sz="0" w:space="0" w:color="auto"/>
        <w:left w:val="none" w:sz="0" w:space="0" w:color="auto"/>
        <w:bottom w:val="none" w:sz="0" w:space="0" w:color="auto"/>
        <w:right w:val="none" w:sz="0" w:space="0" w:color="auto"/>
      </w:divBdr>
    </w:div>
    <w:div w:id="1065177887">
      <w:marLeft w:val="0"/>
      <w:marRight w:val="0"/>
      <w:marTop w:val="0"/>
      <w:marBottom w:val="0"/>
      <w:divBdr>
        <w:top w:val="none" w:sz="0" w:space="0" w:color="auto"/>
        <w:left w:val="none" w:sz="0" w:space="0" w:color="auto"/>
        <w:bottom w:val="none" w:sz="0" w:space="0" w:color="auto"/>
        <w:right w:val="none" w:sz="0" w:space="0" w:color="auto"/>
      </w:divBdr>
    </w:div>
    <w:div w:id="1065177888">
      <w:marLeft w:val="0"/>
      <w:marRight w:val="0"/>
      <w:marTop w:val="0"/>
      <w:marBottom w:val="0"/>
      <w:divBdr>
        <w:top w:val="none" w:sz="0" w:space="0" w:color="auto"/>
        <w:left w:val="none" w:sz="0" w:space="0" w:color="auto"/>
        <w:bottom w:val="none" w:sz="0" w:space="0" w:color="auto"/>
        <w:right w:val="none" w:sz="0" w:space="0" w:color="auto"/>
      </w:divBdr>
    </w:div>
    <w:div w:id="1065177889">
      <w:marLeft w:val="0"/>
      <w:marRight w:val="0"/>
      <w:marTop w:val="0"/>
      <w:marBottom w:val="0"/>
      <w:divBdr>
        <w:top w:val="none" w:sz="0" w:space="0" w:color="auto"/>
        <w:left w:val="none" w:sz="0" w:space="0" w:color="auto"/>
        <w:bottom w:val="none" w:sz="0" w:space="0" w:color="auto"/>
        <w:right w:val="none" w:sz="0" w:space="0" w:color="auto"/>
      </w:divBdr>
    </w:div>
    <w:div w:id="1065177890">
      <w:marLeft w:val="0"/>
      <w:marRight w:val="0"/>
      <w:marTop w:val="0"/>
      <w:marBottom w:val="0"/>
      <w:divBdr>
        <w:top w:val="none" w:sz="0" w:space="0" w:color="auto"/>
        <w:left w:val="none" w:sz="0" w:space="0" w:color="auto"/>
        <w:bottom w:val="none" w:sz="0" w:space="0" w:color="auto"/>
        <w:right w:val="none" w:sz="0" w:space="0" w:color="auto"/>
      </w:divBdr>
    </w:div>
    <w:div w:id="1065177891">
      <w:marLeft w:val="0"/>
      <w:marRight w:val="0"/>
      <w:marTop w:val="0"/>
      <w:marBottom w:val="0"/>
      <w:divBdr>
        <w:top w:val="none" w:sz="0" w:space="0" w:color="auto"/>
        <w:left w:val="none" w:sz="0" w:space="0" w:color="auto"/>
        <w:bottom w:val="none" w:sz="0" w:space="0" w:color="auto"/>
        <w:right w:val="none" w:sz="0" w:space="0" w:color="auto"/>
      </w:divBdr>
    </w:div>
    <w:div w:id="1065177892">
      <w:marLeft w:val="0"/>
      <w:marRight w:val="0"/>
      <w:marTop w:val="0"/>
      <w:marBottom w:val="0"/>
      <w:divBdr>
        <w:top w:val="none" w:sz="0" w:space="0" w:color="auto"/>
        <w:left w:val="none" w:sz="0" w:space="0" w:color="auto"/>
        <w:bottom w:val="none" w:sz="0" w:space="0" w:color="auto"/>
        <w:right w:val="none" w:sz="0" w:space="0" w:color="auto"/>
      </w:divBdr>
    </w:div>
    <w:div w:id="1065177893">
      <w:marLeft w:val="0"/>
      <w:marRight w:val="0"/>
      <w:marTop w:val="0"/>
      <w:marBottom w:val="0"/>
      <w:divBdr>
        <w:top w:val="none" w:sz="0" w:space="0" w:color="auto"/>
        <w:left w:val="none" w:sz="0" w:space="0" w:color="auto"/>
        <w:bottom w:val="none" w:sz="0" w:space="0" w:color="auto"/>
        <w:right w:val="none" w:sz="0" w:space="0" w:color="auto"/>
      </w:divBdr>
    </w:div>
    <w:div w:id="1065177894">
      <w:marLeft w:val="0"/>
      <w:marRight w:val="0"/>
      <w:marTop w:val="0"/>
      <w:marBottom w:val="0"/>
      <w:divBdr>
        <w:top w:val="none" w:sz="0" w:space="0" w:color="auto"/>
        <w:left w:val="none" w:sz="0" w:space="0" w:color="auto"/>
        <w:bottom w:val="none" w:sz="0" w:space="0" w:color="auto"/>
        <w:right w:val="none" w:sz="0" w:space="0" w:color="auto"/>
      </w:divBdr>
    </w:div>
    <w:div w:id="1065177895">
      <w:marLeft w:val="0"/>
      <w:marRight w:val="0"/>
      <w:marTop w:val="0"/>
      <w:marBottom w:val="0"/>
      <w:divBdr>
        <w:top w:val="none" w:sz="0" w:space="0" w:color="auto"/>
        <w:left w:val="none" w:sz="0" w:space="0" w:color="auto"/>
        <w:bottom w:val="none" w:sz="0" w:space="0" w:color="auto"/>
        <w:right w:val="none" w:sz="0" w:space="0" w:color="auto"/>
      </w:divBdr>
    </w:div>
    <w:div w:id="1065177896">
      <w:marLeft w:val="0"/>
      <w:marRight w:val="0"/>
      <w:marTop w:val="0"/>
      <w:marBottom w:val="0"/>
      <w:divBdr>
        <w:top w:val="none" w:sz="0" w:space="0" w:color="auto"/>
        <w:left w:val="none" w:sz="0" w:space="0" w:color="auto"/>
        <w:bottom w:val="none" w:sz="0" w:space="0" w:color="auto"/>
        <w:right w:val="none" w:sz="0" w:space="0" w:color="auto"/>
      </w:divBdr>
    </w:div>
    <w:div w:id="1065177897">
      <w:marLeft w:val="0"/>
      <w:marRight w:val="0"/>
      <w:marTop w:val="0"/>
      <w:marBottom w:val="0"/>
      <w:divBdr>
        <w:top w:val="none" w:sz="0" w:space="0" w:color="auto"/>
        <w:left w:val="none" w:sz="0" w:space="0" w:color="auto"/>
        <w:bottom w:val="none" w:sz="0" w:space="0" w:color="auto"/>
        <w:right w:val="none" w:sz="0" w:space="0" w:color="auto"/>
      </w:divBdr>
    </w:div>
    <w:div w:id="1065177898">
      <w:marLeft w:val="0"/>
      <w:marRight w:val="0"/>
      <w:marTop w:val="0"/>
      <w:marBottom w:val="0"/>
      <w:divBdr>
        <w:top w:val="none" w:sz="0" w:space="0" w:color="auto"/>
        <w:left w:val="none" w:sz="0" w:space="0" w:color="auto"/>
        <w:bottom w:val="none" w:sz="0" w:space="0" w:color="auto"/>
        <w:right w:val="none" w:sz="0" w:space="0" w:color="auto"/>
      </w:divBdr>
    </w:div>
    <w:div w:id="1065177899">
      <w:marLeft w:val="0"/>
      <w:marRight w:val="0"/>
      <w:marTop w:val="0"/>
      <w:marBottom w:val="0"/>
      <w:divBdr>
        <w:top w:val="none" w:sz="0" w:space="0" w:color="auto"/>
        <w:left w:val="none" w:sz="0" w:space="0" w:color="auto"/>
        <w:bottom w:val="none" w:sz="0" w:space="0" w:color="auto"/>
        <w:right w:val="none" w:sz="0" w:space="0" w:color="auto"/>
      </w:divBdr>
    </w:div>
    <w:div w:id="1065177900">
      <w:marLeft w:val="0"/>
      <w:marRight w:val="0"/>
      <w:marTop w:val="0"/>
      <w:marBottom w:val="0"/>
      <w:divBdr>
        <w:top w:val="none" w:sz="0" w:space="0" w:color="auto"/>
        <w:left w:val="none" w:sz="0" w:space="0" w:color="auto"/>
        <w:bottom w:val="none" w:sz="0" w:space="0" w:color="auto"/>
        <w:right w:val="none" w:sz="0" w:space="0" w:color="auto"/>
      </w:divBdr>
    </w:div>
    <w:div w:id="1065177901">
      <w:marLeft w:val="0"/>
      <w:marRight w:val="0"/>
      <w:marTop w:val="0"/>
      <w:marBottom w:val="0"/>
      <w:divBdr>
        <w:top w:val="none" w:sz="0" w:space="0" w:color="auto"/>
        <w:left w:val="none" w:sz="0" w:space="0" w:color="auto"/>
        <w:bottom w:val="none" w:sz="0" w:space="0" w:color="auto"/>
        <w:right w:val="none" w:sz="0" w:space="0" w:color="auto"/>
      </w:divBdr>
    </w:div>
    <w:div w:id="1065177902">
      <w:marLeft w:val="0"/>
      <w:marRight w:val="0"/>
      <w:marTop w:val="0"/>
      <w:marBottom w:val="0"/>
      <w:divBdr>
        <w:top w:val="none" w:sz="0" w:space="0" w:color="auto"/>
        <w:left w:val="none" w:sz="0" w:space="0" w:color="auto"/>
        <w:bottom w:val="none" w:sz="0" w:space="0" w:color="auto"/>
        <w:right w:val="none" w:sz="0" w:space="0" w:color="auto"/>
      </w:divBdr>
    </w:div>
    <w:div w:id="1065177903">
      <w:marLeft w:val="0"/>
      <w:marRight w:val="0"/>
      <w:marTop w:val="0"/>
      <w:marBottom w:val="0"/>
      <w:divBdr>
        <w:top w:val="none" w:sz="0" w:space="0" w:color="auto"/>
        <w:left w:val="none" w:sz="0" w:space="0" w:color="auto"/>
        <w:bottom w:val="none" w:sz="0" w:space="0" w:color="auto"/>
        <w:right w:val="none" w:sz="0" w:space="0" w:color="auto"/>
      </w:divBdr>
    </w:div>
    <w:div w:id="1065177904">
      <w:marLeft w:val="0"/>
      <w:marRight w:val="0"/>
      <w:marTop w:val="0"/>
      <w:marBottom w:val="0"/>
      <w:divBdr>
        <w:top w:val="none" w:sz="0" w:space="0" w:color="auto"/>
        <w:left w:val="none" w:sz="0" w:space="0" w:color="auto"/>
        <w:bottom w:val="none" w:sz="0" w:space="0" w:color="auto"/>
        <w:right w:val="none" w:sz="0" w:space="0" w:color="auto"/>
      </w:divBdr>
    </w:div>
    <w:div w:id="1065177905">
      <w:marLeft w:val="0"/>
      <w:marRight w:val="0"/>
      <w:marTop w:val="0"/>
      <w:marBottom w:val="0"/>
      <w:divBdr>
        <w:top w:val="none" w:sz="0" w:space="0" w:color="auto"/>
        <w:left w:val="none" w:sz="0" w:space="0" w:color="auto"/>
        <w:bottom w:val="none" w:sz="0" w:space="0" w:color="auto"/>
        <w:right w:val="none" w:sz="0" w:space="0" w:color="auto"/>
      </w:divBdr>
    </w:div>
    <w:div w:id="1065177906">
      <w:marLeft w:val="0"/>
      <w:marRight w:val="0"/>
      <w:marTop w:val="0"/>
      <w:marBottom w:val="0"/>
      <w:divBdr>
        <w:top w:val="none" w:sz="0" w:space="0" w:color="auto"/>
        <w:left w:val="none" w:sz="0" w:space="0" w:color="auto"/>
        <w:bottom w:val="none" w:sz="0" w:space="0" w:color="auto"/>
        <w:right w:val="none" w:sz="0" w:space="0" w:color="auto"/>
      </w:divBdr>
    </w:div>
    <w:div w:id="1065177907">
      <w:marLeft w:val="0"/>
      <w:marRight w:val="0"/>
      <w:marTop w:val="0"/>
      <w:marBottom w:val="0"/>
      <w:divBdr>
        <w:top w:val="none" w:sz="0" w:space="0" w:color="auto"/>
        <w:left w:val="none" w:sz="0" w:space="0" w:color="auto"/>
        <w:bottom w:val="none" w:sz="0" w:space="0" w:color="auto"/>
        <w:right w:val="none" w:sz="0" w:space="0" w:color="auto"/>
      </w:divBdr>
    </w:div>
    <w:div w:id="1065177908">
      <w:marLeft w:val="0"/>
      <w:marRight w:val="0"/>
      <w:marTop w:val="0"/>
      <w:marBottom w:val="0"/>
      <w:divBdr>
        <w:top w:val="none" w:sz="0" w:space="0" w:color="auto"/>
        <w:left w:val="none" w:sz="0" w:space="0" w:color="auto"/>
        <w:bottom w:val="none" w:sz="0" w:space="0" w:color="auto"/>
        <w:right w:val="none" w:sz="0" w:space="0" w:color="auto"/>
      </w:divBdr>
    </w:div>
    <w:div w:id="1065177909">
      <w:marLeft w:val="0"/>
      <w:marRight w:val="0"/>
      <w:marTop w:val="0"/>
      <w:marBottom w:val="0"/>
      <w:divBdr>
        <w:top w:val="none" w:sz="0" w:space="0" w:color="auto"/>
        <w:left w:val="none" w:sz="0" w:space="0" w:color="auto"/>
        <w:bottom w:val="none" w:sz="0" w:space="0" w:color="auto"/>
        <w:right w:val="none" w:sz="0" w:space="0" w:color="auto"/>
      </w:divBdr>
    </w:div>
    <w:div w:id="1065177910">
      <w:marLeft w:val="0"/>
      <w:marRight w:val="0"/>
      <w:marTop w:val="0"/>
      <w:marBottom w:val="0"/>
      <w:divBdr>
        <w:top w:val="none" w:sz="0" w:space="0" w:color="auto"/>
        <w:left w:val="none" w:sz="0" w:space="0" w:color="auto"/>
        <w:bottom w:val="none" w:sz="0" w:space="0" w:color="auto"/>
        <w:right w:val="none" w:sz="0" w:space="0" w:color="auto"/>
      </w:divBdr>
    </w:div>
    <w:div w:id="1065177911">
      <w:marLeft w:val="0"/>
      <w:marRight w:val="0"/>
      <w:marTop w:val="0"/>
      <w:marBottom w:val="0"/>
      <w:divBdr>
        <w:top w:val="none" w:sz="0" w:space="0" w:color="auto"/>
        <w:left w:val="none" w:sz="0" w:space="0" w:color="auto"/>
        <w:bottom w:val="none" w:sz="0" w:space="0" w:color="auto"/>
        <w:right w:val="none" w:sz="0" w:space="0" w:color="auto"/>
      </w:divBdr>
    </w:div>
    <w:div w:id="1065177912">
      <w:marLeft w:val="0"/>
      <w:marRight w:val="0"/>
      <w:marTop w:val="0"/>
      <w:marBottom w:val="0"/>
      <w:divBdr>
        <w:top w:val="none" w:sz="0" w:space="0" w:color="auto"/>
        <w:left w:val="none" w:sz="0" w:space="0" w:color="auto"/>
        <w:bottom w:val="none" w:sz="0" w:space="0" w:color="auto"/>
        <w:right w:val="none" w:sz="0" w:space="0" w:color="auto"/>
      </w:divBdr>
    </w:div>
    <w:div w:id="1065177913">
      <w:marLeft w:val="0"/>
      <w:marRight w:val="0"/>
      <w:marTop w:val="0"/>
      <w:marBottom w:val="0"/>
      <w:divBdr>
        <w:top w:val="none" w:sz="0" w:space="0" w:color="auto"/>
        <w:left w:val="none" w:sz="0" w:space="0" w:color="auto"/>
        <w:bottom w:val="none" w:sz="0" w:space="0" w:color="auto"/>
        <w:right w:val="none" w:sz="0" w:space="0" w:color="auto"/>
      </w:divBdr>
    </w:div>
    <w:div w:id="1065177914">
      <w:marLeft w:val="0"/>
      <w:marRight w:val="0"/>
      <w:marTop w:val="0"/>
      <w:marBottom w:val="0"/>
      <w:divBdr>
        <w:top w:val="none" w:sz="0" w:space="0" w:color="auto"/>
        <w:left w:val="none" w:sz="0" w:space="0" w:color="auto"/>
        <w:bottom w:val="none" w:sz="0" w:space="0" w:color="auto"/>
        <w:right w:val="none" w:sz="0" w:space="0" w:color="auto"/>
      </w:divBdr>
    </w:div>
    <w:div w:id="1065177915">
      <w:marLeft w:val="0"/>
      <w:marRight w:val="0"/>
      <w:marTop w:val="0"/>
      <w:marBottom w:val="0"/>
      <w:divBdr>
        <w:top w:val="none" w:sz="0" w:space="0" w:color="auto"/>
        <w:left w:val="none" w:sz="0" w:space="0" w:color="auto"/>
        <w:bottom w:val="none" w:sz="0" w:space="0" w:color="auto"/>
        <w:right w:val="none" w:sz="0" w:space="0" w:color="auto"/>
      </w:divBdr>
    </w:div>
    <w:div w:id="1065177916">
      <w:marLeft w:val="0"/>
      <w:marRight w:val="0"/>
      <w:marTop w:val="0"/>
      <w:marBottom w:val="0"/>
      <w:divBdr>
        <w:top w:val="none" w:sz="0" w:space="0" w:color="auto"/>
        <w:left w:val="none" w:sz="0" w:space="0" w:color="auto"/>
        <w:bottom w:val="none" w:sz="0" w:space="0" w:color="auto"/>
        <w:right w:val="none" w:sz="0" w:space="0" w:color="auto"/>
      </w:divBdr>
    </w:div>
    <w:div w:id="1065177917">
      <w:marLeft w:val="0"/>
      <w:marRight w:val="0"/>
      <w:marTop w:val="0"/>
      <w:marBottom w:val="0"/>
      <w:divBdr>
        <w:top w:val="none" w:sz="0" w:space="0" w:color="auto"/>
        <w:left w:val="none" w:sz="0" w:space="0" w:color="auto"/>
        <w:bottom w:val="none" w:sz="0" w:space="0" w:color="auto"/>
        <w:right w:val="none" w:sz="0" w:space="0" w:color="auto"/>
      </w:divBdr>
    </w:div>
    <w:div w:id="1065177918">
      <w:marLeft w:val="0"/>
      <w:marRight w:val="0"/>
      <w:marTop w:val="0"/>
      <w:marBottom w:val="0"/>
      <w:divBdr>
        <w:top w:val="none" w:sz="0" w:space="0" w:color="auto"/>
        <w:left w:val="none" w:sz="0" w:space="0" w:color="auto"/>
        <w:bottom w:val="none" w:sz="0" w:space="0" w:color="auto"/>
        <w:right w:val="none" w:sz="0" w:space="0" w:color="auto"/>
      </w:divBdr>
    </w:div>
    <w:div w:id="1065177919">
      <w:marLeft w:val="0"/>
      <w:marRight w:val="0"/>
      <w:marTop w:val="0"/>
      <w:marBottom w:val="0"/>
      <w:divBdr>
        <w:top w:val="none" w:sz="0" w:space="0" w:color="auto"/>
        <w:left w:val="none" w:sz="0" w:space="0" w:color="auto"/>
        <w:bottom w:val="none" w:sz="0" w:space="0" w:color="auto"/>
        <w:right w:val="none" w:sz="0" w:space="0" w:color="auto"/>
      </w:divBdr>
    </w:div>
    <w:div w:id="1065177920">
      <w:marLeft w:val="0"/>
      <w:marRight w:val="0"/>
      <w:marTop w:val="0"/>
      <w:marBottom w:val="0"/>
      <w:divBdr>
        <w:top w:val="none" w:sz="0" w:space="0" w:color="auto"/>
        <w:left w:val="none" w:sz="0" w:space="0" w:color="auto"/>
        <w:bottom w:val="none" w:sz="0" w:space="0" w:color="auto"/>
        <w:right w:val="none" w:sz="0" w:space="0" w:color="auto"/>
      </w:divBdr>
    </w:div>
    <w:div w:id="1065177921">
      <w:marLeft w:val="0"/>
      <w:marRight w:val="0"/>
      <w:marTop w:val="0"/>
      <w:marBottom w:val="0"/>
      <w:divBdr>
        <w:top w:val="none" w:sz="0" w:space="0" w:color="auto"/>
        <w:left w:val="none" w:sz="0" w:space="0" w:color="auto"/>
        <w:bottom w:val="none" w:sz="0" w:space="0" w:color="auto"/>
        <w:right w:val="none" w:sz="0" w:space="0" w:color="auto"/>
      </w:divBdr>
    </w:div>
    <w:div w:id="1065177922">
      <w:marLeft w:val="0"/>
      <w:marRight w:val="0"/>
      <w:marTop w:val="0"/>
      <w:marBottom w:val="0"/>
      <w:divBdr>
        <w:top w:val="none" w:sz="0" w:space="0" w:color="auto"/>
        <w:left w:val="none" w:sz="0" w:space="0" w:color="auto"/>
        <w:bottom w:val="none" w:sz="0" w:space="0" w:color="auto"/>
        <w:right w:val="none" w:sz="0" w:space="0" w:color="auto"/>
      </w:divBdr>
    </w:div>
    <w:div w:id="1065177923">
      <w:marLeft w:val="0"/>
      <w:marRight w:val="0"/>
      <w:marTop w:val="0"/>
      <w:marBottom w:val="0"/>
      <w:divBdr>
        <w:top w:val="none" w:sz="0" w:space="0" w:color="auto"/>
        <w:left w:val="none" w:sz="0" w:space="0" w:color="auto"/>
        <w:bottom w:val="none" w:sz="0" w:space="0" w:color="auto"/>
        <w:right w:val="none" w:sz="0" w:space="0" w:color="auto"/>
      </w:divBdr>
    </w:div>
    <w:div w:id="1065177924">
      <w:marLeft w:val="0"/>
      <w:marRight w:val="0"/>
      <w:marTop w:val="0"/>
      <w:marBottom w:val="0"/>
      <w:divBdr>
        <w:top w:val="none" w:sz="0" w:space="0" w:color="auto"/>
        <w:left w:val="none" w:sz="0" w:space="0" w:color="auto"/>
        <w:bottom w:val="none" w:sz="0" w:space="0" w:color="auto"/>
        <w:right w:val="none" w:sz="0" w:space="0" w:color="auto"/>
      </w:divBdr>
    </w:div>
    <w:div w:id="1065177925">
      <w:marLeft w:val="0"/>
      <w:marRight w:val="0"/>
      <w:marTop w:val="0"/>
      <w:marBottom w:val="0"/>
      <w:divBdr>
        <w:top w:val="none" w:sz="0" w:space="0" w:color="auto"/>
        <w:left w:val="none" w:sz="0" w:space="0" w:color="auto"/>
        <w:bottom w:val="none" w:sz="0" w:space="0" w:color="auto"/>
        <w:right w:val="none" w:sz="0" w:space="0" w:color="auto"/>
      </w:divBdr>
    </w:div>
    <w:div w:id="1065177926">
      <w:marLeft w:val="0"/>
      <w:marRight w:val="0"/>
      <w:marTop w:val="0"/>
      <w:marBottom w:val="0"/>
      <w:divBdr>
        <w:top w:val="none" w:sz="0" w:space="0" w:color="auto"/>
        <w:left w:val="none" w:sz="0" w:space="0" w:color="auto"/>
        <w:bottom w:val="none" w:sz="0" w:space="0" w:color="auto"/>
        <w:right w:val="none" w:sz="0" w:space="0" w:color="auto"/>
      </w:divBdr>
    </w:div>
    <w:div w:id="1065177927">
      <w:marLeft w:val="0"/>
      <w:marRight w:val="0"/>
      <w:marTop w:val="0"/>
      <w:marBottom w:val="0"/>
      <w:divBdr>
        <w:top w:val="none" w:sz="0" w:space="0" w:color="auto"/>
        <w:left w:val="none" w:sz="0" w:space="0" w:color="auto"/>
        <w:bottom w:val="none" w:sz="0" w:space="0" w:color="auto"/>
        <w:right w:val="none" w:sz="0" w:space="0" w:color="auto"/>
      </w:divBdr>
    </w:div>
    <w:div w:id="1065177928">
      <w:marLeft w:val="0"/>
      <w:marRight w:val="0"/>
      <w:marTop w:val="0"/>
      <w:marBottom w:val="0"/>
      <w:divBdr>
        <w:top w:val="none" w:sz="0" w:space="0" w:color="auto"/>
        <w:left w:val="none" w:sz="0" w:space="0" w:color="auto"/>
        <w:bottom w:val="none" w:sz="0" w:space="0" w:color="auto"/>
        <w:right w:val="none" w:sz="0" w:space="0" w:color="auto"/>
      </w:divBdr>
    </w:div>
    <w:div w:id="1065177929">
      <w:marLeft w:val="0"/>
      <w:marRight w:val="0"/>
      <w:marTop w:val="0"/>
      <w:marBottom w:val="0"/>
      <w:divBdr>
        <w:top w:val="none" w:sz="0" w:space="0" w:color="auto"/>
        <w:left w:val="none" w:sz="0" w:space="0" w:color="auto"/>
        <w:bottom w:val="none" w:sz="0" w:space="0" w:color="auto"/>
        <w:right w:val="none" w:sz="0" w:space="0" w:color="auto"/>
      </w:divBdr>
    </w:div>
    <w:div w:id="1065177930">
      <w:marLeft w:val="0"/>
      <w:marRight w:val="0"/>
      <w:marTop w:val="0"/>
      <w:marBottom w:val="0"/>
      <w:divBdr>
        <w:top w:val="none" w:sz="0" w:space="0" w:color="auto"/>
        <w:left w:val="none" w:sz="0" w:space="0" w:color="auto"/>
        <w:bottom w:val="none" w:sz="0" w:space="0" w:color="auto"/>
        <w:right w:val="none" w:sz="0" w:space="0" w:color="auto"/>
      </w:divBdr>
    </w:div>
    <w:div w:id="1065177931">
      <w:marLeft w:val="0"/>
      <w:marRight w:val="0"/>
      <w:marTop w:val="0"/>
      <w:marBottom w:val="0"/>
      <w:divBdr>
        <w:top w:val="none" w:sz="0" w:space="0" w:color="auto"/>
        <w:left w:val="none" w:sz="0" w:space="0" w:color="auto"/>
        <w:bottom w:val="none" w:sz="0" w:space="0" w:color="auto"/>
        <w:right w:val="none" w:sz="0" w:space="0" w:color="auto"/>
      </w:divBdr>
    </w:div>
    <w:div w:id="1065177932">
      <w:marLeft w:val="0"/>
      <w:marRight w:val="0"/>
      <w:marTop w:val="0"/>
      <w:marBottom w:val="0"/>
      <w:divBdr>
        <w:top w:val="none" w:sz="0" w:space="0" w:color="auto"/>
        <w:left w:val="none" w:sz="0" w:space="0" w:color="auto"/>
        <w:bottom w:val="none" w:sz="0" w:space="0" w:color="auto"/>
        <w:right w:val="none" w:sz="0" w:space="0" w:color="auto"/>
      </w:divBdr>
    </w:div>
    <w:div w:id="1065177933">
      <w:marLeft w:val="0"/>
      <w:marRight w:val="0"/>
      <w:marTop w:val="0"/>
      <w:marBottom w:val="0"/>
      <w:divBdr>
        <w:top w:val="none" w:sz="0" w:space="0" w:color="auto"/>
        <w:left w:val="none" w:sz="0" w:space="0" w:color="auto"/>
        <w:bottom w:val="none" w:sz="0" w:space="0" w:color="auto"/>
        <w:right w:val="none" w:sz="0" w:space="0" w:color="auto"/>
      </w:divBdr>
    </w:div>
    <w:div w:id="1065177934">
      <w:marLeft w:val="0"/>
      <w:marRight w:val="0"/>
      <w:marTop w:val="0"/>
      <w:marBottom w:val="0"/>
      <w:divBdr>
        <w:top w:val="none" w:sz="0" w:space="0" w:color="auto"/>
        <w:left w:val="none" w:sz="0" w:space="0" w:color="auto"/>
        <w:bottom w:val="none" w:sz="0" w:space="0" w:color="auto"/>
        <w:right w:val="none" w:sz="0" w:space="0" w:color="auto"/>
      </w:divBdr>
    </w:div>
    <w:div w:id="1065177935">
      <w:marLeft w:val="0"/>
      <w:marRight w:val="0"/>
      <w:marTop w:val="0"/>
      <w:marBottom w:val="0"/>
      <w:divBdr>
        <w:top w:val="none" w:sz="0" w:space="0" w:color="auto"/>
        <w:left w:val="none" w:sz="0" w:space="0" w:color="auto"/>
        <w:bottom w:val="none" w:sz="0" w:space="0" w:color="auto"/>
        <w:right w:val="none" w:sz="0" w:space="0" w:color="auto"/>
      </w:divBdr>
    </w:div>
    <w:div w:id="1065177936">
      <w:marLeft w:val="0"/>
      <w:marRight w:val="0"/>
      <w:marTop w:val="0"/>
      <w:marBottom w:val="0"/>
      <w:divBdr>
        <w:top w:val="none" w:sz="0" w:space="0" w:color="auto"/>
        <w:left w:val="none" w:sz="0" w:space="0" w:color="auto"/>
        <w:bottom w:val="none" w:sz="0" w:space="0" w:color="auto"/>
        <w:right w:val="none" w:sz="0" w:space="0" w:color="auto"/>
      </w:divBdr>
    </w:div>
    <w:div w:id="1065177937">
      <w:marLeft w:val="0"/>
      <w:marRight w:val="0"/>
      <w:marTop w:val="0"/>
      <w:marBottom w:val="0"/>
      <w:divBdr>
        <w:top w:val="none" w:sz="0" w:space="0" w:color="auto"/>
        <w:left w:val="none" w:sz="0" w:space="0" w:color="auto"/>
        <w:bottom w:val="none" w:sz="0" w:space="0" w:color="auto"/>
        <w:right w:val="none" w:sz="0" w:space="0" w:color="auto"/>
      </w:divBdr>
    </w:div>
    <w:div w:id="1065177938">
      <w:marLeft w:val="0"/>
      <w:marRight w:val="0"/>
      <w:marTop w:val="0"/>
      <w:marBottom w:val="0"/>
      <w:divBdr>
        <w:top w:val="none" w:sz="0" w:space="0" w:color="auto"/>
        <w:left w:val="none" w:sz="0" w:space="0" w:color="auto"/>
        <w:bottom w:val="none" w:sz="0" w:space="0" w:color="auto"/>
        <w:right w:val="none" w:sz="0" w:space="0" w:color="auto"/>
      </w:divBdr>
    </w:div>
    <w:div w:id="1065177939">
      <w:marLeft w:val="0"/>
      <w:marRight w:val="0"/>
      <w:marTop w:val="0"/>
      <w:marBottom w:val="0"/>
      <w:divBdr>
        <w:top w:val="none" w:sz="0" w:space="0" w:color="auto"/>
        <w:left w:val="none" w:sz="0" w:space="0" w:color="auto"/>
        <w:bottom w:val="none" w:sz="0" w:space="0" w:color="auto"/>
        <w:right w:val="none" w:sz="0" w:space="0" w:color="auto"/>
      </w:divBdr>
    </w:div>
    <w:div w:id="1065177940">
      <w:marLeft w:val="0"/>
      <w:marRight w:val="0"/>
      <w:marTop w:val="0"/>
      <w:marBottom w:val="0"/>
      <w:divBdr>
        <w:top w:val="none" w:sz="0" w:space="0" w:color="auto"/>
        <w:left w:val="none" w:sz="0" w:space="0" w:color="auto"/>
        <w:bottom w:val="none" w:sz="0" w:space="0" w:color="auto"/>
        <w:right w:val="none" w:sz="0" w:space="0" w:color="auto"/>
      </w:divBdr>
    </w:div>
    <w:div w:id="1065177941">
      <w:marLeft w:val="0"/>
      <w:marRight w:val="0"/>
      <w:marTop w:val="0"/>
      <w:marBottom w:val="0"/>
      <w:divBdr>
        <w:top w:val="none" w:sz="0" w:space="0" w:color="auto"/>
        <w:left w:val="none" w:sz="0" w:space="0" w:color="auto"/>
        <w:bottom w:val="none" w:sz="0" w:space="0" w:color="auto"/>
        <w:right w:val="none" w:sz="0" w:space="0" w:color="auto"/>
      </w:divBdr>
    </w:div>
    <w:div w:id="1065177942">
      <w:marLeft w:val="0"/>
      <w:marRight w:val="0"/>
      <w:marTop w:val="0"/>
      <w:marBottom w:val="0"/>
      <w:divBdr>
        <w:top w:val="none" w:sz="0" w:space="0" w:color="auto"/>
        <w:left w:val="none" w:sz="0" w:space="0" w:color="auto"/>
        <w:bottom w:val="none" w:sz="0" w:space="0" w:color="auto"/>
        <w:right w:val="none" w:sz="0" w:space="0" w:color="auto"/>
      </w:divBdr>
    </w:div>
    <w:div w:id="1065177943">
      <w:marLeft w:val="0"/>
      <w:marRight w:val="0"/>
      <w:marTop w:val="0"/>
      <w:marBottom w:val="0"/>
      <w:divBdr>
        <w:top w:val="none" w:sz="0" w:space="0" w:color="auto"/>
        <w:left w:val="none" w:sz="0" w:space="0" w:color="auto"/>
        <w:bottom w:val="none" w:sz="0" w:space="0" w:color="auto"/>
        <w:right w:val="none" w:sz="0" w:space="0" w:color="auto"/>
      </w:divBdr>
    </w:div>
    <w:div w:id="1065177944">
      <w:marLeft w:val="0"/>
      <w:marRight w:val="0"/>
      <w:marTop w:val="0"/>
      <w:marBottom w:val="0"/>
      <w:divBdr>
        <w:top w:val="none" w:sz="0" w:space="0" w:color="auto"/>
        <w:left w:val="none" w:sz="0" w:space="0" w:color="auto"/>
        <w:bottom w:val="none" w:sz="0" w:space="0" w:color="auto"/>
        <w:right w:val="none" w:sz="0" w:space="0" w:color="auto"/>
      </w:divBdr>
    </w:div>
    <w:div w:id="1065177945">
      <w:marLeft w:val="0"/>
      <w:marRight w:val="0"/>
      <w:marTop w:val="0"/>
      <w:marBottom w:val="0"/>
      <w:divBdr>
        <w:top w:val="none" w:sz="0" w:space="0" w:color="auto"/>
        <w:left w:val="none" w:sz="0" w:space="0" w:color="auto"/>
        <w:bottom w:val="none" w:sz="0" w:space="0" w:color="auto"/>
        <w:right w:val="none" w:sz="0" w:space="0" w:color="auto"/>
      </w:divBdr>
    </w:div>
    <w:div w:id="1065177946">
      <w:marLeft w:val="0"/>
      <w:marRight w:val="0"/>
      <w:marTop w:val="0"/>
      <w:marBottom w:val="0"/>
      <w:divBdr>
        <w:top w:val="none" w:sz="0" w:space="0" w:color="auto"/>
        <w:left w:val="none" w:sz="0" w:space="0" w:color="auto"/>
        <w:bottom w:val="none" w:sz="0" w:space="0" w:color="auto"/>
        <w:right w:val="none" w:sz="0" w:space="0" w:color="auto"/>
      </w:divBdr>
    </w:div>
    <w:div w:id="1065177947">
      <w:marLeft w:val="0"/>
      <w:marRight w:val="0"/>
      <w:marTop w:val="0"/>
      <w:marBottom w:val="0"/>
      <w:divBdr>
        <w:top w:val="none" w:sz="0" w:space="0" w:color="auto"/>
        <w:left w:val="none" w:sz="0" w:space="0" w:color="auto"/>
        <w:bottom w:val="none" w:sz="0" w:space="0" w:color="auto"/>
        <w:right w:val="none" w:sz="0" w:space="0" w:color="auto"/>
      </w:divBdr>
    </w:div>
    <w:div w:id="1065177948">
      <w:marLeft w:val="0"/>
      <w:marRight w:val="0"/>
      <w:marTop w:val="0"/>
      <w:marBottom w:val="0"/>
      <w:divBdr>
        <w:top w:val="none" w:sz="0" w:space="0" w:color="auto"/>
        <w:left w:val="none" w:sz="0" w:space="0" w:color="auto"/>
        <w:bottom w:val="none" w:sz="0" w:space="0" w:color="auto"/>
        <w:right w:val="none" w:sz="0" w:space="0" w:color="auto"/>
      </w:divBdr>
    </w:div>
    <w:div w:id="1065177949">
      <w:marLeft w:val="0"/>
      <w:marRight w:val="0"/>
      <w:marTop w:val="0"/>
      <w:marBottom w:val="0"/>
      <w:divBdr>
        <w:top w:val="none" w:sz="0" w:space="0" w:color="auto"/>
        <w:left w:val="none" w:sz="0" w:space="0" w:color="auto"/>
        <w:bottom w:val="none" w:sz="0" w:space="0" w:color="auto"/>
        <w:right w:val="none" w:sz="0" w:space="0" w:color="auto"/>
      </w:divBdr>
    </w:div>
    <w:div w:id="1065177950">
      <w:marLeft w:val="0"/>
      <w:marRight w:val="0"/>
      <w:marTop w:val="0"/>
      <w:marBottom w:val="0"/>
      <w:divBdr>
        <w:top w:val="none" w:sz="0" w:space="0" w:color="auto"/>
        <w:left w:val="none" w:sz="0" w:space="0" w:color="auto"/>
        <w:bottom w:val="none" w:sz="0" w:space="0" w:color="auto"/>
        <w:right w:val="none" w:sz="0" w:space="0" w:color="auto"/>
      </w:divBdr>
    </w:div>
    <w:div w:id="1065177951">
      <w:marLeft w:val="60"/>
      <w:marRight w:val="60"/>
      <w:marTop w:val="60"/>
      <w:marBottom w:val="15"/>
      <w:divBdr>
        <w:top w:val="none" w:sz="0" w:space="0" w:color="auto"/>
        <w:left w:val="none" w:sz="0" w:space="0" w:color="auto"/>
        <w:bottom w:val="none" w:sz="0" w:space="0" w:color="auto"/>
        <w:right w:val="none" w:sz="0" w:space="0" w:color="auto"/>
      </w:divBdr>
    </w:div>
    <w:div w:id="1065177952">
      <w:marLeft w:val="0"/>
      <w:marRight w:val="0"/>
      <w:marTop w:val="0"/>
      <w:marBottom w:val="0"/>
      <w:divBdr>
        <w:top w:val="none" w:sz="0" w:space="0" w:color="auto"/>
        <w:left w:val="none" w:sz="0" w:space="0" w:color="auto"/>
        <w:bottom w:val="none" w:sz="0" w:space="0" w:color="auto"/>
        <w:right w:val="none" w:sz="0" w:space="0" w:color="auto"/>
      </w:divBdr>
    </w:div>
    <w:div w:id="1065177953">
      <w:marLeft w:val="60"/>
      <w:marRight w:val="60"/>
      <w:marTop w:val="60"/>
      <w:marBottom w:val="15"/>
      <w:divBdr>
        <w:top w:val="none" w:sz="0" w:space="0" w:color="auto"/>
        <w:left w:val="none" w:sz="0" w:space="0" w:color="auto"/>
        <w:bottom w:val="none" w:sz="0" w:space="0" w:color="auto"/>
        <w:right w:val="none" w:sz="0" w:space="0" w:color="auto"/>
      </w:divBdr>
    </w:div>
    <w:div w:id="1065177954">
      <w:marLeft w:val="60"/>
      <w:marRight w:val="60"/>
      <w:marTop w:val="60"/>
      <w:marBottom w:val="15"/>
      <w:divBdr>
        <w:top w:val="none" w:sz="0" w:space="0" w:color="auto"/>
        <w:left w:val="none" w:sz="0" w:space="0" w:color="auto"/>
        <w:bottom w:val="none" w:sz="0" w:space="0" w:color="auto"/>
        <w:right w:val="none" w:sz="0" w:space="0" w:color="auto"/>
      </w:divBdr>
    </w:div>
    <w:div w:id="1065177955">
      <w:marLeft w:val="0"/>
      <w:marRight w:val="0"/>
      <w:marTop w:val="0"/>
      <w:marBottom w:val="0"/>
      <w:divBdr>
        <w:top w:val="none" w:sz="0" w:space="0" w:color="auto"/>
        <w:left w:val="none" w:sz="0" w:space="0" w:color="auto"/>
        <w:bottom w:val="none" w:sz="0" w:space="0" w:color="auto"/>
        <w:right w:val="none" w:sz="0" w:space="0" w:color="auto"/>
      </w:divBdr>
    </w:div>
    <w:div w:id="1065177956">
      <w:marLeft w:val="0"/>
      <w:marRight w:val="0"/>
      <w:marTop w:val="0"/>
      <w:marBottom w:val="0"/>
      <w:divBdr>
        <w:top w:val="none" w:sz="0" w:space="0" w:color="auto"/>
        <w:left w:val="none" w:sz="0" w:space="0" w:color="auto"/>
        <w:bottom w:val="none" w:sz="0" w:space="0" w:color="auto"/>
        <w:right w:val="none" w:sz="0" w:space="0" w:color="auto"/>
      </w:divBdr>
    </w:div>
    <w:div w:id="1065177957">
      <w:marLeft w:val="0"/>
      <w:marRight w:val="0"/>
      <w:marTop w:val="0"/>
      <w:marBottom w:val="0"/>
      <w:divBdr>
        <w:top w:val="none" w:sz="0" w:space="0" w:color="auto"/>
        <w:left w:val="none" w:sz="0" w:space="0" w:color="auto"/>
        <w:bottom w:val="none" w:sz="0" w:space="0" w:color="auto"/>
        <w:right w:val="none" w:sz="0" w:space="0" w:color="auto"/>
      </w:divBdr>
    </w:div>
    <w:div w:id="1065177958">
      <w:marLeft w:val="0"/>
      <w:marRight w:val="0"/>
      <w:marTop w:val="0"/>
      <w:marBottom w:val="0"/>
      <w:divBdr>
        <w:top w:val="none" w:sz="0" w:space="0" w:color="auto"/>
        <w:left w:val="none" w:sz="0" w:space="0" w:color="auto"/>
        <w:bottom w:val="none" w:sz="0" w:space="0" w:color="auto"/>
        <w:right w:val="none" w:sz="0" w:space="0" w:color="auto"/>
      </w:divBdr>
    </w:div>
    <w:div w:id="1065177959">
      <w:marLeft w:val="0"/>
      <w:marRight w:val="0"/>
      <w:marTop w:val="0"/>
      <w:marBottom w:val="0"/>
      <w:divBdr>
        <w:top w:val="none" w:sz="0" w:space="0" w:color="auto"/>
        <w:left w:val="none" w:sz="0" w:space="0" w:color="auto"/>
        <w:bottom w:val="none" w:sz="0" w:space="0" w:color="auto"/>
        <w:right w:val="none" w:sz="0" w:space="0" w:color="auto"/>
      </w:divBdr>
    </w:div>
    <w:div w:id="1065177960">
      <w:marLeft w:val="0"/>
      <w:marRight w:val="0"/>
      <w:marTop w:val="0"/>
      <w:marBottom w:val="0"/>
      <w:divBdr>
        <w:top w:val="none" w:sz="0" w:space="0" w:color="auto"/>
        <w:left w:val="none" w:sz="0" w:space="0" w:color="auto"/>
        <w:bottom w:val="none" w:sz="0" w:space="0" w:color="auto"/>
        <w:right w:val="none" w:sz="0" w:space="0" w:color="auto"/>
      </w:divBdr>
    </w:div>
    <w:div w:id="1065177961">
      <w:marLeft w:val="0"/>
      <w:marRight w:val="0"/>
      <w:marTop w:val="0"/>
      <w:marBottom w:val="0"/>
      <w:divBdr>
        <w:top w:val="none" w:sz="0" w:space="0" w:color="auto"/>
        <w:left w:val="none" w:sz="0" w:space="0" w:color="auto"/>
        <w:bottom w:val="none" w:sz="0" w:space="0" w:color="auto"/>
        <w:right w:val="none" w:sz="0" w:space="0" w:color="auto"/>
      </w:divBdr>
    </w:div>
    <w:div w:id="1065177962">
      <w:marLeft w:val="0"/>
      <w:marRight w:val="0"/>
      <w:marTop w:val="0"/>
      <w:marBottom w:val="0"/>
      <w:divBdr>
        <w:top w:val="none" w:sz="0" w:space="0" w:color="auto"/>
        <w:left w:val="none" w:sz="0" w:space="0" w:color="auto"/>
        <w:bottom w:val="none" w:sz="0" w:space="0" w:color="auto"/>
        <w:right w:val="none" w:sz="0" w:space="0" w:color="auto"/>
      </w:divBdr>
    </w:div>
    <w:div w:id="1065177963">
      <w:marLeft w:val="0"/>
      <w:marRight w:val="0"/>
      <w:marTop w:val="0"/>
      <w:marBottom w:val="0"/>
      <w:divBdr>
        <w:top w:val="none" w:sz="0" w:space="0" w:color="auto"/>
        <w:left w:val="none" w:sz="0" w:space="0" w:color="auto"/>
        <w:bottom w:val="none" w:sz="0" w:space="0" w:color="auto"/>
        <w:right w:val="none" w:sz="0" w:space="0" w:color="auto"/>
      </w:divBdr>
    </w:div>
    <w:div w:id="1065177964">
      <w:marLeft w:val="0"/>
      <w:marRight w:val="0"/>
      <w:marTop w:val="0"/>
      <w:marBottom w:val="0"/>
      <w:divBdr>
        <w:top w:val="none" w:sz="0" w:space="0" w:color="auto"/>
        <w:left w:val="none" w:sz="0" w:space="0" w:color="auto"/>
        <w:bottom w:val="none" w:sz="0" w:space="0" w:color="auto"/>
        <w:right w:val="none" w:sz="0" w:space="0" w:color="auto"/>
      </w:divBdr>
    </w:div>
    <w:div w:id="1065177965">
      <w:marLeft w:val="0"/>
      <w:marRight w:val="0"/>
      <w:marTop w:val="0"/>
      <w:marBottom w:val="0"/>
      <w:divBdr>
        <w:top w:val="none" w:sz="0" w:space="0" w:color="auto"/>
        <w:left w:val="none" w:sz="0" w:space="0" w:color="auto"/>
        <w:bottom w:val="none" w:sz="0" w:space="0" w:color="auto"/>
        <w:right w:val="none" w:sz="0" w:space="0" w:color="auto"/>
      </w:divBdr>
    </w:div>
    <w:div w:id="1065177966">
      <w:marLeft w:val="0"/>
      <w:marRight w:val="0"/>
      <w:marTop w:val="0"/>
      <w:marBottom w:val="0"/>
      <w:divBdr>
        <w:top w:val="none" w:sz="0" w:space="0" w:color="auto"/>
        <w:left w:val="none" w:sz="0" w:space="0" w:color="auto"/>
        <w:bottom w:val="none" w:sz="0" w:space="0" w:color="auto"/>
        <w:right w:val="none" w:sz="0" w:space="0" w:color="auto"/>
      </w:divBdr>
    </w:div>
    <w:div w:id="1065177967">
      <w:marLeft w:val="0"/>
      <w:marRight w:val="0"/>
      <w:marTop w:val="0"/>
      <w:marBottom w:val="0"/>
      <w:divBdr>
        <w:top w:val="none" w:sz="0" w:space="0" w:color="auto"/>
        <w:left w:val="none" w:sz="0" w:space="0" w:color="auto"/>
        <w:bottom w:val="none" w:sz="0" w:space="0" w:color="auto"/>
        <w:right w:val="none" w:sz="0" w:space="0" w:color="auto"/>
      </w:divBdr>
    </w:div>
    <w:div w:id="1065177968">
      <w:marLeft w:val="0"/>
      <w:marRight w:val="0"/>
      <w:marTop w:val="0"/>
      <w:marBottom w:val="0"/>
      <w:divBdr>
        <w:top w:val="none" w:sz="0" w:space="0" w:color="auto"/>
        <w:left w:val="none" w:sz="0" w:space="0" w:color="auto"/>
        <w:bottom w:val="none" w:sz="0" w:space="0" w:color="auto"/>
        <w:right w:val="none" w:sz="0" w:space="0" w:color="auto"/>
      </w:divBdr>
    </w:div>
    <w:div w:id="1065177969">
      <w:marLeft w:val="0"/>
      <w:marRight w:val="0"/>
      <w:marTop w:val="0"/>
      <w:marBottom w:val="0"/>
      <w:divBdr>
        <w:top w:val="none" w:sz="0" w:space="0" w:color="auto"/>
        <w:left w:val="none" w:sz="0" w:space="0" w:color="auto"/>
        <w:bottom w:val="none" w:sz="0" w:space="0" w:color="auto"/>
        <w:right w:val="none" w:sz="0" w:space="0" w:color="auto"/>
      </w:divBdr>
    </w:div>
    <w:div w:id="1065177970">
      <w:marLeft w:val="0"/>
      <w:marRight w:val="0"/>
      <w:marTop w:val="0"/>
      <w:marBottom w:val="0"/>
      <w:divBdr>
        <w:top w:val="none" w:sz="0" w:space="0" w:color="auto"/>
        <w:left w:val="none" w:sz="0" w:space="0" w:color="auto"/>
        <w:bottom w:val="none" w:sz="0" w:space="0" w:color="auto"/>
        <w:right w:val="none" w:sz="0" w:space="0" w:color="auto"/>
      </w:divBdr>
    </w:div>
    <w:div w:id="1065177971">
      <w:marLeft w:val="0"/>
      <w:marRight w:val="0"/>
      <w:marTop w:val="0"/>
      <w:marBottom w:val="0"/>
      <w:divBdr>
        <w:top w:val="none" w:sz="0" w:space="0" w:color="auto"/>
        <w:left w:val="none" w:sz="0" w:space="0" w:color="auto"/>
        <w:bottom w:val="none" w:sz="0" w:space="0" w:color="auto"/>
        <w:right w:val="none" w:sz="0" w:space="0" w:color="auto"/>
      </w:divBdr>
    </w:div>
    <w:div w:id="1065177972">
      <w:marLeft w:val="0"/>
      <w:marRight w:val="0"/>
      <w:marTop w:val="0"/>
      <w:marBottom w:val="0"/>
      <w:divBdr>
        <w:top w:val="none" w:sz="0" w:space="0" w:color="auto"/>
        <w:left w:val="none" w:sz="0" w:space="0" w:color="auto"/>
        <w:bottom w:val="none" w:sz="0" w:space="0" w:color="auto"/>
        <w:right w:val="none" w:sz="0" w:space="0" w:color="auto"/>
      </w:divBdr>
    </w:div>
    <w:div w:id="1065177973">
      <w:marLeft w:val="0"/>
      <w:marRight w:val="0"/>
      <w:marTop w:val="0"/>
      <w:marBottom w:val="0"/>
      <w:divBdr>
        <w:top w:val="none" w:sz="0" w:space="0" w:color="auto"/>
        <w:left w:val="none" w:sz="0" w:space="0" w:color="auto"/>
        <w:bottom w:val="none" w:sz="0" w:space="0" w:color="auto"/>
        <w:right w:val="none" w:sz="0" w:space="0" w:color="auto"/>
      </w:divBdr>
    </w:div>
    <w:div w:id="1065177974">
      <w:marLeft w:val="0"/>
      <w:marRight w:val="0"/>
      <w:marTop w:val="0"/>
      <w:marBottom w:val="0"/>
      <w:divBdr>
        <w:top w:val="none" w:sz="0" w:space="0" w:color="auto"/>
        <w:left w:val="none" w:sz="0" w:space="0" w:color="auto"/>
        <w:bottom w:val="none" w:sz="0" w:space="0" w:color="auto"/>
        <w:right w:val="none" w:sz="0" w:space="0" w:color="auto"/>
      </w:divBdr>
    </w:div>
    <w:div w:id="1065177975">
      <w:marLeft w:val="0"/>
      <w:marRight w:val="0"/>
      <w:marTop w:val="0"/>
      <w:marBottom w:val="0"/>
      <w:divBdr>
        <w:top w:val="none" w:sz="0" w:space="0" w:color="auto"/>
        <w:left w:val="none" w:sz="0" w:space="0" w:color="auto"/>
        <w:bottom w:val="none" w:sz="0" w:space="0" w:color="auto"/>
        <w:right w:val="none" w:sz="0" w:space="0" w:color="auto"/>
      </w:divBdr>
    </w:div>
    <w:div w:id="1065177976">
      <w:marLeft w:val="0"/>
      <w:marRight w:val="0"/>
      <w:marTop w:val="0"/>
      <w:marBottom w:val="0"/>
      <w:divBdr>
        <w:top w:val="none" w:sz="0" w:space="0" w:color="auto"/>
        <w:left w:val="none" w:sz="0" w:space="0" w:color="auto"/>
        <w:bottom w:val="none" w:sz="0" w:space="0" w:color="auto"/>
        <w:right w:val="none" w:sz="0" w:space="0" w:color="auto"/>
      </w:divBdr>
    </w:div>
    <w:div w:id="1065177977">
      <w:marLeft w:val="0"/>
      <w:marRight w:val="0"/>
      <w:marTop w:val="0"/>
      <w:marBottom w:val="0"/>
      <w:divBdr>
        <w:top w:val="none" w:sz="0" w:space="0" w:color="auto"/>
        <w:left w:val="none" w:sz="0" w:space="0" w:color="auto"/>
        <w:bottom w:val="none" w:sz="0" w:space="0" w:color="auto"/>
        <w:right w:val="none" w:sz="0" w:space="0" w:color="auto"/>
      </w:divBdr>
    </w:div>
    <w:div w:id="1065177978">
      <w:marLeft w:val="0"/>
      <w:marRight w:val="0"/>
      <w:marTop w:val="0"/>
      <w:marBottom w:val="0"/>
      <w:divBdr>
        <w:top w:val="none" w:sz="0" w:space="0" w:color="auto"/>
        <w:left w:val="none" w:sz="0" w:space="0" w:color="auto"/>
        <w:bottom w:val="none" w:sz="0" w:space="0" w:color="auto"/>
        <w:right w:val="none" w:sz="0" w:space="0" w:color="auto"/>
      </w:divBdr>
    </w:div>
    <w:div w:id="1065177979">
      <w:marLeft w:val="0"/>
      <w:marRight w:val="0"/>
      <w:marTop w:val="0"/>
      <w:marBottom w:val="0"/>
      <w:divBdr>
        <w:top w:val="none" w:sz="0" w:space="0" w:color="auto"/>
        <w:left w:val="none" w:sz="0" w:space="0" w:color="auto"/>
        <w:bottom w:val="none" w:sz="0" w:space="0" w:color="auto"/>
        <w:right w:val="none" w:sz="0" w:space="0" w:color="auto"/>
      </w:divBdr>
    </w:div>
    <w:div w:id="1065177980">
      <w:marLeft w:val="0"/>
      <w:marRight w:val="0"/>
      <w:marTop w:val="0"/>
      <w:marBottom w:val="0"/>
      <w:divBdr>
        <w:top w:val="none" w:sz="0" w:space="0" w:color="auto"/>
        <w:left w:val="none" w:sz="0" w:space="0" w:color="auto"/>
        <w:bottom w:val="none" w:sz="0" w:space="0" w:color="auto"/>
        <w:right w:val="none" w:sz="0" w:space="0" w:color="auto"/>
      </w:divBdr>
    </w:div>
    <w:div w:id="1065177981">
      <w:marLeft w:val="0"/>
      <w:marRight w:val="0"/>
      <w:marTop w:val="0"/>
      <w:marBottom w:val="0"/>
      <w:divBdr>
        <w:top w:val="none" w:sz="0" w:space="0" w:color="auto"/>
        <w:left w:val="none" w:sz="0" w:space="0" w:color="auto"/>
        <w:bottom w:val="none" w:sz="0" w:space="0" w:color="auto"/>
        <w:right w:val="none" w:sz="0" w:space="0" w:color="auto"/>
      </w:divBdr>
    </w:div>
    <w:div w:id="1065177982">
      <w:marLeft w:val="0"/>
      <w:marRight w:val="0"/>
      <w:marTop w:val="0"/>
      <w:marBottom w:val="0"/>
      <w:divBdr>
        <w:top w:val="none" w:sz="0" w:space="0" w:color="auto"/>
        <w:left w:val="none" w:sz="0" w:space="0" w:color="auto"/>
        <w:bottom w:val="none" w:sz="0" w:space="0" w:color="auto"/>
        <w:right w:val="none" w:sz="0" w:space="0" w:color="auto"/>
      </w:divBdr>
    </w:div>
    <w:div w:id="1065177983">
      <w:marLeft w:val="0"/>
      <w:marRight w:val="0"/>
      <w:marTop w:val="0"/>
      <w:marBottom w:val="0"/>
      <w:divBdr>
        <w:top w:val="none" w:sz="0" w:space="0" w:color="auto"/>
        <w:left w:val="none" w:sz="0" w:space="0" w:color="auto"/>
        <w:bottom w:val="none" w:sz="0" w:space="0" w:color="auto"/>
        <w:right w:val="none" w:sz="0" w:space="0" w:color="auto"/>
      </w:divBdr>
    </w:div>
    <w:div w:id="1065177984">
      <w:marLeft w:val="0"/>
      <w:marRight w:val="0"/>
      <w:marTop w:val="0"/>
      <w:marBottom w:val="0"/>
      <w:divBdr>
        <w:top w:val="none" w:sz="0" w:space="0" w:color="auto"/>
        <w:left w:val="none" w:sz="0" w:space="0" w:color="auto"/>
        <w:bottom w:val="none" w:sz="0" w:space="0" w:color="auto"/>
        <w:right w:val="none" w:sz="0" w:space="0" w:color="auto"/>
      </w:divBdr>
    </w:div>
    <w:div w:id="1065177985">
      <w:marLeft w:val="0"/>
      <w:marRight w:val="0"/>
      <w:marTop w:val="0"/>
      <w:marBottom w:val="0"/>
      <w:divBdr>
        <w:top w:val="none" w:sz="0" w:space="0" w:color="auto"/>
        <w:left w:val="none" w:sz="0" w:space="0" w:color="auto"/>
        <w:bottom w:val="none" w:sz="0" w:space="0" w:color="auto"/>
        <w:right w:val="none" w:sz="0" w:space="0" w:color="auto"/>
      </w:divBdr>
    </w:div>
    <w:div w:id="1065177986">
      <w:marLeft w:val="0"/>
      <w:marRight w:val="0"/>
      <w:marTop w:val="0"/>
      <w:marBottom w:val="0"/>
      <w:divBdr>
        <w:top w:val="none" w:sz="0" w:space="0" w:color="auto"/>
        <w:left w:val="none" w:sz="0" w:space="0" w:color="auto"/>
        <w:bottom w:val="none" w:sz="0" w:space="0" w:color="auto"/>
        <w:right w:val="none" w:sz="0" w:space="0" w:color="auto"/>
      </w:divBdr>
    </w:div>
    <w:div w:id="1065177987">
      <w:marLeft w:val="0"/>
      <w:marRight w:val="0"/>
      <w:marTop w:val="0"/>
      <w:marBottom w:val="0"/>
      <w:divBdr>
        <w:top w:val="none" w:sz="0" w:space="0" w:color="auto"/>
        <w:left w:val="none" w:sz="0" w:space="0" w:color="auto"/>
        <w:bottom w:val="none" w:sz="0" w:space="0" w:color="auto"/>
        <w:right w:val="none" w:sz="0" w:space="0" w:color="auto"/>
      </w:divBdr>
    </w:div>
    <w:div w:id="1065177988">
      <w:marLeft w:val="0"/>
      <w:marRight w:val="0"/>
      <w:marTop w:val="0"/>
      <w:marBottom w:val="0"/>
      <w:divBdr>
        <w:top w:val="none" w:sz="0" w:space="0" w:color="auto"/>
        <w:left w:val="none" w:sz="0" w:space="0" w:color="auto"/>
        <w:bottom w:val="none" w:sz="0" w:space="0" w:color="auto"/>
        <w:right w:val="none" w:sz="0" w:space="0" w:color="auto"/>
      </w:divBdr>
    </w:div>
    <w:div w:id="1065177989">
      <w:marLeft w:val="0"/>
      <w:marRight w:val="0"/>
      <w:marTop w:val="0"/>
      <w:marBottom w:val="0"/>
      <w:divBdr>
        <w:top w:val="none" w:sz="0" w:space="0" w:color="auto"/>
        <w:left w:val="none" w:sz="0" w:space="0" w:color="auto"/>
        <w:bottom w:val="none" w:sz="0" w:space="0" w:color="auto"/>
        <w:right w:val="none" w:sz="0" w:space="0" w:color="auto"/>
      </w:divBdr>
    </w:div>
    <w:div w:id="1065177990">
      <w:marLeft w:val="0"/>
      <w:marRight w:val="0"/>
      <w:marTop w:val="0"/>
      <w:marBottom w:val="0"/>
      <w:divBdr>
        <w:top w:val="none" w:sz="0" w:space="0" w:color="auto"/>
        <w:left w:val="none" w:sz="0" w:space="0" w:color="auto"/>
        <w:bottom w:val="none" w:sz="0" w:space="0" w:color="auto"/>
        <w:right w:val="none" w:sz="0" w:space="0" w:color="auto"/>
      </w:divBdr>
    </w:div>
    <w:div w:id="1065177991">
      <w:marLeft w:val="0"/>
      <w:marRight w:val="0"/>
      <w:marTop w:val="0"/>
      <w:marBottom w:val="0"/>
      <w:divBdr>
        <w:top w:val="none" w:sz="0" w:space="0" w:color="auto"/>
        <w:left w:val="none" w:sz="0" w:space="0" w:color="auto"/>
        <w:bottom w:val="none" w:sz="0" w:space="0" w:color="auto"/>
        <w:right w:val="none" w:sz="0" w:space="0" w:color="auto"/>
      </w:divBdr>
    </w:div>
    <w:div w:id="1065177992">
      <w:marLeft w:val="0"/>
      <w:marRight w:val="0"/>
      <w:marTop w:val="0"/>
      <w:marBottom w:val="0"/>
      <w:divBdr>
        <w:top w:val="none" w:sz="0" w:space="0" w:color="auto"/>
        <w:left w:val="none" w:sz="0" w:space="0" w:color="auto"/>
        <w:bottom w:val="none" w:sz="0" w:space="0" w:color="auto"/>
        <w:right w:val="none" w:sz="0" w:space="0" w:color="auto"/>
      </w:divBdr>
    </w:div>
    <w:div w:id="1065177993">
      <w:marLeft w:val="0"/>
      <w:marRight w:val="0"/>
      <w:marTop w:val="0"/>
      <w:marBottom w:val="0"/>
      <w:divBdr>
        <w:top w:val="none" w:sz="0" w:space="0" w:color="auto"/>
        <w:left w:val="none" w:sz="0" w:space="0" w:color="auto"/>
        <w:bottom w:val="none" w:sz="0" w:space="0" w:color="auto"/>
        <w:right w:val="none" w:sz="0" w:space="0" w:color="auto"/>
      </w:divBdr>
    </w:div>
    <w:div w:id="1065177994">
      <w:marLeft w:val="0"/>
      <w:marRight w:val="0"/>
      <w:marTop w:val="0"/>
      <w:marBottom w:val="0"/>
      <w:divBdr>
        <w:top w:val="none" w:sz="0" w:space="0" w:color="auto"/>
        <w:left w:val="none" w:sz="0" w:space="0" w:color="auto"/>
        <w:bottom w:val="none" w:sz="0" w:space="0" w:color="auto"/>
        <w:right w:val="none" w:sz="0" w:space="0" w:color="auto"/>
      </w:divBdr>
    </w:div>
    <w:div w:id="1065177995">
      <w:marLeft w:val="0"/>
      <w:marRight w:val="0"/>
      <w:marTop w:val="0"/>
      <w:marBottom w:val="0"/>
      <w:divBdr>
        <w:top w:val="none" w:sz="0" w:space="0" w:color="auto"/>
        <w:left w:val="none" w:sz="0" w:space="0" w:color="auto"/>
        <w:bottom w:val="none" w:sz="0" w:space="0" w:color="auto"/>
        <w:right w:val="none" w:sz="0" w:space="0" w:color="auto"/>
      </w:divBdr>
    </w:div>
    <w:div w:id="1065177996">
      <w:marLeft w:val="0"/>
      <w:marRight w:val="0"/>
      <w:marTop w:val="0"/>
      <w:marBottom w:val="0"/>
      <w:divBdr>
        <w:top w:val="none" w:sz="0" w:space="0" w:color="auto"/>
        <w:left w:val="none" w:sz="0" w:space="0" w:color="auto"/>
        <w:bottom w:val="none" w:sz="0" w:space="0" w:color="auto"/>
        <w:right w:val="none" w:sz="0" w:space="0" w:color="auto"/>
      </w:divBdr>
    </w:div>
    <w:div w:id="1065177997">
      <w:marLeft w:val="0"/>
      <w:marRight w:val="0"/>
      <w:marTop w:val="0"/>
      <w:marBottom w:val="0"/>
      <w:divBdr>
        <w:top w:val="none" w:sz="0" w:space="0" w:color="auto"/>
        <w:left w:val="none" w:sz="0" w:space="0" w:color="auto"/>
        <w:bottom w:val="none" w:sz="0" w:space="0" w:color="auto"/>
        <w:right w:val="none" w:sz="0" w:space="0" w:color="auto"/>
      </w:divBdr>
    </w:div>
    <w:div w:id="1065177998">
      <w:marLeft w:val="0"/>
      <w:marRight w:val="0"/>
      <w:marTop w:val="0"/>
      <w:marBottom w:val="0"/>
      <w:divBdr>
        <w:top w:val="none" w:sz="0" w:space="0" w:color="auto"/>
        <w:left w:val="none" w:sz="0" w:space="0" w:color="auto"/>
        <w:bottom w:val="none" w:sz="0" w:space="0" w:color="auto"/>
        <w:right w:val="none" w:sz="0" w:space="0" w:color="auto"/>
      </w:divBdr>
    </w:div>
    <w:div w:id="1065177999">
      <w:marLeft w:val="0"/>
      <w:marRight w:val="0"/>
      <w:marTop w:val="0"/>
      <w:marBottom w:val="0"/>
      <w:divBdr>
        <w:top w:val="none" w:sz="0" w:space="0" w:color="auto"/>
        <w:left w:val="none" w:sz="0" w:space="0" w:color="auto"/>
        <w:bottom w:val="none" w:sz="0" w:space="0" w:color="auto"/>
        <w:right w:val="none" w:sz="0" w:space="0" w:color="auto"/>
      </w:divBdr>
    </w:div>
    <w:div w:id="1065178000">
      <w:marLeft w:val="0"/>
      <w:marRight w:val="0"/>
      <w:marTop w:val="0"/>
      <w:marBottom w:val="0"/>
      <w:divBdr>
        <w:top w:val="none" w:sz="0" w:space="0" w:color="auto"/>
        <w:left w:val="none" w:sz="0" w:space="0" w:color="auto"/>
        <w:bottom w:val="none" w:sz="0" w:space="0" w:color="auto"/>
        <w:right w:val="none" w:sz="0" w:space="0" w:color="auto"/>
      </w:divBdr>
    </w:div>
    <w:div w:id="1065178001">
      <w:marLeft w:val="0"/>
      <w:marRight w:val="0"/>
      <w:marTop w:val="0"/>
      <w:marBottom w:val="0"/>
      <w:divBdr>
        <w:top w:val="none" w:sz="0" w:space="0" w:color="auto"/>
        <w:left w:val="none" w:sz="0" w:space="0" w:color="auto"/>
        <w:bottom w:val="none" w:sz="0" w:space="0" w:color="auto"/>
        <w:right w:val="none" w:sz="0" w:space="0" w:color="auto"/>
      </w:divBdr>
    </w:div>
    <w:div w:id="1065178002">
      <w:marLeft w:val="0"/>
      <w:marRight w:val="0"/>
      <w:marTop w:val="0"/>
      <w:marBottom w:val="0"/>
      <w:divBdr>
        <w:top w:val="none" w:sz="0" w:space="0" w:color="auto"/>
        <w:left w:val="none" w:sz="0" w:space="0" w:color="auto"/>
        <w:bottom w:val="none" w:sz="0" w:space="0" w:color="auto"/>
        <w:right w:val="none" w:sz="0" w:space="0" w:color="auto"/>
      </w:divBdr>
    </w:div>
    <w:div w:id="1065178003">
      <w:marLeft w:val="0"/>
      <w:marRight w:val="0"/>
      <w:marTop w:val="0"/>
      <w:marBottom w:val="0"/>
      <w:divBdr>
        <w:top w:val="none" w:sz="0" w:space="0" w:color="auto"/>
        <w:left w:val="none" w:sz="0" w:space="0" w:color="auto"/>
        <w:bottom w:val="none" w:sz="0" w:space="0" w:color="auto"/>
        <w:right w:val="none" w:sz="0" w:space="0" w:color="auto"/>
      </w:divBdr>
    </w:div>
    <w:div w:id="1065178004">
      <w:marLeft w:val="0"/>
      <w:marRight w:val="0"/>
      <w:marTop w:val="0"/>
      <w:marBottom w:val="0"/>
      <w:divBdr>
        <w:top w:val="none" w:sz="0" w:space="0" w:color="auto"/>
        <w:left w:val="none" w:sz="0" w:space="0" w:color="auto"/>
        <w:bottom w:val="none" w:sz="0" w:space="0" w:color="auto"/>
        <w:right w:val="none" w:sz="0" w:space="0" w:color="auto"/>
      </w:divBdr>
    </w:div>
    <w:div w:id="1065178005">
      <w:marLeft w:val="0"/>
      <w:marRight w:val="0"/>
      <w:marTop w:val="0"/>
      <w:marBottom w:val="0"/>
      <w:divBdr>
        <w:top w:val="none" w:sz="0" w:space="0" w:color="auto"/>
        <w:left w:val="none" w:sz="0" w:space="0" w:color="auto"/>
        <w:bottom w:val="none" w:sz="0" w:space="0" w:color="auto"/>
        <w:right w:val="none" w:sz="0" w:space="0" w:color="auto"/>
      </w:divBdr>
    </w:div>
    <w:div w:id="1065178006">
      <w:marLeft w:val="0"/>
      <w:marRight w:val="0"/>
      <w:marTop w:val="0"/>
      <w:marBottom w:val="0"/>
      <w:divBdr>
        <w:top w:val="none" w:sz="0" w:space="0" w:color="auto"/>
        <w:left w:val="none" w:sz="0" w:space="0" w:color="auto"/>
        <w:bottom w:val="none" w:sz="0" w:space="0" w:color="auto"/>
        <w:right w:val="none" w:sz="0" w:space="0" w:color="auto"/>
      </w:divBdr>
    </w:div>
    <w:div w:id="1065178007">
      <w:marLeft w:val="0"/>
      <w:marRight w:val="0"/>
      <w:marTop w:val="0"/>
      <w:marBottom w:val="0"/>
      <w:divBdr>
        <w:top w:val="none" w:sz="0" w:space="0" w:color="auto"/>
        <w:left w:val="none" w:sz="0" w:space="0" w:color="auto"/>
        <w:bottom w:val="none" w:sz="0" w:space="0" w:color="auto"/>
        <w:right w:val="none" w:sz="0" w:space="0" w:color="auto"/>
      </w:divBdr>
    </w:div>
    <w:div w:id="1065178008">
      <w:marLeft w:val="0"/>
      <w:marRight w:val="0"/>
      <w:marTop w:val="0"/>
      <w:marBottom w:val="0"/>
      <w:divBdr>
        <w:top w:val="none" w:sz="0" w:space="0" w:color="auto"/>
        <w:left w:val="none" w:sz="0" w:space="0" w:color="auto"/>
        <w:bottom w:val="none" w:sz="0" w:space="0" w:color="auto"/>
        <w:right w:val="none" w:sz="0" w:space="0" w:color="auto"/>
      </w:divBdr>
    </w:div>
    <w:div w:id="1065178009">
      <w:marLeft w:val="0"/>
      <w:marRight w:val="0"/>
      <w:marTop w:val="0"/>
      <w:marBottom w:val="0"/>
      <w:divBdr>
        <w:top w:val="none" w:sz="0" w:space="0" w:color="auto"/>
        <w:left w:val="none" w:sz="0" w:space="0" w:color="auto"/>
        <w:bottom w:val="none" w:sz="0" w:space="0" w:color="auto"/>
        <w:right w:val="none" w:sz="0" w:space="0" w:color="auto"/>
      </w:divBdr>
    </w:div>
    <w:div w:id="1065178010">
      <w:marLeft w:val="0"/>
      <w:marRight w:val="0"/>
      <w:marTop w:val="0"/>
      <w:marBottom w:val="0"/>
      <w:divBdr>
        <w:top w:val="none" w:sz="0" w:space="0" w:color="auto"/>
        <w:left w:val="none" w:sz="0" w:space="0" w:color="auto"/>
        <w:bottom w:val="none" w:sz="0" w:space="0" w:color="auto"/>
        <w:right w:val="none" w:sz="0" w:space="0" w:color="auto"/>
      </w:divBdr>
    </w:div>
    <w:div w:id="1065178011">
      <w:marLeft w:val="0"/>
      <w:marRight w:val="0"/>
      <w:marTop w:val="0"/>
      <w:marBottom w:val="0"/>
      <w:divBdr>
        <w:top w:val="none" w:sz="0" w:space="0" w:color="auto"/>
        <w:left w:val="none" w:sz="0" w:space="0" w:color="auto"/>
        <w:bottom w:val="none" w:sz="0" w:space="0" w:color="auto"/>
        <w:right w:val="none" w:sz="0" w:space="0" w:color="auto"/>
      </w:divBdr>
    </w:div>
    <w:div w:id="1065178012">
      <w:marLeft w:val="0"/>
      <w:marRight w:val="0"/>
      <w:marTop w:val="0"/>
      <w:marBottom w:val="0"/>
      <w:divBdr>
        <w:top w:val="none" w:sz="0" w:space="0" w:color="auto"/>
        <w:left w:val="none" w:sz="0" w:space="0" w:color="auto"/>
        <w:bottom w:val="none" w:sz="0" w:space="0" w:color="auto"/>
        <w:right w:val="none" w:sz="0" w:space="0" w:color="auto"/>
      </w:divBdr>
    </w:div>
    <w:div w:id="1065178013">
      <w:marLeft w:val="0"/>
      <w:marRight w:val="0"/>
      <w:marTop w:val="0"/>
      <w:marBottom w:val="0"/>
      <w:divBdr>
        <w:top w:val="none" w:sz="0" w:space="0" w:color="auto"/>
        <w:left w:val="none" w:sz="0" w:space="0" w:color="auto"/>
        <w:bottom w:val="none" w:sz="0" w:space="0" w:color="auto"/>
        <w:right w:val="none" w:sz="0" w:space="0" w:color="auto"/>
      </w:divBdr>
    </w:div>
    <w:div w:id="1065178014">
      <w:marLeft w:val="0"/>
      <w:marRight w:val="0"/>
      <w:marTop w:val="0"/>
      <w:marBottom w:val="0"/>
      <w:divBdr>
        <w:top w:val="none" w:sz="0" w:space="0" w:color="auto"/>
        <w:left w:val="none" w:sz="0" w:space="0" w:color="auto"/>
        <w:bottom w:val="none" w:sz="0" w:space="0" w:color="auto"/>
        <w:right w:val="none" w:sz="0" w:space="0" w:color="auto"/>
      </w:divBdr>
    </w:div>
    <w:div w:id="1065178015">
      <w:marLeft w:val="0"/>
      <w:marRight w:val="0"/>
      <w:marTop w:val="0"/>
      <w:marBottom w:val="0"/>
      <w:divBdr>
        <w:top w:val="none" w:sz="0" w:space="0" w:color="auto"/>
        <w:left w:val="none" w:sz="0" w:space="0" w:color="auto"/>
        <w:bottom w:val="none" w:sz="0" w:space="0" w:color="auto"/>
        <w:right w:val="none" w:sz="0" w:space="0" w:color="auto"/>
      </w:divBdr>
    </w:div>
    <w:div w:id="1065178016">
      <w:marLeft w:val="0"/>
      <w:marRight w:val="0"/>
      <w:marTop w:val="0"/>
      <w:marBottom w:val="0"/>
      <w:divBdr>
        <w:top w:val="none" w:sz="0" w:space="0" w:color="auto"/>
        <w:left w:val="none" w:sz="0" w:space="0" w:color="auto"/>
        <w:bottom w:val="none" w:sz="0" w:space="0" w:color="auto"/>
        <w:right w:val="none" w:sz="0" w:space="0" w:color="auto"/>
      </w:divBdr>
    </w:div>
    <w:div w:id="1065178017">
      <w:marLeft w:val="0"/>
      <w:marRight w:val="0"/>
      <w:marTop w:val="0"/>
      <w:marBottom w:val="0"/>
      <w:divBdr>
        <w:top w:val="none" w:sz="0" w:space="0" w:color="auto"/>
        <w:left w:val="none" w:sz="0" w:space="0" w:color="auto"/>
        <w:bottom w:val="none" w:sz="0" w:space="0" w:color="auto"/>
        <w:right w:val="none" w:sz="0" w:space="0" w:color="auto"/>
      </w:divBdr>
    </w:div>
    <w:div w:id="1065178018">
      <w:marLeft w:val="0"/>
      <w:marRight w:val="0"/>
      <w:marTop w:val="0"/>
      <w:marBottom w:val="0"/>
      <w:divBdr>
        <w:top w:val="none" w:sz="0" w:space="0" w:color="auto"/>
        <w:left w:val="none" w:sz="0" w:space="0" w:color="auto"/>
        <w:bottom w:val="none" w:sz="0" w:space="0" w:color="auto"/>
        <w:right w:val="none" w:sz="0" w:space="0" w:color="auto"/>
      </w:divBdr>
    </w:div>
    <w:div w:id="1065178019">
      <w:marLeft w:val="0"/>
      <w:marRight w:val="0"/>
      <w:marTop w:val="0"/>
      <w:marBottom w:val="0"/>
      <w:divBdr>
        <w:top w:val="none" w:sz="0" w:space="0" w:color="auto"/>
        <w:left w:val="none" w:sz="0" w:space="0" w:color="auto"/>
        <w:bottom w:val="none" w:sz="0" w:space="0" w:color="auto"/>
        <w:right w:val="none" w:sz="0" w:space="0" w:color="auto"/>
      </w:divBdr>
    </w:div>
    <w:div w:id="1065178020">
      <w:marLeft w:val="0"/>
      <w:marRight w:val="0"/>
      <w:marTop w:val="0"/>
      <w:marBottom w:val="0"/>
      <w:divBdr>
        <w:top w:val="none" w:sz="0" w:space="0" w:color="auto"/>
        <w:left w:val="none" w:sz="0" w:space="0" w:color="auto"/>
        <w:bottom w:val="none" w:sz="0" w:space="0" w:color="auto"/>
        <w:right w:val="none" w:sz="0" w:space="0" w:color="auto"/>
      </w:divBdr>
    </w:div>
    <w:div w:id="1065178021">
      <w:marLeft w:val="0"/>
      <w:marRight w:val="0"/>
      <w:marTop w:val="0"/>
      <w:marBottom w:val="0"/>
      <w:divBdr>
        <w:top w:val="none" w:sz="0" w:space="0" w:color="auto"/>
        <w:left w:val="none" w:sz="0" w:space="0" w:color="auto"/>
        <w:bottom w:val="none" w:sz="0" w:space="0" w:color="auto"/>
        <w:right w:val="none" w:sz="0" w:space="0" w:color="auto"/>
      </w:divBdr>
    </w:div>
    <w:div w:id="1065178022">
      <w:marLeft w:val="0"/>
      <w:marRight w:val="0"/>
      <w:marTop w:val="0"/>
      <w:marBottom w:val="0"/>
      <w:divBdr>
        <w:top w:val="none" w:sz="0" w:space="0" w:color="auto"/>
        <w:left w:val="none" w:sz="0" w:space="0" w:color="auto"/>
        <w:bottom w:val="none" w:sz="0" w:space="0" w:color="auto"/>
        <w:right w:val="none" w:sz="0" w:space="0" w:color="auto"/>
      </w:divBdr>
    </w:div>
    <w:div w:id="1065178023">
      <w:marLeft w:val="0"/>
      <w:marRight w:val="0"/>
      <w:marTop w:val="0"/>
      <w:marBottom w:val="0"/>
      <w:divBdr>
        <w:top w:val="none" w:sz="0" w:space="0" w:color="auto"/>
        <w:left w:val="none" w:sz="0" w:space="0" w:color="auto"/>
        <w:bottom w:val="none" w:sz="0" w:space="0" w:color="auto"/>
        <w:right w:val="none" w:sz="0" w:space="0" w:color="auto"/>
      </w:divBdr>
    </w:div>
    <w:div w:id="1065178024">
      <w:marLeft w:val="0"/>
      <w:marRight w:val="0"/>
      <w:marTop w:val="0"/>
      <w:marBottom w:val="0"/>
      <w:divBdr>
        <w:top w:val="none" w:sz="0" w:space="0" w:color="auto"/>
        <w:left w:val="none" w:sz="0" w:space="0" w:color="auto"/>
        <w:bottom w:val="none" w:sz="0" w:space="0" w:color="auto"/>
        <w:right w:val="none" w:sz="0" w:space="0" w:color="auto"/>
      </w:divBdr>
    </w:div>
    <w:div w:id="1065178025">
      <w:marLeft w:val="0"/>
      <w:marRight w:val="0"/>
      <w:marTop w:val="0"/>
      <w:marBottom w:val="0"/>
      <w:divBdr>
        <w:top w:val="none" w:sz="0" w:space="0" w:color="auto"/>
        <w:left w:val="none" w:sz="0" w:space="0" w:color="auto"/>
        <w:bottom w:val="none" w:sz="0" w:space="0" w:color="auto"/>
        <w:right w:val="none" w:sz="0" w:space="0" w:color="auto"/>
      </w:divBdr>
    </w:div>
    <w:div w:id="1065178026">
      <w:marLeft w:val="0"/>
      <w:marRight w:val="0"/>
      <w:marTop w:val="0"/>
      <w:marBottom w:val="0"/>
      <w:divBdr>
        <w:top w:val="none" w:sz="0" w:space="0" w:color="auto"/>
        <w:left w:val="none" w:sz="0" w:space="0" w:color="auto"/>
        <w:bottom w:val="none" w:sz="0" w:space="0" w:color="auto"/>
        <w:right w:val="none" w:sz="0" w:space="0" w:color="auto"/>
      </w:divBdr>
    </w:div>
    <w:div w:id="1065178027">
      <w:marLeft w:val="0"/>
      <w:marRight w:val="0"/>
      <w:marTop w:val="0"/>
      <w:marBottom w:val="0"/>
      <w:divBdr>
        <w:top w:val="none" w:sz="0" w:space="0" w:color="auto"/>
        <w:left w:val="none" w:sz="0" w:space="0" w:color="auto"/>
        <w:bottom w:val="none" w:sz="0" w:space="0" w:color="auto"/>
        <w:right w:val="none" w:sz="0" w:space="0" w:color="auto"/>
      </w:divBdr>
    </w:div>
    <w:div w:id="1065178028">
      <w:marLeft w:val="0"/>
      <w:marRight w:val="0"/>
      <w:marTop w:val="0"/>
      <w:marBottom w:val="0"/>
      <w:divBdr>
        <w:top w:val="none" w:sz="0" w:space="0" w:color="auto"/>
        <w:left w:val="none" w:sz="0" w:space="0" w:color="auto"/>
        <w:bottom w:val="none" w:sz="0" w:space="0" w:color="auto"/>
        <w:right w:val="none" w:sz="0" w:space="0" w:color="auto"/>
      </w:divBdr>
    </w:div>
    <w:div w:id="1065178029">
      <w:marLeft w:val="0"/>
      <w:marRight w:val="0"/>
      <w:marTop w:val="0"/>
      <w:marBottom w:val="0"/>
      <w:divBdr>
        <w:top w:val="none" w:sz="0" w:space="0" w:color="auto"/>
        <w:left w:val="none" w:sz="0" w:space="0" w:color="auto"/>
        <w:bottom w:val="none" w:sz="0" w:space="0" w:color="auto"/>
        <w:right w:val="none" w:sz="0" w:space="0" w:color="auto"/>
      </w:divBdr>
    </w:div>
    <w:div w:id="1065178030">
      <w:marLeft w:val="0"/>
      <w:marRight w:val="0"/>
      <w:marTop w:val="0"/>
      <w:marBottom w:val="0"/>
      <w:divBdr>
        <w:top w:val="none" w:sz="0" w:space="0" w:color="auto"/>
        <w:left w:val="none" w:sz="0" w:space="0" w:color="auto"/>
        <w:bottom w:val="none" w:sz="0" w:space="0" w:color="auto"/>
        <w:right w:val="none" w:sz="0" w:space="0" w:color="auto"/>
      </w:divBdr>
    </w:div>
    <w:div w:id="1065178031">
      <w:marLeft w:val="0"/>
      <w:marRight w:val="0"/>
      <w:marTop w:val="0"/>
      <w:marBottom w:val="0"/>
      <w:divBdr>
        <w:top w:val="none" w:sz="0" w:space="0" w:color="auto"/>
        <w:left w:val="none" w:sz="0" w:space="0" w:color="auto"/>
        <w:bottom w:val="none" w:sz="0" w:space="0" w:color="auto"/>
        <w:right w:val="none" w:sz="0" w:space="0" w:color="auto"/>
      </w:divBdr>
    </w:div>
    <w:div w:id="1065178032">
      <w:marLeft w:val="0"/>
      <w:marRight w:val="0"/>
      <w:marTop w:val="0"/>
      <w:marBottom w:val="0"/>
      <w:divBdr>
        <w:top w:val="none" w:sz="0" w:space="0" w:color="auto"/>
        <w:left w:val="none" w:sz="0" w:space="0" w:color="auto"/>
        <w:bottom w:val="none" w:sz="0" w:space="0" w:color="auto"/>
        <w:right w:val="none" w:sz="0" w:space="0" w:color="auto"/>
      </w:divBdr>
    </w:div>
    <w:div w:id="1065178033">
      <w:marLeft w:val="0"/>
      <w:marRight w:val="0"/>
      <w:marTop w:val="0"/>
      <w:marBottom w:val="0"/>
      <w:divBdr>
        <w:top w:val="none" w:sz="0" w:space="0" w:color="auto"/>
        <w:left w:val="none" w:sz="0" w:space="0" w:color="auto"/>
        <w:bottom w:val="none" w:sz="0" w:space="0" w:color="auto"/>
        <w:right w:val="none" w:sz="0" w:space="0" w:color="auto"/>
      </w:divBdr>
    </w:div>
    <w:div w:id="1065178034">
      <w:marLeft w:val="0"/>
      <w:marRight w:val="0"/>
      <w:marTop w:val="0"/>
      <w:marBottom w:val="0"/>
      <w:divBdr>
        <w:top w:val="none" w:sz="0" w:space="0" w:color="auto"/>
        <w:left w:val="none" w:sz="0" w:space="0" w:color="auto"/>
        <w:bottom w:val="none" w:sz="0" w:space="0" w:color="auto"/>
        <w:right w:val="none" w:sz="0" w:space="0" w:color="auto"/>
      </w:divBdr>
    </w:div>
    <w:div w:id="1065178035">
      <w:marLeft w:val="0"/>
      <w:marRight w:val="0"/>
      <w:marTop w:val="0"/>
      <w:marBottom w:val="0"/>
      <w:divBdr>
        <w:top w:val="none" w:sz="0" w:space="0" w:color="auto"/>
        <w:left w:val="none" w:sz="0" w:space="0" w:color="auto"/>
        <w:bottom w:val="none" w:sz="0" w:space="0" w:color="auto"/>
        <w:right w:val="none" w:sz="0" w:space="0" w:color="auto"/>
      </w:divBdr>
    </w:div>
    <w:div w:id="1065178036">
      <w:marLeft w:val="0"/>
      <w:marRight w:val="0"/>
      <w:marTop w:val="0"/>
      <w:marBottom w:val="0"/>
      <w:divBdr>
        <w:top w:val="none" w:sz="0" w:space="0" w:color="auto"/>
        <w:left w:val="none" w:sz="0" w:space="0" w:color="auto"/>
        <w:bottom w:val="none" w:sz="0" w:space="0" w:color="auto"/>
        <w:right w:val="none" w:sz="0" w:space="0" w:color="auto"/>
      </w:divBdr>
    </w:div>
    <w:div w:id="1065178037">
      <w:marLeft w:val="0"/>
      <w:marRight w:val="0"/>
      <w:marTop w:val="0"/>
      <w:marBottom w:val="0"/>
      <w:divBdr>
        <w:top w:val="none" w:sz="0" w:space="0" w:color="auto"/>
        <w:left w:val="none" w:sz="0" w:space="0" w:color="auto"/>
        <w:bottom w:val="none" w:sz="0" w:space="0" w:color="auto"/>
        <w:right w:val="none" w:sz="0" w:space="0" w:color="auto"/>
      </w:divBdr>
    </w:div>
    <w:div w:id="1065178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zpinfo.cz/knihovna-bozp/citarna/clanky/statistika_pu/pracovni_urazovost110613.html"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www.mpsv.cz/cs/2027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ssz.cz/cz/nemocenske-pojisteni/davky/" TargetMode="Externa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publikace bar_lide a spolecnost</Template>
  <TotalTime>1</TotalTime>
  <Pages>17</Pages>
  <Words>5279</Words>
  <Characters>31151</Characters>
  <Application>Microsoft Office Outlook</Application>
  <DocSecurity>0</DocSecurity>
  <Lines>0</Lines>
  <Paragraphs>0</Paragraphs>
  <ScaleCrop>false</ScaleCrop>
  <Company>CSU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hrivikova2924</dc:creator>
  <cp:keywords/>
  <dc:description/>
  <cp:lastModifiedBy>Anita</cp:lastModifiedBy>
  <cp:revision>3</cp:revision>
  <cp:lastPrinted>2015-05-25T16:14:00Z</cp:lastPrinted>
  <dcterms:created xsi:type="dcterms:W3CDTF">2015-06-04T08:53:00Z</dcterms:created>
  <dcterms:modified xsi:type="dcterms:W3CDTF">2015-06-04T08:54:00Z</dcterms:modified>
</cp:coreProperties>
</file>