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261E" w14:textId="77777777" w:rsidR="00086CFB" w:rsidRPr="009110F7" w:rsidRDefault="00086CFB" w:rsidP="00086CFB">
      <w:pPr>
        <w:pStyle w:val="Nadpis1"/>
      </w:pPr>
      <w:bookmarkStart w:id="0" w:name="_Toc232503733"/>
      <w:bookmarkStart w:id="1" w:name="_Toc169258116"/>
      <w:bookmarkStart w:id="2" w:name="_Toc153531176"/>
      <w:bookmarkStart w:id="3" w:name="_Toc176767107"/>
      <w:bookmarkStart w:id="4" w:name="_Toc161914427"/>
      <w:bookmarkStart w:id="5" w:name="_Toc193366678"/>
      <w:bookmarkStart w:id="6" w:name="_Toc176767109"/>
      <w:r>
        <w:t>2. Souhrnná výkonnost</w:t>
      </w:r>
      <w:bookmarkEnd w:id="0"/>
    </w:p>
    <w:tbl>
      <w:tblPr>
        <w:tblW w:w="9639" w:type="dxa"/>
        <w:tblInd w:w="-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6"/>
        <w:gridCol w:w="210"/>
        <w:gridCol w:w="7623"/>
      </w:tblGrid>
      <w:tr w:rsidR="00086CFB" w:rsidRPr="009110F7" w14:paraId="3778EB02" w14:textId="77777777" w:rsidTr="416A2A6C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13F634AD" w14:textId="77777777" w:rsidR="00086CFB" w:rsidRDefault="00086CFB" w:rsidP="00675BD1">
            <w:pPr>
              <w:pStyle w:val="Marginlie"/>
            </w:pPr>
            <w:r>
              <w:t>Růst HDP v 1. čtvrtletí 2026 zpomalil.</w:t>
            </w:r>
          </w:p>
        </w:tc>
        <w:tc>
          <w:tcPr>
            <w:tcW w:w="210" w:type="dxa"/>
            <w:tcMar>
              <w:left w:w="0" w:type="dxa"/>
            </w:tcMar>
          </w:tcPr>
          <w:p w14:paraId="674F9A46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73DE6FEE" w14:textId="77777777" w:rsidR="00086CFB" w:rsidRPr="00014ED0" w:rsidRDefault="00086CFB" w:rsidP="00675BD1">
            <w:pPr>
              <w:rPr>
                <w:spacing w:val="-2"/>
              </w:rPr>
            </w:pPr>
            <w:r>
              <w:rPr>
                <w:spacing w:val="-2"/>
              </w:rPr>
              <w:t>Etapa solidního růstu české ekonomiky, která trvala od druhé poloviny roku 2024, se na začátku letošního roku přerušila. Hrubý domácí produkt (HDP)</w:t>
            </w:r>
            <w:r w:rsidRPr="00014ED0">
              <w:rPr>
                <w:rStyle w:val="Znakapoznpodarou"/>
                <w:rFonts w:cs="Arial"/>
                <w:spacing w:val="-2"/>
              </w:rPr>
              <w:footnoteReference w:id="1"/>
            </w:r>
            <w:r>
              <w:rPr>
                <w:spacing w:val="-2"/>
              </w:rPr>
              <w:t xml:space="preserve"> v 1. čtvrtletí 2026 mezičtvrtletně vzrostl o 0,2 %, což byl nejmenší nárůst od 1. kvartálu 2024. Na zpomalení mezičtvrtletního tempa růstu HDP se podílela domácí spotřeba i saldo zahraničního obchodu. Naopak ve směru růstu působily kapitálové výdaje – investice i změna zásob. Také meziroční růst HDP zpomalil ve srovnání s minulým rokem a dosáhl v 1. čtvrtletí 2,2 %. Zpomalení ovlivnila především bilance zahraničního obchodu a negativně působila i změna zásob. Naopak domácí spotřeba zůstala výrazným tahounem meziročního růstu HDP a dynamika investiční aktivity navázala na silný závěr loňského roku dalším zrychlením.    </w:t>
            </w:r>
          </w:p>
        </w:tc>
      </w:tr>
      <w:tr w:rsidR="00086CFB" w:rsidRPr="009110F7" w14:paraId="2691F204" w14:textId="77777777" w:rsidTr="416A2A6C">
        <w:trPr>
          <w:trHeight w:val="170"/>
        </w:trPr>
        <w:tc>
          <w:tcPr>
            <w:tcW w:w="1806" w:type="dxa"/>
            <w:vMerge w:val="restart"/>
            <w:tcMar>
              <w:left w:w="0" w:type="dxa"/>
            </w:tcMar>
          </w:tcPr>
          <w:p w14:paraId="34DC74C8" w14:textId="77777777" w:rsidR="00086CFB" w:rsidRDefault="00086CFB" w:rsidP="00675BD1">
            <w:pPr>
              <w:pStyle w:val="Marginlie"/>
            </w:pPr>
          </w:p>
        </w:tc>
        <w:tc>
          <w:tcPr>
            <w:tcW w:w="210" w:type="dxa"/>
            <w:vMerge w:val="restart"/>
            <w:tcMar>
              <w:left w:w="0" w:type="dxa"/>
            </w:tcMar>
          </w:tcPr>
          <w:p w14:paraId="0878FA52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2427D137" w14:textId="77777777" w:rsidR="00086CFB" w:rsidRPr="00D721B4" w:rsidRDefault="00086CFB" w:rsidP="4237DD18">
            <w:pPr>
              <w:spacing w:after="0"/>
              <w:rPr>
                <w:b/>
                <w:bCs/>
              </w:rPr>
            </w:pPr>
            <w:r w:rsidRPr="4237DD18">
              <w:rPr>
                <w:rFonts w:cs="Arial"/>
                <w:b/>
                <w:bCs/>
                <w:color w:val="000000" w:themeColor="text1"/>
              </w:rPr>
              <w:t xml:space="preserve">Graf č. 1 </w:t>
            </w:r>
            <w:r w:rsidRPr="4237DD18">
              <w:rPr>
                <w:rFonts w:cs="Arial"/>
                <w:b/>
                <w:bCs/>
                <w:lang w:eastAsia="en-US"/>
              </w:rPr>
              <w:t xml:space="preserve">HDP </w:t>
            </w:r>
            <w:r w:rsidRPr="4237DD18">
              <w:rPr>
                <w:rFonts w:cs="Arial"/>
                <w:lang w:eastAsia="en-US"/>
              </w:rPr>
              <w:t>(objemové indexy, očištěno o sezónní a kalendářní vlivy, v %)</w:t>
            </w:r>
          </w:p>
        </w:tc>
      </w:tr>
      <w:tr w:rsidR="00086CFB" w:rsidRPr="009110F7" w14:paraId="1107929A" w14:textId="77777777" w:rsidTr="416A2A6C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06" w:type="dxa"/>
            <w:vMerge/>
          </w:tcPr>
          <w:p w14:paraId="47FE3E6C" w14:textId="77777777" w:rsidR="00086CFB" w:rsidRPr="009110F7" w:rsidRDefault="00086CFB" w:rsidP="00675BD1">
            <w:pPr>
              <w:pStyle w:val="Marginlie"/>
            </w:pPr>
          </w:p>
        </w:tc>
        <w:tc>
          <w:tcPr>
            <w:tcW w:w="210" w:type="dxa"/>
            <w:vMerge/>
          </w:tcPr>
          <w:p w14:paraId="7FAD8D32" w14:textId="77777777" w:rsidR="00086CFB" w:rsidRPr="009110F7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</w:tcPr>
          <w:p w14:paraId="400EC0CF" w14:textId="77777777" w:rsidR="00086CFB" w:rsidRPr="009110F7" w:rsidRDefault="00086CFB" w:rsidP="00675BD1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6119952" wp14:editId="1C33DD45">
                  <wp:extent cx="4737600" cy="3553200"/>
                  <wp:effectExtent l="0" t="0" r="6350" b="0"/>
                  <wp:docPr id="308283089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086CFB" w:rsidRPr="009110F7" w14:paraId="227E849C" w14:textId="77777777" w:rsidTr="416A2A6C">
        <w:trPr>
          <w:trHeight w:val="170"/>
        </w:trPr>
        <w:tc>
          <w:tcPr>
            <w:tcW w:w="1806" w:type="dxa"/>
            <w:vMerge/>
            <w:tcMar>
              <w:left w:w="0" w:type="dxa"/>
            </w:tcMar>
          </w:tcPr>
          <w:p w14:paraId="6A8FE9C5" w14:textId="77777777" w:rsidR="00086CFB" w:rsidRPr="009110F7" w:rsidRDefault="00086CFB" w:rsidP="00675BD1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2E0823E0" w14:textId="77777777" w:rsidR="00086CFB" w:rsidRPr="009110F7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09552524" w14:textId="77777777" w:rsidR="00086CFB" w:rsidRPr="009110F7" w:rsidRDefault="00086CFB" w:rsidP="00675BD1">
            <w:pPr>
              <w:spacing w:after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Zdroj: ČSÚ, Eurostat</w:t>
            </w:r>
          </w:p>
        </w:tc>
      </w:tr>
      <w:tr w:rsidR="00086CFB" w:rsidRPr="009110F7" w14:paraId="46433746" w14:textId="77777777" w:rsidTr="416A2A6C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6AB226CA" w14:textId="77777777" w:rsidR="00086CFB" w:rsidRDefault="00086CFB" w:rsidP="00675BD1">
            <w:pPr>
              <w:pStyle w:val="Marginlie"/>
            </w:pPr>
            <w:r>
              <w:t xml:space="preserve">Ekonomický růst zvolnil </w:t>
            </w:r>
            <w:r>
              <w:br/>
              <w:t>i v EU.</w:t>
            </w:r>
          </w:p>
        </w:tc>
        <w:tc>
          <w:tcPr>
            <w:tcW w:w="210" w:type="dxa"/>
            <w:tcMar>
              <w:left w:w="0" w:type="dxa"/>
            </w:tcMar>
          </w:tcPr>
          <w:p w14:paraId="4F871695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0C7A2DFF" w14:textId="4DA6EF59" w:rsidR="00086CFB" w:rsidRDefault="00086CFB" w:rsidP="00675BD1">
            <w:r>
              <w:t xml:space="preserve">V 1. čtvrtletí 2026 zpomalila dynamika HDP i v Evropské unii. Mezičtvrtletně zde HDP klesl o 0,1 %, což bylo první snížení od 4. kvartálu 2022. Mezičtvrtletní růst HDP v EU podpořila spotřeba domácností (0,2 %) i vládních institucí (0,4 %). Jejich růst ale zpomalil. Bilance zahraničního obchodu naopak působila výrazně ve směru poklesu HDP, protože reálný růst dovozu (0,7 %) značně překonával vývoz (0,2 %). Investice v EU po dvou kvartálech solidního růstu v 1. čtvrtletí mezičtvrtletně klesly o 0,3 %. Ačkoli byl v EU vykázán celkový </w:t>
            </w:r>
            <w:proofErr w:type="gramStart"/>
            <w:r>
              <w:t xml:space="preserve">mezičtvrtletní </w:t>
            </w:r>
            <w:r w:rsidR="00B927F6">
              <w:t>;</w:t>
            </w:r>
            <w:r>
              <w:t>pokles</w:t>
            </w:r>
            <w:proofErr w:type="gramEnd"/>
            <w:r>
              <w:t xml:space="preserve">, ve většině zemí EU (v 19) ve skutečnosti HDP mezičtvrtletně vzrostl. Z mírného růstu do poklesu ale vývoj v EU </w:t>
            </w:r>
            <w:r w:rsidR="0F9A6A16">
              <w:t xml:space="preserve">posunulo </w:t>
            </w:r>
            <w:r>
              <w:t xml:space="preserve">Irsko, které vykázalo mezičtvrtletní propad o 12,1 %. Mezičtvrtletně klesl HDP také v Litvě (−0,3 %), Švédsku (−0,2 %) a ve Francii (−0,1 %). Největší mezičtvrtletní nárůst HDP byl zachycen v Dánsku (1,9 %), v Estonsku a na Maltě (shodně 1,1 %) a ve Finsku (0,9 %). Německo si drželo mírný mezičtvrtletní růst (0,3 %), stejně jako Itálie. Ostatní země středoevropského regionu s výjimkou Polska (0,6 %) a Maďarska (0,8 %) byly těsně nad úrovní stagnace (Česko, Rakousko i Slovensko shodně růst o 0,2 %). </w:t>
            </w:r>
            <w:r>
              <w:lastRenderedPageBreak/>
              <w:t>Meziroční růst HDP v EU oslabil v 1. čtvrtletí na 0,7 %. Nejvíce vzrostl HDP opět v Dánsku (5,9 %) a na Maltě (4,3 %) a dále následovalo Polsko (3,5 %). Meziroční pokles byl zaznamenán jen v Irsku (−16,8 %) a Rumunsku (−1,1 %). Velmi mírný růst si drželo Německo (0,3 %) a pod 1 % byla meziroční dynamika HDP také v Itálii (0,8 %), Belgii (0,8 %), na Slovensku (0,9 %) a v Rakousku (0,6 %).</w:t>
            </w:r>
          </w:p>
        </w:tc>
      </w:tr>
      <w:tr w:rsidR="00086CFB" w:rsidRPr="009110F7" w14:paraId="2019D813" w14:textId="77777777" w:rsidTr="416A2A6C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1BAC55A5" w14:textId="77777777" w:rsidR="00086CFB" w:rsidRDefault="00086CFB" w:rsidP="00675BD1">
            <w:pPr>
              <w:pStyle w:val="Marginlie"/>
            </w:pPr>
            <w:r>
              <w:lastRenderedPageBreak/>
              <w:t>Mzdy a platy si udržovaly solidní růst.</w:t>
            </w:r>
          </w:p>
        </w:tc>
        <w:tc>
          <w:tcPr>
            <w:tcW w:w="210" w:type="dxa"/>
            <w:tcMar>
              <w:left w:w="0" w:type="dxa"/>
            </w:tcMar>
          </w:tcPr>
          <w:p w14:paraId="3D5E4CEB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65B9B321" w14:textId="77777777" w:rsidR="00086CFB" w:rsidRPr="00014ED0" w:rsidRDefault="00086CFB" w:rsidP="00675BD1">
            <w:r>
              <w:t>Objem vyplacených mezd a platů v 1. čtvrtletí 2026 mezičtvrtletně vzrostl o 1,8 % při současném nárůstu celkové zaměstnanosti</w:t>
            </w:r>
            <w:r w:rsidRPr="00014ED0">
              <w:rPr>
                <w:rStyle w:val="Znakapoznpodarou"/>
                <w:spacing w:val="-2"/>
              </w:rPr>
              <w:footnoteReference w:id="2"/>
            </w:r>
            <w:r>
              <w:t xml:space="preserve"> o 0,4 %. Reálné</w:t>
            </w:r>
            <w:r>
              <w:rPr>
                <w:rStyle w:val="Znakapoznpodarou"/>
                <w:spacing w:val="-2"/>
              </w:rPr>
              <w:footnoteReference w:id="3"/>
            </w:r>
            <w:r>
              <w:t xml:space="preserve"> mezičtvrtletní navýšení objemu mezd a platů dosáhlo 1,4 %. Prudce narostl objem mezd a platů v činnostech v oblasti nemovitostí (17,6 % při růstu zaměstnanosti o 0,5 %), dvouciferné navýšení bylo zaznamenáno i v peněžnictví a pojišťovnictví (10,7 %, zaměstnanost 2,9 %). Netypicky výrazné navýšení mezd a platů se odehrálo i ve stavebnictví (6,2 %), kde zároveň klesla zaměstnanost (−0,7 %). Nadprůměrně mezičtvrtletně rostly také mzdy a platy v profesních, vědeckých, technických a administrativních činnostech (4,7 %, zaměstnanost o 0,9 %). Solidní přírůstek mezd a platů v informačních a komunikačních činnostech byl zcela způsoben vysokým nárůstem zaměstnanosti (5,0 %) a podobně měl vývoj zaměstnanosti (1,5 %) výrazný vliv na objem vyplacených mezd a platů v obchodě, dopravě, ubytování a pohostinství (2,2 %). V ostatních činnostech</w:t>
            </w:r>
            <w:r>
              <w:rPr>
                <w:rStyle w:val="Znakapoznpodarou"/>
                <w:spacing w:val="-2"/>
              </w:rPr>
              <w:footnoteReference w:id="4"/>
            </w:r>
            <w:r>
              <w:t xml:space="preserve"> mzdy a platy mezičtvrtletně vzrostly o 1,9 % navzdory </w:t>
            </w:r>
            <w:r w:rsidDel="00086CFB">
              <w:t xml:space="preserve">propadu zaměstnanosti (−3,2 %). Pokles zaměstnanosti pak ovlivnil i dynamiku mezd v průmyslu (1,3 %, zaměstnanost −1,1 %). Jediným oborem, kde objem vyplacených mezd a platů mezičtvrtletně klesl, byla veřejná správa a obrana, vzdělávání, zdravotní a sociální péče (−2,7 %, zaměstnanost se zvýšila o 1,2 %).   </w:t>
            </w:r>
          </w:p>
        </w:tc>
      </w:tr>
      <w:tr w:rsidR="00086CFB" w:rsidRPr="009110F7" w14:paraId="2DB79D9B" w14:textId="77777777" w:rsidTr="416A2A6C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1A8317A3" w14:textId="77777777" w:rsidR="00086CFB" w:rsidRDefault="00086CFB" w:rsidP="00675BD1">
            <w:pPr>
              <w:pStyle w:val="Marginlie"/>
            </w:pPr>
            <w:r>
              <w:t>Meziroční reálný růst mezd a platů byl nejvyšší od roku 2018.</w:t>
            </w:r>
          </w:p>
        </w:tc>
        <w:tc>
          <w:tcPr>
            <w:tcW w:w="210" w:type="dxa"/>
            <w:tcMar>
              <w:left w:w="0" w:type="dxa"/>
            </w:tcMar>
          </w:tcPr>
          <w:p w14:paraId="322E8DAD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3EFDE7EF" w14:textId="680CEF28" w:rsidR="00086CFB" w:rsidRDefault="00086CFB" w:rsidP="00675BD1">
            <w:r>
              <w:t>Výrazná úroveň meziroční dynamiky mezd a platů z konce roku 2025 se udržela i v 1. čtvrtletí 2026. Mzdy a platy meziročně vzrostly o 9,0 % při současném navýšení zaměstnanosti o 1,1 %. Další zmírnění cenového růstu pak znamenalo reálné navýšení mezd a platů o 6,8 %, což bylo nejvíce od 2. čtvrtletí 2018. Silný meziroční růst mezd a platů, který v některých případech podporovalo i výrazné navyšování zaměstnanosti, byl soustředěn hlavně do služeb. Nejvíce rostl objem výdělků v činnostech v oblasti nemovitostí (35,8 %, zaměstnanost 6,0 %), v profesních, vědeckých, technických a administrativních činnostech (14,8 %, zaměstnanost 1,9 %), ve stavebnictví (14,3 %, zaměstnanost 2,5 %) a peněžnictví a pojišťovnictví (12,1 %, zaměstnanost 2,5 %). Těsně pod celkovým průměrem byl meziroční přírůstek v informačních a</w:t>
            </w:r>
            <w:r w:rsidR="00B927F6">
              <w:t> </w:t>
            </w:r>
            <w:r>
              <w:t>komunikačních činnostech (8,8 %, zaměstnanost 1,5 %) a ve váhově významném uskupení obchod, doprava, ubytování a pohostinství (8,4 %, zaměstnanost 0,4 %). Navzdory silnému nárůstu zaměstnanosti za celkovým průměrem ekonomiky výrazně zaostávala dynamika mezd a platů ve veřejné správě a obraně, vzdělávání, zdravotní a sociální péči (7,3 %, zaměstnanost 2,4 %) a v ostatních činnostech (6,4 %, zaměstnanost 2,9 %). Utlumený vývoj se projevoval v průmyslu, kde mzdy a platy meziročně rostly nejméně (5,8 %) a zaměstnanost klesla o 0,8 %.</w:t>
            </w:r>
          </w:p>
        </w:tc>
      </w:tr>
      <w:tr w:rsidR="00086CFB" w:rsidRPr="009110F7" w14:paraId="0948F17A" w14:textId="77777777" w:rsidTr="416A2A6C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78261EB8" w14:textId="77777777" w:rsidR="00086CFB" w:rsidRDefault="00086CFB" w:rsidP="00675BD1">
            <w:pPr>
              <w:pStyle w:val="Marginlie"/>
            </w:pPr>
            <w:r>
              <w:t>Domácí spotřeba rostla volnějším tempem než dříve.</w:t>
            </w:r>
          </w:p>
        </w:tc>
        <w:tc>
          <w:tcPr>
            <w:tcW w:w="210" w:type="dxa"/>
            <w:tcMar>
              <w:left w:w="0" w:type="dxa"/>
            </w:tcMar>
          </w:tcPr>
          <w:p w14:paraId="697569C2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58672D7D" w14:textId="77777777" w:rsidR="00086CFB" w:rsidRPr="004B6F8C" w:rsidRDefault="00086CFB" w:rsidP="00675BD1">
            <w:pPr>
              <w:rPr>
                <w:spacing w:val="-2"/>
              </w:rPr>
            </w:pPr>
            <w:r>
              <w:rPr>
                <w:spacing w:val="-2"/>
              </w:rPr>
              <w:t>Spotřeba v 1. čtvrtletí vzrostla mezičtvrtletně o 0,3 %. Přírůstek ve srovnání s koncem roku 2025 zvolnil, ale spotřeba domácností si růst udržela (0,6 %), zatímco vládní spotřeba klesla (−0,3 %). Ani mírný růst spotřeby ale v 1. čtvrtletí neznamenal pozitivní vliv na růst HDP. Srovnání příspěvků spotřeby k růstu HDP před a po odečtení dovozu pro konečné užití totiž odhaluje, že růst spotřeby v 1. kvartálu byl saturován importem</w:t>
            </w:r>
            <w:r>
              <w:rPr>
                <w:rStyle w:val="Znakapoznpodarou"/>
                <w:spacing w:val="-2"/>
              </w:rPr>
              <w:footnoteReference w:id="5"/>
            </w:r>
            <w:r>
              <w:rPr>
                <w:spacing w:val="-2"/>
              </w:rPr>
              <w:t>. Za oslabením mezičtvrtletního růstu spotřeby stály především klesající výdaje na zboží dlouhodobé spotřeby</w:t>
            </w:r>
            <w:r>
              <w:rPr>
                <w:rStyle w:val="Znakapoznpodarou"/>
              </w:rPr>
              <w:footnoteReference w:id="6"/>
            </w:r>
            <w:r>
              <w:rPr>
                <w:spacing w:val="-2"/>
              </w:rPr>
              <w:t xml:space="preserve"> (−0,5 %) a také spotřeba služeb, která mezičtvrtletně klesla poprvé </w:t>
            </w:r>
            <w:r>
              <w:rPr>
                <w:spacing w:val="-2"/>
              </w:rPr>
              <w:lastRenderedPageBreak/>
              <w:t>od 3. kvartálu 2022 (−0,7 %). Střednědobá (2,1 %) i krátkodobá (1,6 %) spotřeba rostla. Meziroční růst spotřeby v 1. čtvrtletí dosáhl 2,9 %. Spotřeba domácností byla vyšší o 3,4 % a spotřeba vládních institucí vzrostla o 1,7 %. Meziroční nárůst výdajů posílil u krátkodobé (3,7 %), střednědobé (4,5 %) i dlouhodobé (3,6 %) spotřeby. Naopak u služeb růst spotřeby oslabil na 2,7 %.</w:t>
            </w:r>
          </w:p>
        </w:tc>
      </w:tr>
      <w:tr w:rsidR="00086CFB" w:rsidRPr="009110F7" w14:paraId="11BEBDE5" w14:textId="77777777" w:rsidTr="416A2A6C">
        <w:trPr>
          <w:trHeight w:val="154"/>
        </w:trPr>
        <w:tc>
          <w:tcPr>
            <w:tcW w:w="1806" w:type="dxa"/>
            <w:vMerge w:val="restart"/>
            <w:tcMar>
              <w:left w:w="0" w:type="dxa"/>
            </w:tcMar>
          </w:tcPr>
          <w:p w14:paraId="4E64795C" w14:textId="77777777" w:rsidR="00086CFB" w:rsidRDefault="00086CFB" w:rsidP="00675BD1">
            <w:pPr>
              <w:pStyle w:val="Marginlie"/>
            </w:pPr>
          </w:p>
        </w:tc>
        <w:tc>
          <w:tcPr>
            <w:tcW w:w="210" w:type="dxa"/>
            <w:vMerge w:val="restart"/>
            <w:tcMar>
              <w:left w:w="0" w:type="dxa"/>
            </w:tcMar>
          </w:tcPr>
          <w:p w14:paraId="7F90A66B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6B4D5B91" w14:textId="77777777" w:rsidR="00086CFB" w:rsidRDefault="00086CFB" w:rsidP="00675BD1">
            <w:pPr>
              <w:spacing w:after="0"/>
            </w:pPr>
            <w:r w:rsidRPr="00D721B4">
              <w:rPr>
                <w:b/>
                <w:szCs w:val="20"/>
              </w:rPr>
              <w:t>Graf č. 2</w:t>
            </w:r>
            <w:r>
              <w:rPr>
                <w:b/>
                <w:szCs w:val="20"/>
              </w:rPr>
              <w:t xml:space="preserve"> </w:t>
            </w:r>
            <w:r w:rsidRPr="00D721B4">
              <w:rPr>
                <w:rFonts w:cs="Arial"/>
                <w:b/>
                <w:szCs w:val="20"/>
                <w:lang w:eastAsia="en-US"/>
              </w:rPr>
              <w:t xml:space="preserve">Příspěvky výdajových složek k reálné změně HDP* </w:t>
            </w:r>
            <w:r w:rsidRPr="00D721B4">
              <w:rPr>
                <w:rFonts w:cs="Arial"/>
                <w:bCs/>
                <w:szCs w:val="20"/>
                <w:lang w:eastAsia="en-US"/>
              </w:rPr>
              <w:t>(objemové indexy, meziroční růst, příspěvky v p. b., HDP v</w:t>
            </w:r>
            <w:r>
              <w:rPr>
                <w:rFonts w:cs="Arial"/>
                <w:bCs/>
                <w:szCs w:val="20"/>
                <w:lang w:eastAsia="en-US"/>
              </w:rPr>
              <w:t> %</w:t>
            </w:r>
            <w:r w:rsidRPr="00D721B4">
              <w:rPr>
                <w:rFonts w:cs="Arial"/>
                <w:bCs/>
                <w:szCs w:val="20"/>
                <w:lang w:eastAsia="en-US"/>
              </w:rPr>
              <w:t>)</w:t>
            </w:r>
          </w:p>
        </w:tc>
      </w:tr>
      <w:tr w:rsidR="00086CFB" w:rsidRPr="009110F7" w14:paraId="03B65B8F" w14:textId="77777777" w:rsidTr="416A2A6C">
        <w:tblPrEx>
          <w:tblCellMar>
            <w:left w:w="70" w:type="dxa"/>
            <w:right w:w="70" w:type="dxa"/>
          </w:tblCellMar>
        </w:tblPrEx>
        <w:trPr>
          <w:trHeight w:val="154"/>
        </w:trPr>
        <w:tc>
          <w:tcPr>
            <w:tcW w:w="1806" w:type="dxa"/>
            <w:vMerge/>
          </w:tcPr>
          <w:p w14:paraId="5D87A32D" w14:textId="77777777" w:rsidR="00086CFB" w:rsidRDefault="00086CFB" w:rsidP="00675BD1">
            <w:pPr>
              <w:pStyle w:val="Marginlie"/>
            </w:pPr>
          </w:p>
        </w:tc>
        <w:tc>
          <w:tcPr>
            <w:tcW w:w="210" w:type="dxa"/>
            <w:vMerge/>
          </w:tcPr>
          <w:p w14:paraId="378BDCE6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</w:tcPr>
          <w:p w14:paraId="0BA63E72" w14:textId="77777777" w:rsidR="00086CFB" w:rsidRDefault="00086CFB" w:rsidP="00675BD1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CBC6AEC" wp14:editId="335EA4D2">
                  <wp:extent cx="4737600" cy="3456000"/>
                  <wp:effectExtent l="0" t="0" r="6350" b="0"/>
                  <wp:docPr id="168308500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086CFB" w:rsidRPr="009110F7" w14:paraId="7D8F7923" w14:textId="77777777" w:rsidTr="416A2A6C">
        <w:trPr>
          <w:trHeight w:val="154"/>
        </w:trPr>
        <w:tc>
          <w:tcPr>
            <w:tcW w:w="1806" w:type="dxa"/>
            <w:vMerge/>
            <w:tcMar>
              <w:left w:w="0" w:type="dxa"/>
            </w:tcMar>
          </w:tcPr>
          <w:p w14:paraId="05E31CA6" w14:textId="77777777" w:rsidR="00086CFB" w:rsidRDefault="00086CFB" w:rsidP="00675BD1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74CEB969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39ABD852" w14:textId="77777777" w:rsidR="00086CFB" w:rsidRDefault="00086CFB" w:rsidP="00675BD1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Zdroj: ČSÚ</w:t>
            </w:r>
          </w:p>
          <w:p w14:paraId="1096A047" w14:textId="77777777" w:rsidR="00086CFB" w:rsidRDefault="00086CFB" w:rsidP="00675BD1">
            <w:r>
              <w:rPr>
                <w:sz w:val="14"/>
                <w:szCs w:val="14"/>
              </w:rPr>
              <w:t>* po vyloučení dovozu pro konečné užití</w:t>
            </w:r>
          </w:p>
        </w:tc>
      </w:tr>
      <w:tr w:rsidR="00086CFB" w:rsidRPr="009110F7" w14:paraId="728CE34B" w14:textId="77777777" w:rsidTr="416A2A6C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04274082" w14:textId="77777777" w:rsidR="00086CFB" w:rsidRDefault="00086CFB" w:rsidP="00675BD1">
            <w:pPr>
              <w:pStyle w:val="Marginlie"/>
            </w:pPr>
            <w:r>
              <w:t>Investiční aktivita mezičtvrtletně i meziročně rostla.</w:t>
            </w:r>
          </w:p>
        </w:tc>
        <w:tc>
          <w:tcPr>
            <w:tcW w:w="210" w:type="dxa"/>
            <w:tcMar>
              <w:left w:w="0" w:type="dxa"/>
            </w:tcMar>
          </w:tcPr>
          <w:p w14:paraId="70E27A63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3B7E2CE3" w14:textId="7FCE54EA" w:rsidR="00086CFB" w:rsidRDefault="00086CFB" w:rsidP="00675BD1">
            <w:r>
              <w:rPr>
                <w:spacing w:val="-2"/>
              </w:rPr>
              <w:t>Výdaje na tvorbu hrubého kapitálu v 1. čtvrtletí mezičtvrtletně vzrostly o 3,7 %, z toho samotné výdaje na tvorbu hrubého fixního kapitálu (investice) byly vyšší o 2,0 % a jejich dynamika tak navázala n</w:t>
            </w:r>
            <w:r>
              <w:t xml:space="preserve">a </w:t>
            </w:r>
            <w:r w:rsidRPr="416A2A6C">
              <w:t>solidní</w:t>
            </w:r>
            <w:r>
              <w:t xml:space="preserve"> konec roku 2025. Změna zásob</w:t>
            </w:r>
            <w:r>
              <w:rPr>
                <w:rStyle w:val="Znakapoznpodarou"/>
              </w:rPr>
              <w:footnoteReference w:id="7"/>
            </w:r>
            <w:r>
              <w:rPr>
                <w:spacing w:val="-2"/>
              </w:rPr>
              <w:t xml:space="preserve"> na rozdíl od předchozích kvartálů významně přispěla ve směru mezičtvrtletního růstu HDP. Na výrazném mezičtvrtletním růstu investiční aktivity měly klíčový podíl výdaje na dopravní prostředky a zařízení, které se zvýšily o 26,5 %. Naopak investice do obydlí, ostatních budov a staveb a ICT a ostatních strojů a zařízení stagnovaly</w:t>
            </w:r>
            <w:r w:rsidDel="00086CFB">
              <w:t xml:space="preserve"> (u všech byl zaznamenán mezičtvrtletní pokles o 0,1 %)</w:t>
            </w:r>
            <w:r>
              <w:t xml:space="preserve">. Výraznější mezičtvrtletní snížení bylo zachyceno u investic do produktů duševního vlastnictví (−1,5 %). Meziročně byly výdaje na tvorbu hrubého kapitálu vyšší o 5,2 %. Samotné investice byly vyšší o 7,3 %, na čemž měla podíl i slabá srovnávací základna začátku loňského roku. Změna zásob v 1. čtvrtletí působila na meziroční vývoj HDP negativně. Po více než roční sérii hlubokých poklesů v 1. kvartálu nejvíce meziročně vzrostly investice do dopravních prostředků a zařízení (20,4 %) </w:t>
            </w:r>
            <w:r>
              <w:rPr>
                <w:spacing w:val="-2"/>
              </w:rPr>
              <w:t>a</w:t>
            </w:r>
            <w:r w:rsidR="00B927F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dvouciferně vzrostly výdaje na ostatní budovy a stavby (11,9 %). </w:t>
            </w:r>
            <w:r w:rsidR="13CB842F">
              <w:t xml:space="preserve">Výrazný </w:t>
            </w:r>
            <w:r>
              <w:t xml:space="preserve">nárůst, který ale značně podpořila nízká srovnávací základna, měly investice do obydlí (4,9 %). Výdaje na ICT a ostatní stroje a zařízení byly vyšší o 4,1 % a na produkty duševního vlastnictví o 1,6 %.   </w:t>
            </w:r>
          </w:p>
        </w:tc>
      </w:tr>
      <w:tr w:rsidR="00086CFB" w:rsidRPr="009110F7" w14:paraId="09D9B271" w14:textId="77777777" w:rsidTr="416A2A6C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21F8A47E" w14:textId="77777777" w:rsidR="00086CFB" w:rsidRDefault="00086CFB" w:rsidP="00675BD1">
            <w:pPr>
              <w:pStyle w:val="Marginlie"/>
            </w:pPr>
            <w:r>
              <w:lastRenderedPageBreak/>
              <w:t>Bilance zahraničního obchodu se v 1. čtvrtletí zhoršovala.</w:t>
            </w:r>
          </w:p>
        </w:tc>
        <w:tc>
          <w:tcPr>
            <w:tcW w:w="210" w:type="dxa"/>
            <w:tcMar>
              <w:left w:w="0" w:type="dxa"/>
            </w:tcMar>
          </w:tcPr>
          <w:p w14:paraId="5ACB2D25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3F8FC732" w14:textId="65F9E432" w:rsidR="00086CFB" w:rsidRDefault="00086CFB" w:rsidP="00675BD1">
            <w:r>
              <w:t>V 1. čtvrtletí 2026 došlo k výraznému oživení mezičtvrtletní dynamiky vývozu zboží a služeb</w:t>
            </w:r>
            <w:r w:rsidRPr="009110F7">
              <w:rPr>
                <w:rStyle w:val="Znakapoznpodarou"/>
              </w:rPr>
              <w:footnoteReference w:id="8"/>
            </w:r>
            <w:r>
              <w:t xml:space="preserve">, který reálně vzrostl o 3,8 %. Silněji rostl export zboží (3,6 %) i služeb (5,0 %). Na druhé straně se dovoz zboží a služeb reálně mezičtvrtletně zvýšil o 5,8 %. To ve výsledku znamenalo negativní vliv bilance zahraničního obchodu na celkový mezičtvrtletní růst HDP. Obdobně vypadala meziroční dynamika zahraničního obchodu. Vývoz reálně meziročně vzrostl o 5,8 % a </w:t>
            </w:r>
            <w:r w:rsidR="26B06DF0">
              <w:t xml:space="preserve">silný </w:t>
            </w:r>
            <w:r>
              <w:t>byl přírůstek u zboží (6,4 %) i</w:t>
            </w:r>
            <w:r w:rsidR="007B3597">
              <w:t> </w:t>
            </w:r>
            <w:r>
              <w:t>služeb (3,0 %). Přírůstek dovozu byl ale výrazně silnější (8,2 %). V 1. čtvrtletí výsledná bilance zahraničního obchodu se zbožím a službami dosáhla přebytku 114,7 mld. korun. Mezičtvrtletně se přebytek snížil o 19,2 mld. korun, výhradně zásluhou obchodu se zbožím (−24,9 mld.), zatímco u služeb došlo ke zlepšení salda o 1,7 mld. Meziročně byl přebytek nižší o 16,7 mld. korun a klesl u obchodu se zbožím (−14,8 mld.) i službami (−1,8 mld.).</w:t>
            </w:r>
          </w:p>
        </w:tc>
      </w:tr>
      <w:tr w:rsidR="00086CFB" w:rsidRPr="009110F7" w14:paraId="09A7F767" w14:textId="77777777" w:rsidTr="416A2A6C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7F9F5464" w14:textId="77777777" w:rsidR="00086CFB" w:rsidRDefault="00086CFB" w:rsidP="00675BD1">
            <w:pPr>
              <w:pStyle w:val="Marginlie"/>
            </w:pPr>
            <w:r>
              <w:t>Zpomalil i růst hrubé přidané hodnoty.</w:t>
            </w:r>
          </w:p>
        </w:tc>
        <w:tc>
          <w:tcPr>
            <w:tcW w:w="210" w:type="dxa"/>
            <w:tcMar>
              <w:left w:w="0" w:type="dxa"/>
            </w:tcMar>
          </w:tcPr>
          <w:p w14:paraId="1E757B23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1C01BC78" w14:textId="4592ED4C" w:rsidR="00086CFB" w:rsidRDefault="00086CFB" w:rsidP="4237DD18">
            <w:r>
              <w:t xml:space="preserve">Hrubá přidaná hodnota (HPH) v 1. čtvrtletí vzrostla mezičtvrtletně o 0,2 %. Přírůstek tak oslabil oproti předchozím kvartálům. Na zvolnění dynamiky měl hlavní podíl vývoj v průmyslu, kde HPH po silném konci loňského roku klesla mezičtvrtletně o 0,7 %. V samotném zpracovatelském průmyslu pokles dosáhl 0,9 %. Dále mezičtvrtletně klesla HPH v ostatních činnostech (−0,4 %). Ve zbytku ekonomiky neměly změny v dynamice podobně dramatický efekt. Největší nárůst HPH byl zachycen v peněžnictví a pojišťovnictví (4,3 %), zemědělství, lesnictví a rybářství (1,1 %) a v profesních, vědeckých, technických a administrativních činnostech (0,9 %). Jen mírně rostla HPH v uskupení obchod, doprava, ubytování a pohostinství (0,4 %) a v činnostech v oblasti nemovitostí (0,4 %). Do mírného růstu se po poklesu z konce minulého roku opět dostalo stavebnictví (0,2 %) a stagnovaly informační a komunikační činnosti (0,1 %) a veřejná správa a obrana, vzdělávání, zdravotní a sociální péče (0,0 %).  </w:t>
            </w:r>
          </w:p>
        </w:tc>
      </w:tr>
      <w:tr w:rsidR="00086CFB" w:rsidRPr="009110F7" w14:paraId="6EF34D50" w14:textId="77777777" w:rsidTr="416A2A6C">
        <w:trPr>
          <w:trHeight w:val="170"/>
        </w:trPr>
        <w:tc>
          <w:tcPr>
            <w:tcW w:w="1806" w:type="dxa"/>
            <w:vMerge w:val="restart"/>
            <w:tcMar>
              <w:left w:w="0" w:type="dxa"/>
            </w:tcMar>
          </w:tcPr>
          <w:p w14:paraId="0BCAD98D" w14:textId="77777777" w:rsidR="00086CFB" w:rsidRDefault="00086CFB" w:rsidP="00675BD1">
            <w:pPr>
              <w:pStyle w:val="Marginlie"/>
            </w:pPr>
          </w:p>
        </w:tc>
        <w:tc>
          <w:tcPr>
            <w:tcW w:w="210" w:type="dxa"/>
            <w:vMerge w:val="restart"/>
            <w:tcMar>
              <w:left w:w="0" w:type="dxa"/>
            </w:tcMar>
          </w:tcPr>
          <w:p w14:paraId="0008B35E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68D5D904" w14:textId="77777777" w:rsidR="00086CFB" w:rsidRDefault="00086CFB" w:rsidP="00675BD1">
            <w:pPr>
              <w:spacing w:after="0"/>
            </w:pPr>
            <w:r w:rsidRPr="00D721B4">
              <w:rPr>
                <w:b/>
                <w:szCs w:val="20"/>
              </w:rPr>
              <w:t>Graf č. 3</w:t>
            </w:r>
            <w:r>
              <w:rPr>
                <w:b/>
                <w:szCs w:val="20"/>
              </w:rPr>
              <w:t xml:space="preserve"> </w:t>
            </w:r>
            <w:r w:rsidRPr="00D721B4">
              <w:rPr>
                <w:rFonts w:cs="Arial"/>
                <w:b/>
                <w:szCs w:val="20"/>
                <w:lang w:eastAsia="en-US"/>
              </w:rPr>
              <w:t xml:space="preserve">Příspěvky odvětví k reálné změně HPH </w:t>
            </w:r>
            <w:r w:rsidRPr="00D721B4">
              <w:rPr>
                <w:rFonts w:cs="Arial"/>
                <w:bCs/>
                <w:szCs w:val="20"/>
                <w:lang w:eastAsia="en-US"/>
              </w:rPr>
              <w:t>(objemové indexy, meziroční příspěvky v p. b., HPH v</w:t>
            </w:r>
            <w:r>
              <w:rPr>
                <w:rFonts w:cs="Arial"/>
                <w:bCs/>
                <w:szCs w:val="20"/>
                <w:lang w:eastAsia="en-US"/>
              </w:rPr>
              <w:t> %</w:t>
            </w:r>
            <w:r w:rsidRPr="00D721B4">
              <w:rPr>
                <w:rFonts w:cs="Arial"/>
                <w:bCs/>
                <w:szCs w:val="20"/>
                <w:lang w:eastAsia="en-US"/>
              </w:rPr>
              <w:t>)</w:t>
            </w:r>
          </w:p>
        </w:tc>
      </w:tr>
      <w:tr w:rsidR="00086CFB" w:rsidRPr="009110F7" w14:paraId="50884D72" w14:textId="77777777" w:rsidTr="416A2A6C">
        <w:trPr>
          <w:trHeight w:val="170"/>
        </w:trPr>
        <w:tc>
          <w:tcPr>
            <w:tcW w:w="1806" w:type="dxa"/>
            <w:vMerge/>
            <w:tcMar>
              <w:left w:w="0" w:type="dxa"/>
            </w:tcMar>
          </w:tcPr>
          <w:p w14:paraId="06E9DBE5" w14:textId="77777777" w:rsidR="00086CFB" w:rsidRDefault="00086CFB" w:rsidP="00675BD1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54A58DF9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6E44629F" w14:textId="77777777" w:rsidR="00086CFB" w:rsidRDefault="00086CFB" w:rsidP="00675BD1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0E5D1E6" wp14:editId="1BB23495">
                  <wp:extent cx="4737600" cy="3456000"/>
                  <wp:effectExtent l="0" t="0" r="6350" b="0"/>
                  <wp:docPr id="1329843260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086CFB" w:rsidRPr="009110F7" w14:paraId="6CF3A868" w14:textId="77777777" w:rsidTr="416A2A6C">
        <w:trPr>
          <w:trHeight w:val="170"/>
        </w:trPr>
        <w:tc>
          <w:tcPr>
            <w:tcW w:w="1806" w:type="dxa"/>
            <w:vMerge/>
            <w:tcMar>
              <w:left w:w="0" w:type="dxa"/>
            </w:tcMar>
          </w:tcPr>
          <w:p w14:paraId="180FE69C" w14:textId="77777777" w:rsidR="00086CFB" w:rsidRDefault="00086CFB" w:rsidP="00675BD1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350E9A22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0C3BCB51" w14:textId="77777777" w:rsidR="00086CFB" w:rsidRDefault="00086CFB" w:rsidP="00675BD1">
            <w:r w:rsidRPr="00A85DE1">
              <w:rPr>
                <w:sz w:val="14"/>
                <w:szCs w:val="14"/>
              </w:rPr>
              <w:t>Zdroj: ČSÚ</w:t>
            </w:r>
          </w:p>
        </w:tc>
      </w:tr>
      <w:tr w:rsidR="00086CFB" w:rsidRPr="009110F7" w14:paraId="4057D752" w14:textId="77777777" w:rsidTr="416A2A6C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5A9090A5" w14:textId="77777777" w:rsidR="00086CFB" w:rsidRDefault="00086CFB" w:rsidP="00675BD1">
            <w:pPr>
              <w:pStyle w:val="Marginlie"/>
            </w:pPr>
            <w:r>
              <w:lastRenderedPageBreak/>
              <w:t>Průmysl i důležitá odvětví služeb přispěly ke zpomalení růstu HPH.</w:t>
            </w:r>
          </w:p>
        </w:tc>
        <w:tc>
          <w:tcPr>
            <w:tcW w:w="210" w:type="dxa"/>
            <w:tcMar>
              <w:left w:w="0" w:type="dxa"/>
            </w:tcMar>
          </w:tcPr>
          <w:p w14:paraId="7709F550" w14:textId="77777777" w:rsidR="00086CFB" w:rsidRDefault="00086CFB" w:rsidP="00675BD1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5414E311" w14:textId="77777777" w:rsidR="00086CFB" w:rsidRDefault="00086CFB" w:rsidP="00675BD1">
            <w:r>
              <w:t>Meziroční růst HPH zpomalil v 1. čtvrtletí na 2,1 %. Meziročně rostla všechna sledovaná odvětví, ale na oslabení celkového růstu HPH mělo největší podíl zpomalení v průmyslu (1,3 %, v samotném zpracovatelském průmyslu růst zpomalil na 1,8 %), stavebnictví (2,2 %), v uskupení obchod, doprava, ubytování a pohostinství (2,8 %) a v informačních a komunikačních činnostech (5,2 %). Meziroční přírůstek zvolnil i v ostatních činnostech (2,3 %), ve veřejné správě a obraně, vzdělávání, zdravotní a sociální péči (1,1 %), v činnostech v oblasti nemovitostí (0,8 %). Posílení meziročního růstu se naopak týkalo zemědělství, lesnictví a rybářství (3,9 %), peněžnictví a pojišťovnictví (3,5 %) a profesních, vědeckých, technických a administrativních činností (2,8 %).</w:t>
            </w:r>
          </w:p>
        </w:tc>
      </w:tr>
      <w:bookmarkEnd w:id="1"/>
      <w:bookmarkEnd w:id="2"/>
      <w:bookmarkEnd w:id="3"/>
      <w:bookmarkEnd w:id="4"/>
      <w:bookmarkEnd w:id="5"/>
      <w:bookmarkEnd w:id="6"/>
    </w:tbl>
    <w:p w14:paraId="04EC3DF5" w14:textId="77777777" w:rsidR="00086CFB" w:rsidRPr="00FC6700" w:rsidRDefault="00086CFB" w:rsidP="00086CFB">
      <w:pPr>
        <w:spacing w:after="0" w:line="240" w:lineRule="auto"/>
        <w:jc w:val="left"/>
        <w:rPr>
          <w:sz w:val="2"/>
          <w:szCs w:val="2"/>
        </w:rPr>
      </w:pPr>
    </w:p>
    <w:p w14:paraId="2DFF4785" w14:textId="2B012400" w:rsidR="00086CFB" w:rsidRDefault="00086CFB">
      <w:pPr>
        <w:spacing w:after="0" w:line="240" w:lineRule="auto"/>
        <w:jc w:val="left"/>
        <w:rPr>
          <w:rFonts w:eastAsia="MS Gothic"/>
          <w:b/>
          <w:bCs/>
          <w:color w:val="86BF5E"/>
          <w:sz w:val="32"/>
          <w:szCs w:val="28"/>
          <w:highlight w:val="yellow"/>
        </w:rPr>
      </w:pPr>
    </w:p>
    <w:sectPr w:rsidR="00086CFB" w:rsidSect="00BF5959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3FF4" w14:textId="77777777" w:rsidR="000F33D4" w:rsidRDefault="000F33D4" w:rsidP="00E71A58">
      <w:r>
        <w:separator/>
      </w:r>
    </w:p>
  </w:endnote>
  <w:endnote w:type="continuationSeparator" w:id="0">
    <w:p w14:paraId="74C15AA4" w14:textId="77777777" w:rsidR="000F33D4" w:rsidRDefault="000F33D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2E38F52B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1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D53EAD">
      <w:rPr>
        <w:szCs w:val="16"/>
      </w:rPr>
      <w:t xml:space="preserve">1. čtvrtletí </w:t>
    </w:r>
    <w:r w:rsidR="00C5418A">
      <w:rPr>
        <w:szCs w:val="16"/>
      </w:rPr>
      <w:t>202</w:t>
    </w:r>
    <w:r w:rsidR="00D53EAD">
      <w:rPr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8290478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D53EAD">
      <w:rPr>
        <w:szCs w:val="16"/>
      </w:rPr>
      <w:t>1. čtvrtletí</w:t>
    </w:r>
    <w:r>
      <w:rPr>
        <w:szCs w:val="16"/>
      </w:rPr>
      <w:t xml:space="preserve"> 202</w:t>
    </w:r>
    <w:r w:rsidR="00D53EAD">
      <w:rPr>
        <w:szCs w:val="16"/>
      </w:rPr>
      <w:t>6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991A3" w14:textId="77777777" w:rsidR="000F33D4" w:rsidRDefault="000F33D4" w:rsidP="00EA4302">
      <w:pPr>
        <w:spacing w:after="0"/>
      </w:pPr>
      <w:r>
        <w:separator/>
      </w:r>
    </w:p>
  </w:footnote>
  <w:footnote w:type="continuationSeparator" w:id="0">
    <w:p w14:paraId="2B3ABF63" w14:textId="77777777" w:rsidR="000F33D4" w:rsidRDefault="000F33D4" w:rsidP="00E71A58">
      <w:r>
        <w:continuationSeparator/>
      </w:r>
    </w:p>
  </w:footnote>
  <w:footnote w:id="1">
    <w:p w14:paraId="1E97EB4F" w14:textId="77777777" w:rsidR="00086CFB" w:rsidRPr="003879FE" w:rsidRDefault="00086CFB" w:rsidP="00086CFB">
      <w:pPr>
        <w:pStyle w:val="Textpoznpodarou"/>
        <w:rPr>
          <w:sz w:val="16"/>
          <w:szCs w:val="16"/>
        </w:rPr>
      </w:pPr>
      <w:r w:rsidRPr="000348AF">
        <w:rPr>
          <w:rStyle w:val="Znakapoznpodarou"/>
          <w:sz w:val="16"/>
          <w:szCs w:val="16"/>
        </w:rPr>
        <w:footnoteRef/>
      </w:r>
      <w:r w:rsidRPr="000348AF">
        <w:rPr>
          <w:sz w:val="16"/>
          <w:szCs w:val="16"/>
        </w:rPr>
        <w:t xml:space="preserve"> Vývoj HDP, hrubé přidané hodnoty a jejich složek je vyjádřen prostřednictvím objemových indexů (tj. očištěn o vliv cen) a po očištění o sezónní a kalendářní vlivy. Údaje jsou platné k</w:t>
      </w:r>
      <w:r>
        <w:rPr>
          <w:sz w:val="16"/>
          <w:szCs w:val="16"/>
        </w:rPr>
        <w:t xml:space="preserve"> 29. 6. </w:t>
      </w:r>
      <w:r w:rsidRPr="000348AF">
        <w:rPr>
          <w:sz w:val="16"/>
          <w:szCs w:val="16"/>
        </w:rPr>
        <w:t>202</w:t>
      </w:r>
      <w:r>
        <w:rPr>
          <w:sz w:val="16"/>
          <w:szCs w:val="16"/>
        </w:rPr>
        <w:t>6</w:t>
      </w:r>
      <w:r w:rsidRPr="000348AF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2">
    <w:p w14:paraId="452AEB7F" w14:textId="77777777" w:rsidR="00086CFB" w:rsidRDefault="00086CFB" w:rsidP="00086CFB">
      <w:pPr>
        <w:pStyle w:val="Textpoznpodarou"/>
      </w:pPr>
      <w:r w:rsidRPr="009C6EA8">
        <w:rPr>
          <w:rStyle w:val="Znakapoznpodarou"/>
          <w:sz w:val="16"/>
          <w:szCs w:val="16"/>
        </w:rPr>
        <w:footnoteRef/>
      </w:r>
      <w:r w:rsidRPr="009C6EA8">
        <w:rPr>
          <w:sz w:val="16"/>
          <w:szCs w:val="16"/>
        </w:rPr>
        <w:t xml:space="preserve"> </w:t>
      </w:r>
      <w:r>
        <w:rPr>
          <w:sz w:val="16"/>
          <w:szCs w:val="16"/>
        </w:rPr>
        <w:t>Zaměstnanost v</w:t>
      </w:r>
      <w:r w:rsidRPr="009C6EA8">
        <w:rPr>
          <w:sz w:val="16"/>
          <w:szCs w:val="16"/>
        </w:rPr>
        <w:t> pojetí národních účtů</w:t>
      </w:r>
      <w:r>
        <w:rPr>
          <w:sz w:val="16"/>
          <w:szCs w:val="16"/>
        </w:rPr>
        <w:t xml:space="preserve"> (osoby)</w:t>
      </w:r>
      <w:r w:rsidRPr="009C6EA8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údaj je </w:t>
      </w:r>
      <w:r w:rsidRPr="009C6EA8">
        <w:rPr>
          <w:sz w:val="16"/>
          <w:szCs w:val="16"/>
        </w:rPr>
        <w:t>sezónně očištěn</w:t>
      </w:r>
      <w:r w:rsidRPr="00004BA8">
        <w:rPr>
          <w:sz w:val="16"/>
        </w:rPr>
        <w:t>.</w:t>
      </w:r>
    </w:p>
  </w:footnote>
  <w:footnote w:id="3">
    <w:p w14:paraId="1A995103" w14:textId="77777777" w:rsidR="00086CFB" w:rsidRPr="005F75B1" w:rsidRDefault="00086CFB" w:rsidP="00086CFB">
      <w:pPr>
        <w:pStyle w:val="Textpoznpodarou"/>
        <w:rPr>
          <w:sz w:val="16"/>
          <w:szCs w:val="16"/>
        </w:rPr>
      </w:pPr>
      <w:r w:rsidRPr="005F75B1">
        <w:rPr>
          <w:rStyle w:val="Znakapoznpodarou"/>
          <w:sz w:val="16"/>
          <w:szCs w:val="16"/>
        </w:rPr>
        <w:footnoteRef/>
      </w:r>
      <w:r w:rsidRPr="005F75B1">
        <w:rPr>
          <w:sz w:val="16"/>
          <w:szCs w:val="16"/>
        </w:rPr>
        <w:t xml:space="preserve"> Do reálného vyjádření převedeno s pomocí deflátoru spotřeby domácností.</w:t>
      </w:r>
    </w:p>
  </w:footnote>
  <w:footnote w:id="4">
    <w:p w14:paraId="06C5ACD2" w14:textId="77777777" w:rsidR="00086CFB" w:rsidRPr="0053191D" w:rsidRDefault="00086CFB" w:rsidP="00086CFB">
      <w:pPr>
        <w:pStyle w:val="Textpoznpodarou"/>
        <w:rPr>
          <w:sz w:val="16"/>
          <w:szCs w:val="16"/>
        </w:rPr>
      </w:pPr>
      <w:r w:rsidRPr="0053191D">
        <w:rPr>
          <w:rStyle w:val="Znakapoznpodarou"/>
          <w:sz w:val="16"/>
          <w:szCs w:val="16"/>
        </w:rPr>
        <w:footnoteRef/>
      </w:r>
      <w:r w:rsidRPr="0053191D">
        <w:rPr>
          <w:sz w:val="16"/>
          <w:szCs w:val="16"/>
        </w:rPr>
        <w:t xml:space="preserve"> Tato sekce zahrnuje činnosti organizací sdružujících osoby za účelem prosazování společných zájmů, opravy počítačů a výrobků pro osobní potřebu a převážně pro domácnost a řadu jiných osobních služeb</w:t>
      </w:r>
      <w:r>
        <w:rPr>
          <w:sz w:val="16"/>
          <w:szCs w:val="16"/>
        </w:rPr>
        <w:t xml:space="preserve"> (kosmetické, kadeřnické apod.).</w:t>
      </w:r>
    </w:p>
  </w:footnote>
  <w:footnote w:id="5">
    <w:p w14:paraId="6883A7C3" w14:textId="77777777" w:rsidR="00086CFB" w:rsidRPr="00925537" w:rsidRDefault="00086CFB" w:rsidP="00086CFB">
      <w:pPr>
        <w:pStyle w:val="Textpoznpodarou"/>
        <w:rPr>
          <w:sz w:val="16"/>
          <w:szCs w:val="16"/>
        </w:rPr>
      </w:pPr>
      <w:r w:rsidRPr="00925537">
        <w:rPr>
          <w:rStyle w:val="Znakapoznpodarou"/>
          <w:sz w:val="16"/>
          <w:szCs w:val="16"/>
        </w:rPr>
        <w:footnoteRef/>
      </w:r>
      <w:r w:rsidRPr="00925537">
        <w:rPr>
          <w:sz w:val="16"/>
          <w:szCs w:val="16"/>
        </w:rPr>
        <w:t xml:space="preserve"> Mezičtvrtletní příspěvek spotřeby domácností bez odečtení dovozu dosáhl 0,3 p. b. a po odečtení to bylo </w:t>
      </w:r>
      <w:r>
        <w:rPr>
          <w:sz w:val="16"/>
          <w:szCs w:val="16"/>
        </w:rPr>
        <w:t>−</w:t>
      </w:r>
      <w:r w:rsidRPr="00925537">
        <w:rPr>
          <w:sz w:val="16"/>
          <w:szCs w:val="16"/>
        </w:rPr>
        <w:t xml:space="preserve">0,1 p. b. </w:t>
      </w:r>
    </w:p>
  </w:footnote>
  <w:footnote w:id="6">
    <w:p w14:paraId="1DC7DBE1" w14:textId="77777777" w:rsidR="00086CFB" w:rsidRPr="00954992" w:rsidRDefault="00086CFB" w:rsidP="00086CFB">
      <w:pPr>
        <w:pStyle w:val="Textpoznpodarou"/>
        <w:rPr>
          <w:sz w:val="16"/>
          <w:szCs w:val="16"/>
        </w:rPr>
      </w:pPr>
      <w:r w:rsidRPr="00954992">
        <w:rPr>
          <w:rStyle w:val="Znakapoznpodarou"/>
          <w:sz w:val="16"/>
          <w:szCs w:val="16"/>
        </w:rPr>
        <w:footnoteRef/>
      </w:r>
      <w:r w:rsidRPr="00954992">
        <w:rPr>
          <w:sz w:val="16"/>
          <w:szCs w:val="16"/>
        </w:rPr>
        <w:t xml:space="preserve"> Údaje o</w:t>
      </w:r>
      <w:r>
        <w:rPr>
          <w:sz w:val="16"/>
          <w:szCs w:val="16"/>
        </w:rPr>
        <w:t> </w:t>
      </w:r>
      <w:r w:rsidRPr="00954992">
        <w:rPr>
          <w:sz w:val="16"/>
          <w:szCs w:val="16"/>
        </w:rPr>
        <w:t>spotřebě dle trvanlivosti jsou v domácím pojetí</w:t>
      </w:r>
      <w:r>
        <w:rPr>
          <w:sz w:val="16"/>
          <w:szCs w:val="16"/>
        </w:rPr>
        <w:t>.</w:t>
      </w:r>
    </w:p>
  </w:footnote>
  <w:footnote w:id="7">
    <w:p w14:paraId="174AF9C4" w14:textId="77777777" w:rsidR="00086CFB" w:rsidRPr="004831F6" w:rsidRDefault="00086CFB" w:rsidP="00086CFB">
      <w:pPr>
        <w:pStyle w:val="Textpoznpodarou"/>
        <w:rPr>
          <w:sz w:val="16"/>
          <w:szCs w:val="16"/>
        </w:rPr>
      </w:pPr>
      <w:r w:rsidRPr="004831F6">
        <w:rPr>
          <w:rStyle w:val="Znakapoznpodarou"/>
          <w:sz w:val="16"/>
          <w:szCs w:val="16"/>
        </w:rPr>
        <w:footnoteRef/>
      </w:r>
      <w:r w:rsidRPr="004831F6">
        <w:rPr>
          <w:sz w:val="16"/>
          <w:szCs w:val="16"/>
        </w:rPr>
        <w:t xml:space="preserve"> Změna zásob</w:t>
      </w:r>
      <w:r>
        <w:rPr>
          <w:sz w:val="16"/>
          <w:szCs w:val="16"/>
        </w:rPr>
        <w:t xml:space="preserve"> (v běžných cenách a sezónně neočištěná)</w:t>
      </w:r>
      <w:r w:rsidRPr="004831F6">
        <w:rPr>
          <w:sz w:val="16"/>
          <w:szCs w:val="16"/>
        </w:rPr>
        <w:t xml:space="preserve"> </w:t>
      </w:r>
      <w:r>
        <w:rPr>
          <w:sz w:val="16"/>
          <w:szCs w:val="16"/>
        </w:rPr>
        <w:t>v 1. čtvrtletí 2026 dosáhla −12,4 mld. korun, oproti −6,2 mld. v 1. kvartálu 2025 a −69,7 mld. ve 4. kvartálu 2025.</w:t>
      </w:r>
    </w:p>
  </w:footnote>
  <w:footnote w:id="8">
    <w:p w14:paraId="325CA26E" w14:textId="77777777" w:rsidR="00086CFB" w:rsidRPr="00167B30" w:rsidRDefault="00086CFB" w:rsidP="00086CFB">
      <w:pPr>
        <w:pStyle w:val="Textpoznpodarou"/>
        <w:rPr>
          <w:sz w:val="16"/>
          <w:szCs w:val="16"/>
        </w:rPr>
      </w:pPr>
      <w:r w:rsidRPr="00167B30">
        <w:rPr>
          <w:rStyle w:val="Znakapoznpodarou"/>
          <w:sz w:val="16"/>
          <w:szCs w:val="16"/>
        </w:rPr>
        <w:footnoteRef/>
      </w:r>
      <w:r w:rsidRPr="00167B30">
        <w:rPr>
          <w:sz w:val="16"/>
          <w:szCs w:val="16"/>
        </w:rPr>
        <w:t xml:space="preserve"> Podle metodiky čtvrtletních národních účtů (vývoz a</w:t>
      </w:r>
      <w:r>
        <w:rPr>
          <w:sz w:val="16"/>
          <w:szCs w:val="16"/>
        </w:rPr>
        <w:t> </w:t>
      </w:r>
      <w:r w:rsidRPr="00167B30">
        <w:rPr>
          <w:sz w:val="16"/>
          <w:szCs w:val="16"/>
        </w:rPr>
        <w:t>dovoz v ocenění FOB/FOB)</w:t>
      </w:r>
      <w:r>
        <w:rPr>
          <w:sz w:val="16"/>
          <w:szCs w:val="16"/>
        </w:rPr>
        <w:t xml:space="preserve">. Bilance zahraničního obchodu v běžných cenách </w:t>
      </w:r>
      <w:r>
        <w:rPr>
          <w:sz w:val="16"/>
          <w:szCs w:val="16"/>
        </w:rPr>
        <w:br/>
        <w:t>a po sezónním očištění.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35D04"/>
    <w:multiLevelType w:val="hybridMultilevel"/>
    <w:tmpl w:val="2684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4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3"/>
  </w:num>
  <w:num w:numId="27" w16cid:durableId="223610688">
    <w:abstractNumId w:val="44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6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5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4"/>
  </w:num>
  <w:num w:numId="48" w16cid:durableId="1639922006">
    <w:abstractNumId w:val="44"/>
    <w:lvlOverride w:ilvl="0">
      <w:startOverride w:val="1"/>
    </w:lvlOverride>
  </w:num>
  <w:num w:numId="49" w16cid:durableId="1509101590">
    <w:abstractNumId w:val="17"/>
  </w:num>
  <w:num w:numId="50" w16cid:durableId="14816520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6CFB"/>
    <w:rsid w:val="00087634"/>
    <w:rsid w:val="00087F2B"/>
    <w:rsid w:val="00090C0E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1202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18D0"/>
    <w:rsid w:val="000F33D4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098"/>
    <w:rsid w:val="001224E5"/>
    <w:rsid w:val="00124443"/>
    <w:rsid w:val="00124940"/>
    <w:rsid w:val="00125D69"/>
    <w:rsid w:val="001302D9"/>
    <w:rsid w:val="001403D0"/>
    <w:rsid w:val="001405FA"/>
    <w:rsid w:val="00142254"/>
    <w:rsid w:val="001425C3"/>
    <w:rsid w:val="001476BD"/>
    <w:rsid w:val="001477BA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93777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4738"/>
    <w:rsid w:val="001B6310"/>
    <w:rsid w:val="001B6C09"/>
    <w:rsid w:val="001B73E6"/>
    <w:rsid w:val="001C05CD"/>
    <w:rsid w:val="001C2AA7"/>
    <w:rsid w:val="001C3924"/>
    <w:rsid w:val="001C6020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07871"/>
    <w:rsid w:val="002118B9"/>
    <w:rsid w:val="00213E46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3A3C"/>
    <w:rsid w:val="00244A15"/>
    <w:rsid w:val="0024661A"/>
    <w:rsid w:val="00247319"/>
    <w:rsid w:val="0024741D"/>
    <w:rsid w:val="002475AC"/>
    <w:rsid w:val="0024799E"/>
    <w:rsid w:val="00247EE7"/>
    <w:rsid w:val="0025271C"/>
    <w:rsid w:val="00252D48"/>
    <w:rsid w:val="00253C0F"/>
    <w:rsid w:val="002558C1"/>
    <w:rsid w:val="00255B30"/>
    <w:rsid w:val="00261A17"/>
    <w:rsid w:val="0027099B"/>
    <w:rsid w:val="00271465"/>
    <w:rsid w:val="00275385"/>
    <w:rsid w:val="00281666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264B"/>
    <w:rsid w:val="002B4845"/>
    <w:rsid w:val="002B48B4"/>
    <w:rsid w:val="002C2FE9"/>
    <w:rsid w:val="002C3E17"/>
    <w:rsid w:val="002C43BD"/>
    <w:rsid w:val="002C5568"/>
    <w:rsid w:val="002D0E59"/>
    <w:rsid w:val="002E02A1"/>
    <w:rsid w:val="002E42AC"/>
    <w:rsid w:val="002E4E4C"/>
    <w:rsid w:val="002F2057"/>
    <w:rsid w:val="002F3E4F"/>
    <w:rsid w:val="002F40D1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2190"/>
    <w:rsid w:val="00340188"/>
    <w:rsid w:val="003421E1"/>
    <w:rsid w:val="0034226A"/>
    <w:rsid w:val="00343182"/>
    <w:rsid w:val="0034335E"/>
    <w:rsid w:val="00343701"/>
    <w:rsid w:val="00344668"/>
    <w:rsid w:val="003462D9"/>
    <w:rsid w:val="00352109"/>
    <w:rsid w:val="00360C86"/>
    <w:rsid w:val="00360FBC"/>
    <w:rsid w:val="00362E90"/>
    <w:rsid w:val="00364FA0"/>
    <w:rsid w:val="003657F3"/>
    <w:rsid w:val="00366591"/>
    <w:rsid w:val="00366647"/>
    <w:rsid w:val="00371826"/>
    <w:rsid w:val="00373504"/>
    <w:rsid w:val="00374FEF"/>
    <w:rsid w:val="0038123E"/>
    <w:rsid w:val="003818DC"/>
    <w:rsid w:val="00382C5B"/>
    <w:rsid w:val="00384327"/>
    <w:rsid w:val="00385D98"/>
    <w:rsid w:val="003A15ED"/>
    <w:rsid w:val="003A1A03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6BF6"/>
    <w:rsid w:val="003B7AFA"/>
    <w:rsid w:val="003C1099"/>
    <w:rsid w:val="003C16D0"/>
    <w:rsid w:val="003C3490"/>
    <w:rsid w:val="003C6550"/>
    <w:rsid w:val="003C79A6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95B"/>
    <w:rsid w:val="00416EB7"/>
    <w:rsid w:val="00420136"/>
    <w:rsid w:val="00421773"/>
    <w:rsid w:val="00432A58"/>
    <w:rsid w:val="00434617"/>
    <w:rsid w:val="00440900"/>
    <w:rsid w:val="00441BF6"/>
    <w:rsid w:val="00443556"/>
    <w:rsid w:val="004441A0"/>
    <w:rsid w:val="004455BA"/>
    <w:rsid w:val="00446D77"/>
    <w:rsid w:val="0045010F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87F47"/>
    <w:rsid w:val="004915CB"/>
    <w:rsid w:val="004924DC"/>
    <w:rsid w:val="004942C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0C"/>
    <w:rsid w:val="004E7C6B"/>
    <w:rsid w:val="004F06F5"/>
    <w:rsid w:val="004F16B2"/>
    <w:rsid w:val="004F2C1B"/>
    <w:rsid w:val="004F33A0"/>
    <w:rsid w:val="004F3A59"/>
    <w:rsid w:val="00501EBC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353A2"/>
    <w:rsid w:val="005402E9"/>
    <w:rsid w:val="00541508"/>
    <w:rsid w:val="00543498"/>
    <w:rsid w:val="00545512"/>
    <w:rsid w:val="00553016"/>
    <w:rsid w:val="0055599F"/>
    <w:rsid w:val="00556995"/>
    <w:rsid w:val="00556D68"/>
    <w:rsid w:val="005602C0"/>
    <w:rsid w:val="00563EB8"/>
    <w:rsid w:val="005647BF"/>
    <w:rsid w:val="0056486D"/>
    <w:rsid w:val="00564AF1"/>
    <w:rsid w:val="0056601A"/>
    <w:rsid w:val="005722EB"/>
    <w:rsid w:val="0057364B"/>
    <w:rsid w:val="0057452C"/>
    <w:rsid w:val="00574773"/>
    <w:rsid w:val="0058050D"/>
    <w:rsid w:val="0058308D"/>
    <w:rsid w:val="00583FFD"/>
    <w:rsid w:val="00591099"/>
    <w:rsid w:val="005911BE"/>
    <w:rsid w:val="00591330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7038"/>
    <w:rsid w:val="005A7128"/>
    <w:rsid w:val="005B121D"/>
    <w:rsid w:val="005B1BD0"/>
    <w:rsid w:val="005B3361"/>
    <w:rsid w:val="005C06ED"/>
    <w:rsid w:val="005C2609"/>
    <w:rsid w:val="005C3522"/>
    <w:rsid w:val="005C50BD"/>
    <w:rsid w:val="005C6CF0"/>
    <w:rsid w:val="005D0D46"/>
    <w:rsid w:val="005D2A72"/>
    <w:rsid w:val="005D4DDC"/>
    <w:rsid w:val="005D5802"/>
    <w:rsid w:val="005D7119"/>
    <w:rsid w:val="005D7241"/>
    <w:rsid w:val="005D7890"/>
    <w:rsid w:val="005E705E"/>
    <w:rsid w:val="005E7903"/>
    <w:rsid w:val="005E7C78"/>
    <w:rsid w:val="005F082A"/>
    <w:rsid w:val="005F18C5"/>
    <w:rsid w:val="005F3374"/>
    <w:rsid w:val="005F3491"/>
    <w:rsid w:val="005F3EB1"/>
    <w:rsid w:val="005F46D8"/>
    <w:rsid w:val="005F5469"/>
    <w:rsid w:val="0060201D"/>
    <w:rsid w:val="00603FF5"/>
    <w:rsid w:val="00604307"/>
    <w:rsid w:val="0060487F"/>
    <w:rsid w:val="00604EAD"/>
    <w:rsid w:val="00605D96"/>
    <w:rsid w:val="006104FB"/>
    <w:rsid w:val="00612A2F"/>
    <w:rsid w:val="0061390C"/>
    <w:rsid w:val="0061546D"/>
    <w:rsid w:val="006165E5"/>
    <w:rsid w:val="00616E05"/>
    <w:rsid w:val="00622275"/>
    <w:rsid w:val="00624093"/>
    <w:rsid w:val="00625F8F"/>
    <w:rsid w:val="00632F89"/>
    <w:rsid w:val="006350D5"/>
    <w:rsid w:val="006404A7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BD1"/>
    <w:rsid w:val="00675E37"/>
    <w:rsid w:val="006760C8"/>
    <w:rsid w:val="0068174E"/>
    <w:rsid w:val="00681DCE"/>
    <w:rsid w:val="0068260E"/>
    <w:rsid w:val="0068697A"/>
    <w:rsid w:val="00693594"/>
    <w:rsid w:val="00693FEC"/>
    <w:rsid w:val="0069490A"/>
    <w:rsid w:val="00695BEF"/>
    <w:rsid w:val="006977F6"/>
    <w:rsid w:val="00697A13"/>
    <w:rsid w:val="006A109C"/>
    <w:rsid w:val="006A2056"/>
    <w:rsid w:val="006A31AB"/>
    <w:rsid w:val="006A3832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6EC"/>
    <w:rsid w:val="006C6924"/>
    <w:rsid w:val="006C70EB"/>
    <w:rsid w:val="006C7CA6"/>
    <w:rsid w:val="006D3E8A"/>
    <w:rsid w:val="006D61F6"/>
    <w:rsid w:val="006E279A"/>
    <w:rsid w:val="006E313B"/>
    <w:rsid w:val="006E41EC"/>
    <w:rsid w:val="006E4254"/>
    <w:rsid w:val="006E50F8"/>
    <w:rsid w:val="006E6B4C"/>
    <w:rsid w:val="006E7227"/>
    <w:rsid w:val="006F438E"/>
    <w:rsid w:val="006F4AB0"/>
    <w:rsid w:val="006F5416"/>
    <w:rsid w:val="006F7076"/>
    <w:rsid w:val="00702448"/>
    <w:rsid w:val="007037C0"/>
    <w:rsid w:val="00705242"/>
    <w:rsid w:val="00706AD4"/>
    <w:rsid w:val="00707150"/>
    <w:rsid w:val="00710078"/>
    <w:rsid w:val="00710229"/>
    <w:rsid w:val="00710CD2"/>
    <w:rsid w:val="0071217E"/>
    <w:rsid w:val="00712600"/>
    <w:rsid w:val="0071340F"/>
    <w:rsid w:val="007140BE"/>
    <w:rsid w:val="007143B4"/>
    <w:rsid w:val="007211F5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35AD8"/>
    <w:rsid w:val="00741493"/>
    <w:rsid w:val="00743C34"/>
    <w:rsid w:val="007446ED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4BEB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835CD"/>
    <w:rsid w:val="00790711"/>
    <w:rsid w:val="00790764"/>
    <w:rsid w:val="0079124F"/>
    <w:rsid w:val="0079453C"/>
    <w:rsid w:val="00794677"/>
    <w:rsid w:val="007951E8"/>
    <w:rsid w:val="00795928"/>
    <w:rsid w:val="00797445"/>
    <w:rsid w:val="007A0CEC"/>
    <w:rsid w:val="007A37D6"/>
    <w:rsid w:val="007A3861"/>
    <w:rsid w:val="007A4577"/>
    <w:rsid w:val="007A516D"/>
    <w:rsid w:val="007B3597"/>
    <w:rsid w:val="007B5EB6"/>
    <w:rsid w:val="007B6203"/>
    <w:rsid w:val="007B6689"/>
    <w:rsid w:val="007C6BBD"/>
    <w:rsid w:val="007D293C"/>
    <w:rsid w:val="007D40DF"/>
    <w:rsid w:val="007E29B4"/>
    <w:rsid w:val="007E2BA5"/>
    <w:rsid w:val="007E435A"/>
    <w:rsid w:val="007E4A88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316C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3CC6"/>
    <w:rsid w:val="00854F24"/>
    <w:rsid w:val="00855408"/>
    <w:rsid w:val="00855712"/>
    <w:rsid w:val="00856D65"/>
    <w:rsid w:val="0085781D"/>
    <w:rsid w:val="00860007"/>
    <w:rsid w:val="00861B41"/>
    <w:rsid w:val="00861BE3"/>
    <w:rsid w:val="00863434"/>
    <w:rsid w:val="00865E4C"/>
    <w:rsid w:val="008701E4"/>
    <w:rsid w:val="0087052A"/>
    <w:rsid w:val="00871069"/>
    <w:rsid w:val="00875A32"/>
    <w:rsid w:val="00875B99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A7135"/>
    <w:rsid w:val="008B542E"/>
    <w:rsid w:val="008B5CF6"/>
    <w:rsid w:val="008B76AB"/>
    <w:rsid w:val="008B7C02"/>
    <w:rsid w:val="008B7D2B"/>
    <w:rsid w:val="008C0049"/>
    <w:rsid w:val="008C0E88"/>
    <w:rsid w:val="008C1968"/>
    <w:rsid w:val="008C4F74"/>
    <w:rsid w:val="008C53CB"/>
    <w:rsid w:val="008C6FD4"/>
    <w:rsid w:val="008D1BA1"/>
    <w:rsid w:val="008D1E6A"/>
    <w:rsid w:val="008D2A16"/>
    <w:rsid w:val="008D632C"/>
    <w:rsid w:val="008D6B35"/>
    <w:rsid w:val="008D75D9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279"/>
    <w:rsid w:val="00934464"/>
    <w:rsid w:val="00937AE2"/>
    <w:rsid w:val="00943853"/>
    <w:rsid w:val="0094427A"/>
    <w:rsid w:val="00945245"/>
    <w:rsid w:val="009452D0"/>
    <w:rsid w:val="00952289"/>
    <w:rsid w:val="00954BC5"/>
    <w:rsid w:val="00956572"/>
    <w:rsid w:val="00957309"/>
    <w:rsid w:val="0095759C"/>
    <w:rsid w:val="009607C5"/>
    <w:rsid w:val="00960A29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1731"/>
    <w:rsid w:val="00992CF3"/>
    <w:rsid w:val="00994868"/>
    <w:rsid w:val="0099574A"/>
    <w:rsid w:val="009968D6"/>
    <w:rsid w:val="009A1136"/>
    <w:rsid w:val="009A1CAB"/>
    <w:rsid w:val="009A60D1"/>
    <w:rsid w:val="009A7063"/>
    <w:rsid w:val="009B6FD3"/>
    <w:rsid w:val="009B8F42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4C0"/>
    <w:rsid w:val="00A40EAC"/>
    <w:rsid w:val="00A40EDD"/>
    <w:rsid w:val="00A418BC"/>
    <w:rsid w:val="00A41A20"/>
    <w:rsid w:val="00A41D7E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453F"/>
    <w:rsid w:val="00A754EA"/>
    <w:rsid w:val="00A75E40"/>
    <w:rsid w:val="00A770F4"/>
    <w:rsid w:val="00A77D1D"/>
    <w:rsid w:val="00A84A6A"/>
    <w:rsid w:val="00A857C0"/>
    <w:rsid w:val="00A85A4E"/>
    <w:rsid w:val="00A875AD"/>
    <w:rsid w:val="00A90FED"/>
    <w:rsid w:val="00AA2996"/>
    <w:rsid w:val="00AA2A70"/>
    <w:rsid w:val="00AA2DA1"/>
    <w:rsid w:val="00AA4B30"/>
    <w:rsid w:val="00AA52BF"/>
    <w:rsid w:val="00AA559A"/>
    <w:rsid w:val="00AB11E0"/>
    <w:rsid w:val="00AB2AF1"/>
    <w:rsid w:val="00AB4BB8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7E71"/>
    <w:rsid w:val="00B17FDE"/>
    <w:rsid w:val="00B2379C"/>
    <w:rsid w:val="00B25189"/>
    <w:rsid w:val="00B2648A"/>
    <w:rsid w:val="00B2687D"/>
    <w:rsid w:val="00B26897"/>
    <w:rsid w:val="00B32DDB"/>
    <w:rsid w:val="00B34528"/>
    <w:rsid w:val="00B34CC9"/>
    <w:rsid w:val="00B402FC"/>
    <w:rsid w:val="00B42C45"/>
    <w:rsid w:val="00B439DA"/>
    <w:rsid w:val="00B46604"/>
    <w:rsid w:val="00B50624"/>
    <w:rsid w:val="00B530CD"/>
    <w:rsid w:val="00B55F5E"/>
    <w:rsid w:val="00B5752E"/>
    <w:rsid w:val="00B615F8"/>
    <w:rsid w:val="00B63A11"/>
    <w:rsid w:val="00B63B6A"/>
    <w:rsid w:val="00B64C24"/>
    <w:rsid w:val="00B65232"/>
    <w:rsid w:val="00B6584F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1396"/>
    <w:rsid w:val="00B84CF6"/>
    <w:rsid w:val="00B857A1"/>
    <w:rsid w:val="00B87623"/>
    <w:rsid w:val="00B927F6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5F"/>
    <w:rsid w:val="00BF1578"/>
    <w:rsid w:val="00BF3B1D"/>
    <w:rsid w:val="00BF53A6"/>
    <w:rsid w:val="00BF5959"/>
    <w:rsid w:val="00BF6D32"/>
    <w:rsid w:val="00BF71A0"/>
    <w:rsid w:val="00BF723F"/>
    <w:rsid w:val="00BF7ED6"/>
    <w:rsid w:val="00C02943"/>
    <w:rsid w:val="00C145CE"/>
    <w:rsid w:val="00C16FB0"/>
    <w:rsid w:val="00C21F94"/>
    <w:rsid w:val="00C27913"/>
    <w:rsid w:val="00C27E4F"/>
    <w:rsid w:val="00C325AE"/>
    <w:rsid w:val="00C32964"/>
    <w:rsid w:val="00C33B68"/>
    <w:rsid w:val="00C36A79"/>
    <w:rsid w:val="00C36F5A"/>
    <w:rsid w:val="00C401D2"/>
    <w:rsid w:val="00C405D4"/>
    <w:rsid w:val="00C41A20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0427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82C"/>
    <w:rsid w:val="00C90CF4"/>
    <w:rsid w:val="00C92EB6"/>
    <w:rsid w:val="00C93389"/>
    <w:rsid w:val="00C96040"/>
    <w:rsid w:val="00C97237"/>
    <w:rsid w:val="00C9769E"/>
    <w:rsid w:val="00CA0914"/>
    <w:rsid w:val="00CA6AB4"/>
    <w:rsid w:val="00CA7BE7"/>
    <w:rsid w:val="00CB15D6"/>
    <w:rsid w:val="00CB2F3F"/>
    <w:rsid w:val="00CB4930"/>
    <w:rsid w:val="00CC0E87"/>
    <w:rsid w:val="00CC2E7D"/>
    <w:rsid w:val="00CC6B42"/>
    <w:rsid w:val="00CD10A5"/>
    <w:rsid w:val="00CD1F6B"/>
    <w:rsid w:val="00CD2076"/>
    <w:rsid w:val="00CD29B5"/>
    <w:rsid w:val="00CD6331"/>
    <w:rsid w:val="00CD7704"/>
    <w:rsid w:val="00CD7AFB"/>
    <w:rsid w:val="00CE3E57"/>
    <w:rsid w:val="00CE670B"/>
    <w:rsid w:val="00CF04C7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8DC"/>
    <w:rsid w:val="00D23C02"/>
    <w:rsid w:val="00D23F97"/>
    <w:rsid w:val="00D25F28"/>
    <w:rsid w:val="00D26071"/>
    <w:rsid w:val="00D27973"/>
    <w:rsid w:val="00D35E1A"/>
    <w:rsid w:val="00D373EA"/>
    <w:rsid w:val="00D37C1E"/>
    <w:rsid w:val="00D40B2B"/>
    <w:rsid w:val="00D40F7C"/>
    <w:rsid w:val="00D417B7"/>
    <w:rsid w:val="00D42211"/>
    <w:rsid w:val="00D42756"/>
    <w:rsid w:val="00D50F46"/>
    <w:rsid w:val="00D53EAD"/>
    <w:rsid w:val="00D567C6"/>
    <w:rsid w:val="00D57677"/>
    <w:rsid w:val="00D61DF8"/>
    <w:rsid w:val="00D66223"/>
    <w:rsid w:val="00D674D7"/>
    <w:rsid w:val="00D71625"/>
    <w:rsid w:val="00D73A8D"/>
    <w:rsid w:val="00D751DA"/>
    <w:rsid w:val="00D75205"/>
    <w:rsid w:val="00D8084C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4EDE"/>
    <w:rsid w:val="00DC5B3B"/>
    <w:rsid w:val="00DC6743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017C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551D2"/>
    <w:rsid w:val="00E6519D"/>
    <w:rsid w:val="00E67696"/>
    <w:rsid w:val="00E678BC"/>
    <w:rsid w:val="00E71654"/>
    <w:rsid w:val="00E71A58"/>
    <w:rsid w:val="00E72A7A"/>
    <w:rsid w:val="00E75C94"/>
    <w:rsid w:val="00E7677B"/>
    <w:rsid w:val="00E776FD"/>
    <w:rsid w:val="00E77A6B"/>
    <w:rsid w:val="00E8073E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24BB"/>
    <w:rsid w:val="00EB39C7"/>
    <w:rsid w:val="00EB3D8F"/>
    <w:rsid w:val="00EB4511"/>
    <w:rsid w:val="00EB4A12"/>
    <w:rsid w:val="00EC03D7"/>
    <w:rsid w:val="00EC15CC"/>
    <w:rsid w:val="00EC313D"/>
    <w:rsid w:val="00ED62C6"/>
    <w:rsid w:val="00ED64C1"/>
    <w:rsid w:val="00EE0E68"/>
    <w:rsid w:val="00EE3446"/>
    <w:rsid w:val="00EE3E78"/>
    <w:rsid w:val="00EE4B1B"/>
    <w:rsid w:val="00EE5B59"/>
    <w:rsid w:val="00EE7F19"/>
    <w:rsid w:val="00EF150D"/>
    <w:rsid w:val="00EF1F5A"/>
    <w:rsid w:val="00EF371C"/>
    <w:rsid w:val="00EF47BF"/>
    <w:rsid w:val="00EF6DB3"/>
    <w:rsid w:val="00F04811"/>
    <w:rsid w:val="00F0488C"/>
    <w:rsid w:val="00F066CF"/>
    <w:rsid w:val="00F06C9E"/>
    <w:rsid w:val="00F10F11"/>
    <w:rsid w:val="00F15AAA"/>
    <w:rsid w:val="00F15BEF"/>
    <w:rsid w:val="00F17E83"/>
    <w:rsid w:val="00F20B71"/>
    <w:rsid w:val="00F21780"/>
    <w:rsid w:val="00F24407"/>
    <w:rsid w:val="00F24931"/>
    <w:rsid w:val="00F24FAA"/>
    <w:rsid w:val="00F252A0"/>
    <w:rsid w:val="00F25B4A"/>
    <w:rsid w:val="00F25DEE"/>
    <w:rsid w:val="00F3364D"/>
    <w:rsid w:val="00F4081A"/>
    <w:rsid w:val="00F437CC"/>
    <w:rsid w:val="00F43E29"/>
    <w:rsid w:val="00F44537"/>
    <w:rsid w:val="00F44B6A"/>
    <w:rsid w:val="00F4587B"/>
    <w:rsid w:val="00F47067"/>
    <w:rsid w:val="00F50FC3"/>
    <w:rsid w:val="00F51087"/>
    <w:rsid w:val="00F5188A"/>
    <w:rsid w:val="00F52106"/>
    <w:rsid w:val="00F525EB"/>
    <w:rsid w:val="00F52AFF"/>
    <w:rsid w:val="00F545ED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76A1A"/>
    <w:rsid w:val="00F84E7D"/>
    <w:rsid w:val="00F85066"/>
    <w:rsid w:val="00F87A4D"/>
    <w:rsid w:val="00F90035"/>
    <w:rsid w:val="00F9212A"/>
    <w:rsid w:val="00F92283"/>
    <w:rsid w:val="00F9785E"/>
    <w:rsid w:val="00FA1E9B"/>
    <w:rsid w:val="00FA3B1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1A5F"/>
    <w:rsid w:val="00FD23FA"/>
    <w:rsid w:val="00FD3265"/>
    <w:rsid w:val="00FD5F92"/>
    <w:rsid w:val="00FD66F9"/>
    <w:rsid w:val="00FD78F8"/>
    <w:rsid w:val="00FE2F78"/>
    <w:rsid w:val="00FE402C"/>
    <w:rsid w:val="00FE470B"/>
    <w:rsid w:val="00FF4082"/>
    <w:rsid w:val="00FF7090"/>
    <w:rsid w:val="00FF7B96"/>
    <w:rsid w:val="010E6CF6"/>
    <w:rsid w:val="01C12A79"/>
    <w:rsid w:val="0274CEEB"/>
    <w:rsid w:val="068FDE2D"/>
    <w:rsid w:val="0715AD2B"/>
    <w:rsid w:val="07E2429D"/>
    <w:rsid w:val="08A8D553"/>
    <w:rsid w:val="0B987C70"/>
    <w:rsid w:val="0C4F5932"/>
    <w:rsid w:val="0CDADA5A"/>
    <w:rsid w:val="0D60D9AA"/>
    <w:rsid w:val="0F9A6A16"/>
    <w:rsid w:val="11D0C0D9"/>
    <w:rsid w:val="13CB842F"/>
    <w:rsid w:val="13F45D65"/>
    <w:rsid w:val="17193E37"/>
    <w:rsid w:val="1873E3C4"/>
    <w:rsid w:val="1941F3F6"/>
    <w:rsid w:val="1A33BA0B"/>
    <w:rsid w:val="1B2689A5"/>
    <w:rsid w:val="1C7F89FF"/>
    <w:rsid w:val="1F63A775"/>
    <w:rsid w:val="1FF29EC8"/>
    <w:rsid w:val="24E94C0C"/>
    <w:rsid w:val="26B06DF0"/>
    <w:rsid w:val="26E021B7"/>
    <w:rsid w:val="292D1013"/>
    <w:rsid w:val="2A7920C3"/>
    <w:rsid w:val="2A79D812"/>
    <w:rsid w:val="2C90AA00"/>
    <w:rsid w:val="2DB28FFA"/>
    <w:rsid w:val="304DB734"/>
    <w:rsid w:val="30D0B3BE"/>
    <w:rsid w:val="331BE13C"/>
    <w:rsid w:val="332C5513"/>
    <w:rsid w:val="34AC24B1"/>
    <w:rsid w:val="3547C370"/>
    <w:rsid w:val="36710FB5"/>
    <w:rsid w:val="36C06199"/>
    <w:rsid w:val="3A09C7D4"/>
    <w:rsid w:val="3A10C190"/>
    <w:rsid w:val="3D1A961D"/>
    <w:rsid w:val="40199337"/>
    <w:rsid w:val="40B601A1"/>
    <w:rsid w:val="416A2A6C"/>
    <w:rsid w:val="4237DD18"/>
    <w:rsid w:val="442C5944"/>
    <w:rsid w:val="4C532880"/>
    <w:rsid w:val="4D58776A"/>
    <w:rsid w:val="52985A95"/>
    <w:rsid w:val="52CC52E2"/>
    <w:rsid w:val="54C43EB7"/>
    <w:rsid w:val="55C2456F"/>
    <w:rsid w:val="5D089BC5"/>
    <w:rsid w:val="5DC219FF"/>
    <w:rsid w:val="5E9E82EF"/>
    <w:rsid w:val="614CA75B"/>
    <w:rsid w:val="620EDB10"/>
    <w:rsid w:val="62DFE06B"/>
    <w:rsid w:val="6526004C"/>
    <w:rsid w:val="66D2B563"/>
    <w:rsid w:val="6766E9C4"/>
    <w:rsid w:val="68A6219C"/>
    <w:rsid w:val="69AF073E"/>
    <w:rsid w:val="6AD8AC9F"/>
    <w:rsid w:val="6B2670A5"/>
    <w:rsid w:val="6D02C387"/>
    <w:rsid w:val="6E1EAC99"/>
    <w:rsid w:val="7365B279"/>
    <w:rsid w:val="78254C23"/>
    <w:rsid w:val="7934B909"/>
    <w:rsid w:val="7A8E97F6"/>
    <w:rsid w:val="7A9DC929"/>
    <w:rsid w:val="7AD10CA0"/>
    <w:rsid w:val="7B277DC5"/>
    <w:rsid w:val="7BDB84E4"/>
    <w:rsid w:val="7DB22EB4"/>
    <w:rsid w:val="7E11BEDC"/>
    <w:rsid w:val="7E305D59"/>
    <w:rsid w:val="7EFAE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6F256F2C-AFCA-4565-B6C6-99433E46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https://czsocz-my.sharepoint.com/personal/karolina_zabojnikova_czso_cz/Documents/Dokumenty/Anal&#253;za/Q/2026Q1/Makroanal&#253;za%20grafy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6Q1/Makroanal&#253;za%20graf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6Q1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8324257007767645E-2"/>
          <c:y val="2.3046636085626952E-2"/>
          <c:w val="0.92008633063154344"/>
          <c:h val="0.74192840256671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'souhrnná výkonnost 1'!$C$4</c:f>
              <c:strCache>
                <c:ptCount val="1"/>
                <c:pt idx="0">
                  <c:v>ČR meziroční změna</c:v>
                </c:pt>
              </c:strCache>
            </c:strRef>
          </c:tx>
          <c:spPr>
            <a:solidFill>
              <a:srgbClr val="85898E"/>
            </a:solidFill>
            <a:ln>
              <a:noFill/>
            </a:ln>
          </c:spPr>
          <c:invertIfNegative val="0"/>
          <c:cat>
            <c:multiLvlStrRef>
              <c:f>'souhrnná výkonnost 1'!$A$17:$B$37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'souhrnná výkonnost 1'!$C$17:$C$37</c:f>
              <c:numCache>
                <c:formatCode>0.0</c:formatCode>
                <c:ptCount val="21"/>
                <c:pt idx="0">
                  <c:v>-1.2664124847114806</c:v>
                </c:pt>
                <c:pt idx="1">
                  <c:v>9.7297062446547216</c:v>
                </c:pt>
                <c:pt idx="2">
                  <c:v>3.9961916951869227</c:v>
                </c:pt>
                <c:pt idx="3">
                  <c:v>3.9239124588274592</c:v>
                </c:pt>
                <c:pt idx="4">
                  <c:v>4.8491281313959291</c:v>
                </c:pt>
                <c:pt idx="5">
                  <c:v>3.6598190972935782</c:v>
                </c:pt>
                <c:pt idx="6">
                  <c:v>2.0291799214766684</c:v>
                </c:pt>
                <c:pt idx="7">
                  <c:v>0.95170963681438536</c:v>
                </c:pt>
                <c:pt idx="8">
                  <c:v>0.26248598087539676</c:v>
                </c:pt>
                <c:pt idx="9">
                  <c:v>0.21777400207922426</c:v>
                </c:pt>
                <c:pt idx="10">
                  <c:v>-0.2818883582691285</c:v>
                </c:pt>
                <c:pt idx="11">
                  <c:v>0.48633188147042006</c:v>
                </c:pt>
                <c:pt idx="12">
                  <c:v>0.50112217790925229</c:v>
                </c:pt>
                <c:pt idx="13">
                  <c:v>0.53795436954789011</c:v>
                </c:pt>
                <c:pt idx="14">
                  <c:v>1.5167845788735406</c:v>
                </c:pt>
                <c:pt idx="15">
                  <c:v>1.9540450586190872</c:v>
                </c:pt>
                <c:pt idx="16">
                  <c:v>2.4496387163872839</c:v>
                </c:pt>
                <c:pt idx="17">
                  <c:v>2.6083066304370561</c:v>
                </c:pt>
                <c:pt idx="18">
                  <c:v>2.8252489872001121</c:v>
                </c:pt>
                <c:pt idx="19">
                  <c:v>2.7039950068673164</c:v>
                </c:pt>
                <c:pt idx="20">
                  <c:v>2.1751341775400874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83-490F-BC6F-3BE1A5B19604}"/>
            </c:ext>
          </c:extLst>
        </c:ser>
        <c:ser>
          <c:idx val="1"/>
          <c:order val="1"/>
          <c:tx>
            <c:strRef>
              <c:f>'souhrnná výkonnost 1'!$D$4</c:f>
              <c:strCache>
                <c:ptCount val="1"/>
                <c:pt idx="0">
                  <c:v>EU27 meziroční změna</c:v>
                </c:pt>
              </c:strCache>
            </c:strRef>
          </c:tx>
          <c:spPr>
            <a:solidFill>
              <a:srgbClr val="B8BBC0"/>
            </a:solidFill>
            <a:ln>
              <a:noFill/>
            </a:ln>
          </c:spPr>
          <c:invertIfNegative val="0"/>
          <c:cat>
            <c:multiLvlStrRef>
              <c:f>'souhrnná výkonnost 1'!$A$17:$B$37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'souhrnná výkonnost 1'!$D$17:$D$37</c:f>
              <c:numCache>
                <c:formatCode>#\ ##0.##########</c:formatCode>
                <c:ptCount val="21"/>
                <c:pt idx="0">
                  <c:v>0.3</c:v>
                </c:pt>
                <c:pt idx="1">
                  <c:v>14.7</c:v>
                </c:pt>
                <c:pt idx="2">
                  <c:v>5.3</c:v>
                </c:pt>
                <c:pt idx="3">
                  <c:v>5.8</c:v>
                </c:pt>
                <c:pt idx="4">
                  <c:v>5.5</c:v>
                </c:pt>
                <c:pt idx="5">
                  <c:v>4.2</c:v>
                </c:pt>
                <c:pt idx="6">
                  <c:v>2.9</c:v>
                </c:pt>
                <c:pt idx="7">
                  <c:v>1.8</c:v>
                </c:pt>
                <c:pt idx="8">
                  <c:v>1.2</c:v>
                </c:pt>
                <c:pt idx="9">
                  <c:v>0.4</c:v>
                </c:pt>
                <c:pt idx="10">
                  <c:v>0.2</c:v>
                </c:pt>
                <c:pt idx="11">
                  <c:v>0.4</c:v>
                </c:pt>
                <c:pt idx="12">
                  <c:v>0.8</c:v>
                </c:pt>
                <c:pt idx="13">
                  <c:v>0.9</c:v>
                </c:pt>
                <c:pt idx="14">
                  <c:v>1.2</c:v>
                </c:pt>
                <c:pt idx="15">
                  <c:v>1.6</c:v>
                </c:pt>
                <c:pt idx="16">
                  <c:v>1.7</c:v>
                </c:pt>
                <c:pt idx="17">
                  <c:v>1.7</c:v>
                </c:pt>
                <c:pt idx="18">
                  <c:v>1.6</c:v>
                </c:pt>
                <c:pt idx="19">
                  <c:v>1.4</c:v>
                </c:pt>
                <c:pt idx="2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83-490F-BC6F-3BE1A5B196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67753344"/>
        <c:axId val="267767808"/>
      </c:barChart>
      <c:lineChart>
        <c:grouping val="standard"/>
        <c:varyColors val="0"/>
        <c:ser>
          <c:idx val="2"/>
          <c:order val="2"/>
          <c:tx>
            <c:strRef>
              <c:f>'souhrnná výkonnost 1'!$E$4</c:f>
              <c:strCache>
                <c:ptCount val="1"/>
                <c:pt idx="0">
                  <c:v>ČR mezičtvrtletní změna</c:v>
                </c:pt>
              </c:strCache>
            </c:strRef>
          </c:tx>
          <c:spPr>
            <a:ln w="19050">
              <a:noFill/>
            </a:ln>
          </c:spPr>
          <c:marker>
            <c:symbol val="dash"/>
            <c:size val="8"/>
            <c:spPr>
              <a:solidFill>
                <a:srgbClr val="009CB5"/>
              </a:solidFill>
              <a:ln>
                <a:noFill/>
              </a:ln>
            </c:spPr>
          </c:marker>
          <c:cat>
            <c:multiLvlStrRef>
              <c:f>'souhrnná výkonnost 1'!$A$17:$B$37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'souhrnná výkonnost 1'!$E$17:$E$37</c:f>
              <c:numCache>
                <c:formatCode>0.0</c:formatCode>
                <c:ptCount val="21"/>
                <c:pt idx="0">
                  <c:v>2.0267802636908527E-4</c:v>
                </c:pt>
                <c:pt idx="1">
                  <c:v>1.4533402357052267</c:v>
                </c:pt>
                <c:pt idx="2">
                  <c:v>1.724459823175593</c:v>
                </c:pt>
                <c:pt idx="3">
                  <c:v>0.69846851601238313</c:v>
                </c:pt>
                <c:pt idx="4">
                  <c:v>0.89048627675430225</c:v>
                </c:pt>
                <c:pt idx="5">
                  <c:v>0.30254979774397839</c:v>
                </c:pt>
                <c:pt idx="6">
                  <c:v>0.12426515979501573</c:v>
                </c:pt>
                <c:pt idx="7">
                  <c:v>-0.36494890653776224</c:v>
                </c:pt>
                <c:pt idx="8">
                  <c:v>0.20168060866517123</c:v>
                </c:pt>
                <c:pt idx="9">
                  <c:v>0.25781995251938383</c:v>
                </c:pt>
                <c:pt idx="10">
                  <c:v>-0.37493098735598096</c:v>
                </c:pt>
                <c:pt idx="11">
                  <c:v>0.4026314414784764</c:v>
                </c:pt>
                <c:pt idx="12">
                  <c:v>0.21642900809541743</c:v>
                </c:pt>
                <c:pt idx="13">
                  <c:v>0.29456297745026916</c:v>
                </c:pt>
                <c:pt idx="14">
                  <c:v>0.59501143654981092</c:v>
                </c:pt>
                <c:pt idx="15">
                  <c:v>0.83509295977751208</c:v>
                </c:pt>
                <c:pt idx="16">
                  <c:v>0.70357619869518828</c:v>
                </c:pt>
                <c:pt idx="17">
                  <c:v>0.44989323822568394</c:v>
                </c:pt>
                <c:pt idx="18">
                  <c:v>0.80769713009949839</c:v>
                </c:pt>
                <c:pt idx="19">
                  <c:v>0.71618581878803411</c:v>
                </c:pt>
                <c:pt idx="20">
                  <c:v>0.18501626515900682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83-490F-BC6F-3BE1A5B19604}"/>
            </c:ext>
          </c:extLst>
        </c:ser>
        <c:ser>
          <c:idx val="3"/>
          <c:order val="3"/>
          <c:tx>
            <c:strRef>
              <c:f>'souhrnná výkonnost 1'!$F$4</c:f>
              <c:strCache>
                <c:ptCount val="1"/>
                <c:pt idx="0">
                  <c:v>EU27 mezičtvrtletní změna</c:v>
                </c:pt>
              </c:strCache>
            </c:strRef>
          </c:tx>
          <c:spPr>
            <a:ln w="19050">
              <a:noFill/>
            </a:ln>
          </c:spPr>
          <c:marker>
            <c:symbol val="dash"/>
            <c:size val="8"/>
            <c:spPr>
              <a:solidFill>
                <a:srgbClr val="BC5B80"/>
              </a:solidFill>
              <a:ln>
                <a:noFill/>
              </a:ln>
            </c:spPr>
          </c:marker>
          <c:cat>
            <c:multiLvlStrRef>
              <c:f>'souhrnná výkonnost 1'!$A$17:$B$37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'souhrnná výkonnost 1'!$F$17:$F$37</c:f>
              <c:numCache>
                <c:formatCode>#\ ##0.##########</c:formatCode>
                <c:ptCount val="21"/>
                <c:pt idx="0" formatCode="#\ ##0.0">
                  <c:v>1</c:v>
                </c:pt>
                <c:pt idx="1">
                  <c:v>2.1</c:v>
                </c:pt>
                <c:pt idx="2">
                  <c:v>1.7</c:v>
                </c:pt>
                <c:pt idx="3">
                  <c:v>0.9</c:v>
                </c:pt>
                <c:pt idx="4">
                  <c:v>0.7</c:v>
                </c:pt>
                <c:pt idx="5">
                  <c:v>0.8</c:v>
                </c:pt>
                <c:pt idx="6">
                  <c:v>0.4</c:v>
                </c:pt>
                <c:pt idx="7">
                  <c:v>-0.2</c:v>
                </c:pt>
                <c:pt idx="8">
                  <c:v>0.1</c:v>
                </c:pt>
                <c:pt idx="9">
                  <c:v>0.1</c:v>
                </c:pt>
                <c:pt idx="10">
                  <c:v>0.2</c:v>
                </c:pt>
                <c:pt idx="11">
                  <c:v>0.1</c:v>
                </c:pt>
                <c:pt idx="12">
                  <c:v>0.4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  <c:pt idx="16">
                  <c:v>0.6</c:v>
                </c:pt>
                <c:pt idx="17">
                  <c:v>0.2</c:v>
                </c:pt>
                <c:pt idx="18">
                  <c:v>0.4</c:v>
                </c:pt>
                <c:pt idx="19">
                  <c:v>0.2</c:v>
                </c:pt>
                <c:pt idx="20">
                  <c:v>-0.1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83-490F-BC6F-3BE1A5B196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7753344"/>
        <c:axId val="267767808"/>
      </c:lineChart>
      <c:catAx>
        <c:axId val="267753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7767808"/>
        <c:crosses val="autoZero"/>
        <c:auto val="1"/>
        <c:lblAlgn val="ctr"/>
        <c:lblOffset val="100"/>
        <c:noMultiLvlLbl val="0"/>
      </c:catAx>
      <c:valAx>
        <c:axId val="267767808"/>
        <c:scaling>
          <c:orientation val="minMax"/>
          <c:min val="-2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7753344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8431906450523471E-2"/>
          <c:y val="0.89437255125717996"/>
          <c:w val="0.91838441404930771"/>
          <c:h val="9.0301755758791014E-2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629137115839245E-2"/>
          <c:y val="2.8458510079622041E-2"/>
          <c:w val="0.93688386524822698"/>
          <c:h val="0.67476668918158278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'souhrnná výkonnost 3'!$F$5</c:f>
              <c:strCache>
                <c:ptCount val="1"/>
                <c:pt idx="0">
                  <c:v>Bilance zahraničního obchodu</c:v>
                </c:pt>
              </c:strCache>
            </c:strRef>
          </c:tx>
          <c:spPr>
            <a:solidFill>
              <a:srgbClr val="86BF5E"/>
            </a:solidFill>
            <a:ln>
              <a:noFill/>
            </a:ln>
          </c:spPr>
          <c:invertIfNegative val="0"/>
          <c:cat>
            <c:multiLvlStrRef>
              <c:f>'souhrnná výkonnost 3'!$A$18:$B$38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'souhrnná výkonnost 3'!$F$18:$F$38</c:f>
              <c:numCache>
                <c:formatCode>#\ ##0.0</c:formatCode>
                <c:ptCount val="21"/>
                <c:pt idx="0">
                  <c:v>1.00806823267428</c:v>
                </c:pt>
                <c:pt idx="1">
                  <c:v>6.0445409199098634</c:v>
                </c:pt>
                <c:pt idx="2">
                  <c:v>-3.6147534072472292</c:v>
                </c:pt>
                <c:pt idx="3">
                  <c:v>-3.6138200235464661</c:v>
                </c:pt>
                <c:pt idx="4">
                  <c:v>-1.7829602338092709</c:v>
                </c:pt>
                <c:pt idx="5">
                  <c:v>-0.36779214215191103</c:v>
                </c:pt>
                <c:pt idx="6">
                  <c:v>3.4250247402899241</c:v>
                </c:pt>
                <c:pt idx="7">
                  <c:v>1.5571662732257714</c:v>
                </c:pt>
                <c:pt idx="8">
                  <c:v>1.389081636710952</c:v>
                </c:pt>
                <c:pt idx="9">
                  <c:v>2.0848251500495598</c:v>
                </c:pt>
                <c:pt idx="10">
                  <c:v>-6.9193170333818277E-2</c:v>
                </c:pt>
                <c:pt idx="11">
                  <c:v>1.9371733646297469</c:v>
                </c:pt>
                <c:pt idx="12">
                  <c:v>1.3656021569064456</c:v>
                </c:pt>
                <c:pt idx="13">
                  <c:v>0.55718364150554223</c:v>
                </c:pt>
                <c:pt idx="14">
                  <c:v>0.70240933543370643</c:v>
                </c:pt>
                <c:pt idx="15">
                  <c:v>-0.99272856503726026</c:v>
                </c:pt>
                <c:pt idx="16">
                  <c:v>-1.3199001057452975E-2</c:v>
                </c:pt>
                <c:pt idx="17">
                  <c:v>-0.37249125522928406</c:v>
                </c:pt>
                <c:pt idx="18">
                  <c:v>0.22837240950014248</c:v>
                </c:pt>
                <c:pt idx="19">
                  <c:v>0.66058632190954691</c:v>
                </c:pt>
                <c:pt idx="20">
                  <c:v>-0.27628000899772776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F9-4A20-97AC-CC210FD19757}"/>
            </c:ext>
          </c:extLst>
        </c:ser>
        <c:ser>
          <c:idx val="2"/>
          <c:order val="2"/>
          <c:tx>
            <c:strRef>
              <c:f>'souhrnná výkonnost 3'!$H$5</c:f>
              <c:strCache>
                <c:ptCount val="1"/>
                <c:pt idx="0">
                  <c:v>Změna zásob</c:v>
                </c:pt>
              </c:strCache>
            </c:strRef>
          </c:tx>
          <c:spPr>
            <a:solidFill>
              <a:srgbClr val="D8A7B7"/>
            </a:solidFill>
            <a:ln>
              <a:noFill/>
            </a:ln>
          </c:spPr>
          <c:invertIfNegative val="0"/>
          <c:cat>
            <c:multiLvlStrRef>
              <c:f>'souhrnná výkonnost 3'!$A$18:$B$38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'souhrnná výkonnost 3'!$H$18:$H$38</c:f>
              <c:numCache>
                <c:formatCode>#\ ##0.0</c:formatCode>
                <c:ptCount val="21"/>
                <c:pt idx="0">
                  <c:v>0.31270763257798917</c:v>
                </c:pt>
                <c:pt idx="1">
                  <c:v>0.61650741218595939</c:v>
                </c:pt>
                <c:pt idx="2">
                  <c:v>2.6077548225619727</c:v>
                </c:pt>
                <c:pt idx="3">
                  <c:v>1.4587483911788564</c:v>
                </c:pt>
                <c:pt idx="4">
                  <c:v>0.7370032046500693</c:v>
                </c:pt>
                <c:pt idx="5">
                  <c:v>1.6997333429922492</c:v>
                </c:pt>
                <c:pt idx="6">
                  <c:v>-0.76175295397537413</c:v>
                </c:pt>
                <c:pt idx="7">
                  <c:v>0.95369117492959898</c:v>
                </c:pt>
                <c:pt idx="8">
                  <c:v>0.47915445264561807</c:v>
                </c:pt>
                <c:pt idx="9">
                  <c:v>-1.4971510065677742</c:v>
                </c:pt>
                <c:pt idx="10">
                  <c:v>-0.50712143488440276</c:v>
                </c:pt>
                <c:pt idx="11">
                  <c:v>-3.4417223821981748</c:v>
                </c:pt>
                <c:pt idx="12">
                  <c:v>-2.7592900025370692</c:v>
                </c:pt>
                <c:pt idx="13">
                  <c:v>-0.69852262297165268</c:v>
                </c:pt>
                <c:pt idx="14">
                  <c:v>0.16687464100094435</c:v>
                </c:pt>
                <c:pt idx="15">
                  <c:v>2.62714578191486</c:v>
                </c:pt>
                <c:pt idx="16">
                  <c:v>1.7989758450549664</c:v>
                </c:pt>
                <c:pt idx="17">
                  <c:v>1.103020700234522</c:v>
                </c:pt>
                <c:pt idx="18">
                  <c:v>0.32836497151227773</c:v>
                </c:pt>
                <c:pt idx="19">
                  <c:v>-1.0187989555830181</c:v>
                </c:pt>
                <c:pt idx="20">
                  <c:v>-0.49205262022717611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F9-4A20-97AC-CC210FD19757}"/>
            </c:ext>
          </c:extLst>
        </c:ser>
        <c:ser>
          <c:idx val="3"/>
          <c:order val="3"/>
          <c:tx>
            <c:strRef>
              <c:f>'souhrnná výkonnost 3'!$G$5</c:f>
              <c:strCache>
                <c:ptCount val="1"/>
                <c:pt idx="0">
                  <c:v>Tvorba hrubého fixního kapitálu</c:v>
                </c:pt>
              </c:strCache>
            </c:strRef>
          </c:tx>
          <c:spPr>
            <a:solidFill>
              <a:srgbClr val="BC5B80"/>
            </a:solidFill>
            <a:ln>
              <a:noFill/>
            </a:ln>
          </c:spPr>
          <c:invertIfNegative val="0"/>
          <c:cat>
            <c:multiLvlStrRef>
              <c:f>'souhrnná výkonnost 3'!$A$18:$B$38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'souhrnná výkonnost 3'!$G$18:$G$38</c:f>
              <c:numCache>
                <c:formatCode>#\ ##0.0</c:formatCode>
                <c:ptCount val="21"/>
                <c:pt idx="0">
                  <c:v>0.19329716710704048</c:v>
                </c:pt>
                <c:pt idx="1">
                  <c:v>4.4129877412921126E-2</c:v>
                </c:pt>
                <c:pt idx="2">
                  <c:v>1.9442632515958205</c:v>
                </c:pt>
                <c:pt idx="3">
                  <c:v>2.0044020268363827</c:v>
                </c:pt>
                <c:pt idx="4">
                  <c:v>2.0518449819968736</c:v>
                </c:pt>
                <c:pt idx="5">
                  <c:v>1.4499382287130853</c:v>
                </c:pt>
                <c:pt idx="6">
                  <c:v>0.92691645618860796</c:v>
                </c:pt>
                <c:pt idx="7">
                  <c:v>0.8739358711392371</c:v>
                </c:pt>
                <c:pt idx="8">
                  <c:v>0.34095431774632395</c:v>
                </c:pt>
                <c:pt idx="9">
                  <c:v>0.87661322433525268</c:v>
                </c:pt>
                <c:pt idx="10">
                  <c:v>0.8151154367611948</c:v>
                </c:pt>
                <c:pt idx="11">
                  <c:v>0.96102158219447764</c:v>
                </c:pt>
                <c:pt idx="12">
                  <c:v>0.30346748665372919</c:v>
                </c:pt>
                <c:pt idx="13">
                  <c:v>-0.48069417125986957</c:v>
                </c:pt>
                <c:pt idx="14">
                  <c:v>-0.87280673126229236</c:v>
                </c:pt>
                <c:pt idx="15">
                  <c:v>-1.332707794600857</c:v>
                </c:pt>
                <c:pt idx="16">
                  <c:v>-0.43047333887175104</c:v>
                </c:pt>
                <c:pt idx="17">
                  <c:v>0.16326201125255804</c:v>
                </c:pt>
                <c:pt idx="18">
                  <c:v>0.65921022778049909</c:v>
                </c:pt>
                <c:pt idx="19">
                  <c:v>1.5599477032872844</c:v>
                </c:pt>
                <c:pt idx="20">
                  <c:v>1.5793144987945029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F9-4A20-97AC-CC210FD19757}"/>
            </c:ext>
          </c:extLst>
        </c:ser>
        <c:ser>
          <c:idx val="5"/>
          <c:order val="4"/>
          <c:tx>
            <c:strRef>
              <c:f>'souhrnná výkonnost 3'!$D$5</c:f>
              <c:strCache>
                <c:ptCount val="1"/>
                <c:pt idx="0">
                  <c:v>Výdaje na konečnou spotřebu domácností (vč. nezisk. inst.)</c:v>
                </c:pt>
              </c:strCache>
            </c:strRef>
          </c:tx>
          <c:spPr>
            <a:solidFill>
              <a:srgbClr val="009CB5"/>
            </a:solidFill>
            <a:ln>
              <a:noFill/>
            </a:ln>
          </c:spPr>
          <c:invertIfNegative val="0"/>
          <c:cat>
            <c:multiLvlStrRef>
              <c:f>'souhrnná výkonnost 3'!$A$18:$B$38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'souhrnná výkonnost 3'!$D$18:$D$38</c:f>
              <c:numCache>
                <c:formatCode>#\ ##0.0</c:formatCode>
                <c:ptCount val="21"/>
                <c:pt idx="0">
                  <c:v>-2.7114582495040898</c:v>
                </c:pt>
                <c:pt idx="1">
                  <c:v>3.0643008969551713</c:v>
                </c:pt>
                <c:pt idx="2">
                  <c:v>1.9670161927809442</c:v>
                </c:pt>
                <c:pt idx="3">
                  <c:v>3.8180993600086053</c:v>
                </c:pt>
                <c:pt idx="4">
                  <c:v>3.31386782283117</c:v>
                </c:pt>
                <c:pt idx="5">
                  <c:v>0.16881001369198514</c:v>
                </c:pt>
                <c:pt idx="6">
                  <c:v>-1.3101813511687193</c:v>
                </c:pt>
                <c:pt idx="7">
                  <c:v>-2.089708487125038</c:v>
                </c:pt>
                <c:pt idx="8">
                  <c:v>-2.6013321896959831</c:v>
                </c:pt>
                <c:pt idx="9">
                  <c:v>-1.7057384010523833</c:v>
                </c:pt>
                <c:pt idx="10">
                  <c:v>-1.1009050834144585</c:v>
                </c:pt>
                <c:pt idx="11">
                  <c:v>0.28178742175377886</c:v>
                </c:pt>
                <c:pt idx="12">
                  <c:v>1.0137894571059509</c:v>
                </c:pt>
                <c:pt idx="13">
                  <c:v>0.32301326056167923</c:v>
                </c:pt>
                <c:pt idx="14">
                  <c:v>0.74204257138144858</c:v>
                </c:pt>
                <c:pt idx="15">
                  <c:v>0.97184134487184903</c:v>
                </c:pt>
                <c:pt idx="16">
                  <c:v>0.70383084310100519</c:v>
                </c:pt>
                <c:pt idx="17">
                  <c:v>1.2338486628719725</c:v>
                </c:pt>
                <c:pt idx="18">
                  <c:v>1.1295886260463117</c:v>
                </c:pt>
                <c:pt idx="19">
                  <c:v>1.1358649742523339</c:v>
                </c:pt>
                <c:pt idx="20">
                  <c:v>1.0512848208465839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F9-4A20-97AC-CC210FD19757}"/>
            </c:ext>
          </c:extLst>
        </c:ser>
        <c:ser>
          <c:idx val="4"/>
          <c:order val="5"/>
          <c:tx>
            <c:strRef>
              <c:f>'souhrnná výkonnost 3'!$E$5</c:f>
              <c:strCache>
                <c:ptCount val="1"/>
                <c:pt idx="0">
                  <c:v>Výdaje na konečnou spotřebu vládních institucí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</c:spPr>
          <c:invertIfNegative val="0"/>
          <c:cat>
            <c:multiLvlStrRef>
              <c:f>'souhrnná výkonnost 3'!$A$18:$B$38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'souhrnná výkonnost 3'!$E$18:$E$38</c:f>
              <c:numCache>
                <c:formatCode>#\ ##0.0</c:formatCode>
                <c:ptCount val="21"/>
                <c:pt idx="0">
                  <c:v>-0.11329209027996652</c:v>
                </c:pt>
                <c:pt idx="1">
                  <c:v>-7.0904860317901872E-2</c:v>
                </c:pt>
                <c:pt idx="2">
                  <c:v>0.99024135484615394</c:v>
                </c:pt>
                <c:pt idx="3">
                  <c:v>8.7306640760843102E-2</c:v>
                </c:pt>
                <c:pt idx="4">
                  <c:v>0.39862222919793239</c:v>
                </c:pt>
                <c:pt idx="5">
                  <c:v>0.55855858849053874</c:v>
                </c:pt>
                <c:pt idx="6">
                  <c:v>-0.333976366812193</c:v>
                </c:pt>
                <c:pt idx="7">
                  <c:v>-0.31055874129171235</c:v>
                </c:pt>
                <c:pt idx="8">
                  <c:v>0.59888687487615944</c:v>
                </c:pt>
                <c:pt idx="9">
                  <c:v>0.46547224810803889</c:v>
                </c:pt>
                <c:pt idx="10">
                  <c:v>0.57996402837612049</c:v>
                </c:pt>
                <c:pt idx="11">
                  <c:v>0.62077939777900504</c:v>
                </c:pt>
                <c:pt idx="12">
                  <c:v>0.4976218135363028</c:v>
                </c:pt>
                <c:pt idx="13">
                  <c:v>0.71118296182321328</c:v>
                </c:pt>
                <c:pt idx="14">
                  <c:v>0.64263920955276566</c:v>
                </c:pt>
                <c:pt idx="15">
                  <c:v>0.61804008890538431</c:v>
                </c:pt>
                <c:pt idx="16">
                  <c:v>0.36626683873009958</c:v>
                </c:pt>
                <c:pt idx="17">
                  <c:v>0.4481340495672218</c:v>
                </c:pt>
                <c:pt idx="18">
                  <c:v>0.45493249084593934</c:v>
                </c:pt>
                <c:pt idx="19">
                  <c:v>0.32327137408282047</c:v>
                </c:pt>
                <c:pt idx="20">
                  <c:v>0.29881152583060794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F9-4A20-97AC-CC210FD197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267591040"/>
        <c:axId val="267605120"/>
      </c:barChart>
      <c:lineChart>
        <c:grouping val="standard"/>
        <c:varyColors val="0"/>
        <c:ser>
          <c:idx val="0"/>
          <c:order val="0"/>
          <c:tx>
            <c:strRef>
              <c:f>'souhrnná výkonnost 3'!$C$5</c:f>
              <c:strCache>
                <c:ptCount val="1"/>
                <c:pt idx="0">
                  <c:v>HDP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'souhrnná výkonnost 3'!$A$18:$B$38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'souhrnná výkonnost 3'!$C$18:$C$38</c:f>
              <c:numCache>
                <c:formatCode>#\ ##0.0</c:formatCode>
                <c:ptCount val="21"/>
                <c:pt idx="0">
                  <c:v>-1.2664242830816619</c:v>
                </c:pt>
                <c:pt idx="1">
                  <c:v>9.7297344586924766</c:v>
                </c:pt>
                <c:pt idx="2">
                  <c:v>3.996179947304455</c:v>
                </c:pt>
                <c:pt idx="3">
                  <c:v>3.9239119810993373</c:v>
                </c:pt>
                <c:pt idx="4">
                  <c:v>4.8491184646536567</c:v>
                </c:pt>
                <c:pt idx="5">
                  <c:v>3.6598013831556528</c:v>
                </c:pt>
                <c:pt idx="6">
                  <c:v>2.0291770951442913</c:v>
                </c:pt>
                <c:pt idx="7">
                  <c:v>0.95170578002515072</c:v>
                </c:pt>
                <c:pt idx="8">
                  <c:v>0.26249013974401691</c:v>
                </c:pt>
                <c:pt idx="9">
                  <c:v>0.21779356784705328</c:v>
                </c:pt>
                <c:pt idx="10">
                  <c:v>-0.28185838328641921</c:v>
                </c:pt>
                <c:pt idx="11">
                  <c:v>0.48630488598595889</c:v>
                </c:pt>
                <c:pt idx="12">
                  <c:v>0.50109966208633239</c:v>
                </c:pt>
                <c:pt idx="13">
                  <c:v>0.53792839687616834</c:v>
                </c:pt>
                <c:pt idx="14">
                  <c:v>1.5167593336196603</c:v>
                </c:pt>
                <c:pt idx="15">
                  <c:v>1.9540920716112566</c:v>
                </c:pt>
                <c:pt idx="16">
                  <c:v>2.4496853038660049</c:v>
                </c:pt>
                <c:pt idx="17">
                  <c:v>2.6083300148472972</c:v>
                </c:pt>
                <c:pt idx="18">
                  <c:v>2.8252335337520407</c:v>
                </c:pt>
                <c:pt idx="19">
                  <c:v>2.7040027292761408</c:v>
                </c:pt>
                <c:pt idx="20">
                  <c:v>2.1751409438771674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0F9-4A20-97AC-CC210FD197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7591040"/>
        <c:axId val="267605120"/>
      </c:lineChart>
      <c:catAx>
        <c:axId val="26759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7605120"/>
        <c:crosses val="autoZero"/>
        <c:auto val="1"/>
        <c:lblAlgn val="ctr"/>
        <c:lblOffset val="100"/>
        <c:noMultiLvlLbl val="0"/>
      </c:catAx>
      <c:valAx>
        <c:axId val="267605120"/>
        <c:scaling>
          <c:orientation val="minMax"/>
          <c:max val="10"/>
          <c:min val="-4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7591040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4.7571766295170556E-2"/>
          <c:y val="0.81445992344928519"/>
          <c:w val="0.94432624113475194"/>
          <c:h val="0.17481734774287963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126857480580882E-2"/>
          <c:y val="2.9499886988623526E-2"/>
          <c:w val="0.9260266801756164"/>
          <c:h val="0.63445260610154264"/>
        </c:manualLayout>
      </c:layout>
      <c:barChart>
        <c:barDir val="col"/>
        <c:grouping val="stacked"/>
        <c:varyColors val="0"/>
        <c:ser>
          <c:idx val="4"/>
          <c:order val="0"/>
          <c:tx>
            <c:strRef>
              <c:f>'souhrnná výkonnost 4'!$C$5</c:f>
              <c:strCache>
                <c:ptCount val="1"/>
                <c:pt idx="0">
                  <c:v>Zemědělství, lesnictví a rybářství</c:v>
                </c:pt>
              </c:strCache>
            </c:strRef>
          </c:tx>
          <c:spPr>
            <a:solidFill>
              <a:srgbClr val="86BF5E"/>
            </a:solidFill>
            <a:ln>
              <a:noFill/>
            </a:ln>
          </c:spPr>
          <c:invertIfNegative val="0"/>
          <c:val>
            <c:numRef>
              <c:f>'souhrnná výkonnost 4'!$C$18:$C$38</c:f>
              <c:numCache>
                <c:formatCode>#\ ##0.0</c:formatCode>
                <c:ptCount val="21"/>
                <c:pt idx="0">
                  <c:v>-0.21896810900573507</c:v>
                </c:pt>
                <c:pt idx="1">
                  <c:v>-0.35546246774022089</c:v>
                </c:pt>
                <c:pt idx="2">
                  <c:v>-0.31345773827216172</c:v>
                </c:pt>
                <c:pt idx="3">
                  <c:v>-0.28221462677607811</c:v>
                </c:pt>
                <c:pt idx="4">
                  <c:v>-2.7607081723218754E-2</c:v>
                </c:pt>
                <c:pt idx="5">
                  <c:v>8.8416510484459823E-2</c:v>
                </c:pt>
                <c:pt idx="6">
                  <c:v>0.11003669694477575</c:v>
                </c:pt>
                <c:pt idx="7">
                  <c:v>-7.1734601521123695E-2</c:v>
                </c:pt>
                <c:pt idx="8">
                  <c:v>0.55251546503756477</c:v>
                </c:pt>
                <c:pt idx="9">
                  <c:v>0.43246198901845179</c:v>
                </c:pt>
                <c:pt idx="10">
                  <c:v>0.26031798923309352</c:v>
                </c:pt>
                <c:pt idx="11">
                  <c:v>0.57187060565368231</c:v>
                </c:pt>
                <c:pt idx="12">
                  <c:v>-9.2484293084104385E-2</c:v>
                </c:pt>
                <c:pt idx="13">
                  <c:v>1.5763907422232673E-2</c:v>
                </c:pt>
                <c:pt idx="14">
                  <c:v>0.16060866097379706</c:v>
                </c:pt>
                <c:pt idx="15">
                  <c:v>4.0801953905620608E-2</c:v>
                </c:pt>
                <c:pt idx="16">
                  <c:v>6.5654131129579504E-2</c:v>
                </c:pt>
                <c:pt idx="17">
                  <c:v>6.9043928796748366E-2</c:v>
                </c:pt>
                <c:pt idx="18">
                  <c:v>7.6007698390774758E-2</c:v>
                </c:pt>
                <c:pt idx="19">
                  <c:v>7.2919425265978249E-2</c:v>
                </c:pt>
                <c:pt idx="20">
                  <c:v>8.1996505992271637E-2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7A-4B91-A277-6DD81913D9A6}"/>
            </c:ext>
          </c:extLst>
        </c:ser>
        <c:ser>
          <c:idx val="3"/>
          <c:order val="1"/>
          <c:tx>
            <c:strRef>
              <c:f>'souhrnná výkonnost 4'!$D$5</c:f>
              <c:strCache>
                <c:ptCount val="1"/>
                <c:pt idx="0">
                  <c:v>Zpracovatelský průmysl (CZ-NACE C)</c:v>
                </c:pt>
              </c:strCache>
            </c:strRef>
          </c:tx>
          <c:spPr>
            <a:solidFill>
              <a:srgbClr val="009CB5"/>
            </a:solidFill>
            <a:ln>
              <a:noFill/>
            </a:ln>
          </c:spPr>
          <c:invertIfNegative val="0"/>
          <c:val>
            <c:numRef>
              <c:f>'souhrnná výkonnost 4'!$D$18:$D$38</c:f>
              <c:numCache>
                <c:formatCode>#\ ##0.0</c:formatCode>
                <c:ptCount val="21"/>
                <c:pt idx="0">
                  <c:v>-0.79750382840225398</c:v>
                </c:pt>
                <c:pt idx="1">
                  <c:v>3.9909379237888789</c:v>
                </c:pt>
                <c:pt idx="2">
                  <c:v>-0.74858711455149796</c:v>
                </c:pt>
                <c:pt idx="3">
                  <c:v>-0.90527326488749837</c:v>
                </c:pt>
                <c:pt idx="4">
                  <c:v>0.68544605235729006</c:v>
                </c:pt>
                <c:pt idx="5">
                  <c:v>1.6014259985527444</c:v>
                </c:pt>
                <c:pt idx="6">
                  <c:v>2.2123375450016312</c:v>
                </c:pt>
                <c:pt idx="7">
                  <c:v>2.6313203520667794</c:v>
                </c:pt>
                <c:pt idx="8">
                  <c:v>1.6312980907507209</c:v>
                </c:pt>
                <c:pt idx="9">
                  <c:v>1.105966757109025</c:v>
                </c:pt>
                <c:pt idx="10">
                  <c:v>0.58899302624669825</c:v>
                </c:pt>
                <c:pt idx="11">
                  <c:v>0.50026396716330868</c:v>
                </c:pt>
                <c:pt idx="12">
                  <c:v>-0.97314885656961803</c:v>
                </c:pt>
                <c:pt idx="13">
                  <c:v>-1.3133220466188547</c:v>
                </c:pt>
                <c:pt idx="14">
                  <c:v>-0.73770683474410603</c:v>
                </c:pt>
                <c:pt idx="15">
                  <c:v>-1.0591488873237926</c:v>
                </c:pt>
                <c:pt idx="16">
                  <c:v>9.3115286229573865E-2</c:v>
                </c:pt>
                <c:pt idx="17">
                  <c:v>0.38216956516679429</c:v>
                </c:pt>
                <c:pt idx="18">
                  <c:v>8.3428916096159475E-2</c:v>
                </c:pt>
                <c:pt idx="19">
                  <c:v>0.50124098326056421</c:v>
                </c:pt>
                <c:pt idx="20">
                  <c:v>0.3754056807807839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7A-4B91-A277-6DD81913D9A6}"/>
            </c:ext>
          </c:extLst>
        </c:ser>
        <c:ser>
          <c:idx val="2"/>
          <c:order val="2"/>
          <c:tx>
            <c:strRef>
              <c:f>'souhrnná výkonnost 4'!$E$5</c:f>
              <c:strCache>
                <c:ptCount val="1"/>
                <c:pt idx="0">
                  <c:v>Ostatní průmyslová odvětví (CZ-NACE B, D, E)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</c:spPr>
          <c:invertIfNegative val="0"/>
          <c:val>
            <c:numRef>
              <c:f>'souhrnná výkonnost 4'!$E$18:$E$38</c:f>
              <c:numCache>
                <c:formatCode>#\ ##0.0</c:formatCode>
                <c:ptCount val="21"/>
                <c:pt idx="0">
                  <c:v>0.37090166603725971</c:v>
                </c:pt>
                <c:pt idx="1">
                  <c:v>0.43449287266447101</c:v>
                </c:pt>
                <c:pt idx="2">
                  <c:v>0.30466221362414897</c:v>
                </c:pt>
                <c:pt idx="3">
                  <c:v>1.7094673925321713E-2</c:v>
                </c:pt>
                <c:pt idx="4">
                  <c:v>-0.49498548983118773</c:v>
                </c:pt>
                <c:pt idx="5">
                  <c:v>-0.36703909153071357</c:v>
                </c:pt>
                <c:pt idx="6">
                  <c:v>-0.58289817942589317</c:v>
                </c:pt>
                <c:pt idx="7">
                  <c:v>-0.85284564576950173</c:v>
                </c:pt>
                <c:pt idx="8">
                  <c:v>-0.72089004231394793</c:v>
                </c:pt>
                <c:pt idx="9">
                  <c:v>-0.9587984772254694</c:v>
                </c:pt>
                <c:pt idx="10">
                  <c:v>-0.86317511484719223</c:v>
                </c:pt>
                <c:pt idx="11">
                  <c:v>-0.50223553688522504</c:v>
                </c:pt>
                <c:pt idx="12">
                  <c:v>-7.7240003452301531E-2</c:v>
                </c:pt>
                <c:pt idx="13">
                  <c:v>0.12703981604473547</c:v>
                </c:pt>
                <c:pt idx="14">
                  <c:v>0.25583372727332165</c:v>
                </c:pt>
                <c:pt idx="15">
                  <c:v>0.18500163447617468</c:v>
                </c:pt>
                <c:pt idx="16">
                  <c:v>0.10754722683208061</c:v>
                </c:pt>
                <c:pt idx="17">
                  <c:v>0.15639214944155838</c:v>
                </c:pt>
                <c:pt idx="18">
                  <c:v>5.1020985289634349E-2</c:v>
                </c:pt>
                <c:pt idx="19">
                  <c:v>-2.0902286338179865E-2</c:v>
                </c:pt>
                <c:pt idx="20">
                  <c:v>-4.0786382491948714E-2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7A-4B91-A277-6DD81913D9A6}"/>
            </c:ext>
          </c:extLst>
        </c:ser>
        <c:ser>
          <c:idx val="1"/>
          <c:order val="3"/>
          <c:tx>
            <c:strRef>
              <c:f>'souhrnná výkonnost 4'!$F$5</c:f>
              <c:strCache>
                <c:ptCount val="1"/>
                <c:pt idx="0">
                  <c:v>Stavebnictví</c:v>
                </c:pt>
              </c:strCache>
            </c:strRef>
          </c:tx>
          <c:spPr>
            <a:solidFill>
              <a:srgbClr val="174F70"/>
            </a:solidFill>
            <a:ln>
              <a:noFill/>
            </a:ln>
          </c:spPr>
          <c:invertIfNegative val="0"/>
          <c:val>
            <c:numRef>
              <c:f>'souhrnná výkonnost 4'!$F$18:$F$38</c:f>
              <c:numCache>
                <c:formatCode>#\ ##0.0</c:formatCode>
                <c:ptCount val="21"/>
                <c:pt idx="0">
                  <c:v>-0.33833459958051637</c:v>
                </c:pt>
                <c:pt idx="1">
                  <c:v>-6.4883402484855884E-2</c:v>
                </c:pt>
                <c:pt idx="2">
                  <c:v>-5.6735775192007655E-2</c:v>
                </c:pt>
                <c:pt idx="3">
                  <c:v>-0.11209281400825521</c:v>
                </c:pt>
                <c:pt idx="4">
                  <c:v>-0.10546033608204923</c:v>
                </c:pt>
                <c:pt idx="5">
                  <c:v>-0.29054660345106559</c:v>
                </c:pt>
                <c:pt idx="6">
                  <c:v>-0.451821017159387</c:v>
                </c:pt>
                <c:pt idx="7">
                  <c:v>-0.32901397344166938</c:v>
                </c:pt>
                <c:pt idx="8">
                  <c:v>-0.13840591105504113</c:v>
                </c:pt>
                <c:pt idx="9">
                  <c:v>-1.2903984714601602E-2</c:v>
                </c:pt>
                <c:pt idx="10">
                  <c:v>0.1616031723963629</c:v>
                </c:pt>
                <c:pt idx="11">
                  <c:v>3.5760466298751591E-2</c:v>
                </c:pt>
                <c:pt idx="12">
                  <c:v>3.2788154642874101E-2</c:v>
                </c:pt>
                <c:pt idx="13">
                  <c:v>2.0320941881718829E-2</c:v>
                </c:pt>
                <c:pt idx="14">
                  <c:v>2.2792210802845641E-2</c:v>
                </c:pt>
                <c:pt idx="15">
                  <c:v>0.12360584964670659</c:v>
                </c:pt>
                <c:pt idx="16">
                  <c:v>0.26331029588918681</c:v>
                </c:pt>
                <c:pt idx="17">
                  <c:v>0.37984526323372786</c:v>
                </c:pt>
                <c:pt idx="18">
                  <c:v>0.55216207269562212</c:v>
                </c:pt>
                <c:pt idx="19">
                  <c:v>0.30412278808081189</c:v>
                </c:pt>
                <c:pt idx="20">
                  <c:v>0.1242417286438661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27A-4B91-A277-6DD81913D9A6}"/>
            </c:ext>
          </c:extLst>
        </c:ser>
        <c:ser>
          <c:idx val="0"/>
          <c:order val="4"/>
          <c:tx>
            <c:strRef>
              <c:f>'souhrnná výkonnost 4'!$G$5</c:f>
              <c:strCache>
                <c:ptCount val="1"/>
                <c:pt idx="0">
                  <c:v>Služby (CZ-NACE G až U)</c:v>
                </c:pt>
              </c:strCache>
            </c:strRef>
          </c:tx>
          <c:spPr>
            <a:solidFill>
              <a:srgbClr val="BC5B80"/>
            </a:solidFill>
            <a:ln>
              <a:noFill/>
            </a:ln>
          </c:spPr>
          <c:invertIfNegative val="0"/>
          <c:val>
            <c:numRef>
              <c:f>'souhrnná výkonnost 4'!$G$18:$G$38</c:f>
              <c:numCache>
                <c:formatCode>#\ ##0.0</c:formatCode>
                <c:ptCount val="21"/>
                <c:pt idx="0">
                  <c:v>-0.13287358134730987</c:v>
                </c:pt>
                <c:pt idx="1">
                  <c:v>6.0094667700580624</c:v>
                </c:pt>
                <c:pt idx="2">
                  <c:v>4.4583427477661246</c:v>
                </c:pt>
                <c:pt idx="3">
                  <c:v>4.7441380023749824</c:v>
                </c:pt>
                <c:pt idx="4">
                  <c:v>4.2794753272124808</c:v>
                </c:pt>
                <c:pt idx="5">
                  <c:v>2.6644708506253814</c:v>
                </c:pt>
                <c:pt idx="6">
                  <c:v>0.75291420064175929</c:v>
                </c:pt>
                <c:pt idx="7">
                  <c:v>0.24070555003152422</c:v>
                </c:pt>
                <c:pt idx="8">
                  <c:v>0.21267121835186337</c:v>
                </c:pt>
                <c:pt idx="9">
                  <c:v>9.5064594177366207E-2</c:v>
                </c:pt>
                <c:pt idx="10">
                  <c:v>0.17753332068364941</c:v>
                </c:pt>
                <c:pt idx="11">
                  <c:v>-0.33669513337032031</c:v>
                </c:pt>
                <c:pt idx="12">
                  <c:v>0.5628897258482618</c:v>
                </c:pt>
                <c:pt idx="13">
                  <c:v>1.1508415136414849</c:v>
                </c:pt>
                <c:pt idx="14">
                  <c:v>1.3525782035243568</c:v>
                </c:pt>
                <c:pt idx="15">
                  <c:v>2.1230818104608744</c:v>
                </c:pt>
                <c:pt idx="16">
                  <c:v>2.0802195655764173</c:v>
                </c:pt>
                <c:pt idx="17">
                  <c:v>1.7795726785744532</c:v>
                </c:pt>
                <c:pt idx="18">
                  <c:v>2.0859743634175101</c:v>
                </c:pt>
                <c:pt idx="19">
                  <c:v>1.8646308648360523</c:v>
                </c:pt>
                <c:pt idx="20">
                  <c:v>1.5337017563392064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7A-4B91-A277-6DD81913D9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100"/>
        <c:axId val="269005952"/>
        <c:axId val="269007488"/>
      </c:barChart>
      <c:lineChart>
        <c:grouping val="standard"/>
        <c:varyColors val="0"/>
        <c:ser>
          <c:idx val="5"/>
          <c:order val="5"/>
          <c:tx>
            <c:strRef>
              <c:f>'souhrnná výkonnost 4'!$H$5</c:f>
              <c:strCache>
                <c:ptCount val="1"/>
                <c:pt idx="0">
                  <c:v>Hrubá přidaná hodnota celkem</c:v>
                </c:pt>
              </c:strCache>
            </c:strRef>
          </c:tx>
          <c:spPr>
            <a:ln w="1905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'souhrnná výkonnost 4'!$A$18:$B$38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'souhrnná výkonnost 4'!$H$18:$H$38</c:f>
              <c:numCache>
                <c:formatCode>#\ ##0.0</c:formatCode>
                <c:ptCount val="21"/>
                <c:pt idx="0">
                  <c:v>-1.1167681102123339</c:v>
                </c:pt>
                <c:pt idx="1">
                  <c:v>10.014414773055606</c:v>
                </c:pt>
                <c:pt idx="2">
                  <c:v>3.6442422755888657</c:v>
                </c:pt>
                <c:pt idx="3">
                  <c:v>3.4619136451914159</c:v>
                </c:pt>
                <c:pt idx="4">
                  <c:v>4.3369045569128275</c:v>
                </c:pt>
                <c:pt idx="5">
                  <c:v>3.6967487112593602</c:v>
                </c:pt>
                <c:pt idx="6">
                  <c:v>2.0405324001032739</c:v>
                </c:pt>
                <c:pt idx="7">
                  <c:v>1.6183474426606779</c:v>
                </c:pt>
                <c:pt idx="8">
                  <c:v>1.5370994075002642</c:v>
                </c:pt>
                <c:pt idx="9">
                  <c:v>0.66174660015900599</c:v>
                </c:pt>
                <c:pt idx="10">
                  <c:v>0.32525261895825963</c:v>
                </c:pt>
                <c:pt idx="11">
                  <c:v>0.26916645993897248</c:v>
                </c:pt>
                <c:pt idx="12">
                  <c:v>-0.54725583809319289</c:v>
                </c:pt>
                <c:pt idx="13">
                  <c:v>6.9891165477997674E-4</c:v>
                </c:pt>
                <c:pt idx="14">
                  <c:v>1.0542044185658739</c:v>
                </c:pt>
                <c:pt idx="15">
                  <c:v>1.4132267851239675</c:v>
                </c:pt>
                <c:pt idx="16">
                  <c:v>2.6099289387242948</c:v>
                </c:pt>
                <c:pt idx="17">
                  <c:v>2.7669719025500399</c:v>
                </c:pt>
                <c:pt idx="18">
                  <c:v>2.8485253065533698</c:v>
                </c:pt>
                <c:pt idx="19">
                  <c:v>2.7222168621559462</c:v>
                </c:pt>
                <c:pt idx="20">
                  <c:v>2.0745378978453459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27A-4B91-A277-6DD81913D9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005952"/>
        <c:axId val="269007488"/>
      </c:lineChart>
      <c:catAx>
        <c:axId val="269005952"/>
        <c:scaling>
          <c:orientation val="minMax"/>
        </c:scaling>
        <c:delete val="0"/>
        <c:axPos val="b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9007488"/>
        <c:crosses val="autoZero"/>
        <c:auto val="1"/>
        <c:lblAlgn val="ctr"/>
        <c:lblOffset val="100"/>
        <c:noMultiLvlLbl val="0"/>
      </c:catAx>
      <c:valAx>
        <c:axId val="269007488"/>
        <c:scaling>
          <c:orientation val="minMax"/>
          <c:min val="-2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9005952"/>
        <c:crosses val="autoZero"/>
        <c:crossBetween val="between"/>
        <c:majorUnit val="2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4144292468760548E-2"/>
          <c:y val="0.79016604750647301"/>
          <c:w val="0.92386482607227283"/>
          <c:h val="0.19462484520994944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1597</Words>
  <Characters>9428</Characters>
  <Application>Microsoft Office Word</Application>
  <DocSecurity>0</DocSecurity>
  <Lines>78</Lines>
  <Paragraphs>22</Paragraphs>
  <ScaleCrop>false</ScaleCrop>
  <Company>CSU</Company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25</cp:revision>
  <cp:lastPrinted>2014-07-17T14:07:00Z</cp:lastPrinted>
  <dcterms:created xsi:type="dcterms:W3CDTF">2026-06-16T07:48:00Z</dcterms:created>
  <dcterms:modified xsi:type="dcterms:W3CDTF">2026-06-16T10:06:00Z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