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5E0476" w:rsidRDefault="00576A3E" w:rsidP="00B15E3A">
      <w:pPr>
        <w:pStyle w:val="Nadpis1"/>
        <w:numPr>
          <w:ilvl w:val="0"/>
          <w:numId w:val="6"/>
        </w:numPr>
        <w:jc w:val="both"/>
        <w:rPr>
          <w:lang w:val="en-GB"/>
        </w:rPr>
      </w:pPr>
      <w:bookmarkStart w:id="0" w:name="_Toc433292814"/>
      <w:r w:rsidRPr="005E0476">
        <w:rPr>
          <w:lang w:val="en-GB"/>
        </w:rPr>
        <w:t>M</w:t>
      </w:r>
      <w:r w:rsidR="00B55301" w:rsidRPr="005E0476">
        <w:rPr>
          <w:lang w:val="en-GB"/>
        </w:rPr>
        <w:t>onetary Conditions</w:t>
      </w:r>
      <w:bookmarkEnd w:id="0"/>
    </w:p>
    <w:tbl>
      <w:tblPr>
        <w:tblW w:w="5000" w:type="pct"/>
        <w:tblLayout w:type="fixed"/>
        <w:tblLook w:val="00A0"/>
      </w:tblPr>
      <w:tblGrid>
        <w:gridCol w:w="2083"/>
        <w:gridCol w:w="282"/>
        <w:gridCol w:w="7489"/>
      </w:tblGrid>
      <w:tr w:rsidR="00753AFD" w:rsidRPr="00DC552F" w:rsidTr="00753AFD">
        <w:tc>
          <w:tcPr>
            <w:tcW w:w="1057" w:type="pct"/>
          </w:tcPr>
          <w:p w:rsidR="00753AFD" w:rsidRPr="005E0476" w:rsidRDefault="00753AFD" w:rsidP="00326F8C">
            <w:pPr>
              <w:spacing w:line="240" w:lineRule="auto"/>
              <w:rPr>
                <w:sz w:val="16"/>
                <w:szCs w:val="16"/>
                <w:lang w:val="en-GB"/>
              </w:rPr>
            </w:pPr>
            <w:r w:rsidRPr="005E0476">
              <w:rPr>
                <w:color w:val="000000"/>
                <w:spacing w:val="-2"/>
                <w:sz w:val="16"/>
                <w:szCs w:val="16"/>
                <w:lang w:val="en-GB"/>
              </w:rPr>
              <w:t xml:space="preserve">The expansiveness of both monetary and </w:t>
            </w:r>
            <w:r>
              <w:rPr>
                <w:color w:val="000000"/>
                <w:spacing w:val="-2"/>
                <w:sz w:val="16"/>
                <w:szCs w:val="16"/>
                <w:lang w:val="en-GB"/>
              </w:rPr>
              <w:t>fiscal</w:t>
            </w:r>
            <w:r w:rsidRPr="005E0476">
              <w:rPr>
                <w:color w:val="000000"/>
                <w:spacing w:val="-2"/>
                <w:sz w:val="16"/>
                <w:szCs w:val="16"/>
                <w:lang w:val="en-GB"/>
              </w:rPr>
              <w:t xml:space="preserve"> policy affected significantly the growth of the Czech economy in H1 2015  </w:t>
            </w: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color w:val="000000"/>
                <w:lang w:val="en-GB"/>
              </w:rPr>
            </w:pPr>
            <w:r w:rsidRPr="005E0476">
              <w:rPr>
                <w:color w:val="000000"/>
                <w:lang w:val="en-GB"/>
              </w:rPr>
              <w:t>The money s</w:t>
            </w:r>
            <w:r>
              <w:rPr>
                <w:color w:val="000000"/>
                <w:lang w:val="en-GB"/>
              </w:rPr>
              <w:t>upply</w:t>
            </w:r>
            <w:r w:rsidRPr="005E0476">
              <w:rPr>
                <w:color w:val="000000"/>
                <w:lang w:val="en-GB"/>
              </w:rPr>
              <w:t xml:space="preserve"> rose in the Czech economy towards the end of June 2015 the most in the last three years. The M2 aggregate reached 3 461.2 </w:t>
            </w:r>
            <w:proofErr w:type="spellStart"/>
            <w:r w:rsidRPr="005E0476">
              <w:rPr>
                <w:color w:val="000000"/>
                <w:lang w:val="en-GB"/>
              </w:rPr>
              <w:t>bn</w:t>
            </w:r>
            <w:proofErr w:type="spellEnd"/>
            <w:r w:rsidRPr="005E0476">
              <w:rPr>
                <w:color w:val="000000"/>
                <w:lang w:val="en-GB"/>
              </w:rPr>
              <w:t xml:space="preserve"> crowns, which was by 5.8 %</w:t>
            </w:r>
            <w:r>
              <w:rPr>
                <w:color w:val="000000"/>
                <w:lang w:val="en-GB"/>
              </w:rPr>
              <w:t xml:space="preserve"> </w:t>
            </w:r>
            <w:r w:rsidRPr="005E0476">
              <w:rPr>
                <w:color w:val="000000"/>
                <w:lang w:val="en-GB"/>
              </w:rPr>
              <w:t>more compared to the same period of 2014. The addition to money s</w:t>
            </w:r>
            <w:r>
              <w:rPr>
                <w:color w:val="000000"/>
                <w:lang w:val="en-GB"/>
              </w:rPr>
              <w:t>upply</w:t>
            </w:r>
            <w:r w:rsidRPr="005E0476">
              <w:rPr>
                <w:color w:val="000000"/>
                <w:lang w:val="en-GB"/>
              </w:rPr>
              <w:t xml:space="preserve"> was thus slightly higher than the nominal year-on-year addition to the nominal GDP (+5.2 %), which meant in this view, opposite from the same period of 2014, a mild </w:t>
            </w:r>
            <w:proofErr w:type="spellStart"/>
            <w:r w:rsidRPr="005E0476">
              <w:rPr>
                <w:color w:val="000000"/>
                <w:lang w:val="en-GB"/>
              </w:rPr>
              <w:t>expansivity</w:t>
            </w:r>
            <w:proofErr w:type="spellEnd"/>
            <w:r w:rsidRPr="005E0476">
              <w:rPr>
                <w:color w:val="000000"/>
                <w:lang w:val="en-GB"/>
              </w:rPr>
              <w:t xml:space="preserve"> of the monetary conditions. The growth of the monetary s</w:t>
            </w:r>
            <w:r>
              <w:rPr>
                <w:color w:val="000000"/>
                <w:lang w:val="en-GB"/>
              </w:rPr>
              <w:t>upply</w:t>
            </w:r>
            <w:r w:rsidRPr="005E0476">
              <w:rPr>
                <w:color w:val="000000"/>
                <w:lang w:val="en-GB"/>
              </w:rPr>
              <w:t xml:space="preserve"> strengthened more markedly in Q2, the M2 aggregate increased by 3.9 % in the same period of 2014.  </w:t>
            </w:r>
          </w:p>
          <w:p w:rsidR="00753AFD" w:rsidRPr="005E0476" w:rsidRDefault="00753AFD" w:rsidP="00326F8C">
            <w:pPr>
              <w:pStyle w:val="Textpoznpodarou"/>
              <w:jc w:val="both"/>
              <w:rPr>
                <w:color w:val="000000"/>
                <w:lang w:val="en-GB"/>
              </w:rPr>
            </w:pPr>
          </w:p>
          <w:p w:rsidR="00753AFD" w:rsidRDefault="00753AFD" w:rsidP="00326F8C">
            <w:pPr>
              <w:pStyle w:val="Textpoznpodarou"/>
              <w:jc w:val="both"/>
              <w:rPr>
                <w:color w:val="000000"/>
                <w:lang w:val="en-GB"/>
              </w:rPr>
            </w:pPr>
            <w:r w:rsidRPr="005E0476">
              <w:rPr>
                <w:color w:val="000000"/>
                <w:lang w:val="en-GB"/>
              </w:rPr>
              <w:t xml:space="preserve">Both </w:t>
            </w:r>
            <w:r>
              <w:rPr>
                <w:color w:val="000000"/>
                <w:lang w:val="en-GB"/>
              </w:rPr>
              <w:t>monetary</w:t>
            </w:r>
            <w:r w:rsidRPr="005E0476">
              <w:rPr>
                <w:color w:val="000000"/>
                <w:lang w:val="en-GB"/>
              </w:rPr>
              <w:t xml:space="preserve"> and budget policy thus in combination with the fiscal </w:t>
            </w:r>
            <w:proofErr w:type="spellStart"/>
            <w:r w:rsidRPr="005E0476">
              <w:rPr>
                <w:color w:val="000000"/>
                <w:lang w:val="en-GB"/>
              </w:rPr>
              <w:t>expansivity</w:t>
            </w:r>
            <w:proofErr w:type="spellEnd"/>
            <w:r w:rsidRPr="005E0476">
              <w:rPr>
                <w:color w:val="000000"/>
                <w:lang w:val="en-GB"/>
              </w:rPr>
              <w:t xml:space="preserve"> contributed to the significant growth of the Czech economy in H1.  </w:t>
            </w:r>
          </w:p>
          <w:p w:rsidR="00753AFD" w:rsidRPr="00DC552F" w:rsidRDefault="00753AFD" w:rsidP="00326F8C">
            <w:pPr>
              <w:pStyle w:val="Textpoznpodarou"/>
              <w:jc w:val="both"/>
              <w:rPr>
                <w:color w:val="000000"/>
                <w:lang w:val="en-GB"/>
              </w:rPr>
            </w:pPr>
          </w:p>
        </w:tc>
      </w:tr>
      <w:tr w:rsidR="00753AFD" w:rsidRPr="005E0476" w:rsidTr="00753AFD">
        <w:tc>
          <w:tcPr>
            <w:tcW w:w="1057" w:type="pct"/>
          </w:tcPr>
          <w:p w:rsidR="00753AFD" w:rsidRPr="005E0476" w:rsidRDefault="00753AFD" w:rsidP="00326F8C">
            <w:pPr>
              <w:spacing w:line="240" w:lineRule="auto"/>
              <w:rPr>
                <w:sz w:val="16"/>
                <w:szCs w:val="16"/>
                <w:lang w:val="en-GB"/>
              </w:rPr>
            </w:pPr>
            <w:r>
              <w:rPr>
                <w:sz w:val="16"/>
                <w:szCs w:val="16"/>
                <w:lang w:val="en-GB"/>
              </w:rPr>
              <w:t>Large increase</w:t>
            </w:r>
            <w:r w:rsidRPr="005E0476">
              <w:rPr>
                <w:sz w:val="16"/>
                <w:szCs w:val="16"/>
                <w:lang w:val="en-GB"/>
              </w:rPr>
              <w:t xml:space="preserve"> of non-term deposits</w:t>
            </w:r>
            <w:r w:rsidR="00B07DA3">
              <w:rPr>
                <w:sz w:val="16"/>
                <w:szCs w:val="16"/>
                <w:lang w:val="en-GB"/>
              </w:rPr>
              <w:t xml:space="preserve"> of businesses</w:t>
            </w:r>
            <w:r w:rsidRPr="005E0476">
              <w:rPr>
                <w:sz w:val="16"/>
                <w:szCs w:val="16"/>
                <w:lang w:val="en-GB"/>
              </w:rPr>
              <w:t xml:space="preserve"> was enabled by high growth of their profits even with considerable strengthening of their investment into the fixed assets…</w:t>
            </w:r>
          </w:p>
        </w:tc>
        <w:tc>
          <w:tcPr>
            <w:tcW w:w="143" w:type="pct"/>
          </w:tcPr>
          <w:p w:rsidR="00753AFD" w:rsidRPr="005E0476" w:rsidRDefault="00753AFD" w:rsidP="00326F8C">
            <w:pPr>
              <w:pStyle w:val="Textpoznpodarou"/>
              <w:jc w:val="both"/>
              <w:rPr>
                <w:lang w:val="en-GB"/>
              </w:rPr>
            </w:pPr>
          </w:p>
        </w:tc>
        <w:tc>
          <w:tcPr>
            <w:tcW w:w="3800" w:type="pct"/>
          </w:tcPr>
          <w:p w:rsidR="00753AFD" w:rsidRDefault="00753AFD" w:rsidP="00EB4D7C">
            <w:pPr>
              <w:pStyle w:val="Textpoznpodarou"/>
              <w:jc w:val="both"/>
              <w:rPr>
                <w:lang w:val="en-GB"/>
              </w:rPr>
            </w:pPr>
            <w:r w:rsidRPr="005E0476">
              <w:rPr>
                <w:lang w:val="en-GB"/>
              </w:rPr>
              <w:t xml:space="preserve">Businesses further accumulate „cash“, if we contemplate with a certain simplification the financial balances on their current accounts this way. 102 </w:t>
            </w:r>
            <w:proofErr w:type="spellStart"/>
            <w:r w:rsidRPr="005E0476">
              <w:rPr>
                <w:lang w:val="en-GB"/>
              </w:rPr>
              <w:t>bn</w:t>
            </w:r>
            <w:proofErr w:type="spellEnd"/>
            <w:r w:rsidRPr="005E0476">
              <w:rPr>
                <w:lang w:val="en-GB"/>
              </w:rPr>
              <w:t xml:space="preserve"> crowns were added to these </w:t>
            </w:r>
            <w:r>
              <w:rPr>
                <w:lang w:val="en-GB"/>
              </w:rPr>
              <w:t>overnight</w:t>
            </w:r>
            <w:r w:rsidRPr="005E0476">
              <w:rPr>
                <w:lang w:val="en-GB"/>
              </w:rPr>
              <w:t xml:space="preserve"> deposits of business against June 2014, which is the highest year-on-year addition since the start of monitoring (2002). It shows the significant and growing reserve for financing of the fixed investment, but also the size of the operating capital. Only near 14 </w:t>
            </w:r>
            <w:proofErr w:type="spellStart"/>
            <w:r w:rsidRPr="005E0476">
              <w:rPr>
                <w:lang w:val="en-GB"/>
              </w:rPr>
              <w:t>bn</w:t>
            </w:r>
            <w:proofErr w:type="spellEnd"/>
            <w:r w:rsidRPr="005E0476">
              <w:rPr>
                <w:lang w:val="en-GB"/>
              </w:rPr>
              <w:t xml:space="preserve"> crowns diminished on the term deposits (deposits with maturity and </w:t>
            </w:r>
            <w:r>
              <w:rPr>
                <w:lang w:val="en-GB"/>
              </w:rPr>
              <w:t>deposits with redeemable at notice</w:t>
            </w:r>
            <w:r w:rsidRPr="005E0476">
              <w:rPr>
                <w:lang w:val="en-GB"/>
              </w:rPr>
              <w:t>) of businesses, which means that the notable addition on current accounts was created by their large profits. These increased by nearly one tenth based on data for Q1 year-on-year (+9.8 %), i.e. less than in each quarter of year 2014 with a whole year addition of strong 12.4 %, however significantly more in comparison to the stagnation in 2</w:t>
            </w:r>
            <w:r w:rsidR="00EB4D7C">
              <w:rPr>
                <w:lang w:val="en-GB"/>
              </w:rPr>
              <w:t>013 (+0.4 %).</w:t>
            </w:r>
          </w:p>
          <w:p w:rsidR="00B15E3A" w:rsidRPr="005E0476" w:rsidRDefault="00B15E3A" w:rsidP="00EB4D7C">
            <w:pPr>
              <w:pStyle w:val="Textpoznpodarou"/>
              <w:jc w:val="both"/>
              <w:rPr>
                <w:lang w:val="en-GB"/>
              </w:rPr>
            </w:pPr>
          </w:p>
        </w:tc>
      </w:tr>
      <w:tr w:rsidR="00753AFD" w:rsidRPr="005E0476" w:rsidTr="00753AFD">
        <w:tc>
          <w:tcPr>
            <w:tcW w:w="1057" w:type="pct"/>
          </w:tcPr>
          <w:p w:rsidR="00753AFD" w:rsidRPr="005E0476" w:rsidRDefault="00753AFD" w:rsidP="00326F8C">
            <w:pPr>
              <w:spacing w:line="240" w:lineRule="auto"/>
              <w:rPr>
                <w:sz w:val="16"/>
                <w:szCs w:val="16"/>
                <w:lang w:val="en-GB"/>
              </w:rPr>
            </w:pPr>
            <w:r w:rsidRPr="005E0476">
              <w:rPr>
                <w:sz w:val="16"/>
                <w:szCs w:val="16"/>
                <w:lang w:val="en-GB"/>
              </w:rPr>
              <w:t>.</w:t>
            </w:r>
            <w:r w:rsidRPr="005E0476">
              <w:rPr>
                <w:lang w:val="en-GB"/>
              </w:rPr>
              <w:t xml:space="preserve"> </w:t>
            </w:r>
            <w:r w:rsidRPr="005E0476">
              <w:rPr>
                <w:sz w:val="16"/>
                <w:szCs w:val="16"/>
                <w:lang w:val="en-GB"/>
              </w:rPr>
              <w:t>… and confirm the potential for wage increases in the private sector</w:t>
            </w: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lang w:val="en-GB"/>
              </w:rPr>
            </w:pPr>
            <w:r w:rsidRPr="005E0476">
              <w:rPr>
                <w:lang w:val="en-GB"/>
              </w:rPr>
              <w:t xml:space="preserve">The room for increases of wages for employees of firms as well as financing of investment from their own resources is thus large. It represents in this sense a potential for the growth of the economy not only via the household consumption, but also the investment activity.      </w:t>
            </w:r>
          </w:p>
          <w:p w:rsidR="00753AFD" w:rsidRPr="005E0476" w:rsidRDefault="00753AFD" w:rsidP="00326F8C">
            <w:pPr>
              <w:pStyle w:val="Textpoznpodarou"/>
              <w:jc w:val="both"/>
              <w:rPr>
                <w:lang w:val="en-GB"/>
              </w:rPr>
            </w:pPr>
          </w:p>
        </w:tc>
      </w:tr>
      <w:tr w:rsidR="00753AFD" w:rsidRPr="005E0476" w:rsidTr="00753AFD">
        <w:tc>
          <w:tcPr>
            <w:tcW w:w="1057" w:type="pct"/>
          </w:tcPr>
          <w:p w:rsidR="00753AFD" w:rsidRPr="005E0476" w:rsidRDefault="00753AFD" w:rsidP="00326F8C">
            <w:pPr>
              <w:spacing w:line="240" w:lineRule="auto"/>
              <w:rPr>
                <w:color w:val="000000"/>
                <w:sz w:val="16"/>
                <w:szCs w:val="16"/>
                <w:lang w:val="en-GB"/>
              </w:rPr>
            </w:pPr>
            <w:r w:rsidRPr="005E0476">
              <w:rPr>
                <w:color w:val="000000"/>
                <w:sz w:val="16"/>
                <w:szCs w:val="16"/>
                <w:lang w:val="en-GB"/>
              </w:rPr>
              <w:t xml:space="preserve">People </w:t>
            </w:r>
            <w:r>
              <w:rPr>
                <w:color w:val="000000"/>
                <w:sz w:val="16"/>
                <w:szCs w:val="16"/>
                <w:lang w:val="en-GB"/>
              </w:rPr>
              <w:t xml:space="preserve">increased </w:t>
            </w:r>
            <w:r w:rsidRPr="005E0476">
              <w:rPr>
                <w:color w:val="000000"/>
                <w:sz w:val="16"/>
                <w:szCs w:val="16"/>
                <w:lang w:val="en-GB"/>
              </w:rPr>
              <w:t xml:space="preserve">their non-term deposits – second largest year-on-year addition since the start of monitoring in 2002…  </w:t>
            </w: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lang w:val="en-GB"/>
              </w:rPr>
            </w:pPr>
            <w:r w:rsidRPr="005E0476">
              <w:rPr>
                <w:lang w:val="en-GB"/>
              </w:rPr>
              <w:t xml:space="preserve">The household deposits followed development in a similar spirit as in case of businesses – the deposits on the </w:t>
            </w:r>
            <w:r>
              <w:rPr>
                <w:lang w:val="en-GB"/>
              </w:rPr>
              <w:t xml:space="preserve">giro </w:t>
            </w:r>
            <w:r w:rsidRPr="005E0476">
              <w:rPr>
                <w:lang w:val="en-GB"/>
              </w:rPr>
              <w:t xml:space="preserve">accounts were higher by 148.3 </w:t>
            </w:r>
            <w:proofErr w:type="spellStart"/>
            <w:r w:rsidRPr="005E0476">
              <w:rPr>
                <w:lang w:val="en-GB"/>
              </w:rPr>
              <w:t>bn</w:t>
            </w:r>
            <w:proofErr w:type="spellEnd"/>
            <w:r w:rsidRPr="005E0476">
              <w:rPr>
                <w:lang w:val="en-GB"/>
              </w:rPr>
              <w:t xml:space="preserve"> crowns at the end of June 2015 compared to the same period of the previous year (the second highest year-on-year addition since the start of monitoring), while the decrease of funds on the term deposits was also very strong. People withdrew nearly 65 </w:t>
            </w:r>
            <w:proofErr w:type="spellStart"/>
            <w:r w:rsidRPr="005E0476">
              <w:rPr>
                <w:lang w:val="en-GB"/>
              </w:rPr>
              <w:t>bn</w:t>
            </w:r>
            <w:proofErr w:type="spellEnd"/>
            <w:r w:rsidRPr="005E0476">
              <w:rPr>
                <w:lang w:val="en-GB"/>
              </w:rPr>
              <w:t xml:space="preserve"> crowns from the term deposits and deposits </w:t>
            </w:r>
            <w:r>
              <w:rPr>
                <w:lang w:val="en-GB"/>
              </w:rPr>
              <w:t>with redeemable at notice</w:t>
            </w:r>
            <w:r w:rsidRPr="005E0476">
              <w:rPr>
                <w:lang w:val="en-GB"/>
              </w:rPr>
              <w:t xml:space="preserve"> compared to June 2014, which again represented the highest year-on-year decrease in the time series since 2002 based on the half-yearly data in year-on-year comparisons.</w:t>
            </w:r>
          </w:p>
          <w:p w:rsidR="00753AFD" w:rsidRPr="005E0476" w:rsidRDefault="00753AFD" w:rsidP="00326F8C">
            <w:pPr>
              <w:pStyle w:val="Textpoznpodarou"/>
              <w:jc w:val="both"/>
              <w:rPr>
                <w:color w:val="000000"/>
                <w:lang w:val="en-GB"/>
              </w:rPr>
            </w:pPr>
          </w:p>
        </w:tc>
      </w:tr>
      <w:tr w:rsidR="00753AFD" w:rsidRPr="005E0476" w:rsidTr="00753AFD">
        <w:tc>
          <w:tcPr>
            <w:tcW w:w="1057" w:type="pct"/>
          </w:tcPr>
          <w:p w:rsidR="00753AFD" w:rsidRPr="005E0476" w:rsidRDefault="00753AFD" w:rsidP="00326F8C">
            <w:pPr>
              <w:spacing w:line="240" w:lineRule="auto"/>
              <w:rPr>
                <w:color w:val="000000"/>
                <w:sz w:val="16"/>
                <w:szCs w:val="16"/>
                <w:lang w:val="en-GB"/>
              </w:rPr>
            </w:pPr>
            <w:r w:rsidRPr="005E0476">
              <w:rPr>
                <w:color w:val="000000"/>
                <w:sz w:val="16"/>
                <w:szCs w:val="16"/>
                <w:lang w:val="en-GB"/>
              </w:rPr>
              <w:t>.</w:t>
            </w:r>
            <w:r w:rsidRPr="005E0476">
              <w:rPr>
                <w:color w:val="000000"/>
                <w:lang w:val="en-GB"/>
              </w:rPr>
              <w:t xml:space="preserve"> </w:t>
            </w:r>
            <w:r w:rsidRPr="005E0476">
              <w:rPr>
                <w:color w:val="000000"/>
                <w:sz w:val="16"/>
                <w:szCs w:val="16"/>
                <w:lang w:val="en-GB"/>
              </w:rPr>
              <w:t>… and also alternative</w:t>
            </w:r>
            <w:r>
              <w:rPr>
                <w:color w:val="000000"/>
                <w:sz w:val="16"/>
                <w:szCs w:val="16"/>
                <w:lang w:val="en-GB"/>
              </w:rPr>
              <w:t>s</w:t>
            </w:r>
            <w:r w:rsidRPr="005E0476">
              <w:rPr>
                <w:color w:val="000000"/>
                <w:sz w:val="16"/>
                <w:szCs w:val="16"/>
                <w:lang w:val="en-GB"/>
              </w:rPr>
              <w:t xml:space="preserve"> of money deposits given the low interest rates on deposits  </w:t>
            </w: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lang w:val="en-GB"/>
              </w:rPr>
            </w:pPr>
            <w:r w:rsidRPr="005E0476">
              <w:rPr>
                <w:lang w:val="en-GB"/>
              </w:rPr>
              <w:t xml:space="preserve">These proportions prove the lack of </w:t>
            </w:r>
            <w:proofErr w:type="spellStart"/>
            <w:r w:rsidRPr="005E0476">
              <w:rPr>
                <w:lang w:val="en-GB"/>
              </w:rPr>
              <w:t>attractivity</w:t>
            </w:r>
            <w:proofErr w:type="spellEnd"/>
            <w:r w:rsidRPr="005E0476">
              <w:rPr>
                <w:lang w:val="en-GB"/>
              </w:rPr>
              <w:t xml:space="preserve"> of bank interest rates for clients flowing from the level of basic interest rates in the economy, but partially also the possible tilt of households to alternative forms of saving, as suggested by the development of their property in mutual funds or resources on the accounts</w:t>
            </w:r>
            <w:r>
              <w:rPr>
                <w:lang w:val="en-GB"/>
              </w:rPr>
              <w:t xml:space="preserve"> of supplementary pensions</w:t>
            </w:r>
            <w:r w:rsidRPr="005E0476">
              <w:rPr>
                <w:lang w:val="en-GB"/>
              </w:rPr>
              <w:t xml:space="preserve">. Direct investment into securities on the capital markets (especially foreign) could also attract the investors from the ranks of households, enabling yields high above the level of other assets – e.g. the Dow Jones </w:t>
            </w:r>
            <w:r>
              <w:rPr>
                <w:lang w:val="en-GB"/>
              </w:rPr>
              <w:t>I</w:t>
            </w:r>
            <w:r w:rsidRPr="005E0476">
              <w:rPr>
                <w:lang w:val="en-GB"/>
              </w:rPr>
              <w:t>ndex incre</w:t>
            </w:r>
            <w:r>
              <w:rPr>
                <w:lang w:val="en-GB"/>
              </w:rPr>
              <w:t>ased by 26.4 % on the New York Stock E</w:t>
            </w:r>
            <w:r w:rsidRPr="005E0476">
              <w:rPr>
                <w:lang w:val="en-GB"/>
              </w:rPr>
              <w:t xml:space="preserve">xchange </w:t>
            </w:r>
            <w:r>
              <w:rPr>
                <w:lang w:val="en-GB"/>
              </w:rPr>
              <w:t>at the end of June and the DAX I</w:t>
            </w:r>
            <w:r w:rsidRPr="005E0476">
              <w:rPr>
                <w:lang w:val="en-GB"/>
              </w:rPr>
              <w:t xml:space="preserve">ndex by 10.5 % on the Frankfurt </w:t>
            </w:r>
            <w:r>
              <w:rPr>
                <w:lang w:val="en-GB"/>
              </w:rPr>
              <w:t>Stock E</w:t>
            </w:r>
            <w:r w:rsidRPr="005E0476">
              <w:rPr>
                <w:lang w:val="en-GB"/>
              </w:rPr>
              <w:t xml:space="preserve">xchange, taking into account the movement of the </w:t>
            </w:r>
            <w:r>
              <w:rPr>
                <w:lang w:val="en-GB"/>
              </w:rPr>
              <w:t xml:space="preserve">crown foreign </w:t>
            </w:r>
            <w:r w:rsidRPr="005E0476">
              <w:rPr>
                <w:lang w:val="en-GB"/>
              </w:rPr>
              <w:t>exchange, which rendered such investments even more lucrative.</w:t>
            </w:r>
          </w:p>
          <w:p w:rsidR="00753AFD" w:rsidRPr="005E0476" w:rsidRDefault="00753AFD" w:rsidP="00326F8C">
            <w:pPr>
              <w:pStyle w:val="Textpoznpodarou"/>
              <w:jc w:val="both"/>
              <w:rPr>
                <w:lang w:val="en-GB"/>
              </w:rPr>
            </w:pPr>
          </w:p>
        </w:tc>
      </w:tr>
      <w:tr w:rsidR="00753AFD" w:rsidRPr="005E0476" w:rsidTr="00753AFD">
        <w:tc>
          <w:tcPr>
            <w:tcW w:w="1057" w:type="pct"/>
          </w:tcPr>
          <w:p w:rsidR="00753AFD" w:rsidRPr="005E0476" w:rsidRDefault="00753AFD" w:rsidP="00326F8C">
            <w:pPr>
              <w:spacing w:line="240" w:lineRule="auto"/>
              <w:rPr>
                <w:color w:val="000000"/>
                <w:sz w:val="16"/>
                <w:szCs w:val="16"/>
                <w:lang w:val="en-GB"/>
              </w:rPr>
            </w:pPr>
            <w:r w:rsidRPr="005E0476">
              <w:rPr>
                <w:color w:val="000000"/>
                <w:sz w:val="16"/>
                <w:szCs w:val="16"/>
                <w:lang w:val="en-GB"/>
              </w:rPr>
              <w:t xml:space="preserve">Growing purchasing power </w:t>
            </w:r>
            <w:r>
              <w:rPr>
                <w:color w:val="000000"/>
                <w:sz w:val="16"/>
                <w:szCs w:val="16"/>
                <w:lang w:val="en-GB"/>
              </w:rPr>
              <w:t xml:space="preserve">as </w:t>
            </w:r>
            <w:r w:rsidRPr="005E0476">
              <w:rPr>
                <w:color w:val="000000"/>
                <w:sz w:val="16"/>
                <w:szCs w:val="16"/>
                <w:lang w:val="en-GB"/>
              </w:rPr>
              <w:t xml:space="preserve">a significant factor of the household deposit increase  </w:t>
            </w: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lang w:val="en-GB"/>
              </w:rPr>
            </w:pPr>
            <w:r w:rsidRPr="005E0476">
              <w:rPr>
                <w:lang w:val="en-GB"/>
              </w:rPr>
              <w:t xml:space="preserve">The growth of the purchasing power of households also impacted the significant addition to household bank deposits (in total for both term and non-terms deposits by 83.4 </w:t>
            </w:r>
            <w:proofErr w:type="spellStart"/>
            <w:r w:rsidRPr="005E0476">
              <w:rPr>
                <w:lang w:val="en-GB"/>
              </w:rPr>
              <w:t>bn</w:t>
            </w:r>
            <w:proofErr w:type="spellEnd"/>
            <w:r w:rsidRPr="005E0476">
              <w:rPr>
                <w:lang w:val="en-GB"/>
              </w:rPr>
              <w:t xml:space="preserve"> crowns year-on-year) apart from the causes of the financially-investment nature. It was induced by the improvement on the labour market and growth of incomes. The average nominal wage was raised by 2.9 % based on the half-yearly data year-on-year, real wage by 2.5 %, but the median wage of males </w:t>
            </w:r>
            <w:r w:rsidRPr="005E0476">
              <w:rPr>
                <w:lang w:val="en-GB"/>
              </w:rPr>
              <w:lastRenderedPageBreak/>
              <w:t xml:space="preserve">even by +5.6 % in Q2 due to the structure of their employment oriented to a notable extent on the manufacturing, which grew dynamically.       </w:t>
            </w:r>
          </w:p>
          <w:p w:rsidR="00753AFD" w:rsidRPr="005E0476" w:rsidRDefault="00753AFD" w:rsidP="00326F8C">
            <w:pPr>
              <w:pStyle w:val="Textpoznpodarou"/>
              <w:jc w:val="both"/>
              <w:rPr>
                <w:lang w:val="en-GB"/>
              </w:rPr>
            </w:pPr>
          </w:p>
        </w:tc>
      </w:tr>
      <w:tr w:rsidR="00753AFD" w:rsidRPr="005E0476" w:rsidTr="00753AFD">
        <w:tc>
          <w:tcPr>
            <w:tcW w:w="1057" w:type="pct"/>
          </w:tcPr>
          <w:p w:rsidR="00753AFD" w:rsidRPr="005E0476" w:rsidRDefault="00753AFD" w:rsidP="00326F8C">
            <w:pPr>
              <w:spacing w:line="240" w:lineRule="auto"/>
              <w:rPr>
                <w:color w:val="000000"/>
                <w:sz w:val="16"/>
                <w:szCs w:val="16"/>
                <w:lang w:val="en-GB"/>
              </w:rPr>
            </w:pPr>
            <w:r w:rsidRPr="005E0476">
              <w:rPr>
                <w:color w:val="000000"/>
                <w:sz w:val="16"/>
                <w:szCs w:val="16"/>
                <w:lang w:val="en-GB"/>
              </w:rPr>
              <w:lastRenderedPageBreak/>
              <w:t>The relatively low  need for external sources of funding still prevails – dynamics of corporate loans increased its pace only mildly from +3.9 % to +5.8 % year-on-year towards the end of June 2015</w:t>
            </w:r>
          </w:p>
          <w:p w:rsidR="00753AFD" w:rsidRPr="005E0476" w:rsidRDefault="00753AFD" w:rsidP="00326F8C">
            <w:pPr>
              <w:spacing w:line="240" w:lineRule="auto"/>
              <w:rPr>
                <w:color w:val="000000"/>
                <w:sz w:val="16"/>
                <w:szCs w:val="16"/>
                <w:lang w:val="en-GB"/>
              </w:rPr>
            </w:pPr>
          </w:p>
          <w:p w:rsidR="00753AFD" w:rsidRPr="005E0476" w:rsidRDefault="00753AFD" w:rsidP="00326F8C">
            <w:pPr>
              <w:spacing w:line="240" w:lineRule="auto"/>
              <w:rPr>
                <w:color w:val="000000"/>
                <w:sz w:val="16"/>
                <w:szCs w:val="16"/>
                <w:lang w:val="en-GB"/>
              </w:rPr>
            </w:pP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spacing w:val="-2"/>
                <w:lang w:val="en-GB"/>
              </w:rPr>
            </w:pPr>
            <w:r w:rsidRPr="005E0476">
              <w:rPr>
                <w:spacing w:val="-2"/>
                <w:lang w:val="en-GB"/>
              </w:rPr>
              <w:t xml:space="preserve">The </w:t>
            </w:r>
            <w:r>
              <w:rPr>
                <w:spacing w:val="-2"/>
                <w:lang w:val="en-GB"/>
              </w:rPr>
              <w:t xml:space="preserve">total deposits of </w:t>
            </w:r>
            <w:r w:rsidRPr="005E0476">
              <w:rPr>
                <w:spacing w:val="-2"/>
                <w:lang w:val="en-GB"/>
              </w:rPr>
              <w:t>business</w:t>
            </w:r>
            <w:r>
              <w:rPr>
                <w:spacing w:val="-2"/>
                <w:lang w:val="en-GB"/>
              </w:rPr>
              <w:t>es</w:t>
            </w:r>
            <w:r w:rsidRPr="005E0476">
              <w:rPr>
                <w:spacing w:val="-2"/>
                <w:lang w:val="en-GB"/>
              </w:rPr>
              <w:t xml:space="preserve"> hiked up roughly the same as the total household deposits year-on-year in H1 (by 88.1 </w:t>
            </w:r>
            <w:proofErr w:type="spellStart"/>
            <w:r w:rsidRPr="005E0476">
              <w:rPr>
                <w:spacing w:val="-2"/>
                <w:lang w:val="en-GB"/>
              </w:rPr>
              <w:t>bn</w:t>
            </w:r>
            <w:proofErr w:type="spellEnd"/>
            <w:r w:rsidRPr="005E0476">
              <w:rPr>
                <w:spacing w:val="-2"/>
                <w:lang w:val="en-GB"/>
              </w:rPr>
              <w:t xml:space="preserve"> crowns, which was the second largest addition since the beginning of monitoring in 2002). This development logically limited the need for external resources. The dynamics of loans offered to businesses did accelerate somewhat (+5.8 % year-on-year against +3.9 % by the end of June 2014), however it still remains relatively low – e.g. when compared with year 2008, when the economy grew in nominal expression by 4.8 %, the financing of firms on the part of banks was markedly more intensive (the loans to businesses increased by 16.7 % and by nearly one fifth in the first half-year). </w:t>
            </w:r>
          </w:p>
          <w:p w:rsidR="00753AFD" w:rsidRPr="005E0476" w:rsidRDefault="00753AFD" w:rsidP="00326F8C">
            <w:pPr>
              <w:pStyle w:val="Textpoznpodarou"/>
              <w:jc w:val="both"/>
              <w:rPr>
                <w:lang w:val="en-GB"/>
              </w:rPr>
            </w:pPr>
          </w:p>
        </w:tc>
      </w:tr>
      <w:tr w:rsidR="00753AFD" w:rsidRPr="005E0476" w:rsidTr="00B15E3A">
        <w:tc>
          <w:tcPr>
            <w:tcW w:w="1057" w:type="pct"/>
          </w:tcPr>
          <w:p w:rsidR="00753AFD" w:rsidRPr="005E0476" w:rsidRDefault="00753AFD" w:rsidP="00326F8C">
            <w:pPr>
              <w:spacing w:line="240" w:lineRule="auto"/>
              <w:rPr>
                <w:color w:val="000000"/>
                <w:sz w:val="16"/>
                <w:szCs w:val="16"/>
                <w:lang w:val="en-GB"/>
              </w:rPr>
            </w:pPr>
            <w:r w:rsidRPr="005E0476">
              <w:rPr>
                <w:color w:val="000000"/>
                <w:sz w:val="16"/>
                <w:szCs w:val="16"/>
                <w:lang w:val="en-GB"/>
              </w:rPr>
              <w:t>The additions to the mortgages of households</w:t>
            </w:r>
            <w:r>
              <w:rPr>
                <w:color w:val="000000"/>
                <w:sz w:val="16"/>
                <w:szCs w:val="16"/>
                <w:lang w:val="en-GB"/>
              </w:rPr>
              <w:t xml:space="preserve"> strengthen </w:t>
            </w:r>
            <w:r w:rsidRPr="005E0476">
              <w:rPr>
                <w:color w:val="000000"/>
                <w:sz w:val="16"/>
                <w:szCs w:val="16"/>
                <w:lang w:val="en-GB"/>
              </w:rPr>
              <w:t xml:space="preserve">already since the half of year 2013, the fastest in the last three years year-on-year by the end of June 2015 – on the contrary, the growth of consumption credit was affected only by the organisational change in the financial institutions sector  </w:t>
            </w:r>
          </w:p>
        </w:tc>
        <w:tc>
          <w:tcPr>
            <w:tcW w:w="143" w:type="pct"/>
          </w:tcPr>
          <w:p w:rsidR="00753AFD" w:rsidRPr="005E0476" w:rsidRDefault="00753AFD" w:rsidP="00326F8C">
            <w:pPr>
              <w:pStyle w:val="Textpoznpodarou"/>
              <w:jc w:val="both"/>
              <w:rPr>
                <w:lang w:val="en-GB"/>
              </w:rPr>
            </w:pPr>
          </w:p>
        </w:tc>
        <w:tc>
          <w:tcPr>
            <w:tcW w:w="3800" w:type="pct"/>
          </w:tcPr>
          <w:p w:rsidR="00753AFD" w:rsidRPr="005E0476" w:rsidRDefault="00753AFD" w:rsidP="00326F8C">
            <w:pPr>
              <w:pStyle w:val="Textpoznpodarou"/>
              <w:jc w:val="both"/>
              <w:rPr>
                <w:color w:val="000000"/>
                <w:lang w:val="en-GB"/>
              </w:rPr>
            </w:pPr>
            <w:r w:rsidRPr="005E0476">
              <w:rPr>
                <w:color w:val="000000"/>
                <w:lang w:val="en-GB"/>
              </w:rPr>
              <w:t>Marked year-on-year increase of consumption credit to households was affected by organizational change</w:t>
            </w:r>
            <w:r>
              <w:rPr>
                <w:rStyle w:val="Znakapoznpodarou"/>
                <w:color w:val="000000"/>
                <w:lang w:val="en-GB"/>
              </w:rPr>
              <w:footnoteReference w:id="1"/>
            </w:r>
            <w:r w:rsidRPr="005E0476">
              <w:rPr>
                <w:color w:val="000000"/>
                <w:lang w:val="en-GB"/>
              </w:rPr>
              <w:t xml:space="preserve"> causing their increase by 18 </w:t>
            </w:r>
            <w:proofErr w:type="spellStart"/>
            <w:r w:rsidRPr="005E0476">
              <w:rPr>
                <w:color w:val="000000"/>
                <w:lang w:val="en-GB"/>
              </w:rPr>
              <w:t>bn</w:t>
            </w:r>
            <w:proofErr w:type="spellEnd"/>
            <w:r w:rsidRPr="005E0476">
              <w:rPr>
                <w:color w:val="000000"/>
                <w:lang w:val="en-GB"/>
              </w:rPr>
              <w:t xml:space="preserve"> crowns. Without this change, the provided consumption credit to population including the debit balances on the current accounts would be based on the banking statistics again lower year-on-year. People likely use their resources deposits with banks for the purchases of durable goods. Total balances of consumption credit (210.3 </w:t>
            </w:r>
            <w:proofErr w:type="spellStart"/>
            <w:r w:rsidRPr="005E0476">
              <w:rPr>
                <w:color w:val="000000"/>
                <w:lang w:val="en-GB"/>
              </w:rPr>
              <w:t>bn</w:t>
            </w:r>
            <w:proofErr w:type="spellEnd"/>
            <w:r w:rsidRPr="005E0476">
              <w:rPr>
                <w:color w:val="000000"/>
                <w:lang w:val="en-GB"/>
              </w:rPr>
              <w:t xml:space="preserve"> crowns at the end of June 2015) represent only 17 % of the total size of banking credit provided to the population. </w:t>
            </w:r>
          </w:p>
          <w:p w:rsidR="00753AFD" w:rsidRPr="005E0476" w:rsidRDefault="00753AFD" w:rsidP="00326F8C">
            <w:pPr>
              <w:pStyle w:val="Textpoznpodarou"/>
              <w:jc w:val="both"/>
              <w:rPr>
                <w:color w:val="000000"/>
                <w:spacing w:val="-4"/>
                <w:lang w:val="en-GB"/>
              </w:rPr>
            </w:pPr>
          </w:p>
          <w:p w:rsidR="00753AFD" w:rsidRPr="005E0476" w:rsidRDefault="00753AFD" w:rsidP="00326F8C">
            <w:pPr>
              <w:pStyle w:val="Textpoznpodarou"/>
              <w:jc w:val="both"/>
              <w:rPr>
                <w:color w:val="000000"/>
                <w:lang w:val="en-GB"/>
              </w:rPr>
            </w:pPr>
            <w:r w:rsidRPr="005E0476">
              <w:rPr>
                <w:color w:val="000000"/>
                <w:lang w:val="en-GB"/>
              </w:rPr>
              <w:t xml:space="preserve">On the contrary, the housing loans to population increased by 59.1 </w:t>
            </w:r>
            <w:proofErr w:type="spellStart"/>
            <w:r w:rsidRPr="005E0476">
              <w:rPr>
                <w:color w:val="000000"/>
                <w:lang w:val="en-GB"/>
              </w:rPr>
              <w:t>bn</w:t>
            </w:r>
            <w:proofErr w:type="spellEnd"/>
            <w:r w:rsidRPr="005E0476">
              <w:rPr>
                <w:color w:val="000000"/>
                <w:lang w:val="en-GB"/>
              </w:rPr>
              <w:t xml:space="preserve"> (+6.8 %) to 930.2 </w:t>
            </w:r>
            <w:proofErr w:type="spellStart"/>
            <w:r w:rsidRPr="005E0476">
              <w:rPr>
                <w:color w:val="000000"/>
                <w:lang w:val="en-GB"/>
              </w:rPr>
              <w:t>bn</w:t>
            </w:r>
            <w:proofErr w:type="spellEnd"/>
            <w:r w:rsidRPr="005E0476">
              <w:rPr>
                <w:color w:val="000000"/>
                <w:lang w:val="en-GB"/>
              </w:rPr>
              <w:t xml:space="preserve"> crowns year-on-year. The reason was the strong addition of provided mortgages (+57.7 </w:t>
            </w:r>
            <w:proofErr w:type="spellStart"/>
            <w:r w:rsidRPr="005E0476">
              <w:rPr>
                <w:color w:val="000000"/>
                <w:lang w:val="en-GB"/>
              </w:rPr>
              <w:t>bn</w:t>
            </w:r>
            <w:proofErr w:type="spellEnd"/>
            <w:r w:rsidRPr="005E0476">
              <w:rPr>
                <w:color w:val="000000"/>
                <w:lang w:val="en-GB"/>
              </w:rPr>
              <w:t xml:space="preserve">, i.e. +7.5 %, to 826.1 </w:t>
            </w:r>
            <w:proofErr w:type="spellStart"/>
            <w:r w:rsidRPr="005E0476">
              <w:rPr>
                <w:color w:val="000000"/>
                <w:lang w:val="en-GB"/>
              </w:rPr>
              <w:t>bn</w:t>
            </w:r>
            <w:proofErr w:type="spellEnd"/>
            <w:r w:rsidRPr="005E0476">
              <w:rPr>
                <w:color w:val="000000"/>
                <w:lang w:val="en-GB"/>
              </w:rPr>
              <w:t xml:space="preserve"> crowns). People were motivated the most by the very low price of funds the banks provided these loans for. Positive expectations associated with the economic development also had their impact and also the improving condition of the household budgets. Balances of building saving </w:t>
            </w:r>
            <w:r>
              <w:rPr>
                <w:color w:val="000000"/>
                <w:lang w:val="en-GB"/>
              </w:rPr>
              <w:t>loans</w:t>
            </w:r>
            <w:r w:rsidRPr="005E0476">
              <w:rPr>
                <w:color w:val="000000"/>
                <w:lang w:val="en-GB"/>
              </w:rPr>
              <w:t xml:space="preserve"> were however nearly by one billion lower, which confirms the decisive effect of low interest rates of mortgages on the growth of total loans of Czech households for housing.</w:t>
            </w:r>
          </w:p>
          <w:p w:rsidR="00753AFD" w:rsidRPr="005E0476" w:rsidRDefault="00753AFD" w:rsidP="00326F8C">
            <w:pPr>
              <w:pStyle w:val="Textpoznpodarou"/>
              <w:jc w:val="both"/>
              <w:rPr>
                <w:color w:val="000000"/>
                <w:lang w:val="en-GB"/>
              </w:rPr>
            </w:pPr>
          </w:p>
        </w:tc>
      </w:tr>
      <w:tr w:rsidR="00753AFD" w:rsidRPr="005E0476" w:rsidTr="00B15E3A">
        <w:tc>
          <w:tcPr>
            <w:tcW w:w="1057" w:type="pct"/>
          </w:tcPr>
          <w:p w:rsidR="00753AFD" w:rsidRPr="005E0476" w:rsidRDefault="00753AFD" w:rsidP="00326F8C">
            <w:pPr>
              <w:spacing w:line="240" w:lineRule="auto"/>
              <w:rPr>
                <w:color w:val="000000"/>
                <w:sz w:val="16"/>
                <w:szCs w:val="16"/>
                <w:lang w:val="en-GB"/>
              </w:rPr>
            </w:pPr>
            <w:r w:rsidRPr="005E0476">
              <w:rPr>
                <w:color w:val="000000"/>
                <w:sz w:val="16"/>
                <w:szCs w:val="16"/>
                <w:lang w:val="en-GB"/>
              </w:rPr>
              <w:t xml:space="preserve">Margins of commercial banks remain high </w:t>
            </w:r>
          </w:p>
        </w:tc>
        <w:tc>
          <w:tcPr>
            <w:tcW w:w="143" w:type="pct"/>
          </w:tcPr>
          <w:p w:rsidR="00753AFD" w:rsidRPr="005E0476" w:rsidRDefault="00753AFD" w:rsidP="00326F8C">
            <w:pPr>
              <w:pStyle w:val="Textpoznpodarou"/>
              <w:jc w:val="both"/>
              <w:rPr>
                <w:lang w:val="en-GB"/>
              </w:rPr>
            </w:pPr>
          </w:p>
        </w:tc>
        <w:tc>
          <w:tcPr>
            <w:tcW w:w="3800" w:type="pct"/>
          </w:tcPr>
          <w:p w:rsidR="00B15E3A" w:rsidRPr="005E0476" w:rsidRDefault="00753AFD" w:rsidP="00326F8C">
            <w:pPr>
              <w:pStyle w:val="Textpoznpodarou"/>
              <w:jc w:val="both"/>
              <w:rPr>
                <w:color w:val="000000"/>
                <w:lang w:val="en-GB"/>
              </w:rPr>
            </w:pPr>
            <w:r w:rsidRPr="005E0476">
              <w:rPr>
                <w:color w:val="000000"/>
                <w:lang w:val="en-GB"/>
              </w:rPr>
              <w:t>Low interest rates of banks on new deposit trades were again lower year-on-year at the end of June 2015, both for businesses and for households. Interests on deposits with maturity for households were the exception (+0.39 p. p. to 1.57 % p.a.)</w:t>
            </w:r>
            <w:proofErr w:type="gramStart"/>
            <w:r w:rsidRPr="005E0476">
              <w:rPr>
                <w:color w:val="000000"/>
                <w:lang w:val="en-GB"/>
              </w:rPr>
              <w:t>,</w:t>
            </w:r>
            <w:proofErr w:type="gramEnd"/>
            <w:r w:rsidRPr="005E0476">
              <w:rPr>
                <w:color w:val="000000"/>
                <w:lang w:val="en-GB"/>
              </w:rPr>
              <w:t xml:space="preserve"> still people reduced the balances on these deposits by 28.6 </w:t>
            </w:r>
            <w:proofErr w:type="spellStart"/>
            <w:r w:rsidRPr="005E0476">
              <w:rPr>
                <w:color w:val="000000"/>
                <w:lang w:val="en-GB"/>
              </w:rPr>
              <w:t>bn</w:t>
            </w:r>
            <w:proofErr w:type="spellEnd"/>
            <w:r w:rsidRPr="005E0476">
              <w:rPr>
                <w:color w:val="000000"/>
                <w:lang w:val="en-GB"/>
              </w:rPr>
              <w:t xml:space="preserve"> crowns against the end of June 2014. Bank margins remain despite relatively weak credit expansion still at high levels – interest rates on pro</w:t>
            </w:r>
            <w:r w:rsidR="00B07DA3">
              <w:rPr>
                <w:color w:val="000000"/>
                <w:lang w:val="en-GB"/>
              </w:rPr>
              <w:t>vided bank loans added up to 12.</w:t>
            </w:r>
            <w:r w:rsidRPr="005E0476">
              <w:rPr>
                <w:color w:val="000000"/>
                <w:lang w:val="en-GB"/>
              </w:rPr>
              <w:t xml:space="preserve">57 p. a. in new trades on consumption loans and rates from deposits, in maturities roughly corresponding to these loaned funds, oscillated between 1.4 % till 1.57 % p.a. Banks </w:t>
            </w:r>
            <w:r>
              <w:rPr>
                <w:color w:val="000000"/>
                <w:lang w:val="en-GB"/>
              </w:rPr>
              <w:t>determined</w:t>
            </w:r>
            <w:r w:rsidRPr="005E0476">
              <w:rPr>
                <w:color w:val="000000"/>
                <w:lang w:val="en-GB"/>
              </w:rPr>
              <w:t xml:space="preserve"> interest on the deposited funds on current accounts of households by the rate of 0.12 % p.a. and to businesses 0.11 % p. a. in June 2015.</w:t>
            </w:r>
          </w:p>
          <w:p w:rsidR="00753AFD" w:rsidRPr="005E0476" w:rsidRDefault="00753AFD" w:rsidP="00326F8C">
            <w:pPr>
              <w:pStyle w:val="Textpoznpodarou"/>
              <w:jc w:val="both"/>
              <w:rPr>
                <w:color w:val="000000"/>
                <w:lang w:val="en-GB"/>
              </w:rPr>
            </w:pPr>
          </w:p>
        </w:tc>
      </w:tr>
    </w:tbl>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color w:val="000000" w:themeColor="text1"/>
          <w:spacing w:val="-2"/>
          <w:lang w:val="en-GB"/>
        </w:rPr>
      </w:pPr>
    </w:p>
    <w:p w:rsidR="00B15E3A" w:rsidRDefault="00B15E3A" w:rsidP="00B15E3A">
      <w:pPr>
        <w:rPr>
          <w:rFonts w:cs="Arial"/>
          <w:lang w:val="en-GB"/>
        </w:rPr>
      </w:pPr>
    </w:p>
    <w:p w:rsidR="00B15E3A" w:rsidRPr="00B15E3A" w:rsidRDefault="00B15E3A" w:rsidP="00B15E3A">
      <w:pPr>
        <w:rPr>
          <w:rFonts w:cs="Arial"/>
          <w:lang w:val="en-GB"/>
        </w:rPr>
      </w:pPr>
    </w:p>
    <w:p w:rsidR="00B15E3A" w:rsidRDefault="00B15E3A" w:rsidP="00B15E3A">
      <w:pPr>
        <w:rPr>
          <w:rFonts w:cs="Arial"/>
          <w:lang w:val="en-GB"/>
        </w:rPr>
      </w:pPr>
    </w:p>
    <w:tbl>
      <w:tblPr>
        <w:tblW w:w="5000" w:type="pct"/>
        <w:tblLayout w:type="fixed"/>
        <w:tblCellMar>
          <w:left w:w="70" w:type="dxa"/>
          <w:right w:w="70" w:type="dxa"/>
        </w:tblCellMar>
        <w:tblLook w:val="0000"/>
      </w:tblPr>
      <w:tblGrid>
        <w:gridCol w:w="1429"/>
        <w:gridCol w:w="3494"/>
        <w:gridCol w:w="1167"/>
        <w:gridCol w:w="3688"/>
      </w:tblGrid>
      <w:tr w:rsidR="00B15E3A" w:rsidRPr="005E0476" w:rsidTr="00F15E9F">
        <w:tc>
          <w:tcPr>
            <w:tcW w:w="725" w:type="pct"/>
          </w:tcPr>
          <w:p w:rsidR="00B15E3A" w:rsidRPr="005E0476" w:rsidRDefault="00B15E3A" w:rsidP="00F15E9F">
            <w:pPr>
              <w:rPr>
                <w:lang w:val="en-GB"/>
              </w:rPr>
            </w:pPr>
            <w:r w:rsidRPr="005E0476">
              <w:rPr>
                <w:lang w:val="en-GB"/>
              </w:rPr>
              <w:lastRenderedPageBreak/>
              <w:t xml:space="preserve">Chart 17 </w:t>
            </w:r>
          </w:p>
        </w:tc>
        <w:tc>
          <w:tcPr>
            <w:tcW w:w="1773" w:type="pct"/>
          </w:tcPr>
          <w:p w:rsidR="00B15E3A" w:rsidRPr="005E0476" w:rsidRDefault="00B15E3A" w:rsidP="00F15E9F">
            <w:pPr>
              <w:rPr>
                <w:b/>
                <w:lang w:val="en-GB"/>
              </w:rPr>
            </w:pPr>
            <w:r w:rsidRPr="005E0476">
              <w:rPr>
                <w:b/>
                <w:bCs/>
                <w:lang w:val="en-GB"/>
              </w:rPr>
              <w:t xml:space="preserve">Credit dynamics </w:t>
            </w:r>
            <w:r w:rsidRPr="005E0476">
              <w:rPr>
                <w:bCs/>
                <w:lang w:val="en-GB"/>
              </w:rPr>
              <w:t>(y/y in %)</w:t>
            </w:r>
            <w:r w:rsidRPr="005E0476">
              <w:rPr>
                <w:b/>
                <w:bCs/>
                <w:lang w:val="en-GB"/>
              </w:rPr>
              <w:t xml:space="preserve">  </w:t>
            </w:r>
          </w:p>
        </w:tc>
        <w:tc>
          <w:tcPr>
            <w:tcW w:w="592" w:type="pct"/>
          </w:tcPr>
          <w:p w:rsidR="00B15E3A" w:rsidRPr="005E0476" w:rsidRDefault="00B15E3A" w:rsidP="00F15E9F">
            <w:pPr>
              <w:rPr>
                <w:szCs w:val="20"/>
                <w:lang w:val="en-GB"/>
              </w:rPr>
            </w:pPr>
            <w:r w:rsidRPr="005E0476">
              <w:rPr>
                <w:szCs w:val="20"/>
                <w:lang w:val="en-GB"/>
              </w:rPr>
              <w:t>Chart 18</w:t>
            </w:r>
          </w:p>
        </w:tc>
        <w:tc>
          <w:tcPr>
            <w:tcW w:w="1871" w:type="pct"/>
          </w:tcPr>
          <w:p w:rsidR="00B15E3A" w:rsidRPr="005E0476" w:rsidRDefault="00B15E3A" w:rsidP="00F15E9F">
            <w:pPr>
              <w:spacing w:line="240" w:lineRule="auto"/>
              <w:rPr>
                <w:b/>
                <w:szCs w:val="20"/>
                <w:lang w:val="en-GB"/>
              </w:rPr>
            </w:pPr>
            <w:r w:rsidRPr="005E0476">
              <w:rPr>
                <w:b/>
                <w:bCs/>
                <w:lang w:val="en-GB"/>
              </w:rPr>
              <w:t xml:space="preserve">Deposits of households and businesses </w:t>
            </w:r>
            <w:r w:rsidRPr="005E0476">
              <w:rPr>
                <w:bCs/>
                <w:sz w:val="18"/>
                <w:szCs w:val="18"/>
                <w:lang w:val="en-GB"/>
              </w:rPr>
              <w:t>(y/y in %)</w:t>
            </w:r>
          </w:p>
        </w:tc>
      </w:tr>
      <w:tr w:rsidR="00B15E3A" w:rsidRPr="005E0476" w:rsidTr="00F15E9F">
        <w:trPr>
          <w:trHeight w:val="3256"/>
        </w:trPr>
        <w:tc>
          <w:tcPr>
            <w:tcW w:w="2498" w:type="pct"/>
            <w:gridSpan w:val="2"/>
          </w:tcPr>
          <w:p w:rsidR="00B15E3A" w:rsidRPr="005E0476" w:rsidRDefault="00B15E3A" w:rsidP="00F15E9F">
            <w:pPr>
              <w:pStyle w:val="Zhlav"/>
              <w:tabs>
                <w:tab w:val="clear" w:pos="4536"/>
                <w:tab w:val="clear" w:pos="9072"/>
              </w:tabs>
              <w:rPr>
                <w:rFonts w:ascii="Arial" w:hAnsi="Arial" w:cs="Arial"/>
                <w:sz w:val="20"/>
                <w:lang w:val="en-GB"/>
              </w:rPr>
            </w:pPr>
            <w:r w:rsidRPr="00753AFD">
              <w:rPr>
                <w:rFonts w:ascii="Arial" w:hAnsi="Arial" w:cs="Arial"/>
                <w:noProof/>
                <w:sz w:val="20"/>
                <w:lang w:eastAsia="cs-CZ"/>
              </w:rPr>
              <w:drawing>
                <wp:inline distT="0" distB="0" distL="0" distR="0">
                  <wp:extent cx="3000375" cy="2505075"/>
                  <wp:effectExtent l="19050" t="0" r="9525" b="0"/>
                  <wp:docPr id="1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3001136" cy="2505710"/>
                          </a:xfrm>
                          <a:prstGeom prst="rect">
                            <a:avLst/>
                          </a:prstGeom>
                          <a:noFill/>
                        </pic:spPr>
                      </pic:pic>
                    </a:graphicData>
                  </a:graphic>
                </wp:inline>
              </w:drawing>
            </w:r>
          </w:p>
        </w:tc>
        <w:tc>
          <w:tcPr>
            <w:tcW w:w="2463" w:type="pct"/>
            <w:gridSpan w:val="2"/>
          </w:tcPr>
          <w:p w:rsidR="00B15E3A" w:rsidRPr="005E0476" w:rsidRDefault="00B15E3A" w:rsidP="00F15E9F">
            <w:pPr>
              <w:pStyle w:val="Zhlav"/>
              <w:tabs>
                <w:tab w:val="clear" w:pos="4536"/>
                <w:tab w:val="clear" w:pos="9072"/>
              </w:tabs>
              <w:spacing w:line="235" w:lineRule="auto"/>
              <w:jc w:val="right"/>
              <w:rPr>
                <w:rFonts w:ascii="Arial" w:hAnsi="Arial" w:cs="Arial"/>
                <w:sz w:val="20"/>
                <w:lang w:val="en-GB"/>
              </w:rPr>
            </w:pPr>
            <w:r w:rsidRPr="00753AFD">
              <w:rPr>
                <w:rFonts w:ascii="Arial" w:hAnsi="Arial" w:cs="Arial"/>
                <w:noProof/>
                <w:sz w:val="20"/>
                <w:lang w:eastAsia="cs-CZ"/>
              </w:rPr>
              <w:drawing>
                <wp:inline distT="0" distB="0" distL="0" distR="0">
                  <wp:extent cx="2995037" cy="2505075"/>
                  <wp:effectExtent l="19050" t="0" r="0" b="0"/>
                  <wp:docPr id="16"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001020" cy="2510079"/>
                          </a:xfrm>
                          <a:prstGeom prst="rect">
                            <a:avLst/>
                          </a:prstGeom>
                          <a:noFill/>
                        </pic:spPr>
                      </pic:pic>
                    </a:graphicData>
                  </a:graphic>
                </wp:inline>
              </w:drawing>
            </w:r>
          </w:p>
        </w:tc>
      </w:tr>
      <w:tr w:rsidR="00B15E3A" w:rsidRPr="005E0476" w:rsidTr="00F15E9F">
        <w:tc>
          <w:tcPr>
            <w:tcW w:w="4961" w:type="pct"/>
            <w:gridSpan w:val="4"/>
          </w:tcPr>
          <w:p w:rsidR="00B15E3A" w:rsidRPr="005E0476" w:rsidRDefault="00B15E3A" w:rsidP="00F15E9F">
            <w:pPr>
              <w:jc w:val="right"/>
              <w:rPr>
                <w:sz w:val="18"/>
                <w:szCs w:val="18"/>
                <w:lang w:val="en-GB"/>
              </w:rPr>
            </w:pPr>
            <w:r w:rsidRPr="005E0476">
              <w:rPr>
                <w:b/>
                <w:sz w:val="18"/>
                <w:szCs w:val="18"/>
                <w:lang w:val="en-GB"/>
              </w:rPr>
              <w:t xml:space="preserve">                                                 </w:t>
            </w:r>
            <w:r w:rsidRPr="005E0476">
              <w:rPr>
                <w:sz w:val="18"/>
                <w:szCs w:val="18"/>
                <w:lang w:val="en-GB"/>
              </w:rPr>
              <w:t xml:space="preserve">Source: </w:t>
            </w:r>
            <w:r>
              <w:rPr>
                <w:sz w:val="18"/>
                <w:szCs w:val="18"/>
                <w:lang w:val="en-GB"/>
              </w:rPr>
              <w:t>C</w:t>
            </w:r>
            <w:r w:rsidRPr="005E0476">
              <w:rPr>
                <w:sz w:val="18"/>
                <w:szCs w:val="18"/>
                <w:lang w:val="en-GB"/>
              </w:rPr>
              <w:t>NB</w:t>
            </w:r>
          </w:p>
        </w:tc>
      </w:tr>
    </w:tbl>
    <w:p w:rsidR="00B55BA8" w:rsidRPr="00B15E3A" w:rsidRDefault="00B55BA8" w:rsidP="00B15E3A">
      <w:pPr>
        <w:rPr>
          <w:rFonts w:cs="Arial"/>
          <w:lang w:val="en-GB"/>
        </w:rPr>
      </w:pPr>
    </w:p>
    <w:sectPr w:rsidR="00B55BA8" w:rsidRPr="00B15E3A" w:rsidSect="00B15E3A">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F7" w:rsidRDefault="003D34F7" w:rsidP="00E71A58">
      <w:r>
        <w:separator/>
      </w:r>
    </w:p>
  </w:endnote>
  <w:endnote w:type="continuationSeparator" w:id="0">
    <w:p w:rsidR="003D34F7" w:rsidRDefault="003D34F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537242" w:rsidRPr="005A21E0">
      <w:rPr>
        <w:rFonts w:ascii="Arial" w:hAnsi="Arial" w:cs="Arial"/>
        <w:sz w:val="16"/>
        <w:szCs w:val="16"/>
      </w:rPr>
      <w:fldChar w:fldCharType="begin"/>
    </w:r>
    <w:r w:rsidRPr="005A21E0">
      <w:rPr>
        <w:rFonts w:ascii="Arial" w:hAnsi="Arial" w:cs="Arial"/>
        <w:sz w:val="16"/>
        <w:szCs w:val="16"/>
      </w:rPr>
      <w:instrText>PAGE   \* MERGEFORMAT</w:instrText>
    </w:r>
    <w:r w:rsidR="00537242" w:rsidRPr="005A21E0">
      <w:rPr>
        <w:rFonts w:ascii="Arial" w:hAnsi="Arial" w:cs="Arial"/>
        <w:sz w:val="16"/>
        <w:szCs w:val="16"/>
      </w:rPr>
      <w:fldChar w:fldCharType="separate"/>
    </w:r>
    <w:r w:rsidR="00B15E3A">
      <w:rPr>
        <w:rFonts w:ascii="Arial" w:hAnsi="Arial" w:cs="Arial"/>
        <w:noProof/>
        <w:sz w:val="16"/>
        <w:szCs w:val="16"/>
      </w:rPr>
      <w:t>22</w:t>
    </w:r>
    <w:r w:rsidR="00537242"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C2201D" w:rsidRPr="00223E00" w:rsidRDefault="00C2201D"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537242"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37242" w:rsidRPr="00223E00">
      <w:rPr>
        <w:rFonts w:ascii="Arial" w:hAnsi="Arial" w:cs="Arial"/>
        <w:sz w:val="16"/>
        <w:szCs w:val="16"/>
      </w:rPr>
      <w:fldChar w:fldCharType="separate"/>
    </w:r>
    <w:r w:rsidR="00B15E3A">
      <w:rPr>
        <w:rFonts w:ascii="Arial" w:hAnsi="Arial" w:cs="Arial"/>
        <w:noProof/>
        <w:sz w:val="16"/>
        <w:szCs w:val="16"/>
      </w:rPr>
      <w:t>23</w:t>
    </w:r>
    <w:r w:rsidR="00537242"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F7" w:rsidRDefault="003D34F7" w:rsidP="00E71A58">
      <w:r>
        <w:separator/>
      </w:r>
    </w:p>
  </w:footnote>
  <w:footnote w:type="continuationSeparator" w:id="0">
    <w:p w:rsidR="003D34F7" w:rsidRDefault="003D34F7" w:rsidP="00E71A58">
      <w:r>
        <w:continuationSeparator/>
      </w:r>
    </w:p>
  </w:footnote>
  <w:footnote w:id="1">
    <w:p w:rsidR="00753AFD" w:rsidRPr="000541DA" w:rsidRDefault="00753AFD" w:rsidP="00753AFD">
      <w:pPr>
        <w:pStyle w:val="Textpoznpodarou"/>
        <w:jc w:val="both"/>
        <w:rPr>
          <w:lang w:val="en-GB"/>
        </w:rPr>
      </w:pPr>
      <w:r>
        <w:rPr>
          <w:rStyle w:val="Znakapoznpodarou"/>
        </w:rPr>
        <w:footnoteRef/>
      </w:r>
      <w:r>
        <w:t xml:space="preserve"> </w:t>
      </w:r>
      <w:r w:rsidRPr="000541DA">
        <w:rPr>
          <w:sz w:val="16"/>
          <w:szCs w:val="16"/>
          <w:lang w:val="en-GB"/>
        </w:rPr>
        <w:t xml:space="preserve">Merger of the foreign bank branch with the non-bank entity (falling into the category </w:t>
      </w:r>
      <w:proofErr w:type="gramStart"/>
      <w:r w:rsidRPr="000541DA">
        <w:rPr>
          <w:sz w:val="16"/>
          <w:szCs w:val="16"/>
          <w:lang w:val="en-GB"/>
        </w:rPr>
        <w:t>Financial</w:t>
      </w:r>
      <w:proofErr w:type="gramEnd"/>
      <w:r w:rsidRPr="000541DA">
        <w:rPr>
          <w:sz w:val="16"/>
          <w:szCs w:val="16"/>
          <w:lang w:val="en-GB"/>
        </w:rPr>
        <w:t xml:space="preserve"> assets intermediaries – other lending) affected the data in the bank and monetary statistics as of 30.6.2015. The balance sum of banks increased one-off by 20 </w:t>
      </w:r>
      <w:proofErr w:type="spellStart"/>
      <w:r w:rsidRPr="000541DA">
        <w:rPr>
          <w:sz w:val="16"/>
          <w:szCs w:val="16"/>
          <w:lang w:val="en-GB"/>
        </w:rPr>
        <w:t>bn</w:t>
      </w:r>
      <w:proofErr w:type="spellEnd"/>
      <w:r w:rsidRPr="000541DA">
        <w:rPr>
          <w:sz w:val="16"/>
          <w:szCs w:val="16"/>
          <w:lang w:val="en-GB"/>
        </w:rPr>
        <w:t xml:space="preserve"> crowns, consumer credit to population including the debit balances on the current accounts rose by 18 </w:t>
      </w:r>
      <w:proofErr w:type="spellStart"/>
      <w:r w:rsidRPr="000541DA">
        <w:rPr>
          <w:sz w:val="16"/>
          <w:szCs w:val="16"/>
          <w:lang w:val="en-GB"/>
        </w:rPr>
        <w:t>bn</w:t>
      </w:r>
      <w:proofErr w:type="spellEnd"/>
      <w:r w:rsidRPr="000541DA">
        <w:rPr>
          <w:sz w:val="16"/>
          <w:szCs w:val="16"/>
          <w:lang w:val="en-GB"/>
        </w:rPr>
        <w:t xml:space="preserve"> crowns, in that receivables on the credit cards by 8 </w:t>
      </w:r>
      <w:proofErr w:type="spellStart"/>
      <w:r w:rsidRPr="000541DA">
        <w:rPr>
          <w:sz w:val="16"/>
          <w:szCs w:val="16"/>
          <w:lang w:val="en-GB"/>
        </w:rPr>
        <w:t>bn</w:t>
      </w:r>
      <w:proofErr w:type="spellEnd"/>
      <w:r w:rsidRPr="000541DA">
        <w:rPr>
          <w:sz w:val="16"/>
          <w:szCs w:val="16"/>
          <w:lang w:val="en-GB"/>
        </w:rPr>
        <w:t xml:space="preserve"> crowns. </w:t>
      </w:r>
      <w:r>
        <w:rPr>
          <w:sz w:val="16"/>
          <w:szCs w:val="16"/>
          <w:lang w:val="en-GB"/>
        </w:rPr>
        <w:t xml:space="preserve">At the same time, the credit provided to other financial intermediaries decreased by </w:t>
      </w:r>
      <w:r w:rsidRPr="000541DA">
        <w:rPr>
          <w:sz w:val="16"/>
          <w:szCs w:val="16"/>
          <w:lang w:val="en-GB"/>
        </w:rPr>
        <w:t>8</w:t>
      </w:r>
      <w:r>
        <w:rPr>
          <w:sz w:val="16"/>
          <w:szCs w:val="16"/>
          <w:lang w:val="en-GB"/>
        </w:rPr>
        <w:t>.</w:t>
      </w:r>
      <w:r w:rsidRPr="000541DA">
        <w:rPr>
          <w:sz w:val="16"/>
          <w:szCs w:val="16"/>
          <w:lang w:val="en-GB"/>
        </w:rPr>
        <w:t xml:space="preserve">5 </w:t>
      </w:r>
      <w:proofErr w:type="spellStart"/>
      <w:r>
        <w:rPr>
          <w:sz w:val="16"/>
          <w:szCs w:val="16"/>
          <w:lang w:val="en-GB"/>
        </w:rPr>
        <w:t>bn</w:t>
      </w:r>
      <w:proofErr w:type="spellEnd"/>
      <w:r>
        <w:rPr>
          <w:sz w:val="16"/>
          <w:szCs w:val="16"/>
          <w:lang w:val="en-GB"/>
        </w:rPr>
        <w:t xml:space="preserve"> crowns.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Pr="00D766EF" w:rsidRDefault="00C2201D"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B" w:rsidRDefault="007F337B" w:rsidP="007F337B">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w:t>
    </w:r>
    <w:r w:rsidR="008E789F">
      <w:rPr>
        <w:rFonts w:ascii="Arial" w:hAnsi="Arial" w:cs="Arial"/>
        <w:sz w:val="16"/>
        <w:szCs w:val="16"/>
      </w:rPr>
      <w:t>ech</w:t>
    </w:r>
    <w:proofErr w:type="spellEnd"/>
    <w:r w:rsidR="008E789F">
      <w:rPr>
        <w:rFonts w:ascii="Arial" w:hAnsi="Arial" w:cs="Arial"/>
        <w:sz w:val="16"/>
        <w:szCs w:val="16"/>
      </w:rPr>
      <w:t xml:space="preserve"> </w:t>
    </w:r>
    <w:proofErr w:type="spellStart"/>
    <w:r w:rsidR="008E789F">
      <w:rPr>
        <w:rFonts w:ascii="Arial" w:hAnsi="Arial" w:cs="Arial"/>
        <w:sz w:val="16"/>
        <w:szCs w:val="16"/>
      </w:rPr>
      <w:t>Economy</w:t>
    </w:r>
    <w:proofErr w:type="spellEnd"/>
    <w:r w:rsidR="008E789F">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p w:rsidR="00C2201D" w:rsidRPr="007F337B" w:rsidRDefault="00C2201D" w:rsidP="007F337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2DA"/>
    <w:multiLevelType w:val="hybridMultilevel"/>
    <w:tmpl w:val="CFA8F67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9B70BD"/>
    <w:rsid w:val="00000FA7"/>
    <w:rsid w:val="00003687"/>
    <w:rsid w:val="00003C43"/>
    <w:rsid w:val="00007498"/>
    <w:rsid w:val="0000767A"/>
    <w:rsid w:val="000101F5"/>
    <w:rsid w:val="000104B9"/>
    <w:rsid w:val="00010702"/>
    <w:rsid w:val="00011191"/>
    <w:rsid w:val="0001159B"/>
    <w:rsid w:val="00012986"/>
    <w:rsid w:val="00014D3A"/>
    <w:rsid w:val="0001573E"/>
    <w:rsid w:val="00017F05"/>
    <w:rsid w:val="000202C6"/>
    <w:rsid w:val="00020946"/>
    <w:rsid w:val="00024887"/>
    <w:rsid w:val="00024CBA"/>
    <w:rsid w:val="00025501"/>
    <w:rsid w:val="00026998"/>
    <w:rsid w:val="0003066A"/>
    <w:rsid w:val="000309BD"/>
    <w:rsid w:val="00032838"/>
    <w:rsid w:val="00032C12"/>
    <w:rsid w:val="0003409E"/>
    <w:rsid w:val="00035FC6"/>
    <w:rsid w:val="00037667"/>
    <w:rsid w:val="000411E1"/>
    <w:rsid w:val="00041E1C"/>
    <w:rsid w:val="00043E05"/>
    <w:rsid w:val="0004694F"/>
    <w:rsid w:val="000500DC"/>
    <w:rsid w:val="00052172"/>
    <w:rsid w:val="000541DA"/>
    <w:rsid w:val="00055059"/>
    <w:rsid w:val="000553E4"/>
    <w:rsid w:val="000626FB"/>
    <w:rsid w:val="00062EC5"/>
    <w:rsid w:val="00064256"/>
    <w:rsid w:val="000706A4"/>
    <w:rsid w:val="00072118"/>
    <w:rsid w:val="00073173"/>
    <w:rsid w:val="000779AC"/>
    <w:rsid w:val="00083803"/>
    <w:rsid w:val="00086DE6"/>
    <w:rsid w:val="0008716A"/>
    <w:rsid w:val="00087634"/>
    <w:rsid w:val="00091237"/>
    <w:rsid w:val="0009191B"/>
    <w:rsid w:val="000920EC"/>
    <w:rsid w:val="00092208"/>
    <w:rsid w:val="00092505"/>
    <w:rsid w:val="00097D02"/>
    <w:rsid w:val="000A1183"/>
    <w:rsid w:val="000A2121"/>
    <w:rsid w:val="000A2484"/>
    <w:rsid w:val="000A66F6"/>
    <w:rsid w:val="000B0638"/>
    <w:rsid w:val="000B1CFE"/>
    <w:rsid w:val="000B210A"/>
    <w:rsid w:val="000B249B"/>
    <w:rsid w:val="000B3DB9"/>
    <w:rsid w:val="000B3F02"/>
    <w:rsid w:val="000B48E7"/>
    <w:rsid w:val="000B5963"/>
    <w:rsid w:val="000B6A0A"/>
    <w:rsid w:val="000B7663"/>
    <w:rsid w:val="000C1072"/>
    <w:rsid w:val="000C11D3"/>
    <w:rsid w:val="000C12F5"/>
    <w:rsid w:val="000C3408"/>
    <w:rsid w:val="000C42C6"/>
    <w:rsid w:val="000D0D51"/>
    <w:rsid w:val="000D14B3"/>
    <w:rsid w:val="000D208B"/>
    <w:rsid w:val="000D2B8D"/>
    <w:rsid w:val="000D2E41"/>
    <w:rsid w:val="000D4273"/>
    <w:rsid w:val="000D5E7A"/>
    <w:rsid w:val="000D5FAA"/>
    <w:rsid w:val="000D65A4"/>
    <w:rsid w:val="000D6AEF"/>
    <w:rsid w:val="000E025B"/>
    <w:rsid w:val="000E153A"/>
    <w:rsid w:val="000E19A8"/>
    <w:rsid w:val="000E4A42"/>
    <w:rsid w:val="000E6476"/>
    <w:rsid w:val="000E65FB"/>
    <w:rsid w:val="000E78D2"/>
    <w:rsid w:val="000F3332"/>
    <w:rsid w:val="000F33EE"/>
    <w:rsid w:val="000F3E5F"/>
    <w:rsid w:val="000F401E"/>
    <w:rsid w:val="000F5445"/>
    <w:rsid w:val="000F67B2"/>
    <w:rsid w:val="000F790F"/>
    <w:rsid w:val="000F7D03"/>
    <w:rsid w:val="000F7E1B"/>
    <w:rsid w:val="00100014"/>
    <w:rsid w:val="0010039A"/>
    <w:rsid w:val="00101FB2"/>
    <w:rsid w:val="00102F02"/>
    <w:rsid w:val="001041B6"/>
    <w:rsid w:val="001070EA"/>
    <w:rsid w:val="0011002A"/>
    <w:rsid w:val="0011110A"/>
    <w:rsid w:val="001118AF"/>
    <w:rsid w:val="0011256E"/>
    <w:rsid w:val="00112A7C"/>
    <w:rsid w:val="0011352E"/>
    <w:rsid w:val="001158D1"/>
    <w:rsid w:val="00116DB9"/>
    <w:rsid w:val="00116F28"/>
    <w:rsid w:val="00117A7E"/>
    <w:rsid w:val="00121C39"/>
    <w:rsid w:val="00123255"/>
    <w:rsid w:val="00124D2D"/>
    <w:rsid w:val="001307BE"/>
    <w:rsid w:val="00130C8F"/>
    <w:rsid w:val="001314F2"/>
    <w:rsid w:val="001317DA"/>
    <w:rsid w:val="001323BA"/>
    <w:rsid w:val="0013254D"/>
    <w:rsid w:val="00133251"/>
    <w:rsid w:val="00133AAC"/>
    <w:rsid w:val="00136561"/>
    <w:rsid w:val="001400E1"/>
    <w:rsid w:val="001405FA"/>
    <w:rsid w:val="001413B3"/>
    <w:rsid w:val="001425C3"/>
    <w:rsid w:val="00142F16"/>
    <w:rsid w:val="00143E03"/>
    <w:rsid w:val="00143E93"/>
    <w:rsid w:val="00145877"/>
    <w:rsid w:val="00147262"/>
    <w:rsid w:val="00151AC0"/>
    <w:rsid w:val="00152046"/>
    <w:rsid w:val="00154147"/>
    <w:rsid w:val="00156318"/>
    <w:rsid w:val="0015639A"/>
    <w:rsid w:val="0016081D"/>
    <w:rsid w:val="00160CF3"/>
    <w:rsid w:val="001620FA"/>
    <w:rsid w:val="00162853"/>
    <w:rsid w:val="00163793"/>
    <w:rsid w:val="0016699E"/>
    <w:rsid w:val="001707DE"/>
    <w:rsid w:val="00170B04"/>
    <w:rsid w:val="00170F47"/>
    <w:rsid w:val="001714F2"/>
    <w:rsid w:val="00173642"/>
    <w:rsid w:val="00174CE8"/>
    <w:rsid w:val="00176050"/>
    <w:rsid w:val="001764D8"/>
    <w:rsid w:val="00176A8F"/>
    <w:rsid w:val="00180D58"/>
    <w:rsid w:val="00182981"/>
    <w:rsid w:val="001835E7"/>
    <w:rsid w:val="00184CF9"/>
    <w:rsid w:val="00185010"/>
    <w:rsid w:val="001852EC"/>
    <w:rsid w:val="001874CF"/>
    <w:rsid w:val="00190D9B"/>
    <w:rsid w:val="00191BAE"/>
    <w:rsid w:val="00193432"/>
    <w:rsid w:val="00193BA1"/>
    <w:rsid w:val="00195444"/>
    <w:rsid w:val="001A2BDB"/>
    <w:rsid w:val="001A30F4"/>
    <w:rsid w:val="001A552F"/>
    <w:rsid w:val="001A56F3"/>
    <w:rsid w:val="001A750C"/>
    <w:rsid w:val="001B1D89"/>
    <w:rsid w:val="001B3110"/>
    <w:rsid w:val="001B417A"/>
    <w:rsid w:val="001B44BC"/>
    <w:rsid w:val="001B6545"/>
    <w:rsid w:val="001B681B"/>
    <w:rsid w:val="001B694C"/>
    <w:rsid w:val="001B6A49"/>
    <w:rsid w:val="001B74FB"/>
    <w:rsid w:val="001B77A1"/>
    <w:rsid w:val="001C0422"/>
    <w:rsid w:val="001C0E0E"/>
    <w:rsid w:val="001C1219"/>
    <w:rsid w:val="001C357A"/>
    <w:rsid w:val="001C3A37"/>
    <w:rsid w:val="001C4384"/>
    <w:rsid w:val="001C5240"/>
    <w:rsid w:val="001C65FF"/>
    <w:rsid w:val="001D47E5"/>
    <w:rsid w:val="001D584C"/>
    <w:rsid w:val="001D66C1"/>
    <w:rsid w:val="001E0C65"/>
    <w:rsid w:val="001E23E3"/>
    <w:rsid w:val="001E387A"/>
    <w:rsid w:val="001E3DA4"/>
    <w:rsid w:val="001E5830"/>
    <w:rsid w:val="001E684C"/>
    <w:rsid w:val="001E701C"/>
    <w:rsid w:val="001E7C03"/>
    <w:rsid w:val="001F02AF"/>
    <w:rsid w:val="001F28F4"/>
    <w:rsid w:val="001F3C79"/>
    <w:rsid w:val="001F3E68"/>
    <w:rsid w:val="001F4597"/>
    <w:rsid w:val="00200D15"/>
    <w:rsid w:val="00203074"/>
    <w:rsid w:val="00203B46"/>
    <w:rsid w:val="002048E1"/>
    <w:rsid w:val="00210278"/>
    <w:rsid w:val="00210CC2"/>
    <w:rsid w:val="00210F5B"/>
    <w:rsid w:val="00211262"/>
    <w:rsid w:val="00211AC9"/>
    <w:rsid w:val="0021355B"/>
    <w:rsid w:val="00216098"/>
    <w:rsid w:val="002205F2"/>
    <w:rsid w:val="0022080E"/>
    <w:rsid w:val="0022139E"/>
    <w:rsid w:val="0022272B"/>
    <w:rsid w:val="00222A99"/>
    <w:rsid w:val="00223678"/>
    <w:rsid w:val="00223E00"/>
    <w:rsid w:val="002252E0"/>
    <w:rsid w:val="002255F6"/>
    <w:rsid w:val="00226466"/>
    <w:rsid w:val="002266D0"/>
    <w:rsid w:val="002303A6"/>
    <w:rsid w:val="00230DAD"/>
    <w:rsid w:val="0023229C"/>
    <w:rsid w:val="00234280"/>
    <w:rsid w:val="00235000"/>
    <w:rsid w:val="002350E3"/>
    <w:rsid w:val="00235938"/>
    <w:rsid w:val="00236443"/>
    <w:rsid w:val="00236E20"/>
    <w:rsid w:val="00240A5B"/>
    <w:rsid w:val="002436BA"/>
    <w:rsid w:val="002444ED"/>
    <w:rsid w:val="00244A15"/>
    <w:rsid w:val="00244D40"/>
    <w:rsid w:val="00246AE9"/>
    <w:rsid w:val="0024799E"/>
    <w:rsid w:val="00250C59"/>
    <w:rsid w:val="00251D59"/>
    <w:rsid w:val="002522CD"/>
    <w:rsid w:val="002524C4"/>
    <w:rsid w:val="00252602"/>
    <w:rsid w:val="00252E1B"/>
    <w:rsid w:val="00252FDC"/>
    <w:rsid w:val="00261E5B"/>
    <w:rsid w:val="00263470"/>
    <w:rsid w:val="00263733"/>
    <w:rsid w:val="00264676"/>
    <w:rsid w:val="00264772"/>
    <w:rsid w:val="00265536"/>
    <w:rsid w:val="00265E54"/>
    <w:rsid w:val="00266520"/>
    <w:rsid w:val="00266F3E"/>
    <w:rsid w:val="0026788B"/>
    <w:rsid w:val="00272464"/>
    <w:rsid w:val="00273DCD"/>
    <w:rsid w:val="00273E1C"/>
    <w:rsid w:val="00274291"/>
    <w:rsid w:val="00274E3B"/>
    <w:rsid w:val="00276CFE"/>
    <w:rsid w:val="00277071"/>
    <w:rsid w:val="0027786C"/>
    <w:rsid w:val="00277BF7"/>
    <w:rsid w:val="00281416"/>
    <w:rsid w:val="00281B77"/>
    <w:rsid w:val="00285CD3"/>
    <w:rsid w:val="0028686A"/>
    <w:rsid w:val="00286E66"/>
    <w:rsid w:val="002919B5"/>
    <w:rsid w:val="00293441"/>
    <w:rsid w:val="0029493E"/>
    <w:rsid w:val="00296C2E"/>
    <w:rsid w:val="002A1B05"/>
    <w:rsid w:val="002A3354"/>
    <w:rsid w:val="002A35EA"/>
    <w:rsid w:val="002A37B6"/>
    <w:rsid w:val="002A3BD5"/>
    <w:rsid w:val="002A43A2"/>
    <w:rsid w:val="002A4612"/>
    <w:rsid w:val="002A5263"/>
    <w:rsid w:val="002A6821"/>
    <w:rsid w:val="002A74D2"/>
    <w:rsid w:val="002B1494"/>
    <w:rsid w:val="002B1544"/>
    <w:rsid w:val="002B36C8"/>
    <w:rsid w:val="002B4689"/>
    <w:rsid w:val="002B7240"/>
    <w:rsid w:val="002C01D2"/>
    <w:rsid w:val="002C2668"/>
    <w:rsid w:val="002C4036"/>
    <w:rsid w:val="002C43BD"/>
    <w:rsid w:val="002C446F"/>
    <w:rsid w:val="002C5261"/>
    <w:rsid w:val="002C5F84"/>
    <w:rsid w:val="002C6091"/>
    <w:rsid w:val="002D0562"/>
    <w:rsid w:val="002D1B31"/>
    <w:rsid w:val="002D1B5A"/>
    <w:rsid w:val="002D2BF3"/>
    <w:rsid w:val="002D3F00"/>
    <w:rsid w:val="002D4D59"/>
    <w:rsid w:val="002D54BF"/>
    <w:rsid w:val="002D5E94"/>
    <w:rsid w:val="002D632D"/>
    <w:rsid w:val="002E02A1"/>
    <w:rsid w:val="002E0982"/>
    <w:rsid w:val="002E0DB9"/>
    <w:rsid w:val="002E2CE4"/>
    <w:rsid w:val="002F33FB"/>
    <w:rsid w:val="002F69FF"/>
    <w:rsid w:val="002F7594"/>
    <w:rsid w:val="00301357"/>
    <w:rsid w:val="00301620"/>
    <w:rsid w:val="00301D04"/>
    <w:rsid w:val="00304771"/>
    <w:rsid w:val="00305736"/>
    <w:rsid w:val="00306C5B"/>
    <w:rsid w:val="00306E3B"/>
    <w:rsid w:val="00312C3D"/>
    <w:rsid w:val="00314331"/>
    <w:rsid w:val="003168E9"/>
    <w:rsid w:val="00317E31"/>
    <w:rsid w:val="00320214"/>
    <w:rsid w:val="003209D6"/>
    <w:rsid w:val="0032109A"/>
    <w:rsid w:val="00321A11"/>
    <w:rsid w:val="0032214F"/>
    <w:rsid w:val="00322164"/>
    <w:rsid w:val="0032513D"/>
    <w:rsid w:val="00326251"/>
    <w:rsid w:val="00327DEE"/>
    <w:rsid w:val="003304AD"/>
    <w:rsid w:val="003329F3"/>
    <w:rsid w:val="0033352E"/>
    <w:rsid w:val="00333690"/>
    <w:rsid w:val="00333D20"/>
    <w:rsid w:val="003340EF"/>
    <w:rsid w:val="00334A49"/>
    <w:rsid w:val="00335BB0"/>
    <w:rsid w:val="0033627B"/>
    <w:rsid w:val="003406BD"/>
    <w:rsid w:val="00341131"/>
    <w:rsid w:val="00343F84"/>
    <w:rsid w:val="00344135"/>
    <w:rsid w:val="00347C83"/>
    <w:rsid w:val="00351B63"/>
    <w:rsid w:val="00352E57"/>
    <w:rsid w:val="003541B0"/>
    <w:rsid w:val="00355885"/>
    <w:rsid w:val="0035605E"/>
    <w:rsid w:val="00357449"/>
    <w:rsid w:val="0036238B"/>
    <w:rsid w:val="003629E4"/>
    <w:rsid w:val="00365680"/>
    <w:rsid w:val="003657F3"/>
    <w:rsid w:val="00367038"/>
    <w:rsid w:val="003709DE"/>
    <w:rsid w:val="0037144E"/>
    <w:rsid w:val="003736B5"/>
    <w:rsid w:val="00374F1E"/>
    <w:rsid w:val="00376DEC"/>
    <w:rsid w:val="00380E04"/>
    <w:rsid w:val="00383227"/>
    <w:rsid w:val="00384D8F"/>
    <w:rsid w:val="00385D98"/>
    <w:rsid w:val="00385EC5"/>
    <w:rsid w:val="003870B8"/>
    <w:rsid w:val="0039066E"/>
    <w:rsid w:val="00391C95"/>
    <w:rsid w:val="00393BCA"/>
    <w:rsid w:val="00396DAC"/>
    <w:rsid w:val="003A0214"/>
    <w:rsid w:val="003A027D"/>
    <w:rsid w:val="003A1D74"/>
    <w:rsid w:val="003A2B4D"/>
    <w:rsid w:val="003A2D2B"/>
    <w:rsid w:val="003A2DD4"/>
    <w:rsid w:val="003A3B1C"/>
    <w:rsid w:val="003A478C"/>
    <w:rsid w:val="003A4F82"/>
    <w:rsid w:val="003A5525"/>
    <w:rsid w:val="003A6B38"/>
    <w:rsid w:val="003B2E63"/>
    <w:rsid w:val="003B3189"/>
    <w:rsid w:val="003B3A9D"/>
    <w:rsid w:val="003B5031"/>
    <w:rsid w:val="003B5A32"/>
    <w:rsid w:val="003B6105"/>
    <w:rsid w:val="003C04C4"/>
    <w:rsid w:val="003C26F4"/>
    <w:rsid w:val="003C40DE"/>
    <w:rsid w:val="003C4852"/>
    <w:rsid w:val="003C5BAB"/>
    <w:rsid w:val="003C601E"/>
    <w:rsid w:val="003D34F7"/>
    <w:rsid w:val="003D3600"/>
    <w:rsid w:val="003D3825"/>
    <w:rsid w:val="003D3EC4"/>
    <w:rsid w:val="003D4760"/>
    <w:rsid w:val="003D49DC"/>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1716"/>
    <w:rsid w:val="0040273A"/>
    <w:rsid w:val="00402C25"/>
    <w:rsid w:val="004050D7"/>
    <w:rsid w:val="004078BD"/>
    <w:rsid w:val="00410132"/>
    <w:rsid w:val="00410BCD"/>
    <w:rsid w:val="0041175D"/>
    <w:rsid w:val="004123BE"/>
    <w:rsid w:val="004127EA"/>
    <w:rsid w:val="0041369F"/>
    <w:rsid w:val="00414CE5"/>
    <w:rsid w:val="00416673"/>
    <w:rsid w:val="0042160D"/>
    <w:rsid w:val="0042681B"/>
    <w:rsid w:val="0043068A"/>
    <w:rsid w:val="004306E0"/>
    <w:rsid w:val="004329BE"/>
    <w:rsid w:val="00432C38"/>
    <w:rsid w:val="00437C76"/>
    <w:rsid w:val="004441A0"/>
    <w:rsid w:val="00444268"/>
    <w:rsid w:val="004443BF"/>
    <w:rsid w:val="00444C19"/>
    <w:rsid w:val="00445413"/>
    <w:rsid w:val="00446892"/>
    <w:rsid w:val="00450C30"/>
    <w:rsid w:val="004543AE"/>
    <w:rsid w:val="00455ECA"/>
    <w:rsid w:val="00460164"/>
    <w:rsid w:val="0046039A"/>
    <w:rsid w:val="00460A6B"/>
    <w:rsid w:val="00461977"/>
    <w:rsid w:val="004629FD"/>
    <w:rsid w:val="00463F4D"/>
    <w:rsid w:val="0046471F"/>
    <w:rsid w:val="00464BE8"/>
    <w:rsid w:val="00465019"/>
    <w:rsid w:val="0046613F"/>
    <w:rsid w:val="0046655D"/>
    <w:rsid w:val="0046765E"/>
    <w:rsid w:val="004676E2"/>
    <w:rsid w:val="00471EDD"/>
    <w:rsid w:val="004731AA"/>
    <w:rsid w:val="00473E94"/>
    <w:rsid w:val="0047400C"/>
    <w:rsid w:val="004745D9"/>
    <w:rsid w:val="004762D8"/>
    <w:rsid w:val="004765B3"/>
    <w:rsid w:val="00476D29"/>
    <w:rsid w:val="00477241"/>
    <w:rsid w:val="00477EAF"/>
    <w:rsid w:val="00477EE0"/>
    <w:rsid w:val="0048139F"/>
    <w:rsid w:val="00482DE0"/>
    <w:rsid w:val="00483053"/>
    <w:rsid w:val="00485CCE"/>
    <w:rsid w:val="00486B6F"/>
    <w:rsid w:val="004879E9"/>
    <w:rsid w:val="0049104F"/>
    <w:rsid w:val="00491218"/>
    <w:rsid w:val="00493362"/>
    <w:rsid w:val="00496C2F"/>
    <w:rsid w:val="0049740D"/>
    <w:rsid w:val="004978D3"/>
    <w:rsid w:val="004A11F8"/>
    <w:rsid w:val="004A22FA"/>
    <w:rsid w:val="004A269A"/>
    <w:rsid w:val="004A30FB"/>
    <w:rsid w:val="004A35DD"/>
    <w:rsid w:val="004A37D3"/>
    <w:rsid w:val="004A3AD6"/>
    <w:rsid w:val="004A41CD"/>
    <w:rsid w:val="004A5865"/>
    <w:rsid w:val="004A77DF"/>
    <w:rsid w:val="004B0295"/>
    <w:rsid w:val="004B10A8"/>
    <w:rsid w:val="004B22DA"/>
    <w:rsid w:val="004B3CB7"/>
    <w:rsid w:val="004B3D55"/>
    <w:rsid w:val="004B55B7"/>
    <w:rsid w:val="004C00A6"/>
    <w:rsid w:val="004C0BBB"/>
    <w:rsid w:val="004C1B86"/>
    <w:rsid w:val="004C3382"/>
    <w:rsid w:val="004C3867"/>
    <w:rsid w:val="004C4AB7"/>
    <w:rsid w:val="004C4CD0"/>
    <w:rsid w:val="004C51F2"/>
    <w:rsid w:val="004C57B5"/>
    <w:rsid w:val="004C5C25"/>
    <w:rsid w:val="004C6717"/>
    <w:rsid w:val="004C6CFF"/>
    <w:rsid w:val="004C70DC"/>
    <w:rsid w:val="004C7268"/>
    <w:rsid w:val="004D0211"/>
    <w:rsid w:val="004D1C9C"/>
    <w:rsid w:val="004D504B"/>
    <w:rsid w:val="004D536E"/>
    <w:rsid w:val="004E0CD2"/>
    <w:rsid w:val="004E1839"/>
    <w:rsid w:val="004E4A75"/>
    <w:rsid w:val="004E541A"/>
    <w:rsid w:val="004E5A5C"/>
    <w:rsid w:val="004E76D6"/>
    <w:rsid w:val="004F06F5"/>
    <w:rsid w:val="004F191F"/>
    <w:rsid w:val="004F2A73"/>
    <w:rsid w:val="004F33A0"/>
    <w:rsid w:val="004F4353"/>
    <w:rsid w:val="004F447D"/>
    <w:rsid w:val="004F4C28"/>
    <w:rsid w:val="004F5CC5"/>
    <w:rsid w:val="004F6261"/>
    <w:rsid w:val="00505ADA"/>
    <w:rsid w:val="00507040"/>
    <w:rsid w:val="005079F8"/>
    <w:rsid w:val="00510189"/>
    <w:rsid w:val="0051024D"/>
    <w:rsid w:val="005108C0"/>
    <w:rsid w:val="00511873"/>
    <w:rsid w:val="00513B7E"/>
    <w:rsid w:val="00514474"/>
    <w:rsid w:val="00514EBE"/>
    <w:rsid w:val="005215EF"/>
    <w:rsid w:val="00524637"/>
    <w:rsid w:val="00525137"/>
    <w:rsid w:val="005251DD"/>
    <w:rsid w:val="00527913"/>
    <w:rsid w:val="0053017A"/>
    <w:rsid w:val="00530492"/>
    <w:rsid w:val="00532854"/>
    <w:rsid w:val="00532BE8"/>
    <w:rsid w:val="005350F2"/>
    <w:rsid w:val="00535152"/>
    <w:rsid w:val="005351B6"/>
    <w:rsid w:val="00535359"/>
    <w:rsid w:val="005356C8"/>
    <w:rsid w:val="005357A2"/>
    <w:rsid w:val="00535D87"/>
    <w:rsid w:val="00535EF0"/>
    <w:rsid w:val="00537242"/>
    <w:rsid w:val="0053734B"/>
    <w:rsid w:val="00537AFD"/>
    <w:rsid w:val="00537CB4"/>
    <w:rsid w:val="00540895"/>
    <w:rsid w:val="00541B19"/>
    <w:rsid w:val="0054516B"/>
    <w:rsid w:val="0054559E"/>
    <w:rsid w:val="005513D5"/>
    <w:rsid w:val="005523B9"/>
    <w:rsid w:val="005545E0"/>
    <w:rsid w:val="00554865"/>
    <w:rsid w:val="00554E57"/>
    <w:rsid w:val="00562749"/>
    <w:rsid w:val="00562DE9"/>
    <w:rsid w:val="00563674"/>
    <w:rsid w:val="005638A5"/>
    <w:rsid w:val="00566381"/>
    <w:rsid w:val="00566A03"/>
    <w:rsid w:val="00571932"/>
    <w:rsid w:val="00573C97"/>
    <w:rsid w:val="00574240"/>
    <w:rsid w:val="00575CDC"/>
    <w:rsid w:val="005765D5"/>
    <w:rsid w:val="00576A3E"/>
    <w:rsid w:val="0058031B"/>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5F6C"/>
    <w:rsid w:val="005A7500"/>
    <w:rsid w:val="005B1BDB"/>
    <w:rsid w:val="005B2BAA"/>
    <w:rsid w:val="005B2D53"/>
    <w:rsid w:val="005B3060"/>
    <w:rsid w:val="005B3247"/>
    <w:rsid w:val="005B3409"/>
    <w:rsid w:val="005B7B12"/>
    <w:rsid w:val="005C0AC0"/>
    <w:rsid w:val="005C16CB"/>
    <w:rsid w:val="005C3F9F"/>
    <w:rsid w:val="005C4A23"/>
    <w:rsid w:val="005C6400"/>
    <w:rsid w:val="005C7F1E"/>
    <w:rsid w:val="005D374F"/>
    <w:rsid w:val="005D5802"/>
    <w:rsid w:val="005D6CFC"/>
    <w:rsid w:val="005D73E2"/>
    <w:rsid w:val="005E0476"/>
    <w:rsid w:val="005E1884"/>
    <w:rsid w:val="005E1E4B"/>
    <w:rsid w:val="005E362D"/>
    <w:rsid w:val="005E492C"/>
    <w:rsid w:val="005E4BAA"/>
    <w:rsid w:val="005E52EF"/>
    <w:rsid w:val="005E5B56"/>
    <w:rsid w:val="005E6088"/>
    <w:rsid w:val="005E61DF"/>
    <w:rsid w:val="005E6B78"/>
    <w:rsid w:val="005F4057"/>
    <w:rsid w:val="005F4088"/>
    <w:rsid w:val="005F6119"/>
    <w:rsid w:val="006004C6"/>
    <w:rsid w:val="0060107A"/>
    <w:rsid w:val="00601AFF"/>
    <w:rsid w:val="00602D1D"/>
    <w:rsid w:val="00604307"/>
    <w:rsid w:val="0060487F"/>
    <w:rsid w:val="00605814"/>
    <w:rsid w:val="00606B93"/>
    <w:rsid w:val="00607727"/>
    <w:rsid w:val="006118AA"/>
    <w:rsid w:val="006139C7"/>
    <w:rsid w:val="006153E3"/>
    <w:rsid w:val="00617D2D"/>
    <w:rsid w:val="00617D83"/>
    <w:rsid w:val="00620AC5"/>
    <w:rsid w:val="00620D38"/>
    <w:rsid w:val="00621575"/>
    <w:rsid w:val="006215FC"/>
    <w:rsid w:val="00624093"/>
    <w:rsid w:val="00630F66"/>
    <w:rsid w:val="00631FC2"/>
    <w:rsid w:val="00632171"/>
    <w:rsid w:val="0063284E"/>
    <w:rsid w:val="0063332A"/>
    <w:rsid w:val="006347F9"/>
    <w:rsid w:val="00634C90"/>
    <w:rsid w:val="00635E79"/>
    <w:rsid w:val="00636E5E"/>
    <w:rsid w:val="006404A7"/>
    <w:rsid w:val="006407F3"/>
    <w:rsid w:val="00644DFC"/>
    <w:rsid w:val="006451E4"/>
    <w:rsid w:val="006460B8"/>
    <w:rsid w:val="006520C7"/>
    <w:rsid w:val="0065277F"/>
    <w:rsid w:val="006530B8"/>
    <w:rsid w:val="006535D6"/>
    <w:rsid w:val="0065559D"/>
    <w:rsid w:val="006572ED"/>
    <w:rsid w:val="00657E87"/>
    <w:rsid w:val="00660457"/>
    <w:rsid w:val="00660E1E"/>
    <w:rsid w:val="006637B1"/>
    <w:rsid w:val="00665D67"/>
    <w:rsid w:val="00665D77"/>
    <w:rsid w:val="006660CD"/>
    <w:rsid w:val="006662B5"/>
    <w:rsid w:val="00666F4B"/>
    <w:rsid w:val="006676D0"/>
    <w:rsid w:val="00670FAC"/>
    <w:rsid w:val="006710C9"/>
    <w:rsid w:val="00675E37"/>
    <w:rsid w:val="00676F11"/>
    <w:rsid w:val="00680079"/>
    <w:rsid w:val="00680F68"/>
    <w:rsid w:val="0068260E"/>
    <w:rsid w:val="0068373D"/>
    <w:rsid w:val="00683BFE"/>
    <w:rsid w:val="00685069"/>
    <w:rsid w:val="006857DF"/>
    <w:rsid w:val="00685E66"/>
    <w:rsid w:val="00686B72"/>
    <w:rsid w:val="00686BF1"/>
    <w:rsid w:val="00690A09"/>
    <w:rsid w:val="00693FEA"/>
    <w:rsid w:val="00694930"/>
    <w:rsid w:val="00695170"/>
    <w:rsid w:val="00695BEF"/>
    <w:rsid w:val="006960D6"/>
    <w:rsid w:val="00696AA5"/>
    <w:rsid w:val="006974EE"/>
    <w:rsid w:val="006977F6"/>
    <w:rsid w:val="00697A13"/>
    <w:rsid w:val="006A109C"/>
    <w:rsid w:val="006A3CF3"/>
    <w:rsid w:val="006A672B"/>
    <w:rsid w:val="006B3F8A"/>
    <w:rsid w:val="006B5CA3"/>
    <w:rsid w:val="006B6B3B"/>
    <w:rsid w:val="006B7714"/>
    <w:rsid w:val="006B7816"/>
    <w:rsid w:val="006B78D8"/>
    <w:rsid w:val="006C090F"/>
    <w:rsid w:val="006C113F"/>
    <w:rsid w:val="006C38DD"/>
    <w:rsid w:val="006C5577"/>
    <w:rsid w:val="006C559A"/>
    <w:rsid w:val="006C58FA"/>
    <w:rsid w:val="006D042D"/>
    <w:rsid w:val="006D06EF"/>
    <w:rsid w:val="006D142E"/>
    <w:rsid w:val="006D4E6F"/>
    <w:rsid w:val="006D61F6"/>
    <w:rsid w:val="006E1F4C"/>
    <w:rsid w:val="006E279A"/>
    <w:rsid w:val="006E2F3F"/>
    <w:rsid w:val="006E313B"/>
    <w:rsid w:val="006E442A"/>
    <w:rsid w:val="006E5CFD"/>
    <w:rsid w:val="006F1326"/>
    <w:rsid w:val="006F2BEE"/>
    <w:rsid w:val="006F3708"/>
    <w:rsid w:val="006F3E6B"/>
    <w:rsid w:val="006F4A59"/>
    <w:rsid w:val="007014C7"/>
    <w:rsid w:val="00702D6F"/>
    <w:rsid w:val="007032F0"/>
    <w:rsid w:val="00703B6C"/>
    <w:rsid w:val="007047D5"/>
    <w:rsid w:val="00705D98"/>
    <w:rsid w:val="00707891"/>
    <w:rsid w:val="007078EE"/>
    <w:rsid w:val="00707D43"/>
    <w:rsid w:val="00711EF1"/>
    <w:rsid w:val="0071229A"/>
    <w:rsid w:val="00712572"/>
    <w:rsid w:val="00713495"/>
    <w:rsid w:val="00720FA2"/>
    <w:rsid w:val="007211F5"/>
    <w:rsid w:val="00724666"/>
    <w:rsid w:val="00726043"/>
    <w:rsid w:val="0072704A"/>
    <w:rsid w:val="00730AE8"/>
    <w:rsid w:val="00731963"/>
    <w:rsid w:val="00734321"/>
    <w:rsid w:val="00737289"/>
    <w:rsid w:val="00740310"/>
    <w:rsid w:val="00740652"/>
    <w:rsid w:val="00740F02"/>
    <w:rsid w:val="00740FEC"/>
    <w:rsid w:val="0074132E"/>
    <w:rsid w:val="00741493"/>
    <w:rsid w:val="007426B3"/>
    <w:rsid w:val="007426FD"/>
    <w:rsid w:val="0074329D"/>
    <w:rsid w:val="00744376"/>
    <w:rsid w:val="007449EA"/>
    <w:rsid w:val="007451AE"/>
    <w:rsid w:val="00746DD9"/>
    <w:rsid w:val="0075057A"/>
    <w:rsid w:val="00751771"/>
    <w:rsid w:val="00751C1C"/>
    <w:rsid w:val="00752180"/>
    <w:rsid w:val="007521A1"/>
    <w:rsid w:val="0075315D"/>
    <w:rsid w:val="007538F9"/>
    <w:rsid w:val="00753AFD"/>
    <w:rsid w:val="00754253"/>
    <w:rsid w:val="007552BB"/>
    <w:rsid w:val="007558D3"/>
    <w:rsid w:val="007559D7"/>
    <w:rsid w:val="00755D3A"/>
    <w:rsid w:val="00760141"/>
    <w:rsid w:val="007609C6"/>
    <w:rsid w:val="007610A0"/>
    <w:rsid w:val="007620F2"/>
    <w:rsid w:val="00762E34"/>
    <w:rsid w:val="00762EBA"/>
    <w:rsid w:val="0076359D"/>
    <w:rsid w:val="00772536"/>
    <w:rsid w:val="00773613"/>
    <w:rsid w:val="007736AA"/>
    <w:rsid w:val="00774782"/>
    <w:rsid w:val="00776527"/>
    <w:rsid w:val="0078113E"/>
    <w:rsid w:val="00781834"/>
    <w:rsid w:val="007821DB"/>
    <w:rsid w:val="00782744"/>
    <w:rsid w:val="00782818"/>
    <w:rsid w:val="00783C86"/>
    <w:rsid w:val="00784C4A"/>
    <w:rsid w:val="00786884"/>
    <w:rsid w:val="00787432"/>
    <w:rsid w:val="00787507"/>
    <w:rsid w:val="007879F2"/>
    <w:rsid w:val="00787D78"/>
    <w:rsid w:val="00791CF8"/>
    <w:rsid w:val="00792262"/>
    <w:rsid w:val="00793387"/>
    <w:rsid w:val="00793BAE"/>
    <w:rsid w:val="00794E0A"/>
    <w:rsid w:val="00796642"/>
    <w:rsid w:val="007A11D9"/>
    <w:rsid w:val="007A327B"/>
    <w:rsid w:val="007A4019"/>
    <w:rsid w:val="007A4606"/>
    <w:rsid w:val="007B1966"/>
    <w:rsid w:val="007B3DCC"/>
    <w:rsid w:val="007B4518"/>
    <w:rsid w:val="007B5031"/>
    <w:rsid w:val="007B517F"/>
    <w:rsid w:val="007B573F"/>
    <w:rsid w:val="007C3976"/>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1DC0"/>
    <w:rsid w:val="007F337B"/>
    <w:rsid w:val="007F37BA"/>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6B74"/>
    <w:rsid w:val="008178C2"/>
    <w:rsid w:val="008178CF"/>
    <w:rsid w:val="00817C98"/>
    <w:rsid w:val="00820C9F"/>
    <w:rsid w:val="00821FF6"/>
    <w:rsid w:val="00823A05"/>
    <w:rsid w:val="00823AAF"/>
    <w:rsid w:val="00824081"/>
    <w:rsid w:val="0082409A"/>
    <w:rsid w:val="00827181"/>
    <w:rsid w:val="00827746"/>
    <w:rsid w:val="0083143E"/>
    <w:rsid w:val="0083159D"/>
    <w:rsid w:val="00832187"/>
    <w:rsid w:val="008336D8"/>
    <w:rsid w:val="008339C4"/>
    <w:rsid w:val="00834A2F"/>
    <w:rsid w:val="00834F0A"/>
    <w:rsid w:val="00834FAA"/>
    <w:rsid w:val="00836086"/>
    <w:rsid w:val="008373E9"/>
    <w:rsid w:val="00841D9F"/>
    <w:rsid w:val="00842604"/>
    <w:rsid w:val="00843ECF"/>
    <w:rsid w:val="00846673"/>
    <w:rsid w:val="00846BB6"/>
    <w:rsid w:val="00847380"/>
    <w:rsid w:val="0085281A"/>
    <w:rsid w:val="008559FE"/>
    <w:rsid w:val="00857339"/>
    <w:rsid w:val="008575E1"/>
    <w:rsid w:val="00862A7A"/>
    <w:rsid w:val="00863D9E"/>
    <w:rsid w:val="008642AF"/>
    <w:rsid w:val="00865986"/>
    <w:rsid w:val="00867E29"/>
    <w:rsid w:val="00870F2B"/>
    <w:rsid w:val="00873C15"/>
    <w:rsid w:val="008746E6"/>
    <w:rsid w:val="00876086"/>
    <w:rsid w:val="008768D6"/>
    <w:rsid w:val="008775D1"/>
    <w:rsid w:val="008777BB"/>
    <w:rsid w:val="00877D68"/>
    <w:rsid w:val="00877E5D"/>
    <w:rsid w:val="0088733A"/>
    <w:rsid w:val="008875EB"/>
    <w:rsid w:val="00891906"/>
    <w:rsid w:val="00891BE0"/>
    <w:rsid w:val="00893302"/>
    <w:rsid w:val="008945A1"/>
    <w:rsid w:val="00894A63"/>
    <w:rsid w:val="00895A54"/>
    <w:rsid w:val="00896916"/>
    <w:rsid w:val="00896BDE"/>
    <w:rsid w:val="00896C64"/>
    <w:rsid w:val="008A0436"/>
    <w:rsid w:val="008A0861"/>
    <w:rsid w:val="008A0BB2"/>
    <w:rsid w:val="008A1AB3"/>
    <w:rsid w:val="008A1C82"/>
    <w:rsid w:val="008A1D5C"/>
    <w:rsid w:val="008A3292"/>
    <w:rsid w:val="008A3A85"/>
    <w:rsid w:val="008A43E9"/>
    <w:rsid w:val="008A4CB1"/>
    <w:rsid w:val="008A615E"/>
    <w:rsid w:val="008A632B"/>
    <w:rsid w:val="008A6BFE"/>
    <w:rsid w:val="008B190E"/>
    <w:rsid w:val="008B1A8A"/>
    <w:rsid w:val="008B7306"/>
    <w:rsid w:val="008B775F"/>
    <w:rsid w:val="008B7C02"/>
    <w:rsid w:val="008B7F9E"/>
    <w:rsid w:val="008C0431"/>
    <w:rsid w:val="008C0E88"/>
    <w:rsid w:val="008C1AA8"/>
    <w:rsid w:val="008C22A8"/>
    <w:rsid w:val="008C63FD"/>
    <w:rsid w:val="008C6A4F"/>
    <w:rsid w:val="008C6CB8"/>
    <w:rsid w:val="008C7815"/>
    <w:rsid w:val="008C7A07"/>
    <w:rsid w:val="008D0171"/>
    <w:rsid w:val="008D2A16"/>
    <w:rsid w:val="008D2ECF"/>
    <w:rsid w:val="008D3F3D"/>
    <w:rsid w:val="008E31FF"/>
    <w:rsid w:val="008E3FB2"/>
    <w:rsid w:val="008E5DE6"/>
    <w:rsid w:val="008E6113"/>
    <w:rsid w:val="008E6AB3"/>
    <w:rsid w:val="008E6AD3"/>
    <w:rsid w:val="008E71A6"/>
    <w:rsid w:val="008E77B6"/>
    <w:rsid w:val="008E789F"/>
    <w:rsid w:val="008F032E"/>
    <w:rsid w:val="008F0F14"/>
    <w:rsid w:val="008F4FCE"/>
    <w:rsid w:val="008F5301"/>
    <w:rsid w:val="008F7D28"/>
    <w:rsid w:val="009003A8"/>
    <w:rsid w:val="00902CBE"/>
    <w:rsid w:val="00902D74"/>
    <w:rsid w:val="00902EFF"/>
    <w:rsid w:val="00903E06"/>
    <w:rsid w:val="00904B9D"/>
    <w:rsid w:val="009066E1"/>
    <w:rsid w:val="00907A41"/>
    <w:rsid w:val="009102BD"/>
    <w:rsid w:val="00910F93"/>
    <w:rsid w:val="00914426"/>
    <w:rsid w:val="0091675F"/>
    <w:rsid w:val="00916B87"/>
    <w:rsid w:val="00917709"/>
    <w:rsid w:val="00917918"/>
    <w:rsid w:val="00921F14"/>
    <w:rsid w:val="00923750"/>
    <w:rsid w:val="009243A5"/>
    <w:rsid w:val="009250D2"/>
    <w:rsid w:val="00926283"/>
    <w:rsid w:val="00926959"/>
    <w:rsid w:val="009340A2"/>
    <w:rsid w:val="00937B11"/>
    <w:rsid w:val="00940F1F"/>
    <w:rsid w:val="00941250"/>
    <w:rsid w:val="00942B5F"/>
    <w:rsid w:val="00943AF9"/>
    <w:rsid w:val="0094427A"/>
    <w:rsid w:val="009459C5"/>
    <w:rsid w:val="0094626C"/>
    <w:rsid w:val="0095013A"/>
    <w:rsid w:val="00953AEF"/>
    <w:rsid w:val="00953B56"/>
    <w:rsid w:val="00954026"/>
    <w:rsid w:val="00954E23"/>
    <w:rsid w:val="009551E2"/>
    <w:rsid w:val="00955783"/>
    <w:rsid w:val="00955E5F"/>
    <w:rsid w:val="009560B0"/>
    <w:rsid w:val="00957871"/>
    <w:rsid w:val="00964498"/>
    <w:rsid w:val="009663EB"/>
    <w:rsid w:val="0096650F"/>
    <w:rsid w:val="009700DB"/>
    <w:rsid w:val="00972263"/>
    <w:rsid w:val="009726B9"/>
    <w:rsid w:val="00972D8D"/>
    <w:rsid w:val="00973AAE"/>
    <w:rsid w:val="0097476C"/>
    <w:rsid w:val="00974923"/>
    <w:rsid w:val="00974D48"/>
    <w:rsid w:val="00974D5F"/>
    <w:rsid w:val="00975017"/>
    <w:rsid w:val="009759DF"/>
    <w:rsid w:val="009778B0"/>
    <w:rsid w:val="00980621"/>
    <w:rsid w:val="00982072"/>
    <w:rsid w:val="00983ECF"/>
    <w:rsid w:val="00986745"/>
    <w:rsid w:val="00987109"/>
    <w:rsid w:val="00987309"/>
    <w:rsid w:val="0099012D"/>
    <w:rsid w:val="009954FF"/>
    <w:rsid w:val="00996355"/>
    <w:rsid w:val="009978B4"/>
    <w:rsid w:val="009A2014"/>
    <w:rsid w:val="009A4E12"/>
    <w:rsid w:val="009A5C68"/>
    <w:rsid w:val="009B04D0"/>
    <w:rsid w:val="009B052C"/>
    <w:rsid w:val="009B0EF2"/>
    <w:rsid w:val="009B23A3"/>
    <w:rsid w:val="009B4925"/>
    <w:rsid w:val="009B4B4B"/>
    <w:rsid w:val="009B6CE7"/>
    <w:rsid w:val="009B6FD3"/>
    <w:rsid w:val="009B70BD"/>
    <w:rsid w:val="009C07A5"/>
    <w:rsid w:val="009C7388"/>
    <w:rsid w:val="009D1551"/>
    <w:rsid w:val="009D2859"/>
    <w:rsid w:val="009D4173"/>
    <w:rsid w:val="009D48AD"/>
    <w:rsid w:val="009D6095"/>
    <w:rsid w:val="009D6306"/>
    <w:rsid w:val="009D7047"/>
    <w:rsid w:val="009E048A"/>
    <w:rsid w:val="009E1FBA"/>
    <w:rsid w:val="009E2C54"/>
    <w:rsid w:val="009E3710"/>
    <w:rsid w:val="009E7B1F"/>
    <w:rsid w:val="009F41C4"/>
    <w:rsid w:val="009F5846"/>
    <w:rsid w:val="009F7D77"/>
    <w:rsid w:val="00A07E68"/>
    <w:rsid w:val="00A10D66"/>
    <w:rsid w:val="00A13A17"/>
    <w:rsid w:val="00A1420C"/>
    <w:rsid w:val="00A14821"/>
    <w:rsid w:val="00A17754"/>
    <w:rsid w:val="00A2055B"/>
    <w:rsid w:val="00A2253C"/>
    <w:rsid w:val="00A23545"/>
    <w:rsid w:val="00A23A55"/>
    <w:rsid w:val="00A23E43"/>
    <w:rsid w:val="00A24F8C"/>
    <w:rsid w:val="00A262BF"/>
    <w:rsid w:val="00A271AD"/>
    <w:rsid w:val="00A27581"/>
    <w:rsid w:val="00A276D5"/>
    <w:rsid w:val="00A30336"/>
    <w:rsid w:val="00A30BB5"/>
    <w:rsid w:val="00A3128F"/>
    <w:rsid w:val="00A326D0"/>
    <w:rsid w:val="00A347A4"/>
    <w:rsid w:val="00A35287"/>
    <w:rsid w:val="00A378F8"/>
    <w:rsid w:val="00A40B19"/>
    <w:rsid w:val="00A424F8"/>
    <w:rsid w:val="00A437B7"/>
    <w:rsid w:val="00A46DE0"/>
    <w:rsid w:val="00A4778A"/>
    <w:rsid w:val="00A5067F"/>
    <w:rsid w:val="00A550B7"/>
    <w:rsid w:val="00A55301"/>
    <w:rsid w:val="00A57B3C"/>
    <w:rsid w:val="00A60FD0"/>
    <w:rsid w:val="00A6128E"/>
    <w:rsid w:val="00A62CE1"/>
    <w:rsid w:val="00A631FA"/>
    <w:rsid w:val="00A64203"/>
    <w:rsid w:val="00A64348"/>
    <w:rsid w:val="00A6591D"/>
    <w:rsid w:val="00A66999"/>
    <w:rsid w:val="00A721FB"/>
    <w:rsid w:val="00A727BA"/>
    <w:rsid w:val="00A72D4B"/>
    <w:rsid w:val="00A732AE"/>
    <w:rsid w:val="00A75E40"/>
    <w:rsid w:val="00A77E80"/>
    <w:rsid w:val="00A77EB2"/>
    <w:rsid w:val="00A82B66"/>
    <w:rsid w:val="00A83B58"/>
    <w:rsid w:val="00A851B6"/>
    <w:rsid w:val="00A85729"/>
    <w:rsid w:val="00A8574B"/>
    <w:rsid w:val="00A857C0"/>
    <w:rsid w:val="00A96463"/>
    <w:rsid w:val="00A97E3F"/>
    <w:rsid w:val="00AA09D3"/>
    <w:rsid w:val="00AA23FB"/>
    <w:rsid w:val="00AA42AB"/>
    <w:rsid w:val="00AA559A"/>
    <w:rsid w:val="00AB104D"/>
    <w:rsid w:val="00AB2AF1"/>
    <w:rsid w:val="00AB2FC7"/>
    <w:rsid w:val="00AB440B"/>
    <w:rsid w:val="00AB47E3"/>
    <w:rsid w:val="00AB74C5"/>
    <w:rsid w:val="00AB7DF2"/>
    <w:rsid w:val="00AC1E3F"/>
    <w:rsid w:val="00AC4F18"/>
    <w:rsid w:val="00AC6C4D"/>
    <w:rsid w:val="00AD0B46"/>
    <w:rsid w:val="00AD1094"/>
    <w:rsid w:val="00AD2565"/>
    <w:rsid w:val="00AD306C"/>
    <w:rsid w:val="00AD3424"/>
    <w:rsid w:val="00AD50D1"/>
    <w:rsid w:val="00AD59BB"/>
    <w:rsid w:val="00AD5D68"/>
    <w:rsid w:val="00AD6C73"/>
    <w:rsid w:val="00AE06D0"/>
    <w:rsid w:val="00AE2DA2"/>
    <w:rsid w:val="00AE39DC"/>
    <w:rsid w:val="00AE3CDA"/>
    <w:rsid w:val="00AE3CEF"/>
    <w:rsid w:val="00AE7968"/>
    <w:rsid w:val="00AF128B"/>
    <w:rsid w:val="00AF1AEA"/>
    <w:rsid w:val="00AF2852"/>
    <w:rsid w:val="00AF3225"/>
    <w:rsid w:val="00AF518B"/>
    <w:rsid w:val="00AF5275"/>
    <w:rsid w:val="00AF6367"/>
    <w:rsid w:val="00AF6A79"/>
    <w:rsid w:val="00AF724E"/>
    <w:rsid w:val="00AF73A9"/>
    <w:rsid w:val="00B01C2C"/>
    <w:rsid w:val="00B0231C"/>
    <w:rsid w:val="00B07DA3"/>
    <w:rsid w:val="00B15DCD"/>
    <w:rsid w:val="00B15E3A"/>
    <w:rsid w:val="00B17E71"/>
    <w:rsid w:val="00B17FDE"/>
    <w:rsid w:val="00B208FC"/>
    <w:rsid w:val="00B20C65"/>
    <w:rsid w:val="00B22E17"/>
    <w:rsid w:val="00B26015"/>
    <w:rsid w:val="00B26964"/>
    <w:rsid w:val="00B27293"/>
    <w:rsid w:val="00B2763E"/>
    <w:rsid w:val="00B30B30"/>
    <w:rsid w:val="00B3229E"/>
    <w:rsid w:val="00B32DDB"/>
    <w:rsid w:val="00B35174"/>
    <w:rsid w:val="00B35BEA"/>
    <w:rsid w:val="00B3793D"/>
    <w:rsid w:val="00B41BE6"/>
    <w:rsid w:val="00B457E7"/>
    <w:rsid w:val="00B45D1B"/>
    <w:rsid w:val="00B46D25"/>
    <w:rsid w:val="00B47430"/>
    <w:rsid w:val="00B52D2D"/>
    <w:rsid w:val="00B55301"/>
    <w:rsid w:val="00B55BA8"/>
    <w:rsid w:val="00B55F15"/>
    <w:rsid w:val="00B561A6"/>
    <w:rsid w:val="00B60062"/>
    <w:rsid w:val="00B62960"/>
    <w:rsid w:val="00B63A11"/>
    <w:rsid w:val="00B63FD0"/>
    <w:rsid w:val="00B65C84"/>
    <w:rsid w:val="00B6608F"/>
    <w:rsid w:val="00B71069"/>
    <w:rsid w:val="00B74317"/>
    <w:rsid w:val="00B76D1E"/>
    <w:rsid w:val="00B800EB"/>
    <w:rsid w:val="00B822D2"/>
    <w:rsid w:val="00B848B8"/>
    <w:rsid w:val="00B84A41"/>
    <w:rsid w:val="00B84D57"/>
    <w:rsid w:val="00B85689"/>
    <w:rsid w:val="00B85C07"/>
    <w:rsid w:val="00B86748"/>
    <w:rsid w:val="00B87DF4"/>
    <w:rsid w:val="00B907EA"/>
    <w:rsid w:val="00B91EC9"/>
    <w:rsid w:val="00B924CA"/>
    <w:rsid w:val="00B93384"/>
    <w:rsid w:val="00B94417"/>
    <w:rsid w:val="00B95940"/>
    <w:rsid w:val="00B95EF8"/>
    <w:rsid w:val="00B95F50"/>
    <w:rsid w:val="00B96BD9"/>
    <w:rsid w:val="00BA58FD"/>
    <w:rsid w:val="00BB1CFD"/>
    <w:rsid w:val="00BB2C53"/>
    <w:rsid w:val="00BB32DA"/>
    <w:rsid w:val="00BB3A54"/>
    <w:rsid w:val="00BB4E21"/>
    <w:rsid w:val="00BB7746"/>
    <w:rsid w:val="00BC22EB"/>
    <w:rsid w:val="00BC3475"/>
    <w:rsid w:val="00BC682B"/>
    <w:rsid w:val="00BC6B04"/>
    <w:rsid w:val="00BD186B"/>
    <w:rsid w:val="00BD1EAC"/>
    <w:rsid w:val="00BD3428"/>
    <w:rsid w:val="00BD366B"/>
    <w:rsid w:val="00BD534C"/>
    <w:rsid w:val="00BD56BC"/>
    <w:rsid w:val="00BD5D91"/>
    <w:rsid w:val="00BD6615"/>
    <w:rsid w:val="00BD69DC"/>
    <w:rsid w:val="00BD6D50"/>
    <w:rsid w:val="00BE0D79"/>
    <w:rsid w:val="00BE0DB0"/>
    <w:rsid w:val="00BE2583"/>
    <w:rsid w:val="00BE3381"/>
    <w:rsid w:val="00BE3F09"/>
    <w:rsid w:val="00BE670A"/>
    <w:rsid w:val="00BE6906"/>
    <w:rsid w:val="00BF18F4"/>
    <w:rsid w:val="00BF1A69"/>
    <w:rsid w:val="00BF3BC8"/>
    <w:rsid w:val="00BF3DF1"/>
    <w:rsid w:val="00BF4C31"/>
    <w:rsid w:val="00BF4E57"/>
    <w:rsid w:val="00C00F20"/>
    <w:rsid w:val="00C034E6"/>
    <w:rsid w:val="00C04E1D"/>
    <w:rsid w:val="00C0784A"/>
    <w:rsid w:val="00C10B28"/>
    <w:rsid w:val="00C10FAE"/>
    <w:rsid w:val="00C12A69"/>
    <w:rsid w:val="00C150BE"/>
    <w:rsid w:val="00C15A0C"/>
    <w:rsid w:val="00C15DCB"/>
    <w:rsid w:val="00C1711F"/>
    <w:rsid w:val="00C20744"/>
    <w:rsid w:val="00C20C4D"/>
    <w:rsid w:val="00C21D46"/>
    <w:rsid w:val="00C21F94"/>
    <w:rsid w:val="00C2201D"/>
    <w:rsid w:val="00C222A1"/>
    <w:rsid w:val="00C23CBD"/>
    <w:rsid w:val="00C23D22"/>
    <w:rsid w:val="00C2463B"/>
    <w:rsid w:val="00C24E77"/>
    <w:rsid w:val="00C2732D"/>
    <w:rsid w:val="00C273C6"/>
    <w:rsid w:val="00C27913"/>
    <w:rsid w:val="00C300C6"/>
    <w:rsid w:val="00C3271C"/>
    <w:rsid w:val="00C34FDE"/>
    <w:rsid w:val="00C35C16"/>
    <w:rsid w:val="00C375E9"/>
    <w:rsid w:val="00C40F81"/>
    <w:rsid w:val="00C41463"/>
    <w:rsid w:val="00C41A72"/>
    <w:rsid w:val="00C42192"/>
    <w:rsid w:val="00C431F5"/>
    <w:rsid w:val="00C476C5"/>
    <w:rsid w:val="00C503B0"/>
    <w:rsid w:val="00C511C2"/>
    <w:rsid w:val="00C53D82"/>
    <w:rsid w:val="00C60696"/>
    <w:rsid w:val="00C615F1"/>
    <w:rsid w:val="00C61627"/>
    <w:rsid w:val="00C63B21"/>
    <w:rsid w:val="00C64E60"/>
    <w:rsid w:val="00C657A4"/>
    <w:rsid w:val="00C6736C"/>
    <w:rsid w:val="00C71A1D"/>
    <w:rsid w:val="00C75C7E"/>
    <w:rsid w:val="00C75C9B"/>
    <w:rsid w:val="00C76D8E"/>
    <w:rsid w:val="00C77833"/>
    <w:rsid w:val="00C803C0"/>
    <w:rsid w:val="00C80C9B"/>
    <w:rsid w:val="00C8335E"/>
    <w:rsid w:val="00C83F9C"/>
    <w:rsid w:val="00C84CE3"/>
    <w:rsid w:val="00C85614"/>
    <w:rsid w:val="00C90CF4"/>
    <w:rsid w:val="00C91C19"/>
    <w:rsid w:val="00C929A0"/>
    <w:rsid w:val="00C93389"/>
    <w:rsid w:val="00C937DB"/>
    <w:rsid w:val="00C94519"/>
    <w:rsid w:val="00C94677"/>
    <w:rsid w:val="00C94E83"/>
    <w:rsid w:val="00CA140F"/>
    <w:rsid w:val="00CA25C2"/>
    <w:rsid w:val="00CA37CA"/>
    <w:rsid w:val="00CA6508"/>
    <w:rsid w:val="00CA6BA1"/>
    <w:rsid w:val="00CA6CD5"/>
    <w:rsid w:val="00CB1910"/>
    <w:rsid w:val="00CB2150"/>
    <w:rsid w:val="00CB28EE"/>
    <w:rsid w:val="00CB43A7"/>
    <w:rsid w:val="00CB5996"/>
    <w:rsid w:val="00CB7452"/>
    <w:rsid w:val="00CC0E10"/>
    <w:rsid w:val="00CC2642"/>
    <w:rsid w:val="00CC2E15"/>
    <w:rsid w:val="00CC3908"/>
    <w:rsid w:val="00CC62AD"/>
    <w:rsid w:val="00CC7B80"/>
    <w:rsid w:val="00CD2B3C"/>
    <w:rsid w:val="00CD30F6"/>
    <w:rsid w:val="00CD4B29"/>
    <w:rsid w:val="00CD693D"/>
    <w:rsid w:val="00CD6EF1"/>
    <w:rsid w:val="00CE21C7"/>
    <w:rsid w:val="00CE329C"/>
    <w:rsid w:val="00CE3DE9"/>
    <w:rsid w:val="00CE57D8"/>
    <w:rsid w:val="00CE617A"/>
    <w:rsid w:val="00CF28C2"/>
    <w:rsid w:val="00CF42BD"/>
    <w:rsid w:val="00CF51EC"/>
    <w:rsid w:val="00CF6CD7"/>
    <w:rsid w:val="00D0037A"/>
    <w:rsid w:val="00D00DAF"/>
    <w:rsid w:val="00D017EC"/>
    <w:rsid w:val="00D01CDA"/>
    <w:rsid w:val="00D02DB2"/>
    <w:rsid w:val="00D040DD"/>
    <w:rsid w:val="00D04E1B"/>
    <w:rsid w:val="00D06E5B"/>
    <w:rsid w:val="00D076DB"/>
    <w:rsid w:val="00D1067C"/>
    <w:rsid w:val="00D136D4"/>
    <w:rsid w:val="00D13830"/>
    <w:rsid w:val="00D13ECF"/>
    <w:rsid w:val="00D142E5"/>
    <w:rsid w:val="00D148CD"/>
    <w:rsid w:val="00D152C1"/>
    <w:rsid w:val="00D1611E"/>
    <w:rsid w:val="00D16E69"/>
    <w:rsid w:val="00D205A9"/>
    <w:rsid w:val="00D217EE"/>
    <w:rsid w:val="00D23442"/>
    <w:rsid w:val="00D245BA"/>
    <w:rsid w:val="00D26923"/>
    <w:rsid w:val="00D27856"/>
    <w:rsid w:val="00D301CA"/>
    <w:rsid w:val="00D30740"/>
    <w:rsid w:val="00D31075"/>
    <w:rsid w:val="00D31445"/>
    <w:rsid w:val="00D31932"/>
    <w:rsid w:val="00D336C7"/>
    <w:rsid w:val="00D3526E"/>
    <w:rsid w:val="00D378CC"/>
    <w:rsid w:val="00D4042C"/>
    <w:rsid w:val="00D42312"/>
    <w:rsid w:val="00D43998"/>
    <w:rsid w:val="00D4615E"/>
    <w:rsid w:val="00D478E2"/>
    <w:rsid w:val="00D50D80"/>
    <w:rsid w:val="00D5261D"/>
    <w:rsid w:val="00D5264C"/>
    <w:rsid w:val="00D547BA"/>
    <w:rsid w:val="00D55626"/>
    <w:rsid w:val="00D556BC"/>
    <w:rsid w:val="00D5626D"/>
    <w:rsid w:val="00D60277"/>
    <w:rsid w:val="00D6034A"/>
    <w:rsid w:val="00D61F88"/>
    <w:rsid w:val="00D62901"/>
    <w:rsid w:val="00D639A5"/>
    <w:rsid w:val="00D6470C"/>
    <w:rsid w:val="00D64853"/>
    <w:rsid w:val="00D64CB5"/>
    <w:rsid w:val="00D66D48"/>
    <w:rsid w:val="00D73256"/>
    <w:rsid w:val="00D73A30"/>
    <w:rsid w:val="00D74C65"/>
    <w:rsid w:val="00D75DC2"/>
    <w:rsid w:val="00D766EF"/>
    <w:rsid w:val="00D76C03"/>
    <w:rsid w:val="00D82462"/>
    <w:rsid w:val="00D83627"/>
    <w:rsid w:val="00D868CE"/>
    <w:rsid w:val="00D86DAE"/>
    <w:rsid w:val="00D87030"/>
    <w:rsid w:val="00D907C3"/>
    <w:rsid w:val="00D90C1E"/>
    <w:rsid w:val="00D91BDF"/>
    <w:rsid w:val="00D93F09"/>
    <w:rsid w:val="00D954C2"/>
    <w:rsid w:val="00D97BB8"/>
    <w:rsid w:val="00DA1318"/>
    <w:rsid w:val="00DA1382"/>
    <w:rsid w:val="00DA4AF6"/>
    <w:rsid w:val="00DB016E"/>
    <w:rsid w:val="00DB06E9"/>
    <w:rsid w:val="00DB378E"/>
    <w:rsid w:val="00DB3E9D"/>
    <w:rsid w:val="00DB47B9"/>
    <w:rsid w:val="00DB4FB8"/>
    <w:rsid w:val="00DB53CE"/>
    <w:rsid w:val="00DB549D"/>
    <w:rsid w:val="00DB64DD"/>
    <w:rsid w:val="00DC257F"/>
    <w:rsid w:val="00DC3790"/>
    <w:rsid w:val="00DC408A"/>
    <w:rsid w:val="00DC5B3B"/>
    <w:rsid w:val="00DC6796"/>
    <w:rsid w:val="00DC78DF"/>
    <w:rsid w:val="00DD0821"/>
    <w:rsid w:val="00DD0E32"/>
    <w:rsid w:val="00DD36D8"/>
    <w:rsid w:val="00DD373E"/>
    <w:rsid w:val="00DD57AD"/>
    <w:rsid w:val="00DD76A8"/>
    <w:rsid w:val="00DE009B"/>
    <w:rsid w:val="00DE1447"/>
    <w:rsid w:val="00DE2ED9"/>
    <w:rsid w:val="00DE319A"/>
    <w:rsid w:val="00DE4E12"/>
    <w:rsid w:val="00DF0DC3"/>
    <w:rsid w:val="00DF21FD"/>
    <w:rsid w:val="00DF2873"/>
    <w:rsid w:val="00DF5578"/>
    <w:rsid w:val="00DF78DD"/>
    <w:rsid w:val="00DF7FEC"/>
    <w:rsid w:val="00E00393"/>
    <w:rsid w:val="00E01C0E"/>
    <w:rsid w:val="00E02CF7"/>
    <w:rsid w:val="00E03B27"/>
    <w:rsid w:val="00E04694"/>
    <w:rsid w:val="00E05B2B"/>
    <w:rsid w:val="00E06A2A"/>
    <w:rsid w:val="00E07937"/>
    <w:rsid w:val="00E07F05"/>
    <w:rsid w:val="00E111C2"/>
    <w:rsid w:val="00E127E1"/>
    <w:rsid w:val="00E144D2"/>
    <w:rsid w:val="00E15346"/>
    <w:rsid w:val="00E15B7D"/>
    <w:rsid w:val="00E215EA"/>
    <w:rsid w:val="00E234BA"/>
    <w:rsid w:val="00E24619"/>
    <w:rsid w:val="00E25223"/>
    <w:rsid w:val="00E30BEA"/>
    <w:rsid w:val="00E31764"/>
    <w:rsid w:val="00E34985"/>
    <w:rsid w:val="00E34E4A"/>
    <w:rsid w:val="00E365B3"/>
    <w:rsid w:val="00E366BB"/>
    <w:rsid w:val="00E36F05"/>
    <w:rsid w:val="00E37C45"/>
    <w:rsid w:val="00E40AAA"/>
    <w:rsid w:val="00E438CF"/>
    <w:rsid w:val="00E43C41"/>
    <w:rsid w:val="00E450CE"/>
    <w:rsid w:val="00E45A00"/>
    <w:rsid w:val="00E45CE7"/>
    <w:rsid w:val="00E4631F"/>
    <w:rsid w:val="00E522BB"/>
    <w:rsid w:val="00E539E4"/>
    <w:rsid w:val="00E569C7"/>
    <w:rsid w:val="00E571F2"/>
    <w:rsid w:val="00E57429"/>
    <w:rsid w:val="00E67B4E"/>
    <w:rsid w:val="00E70510"/>
    <w:rsid w:val="00E71262"/>
    <w:rsid w:val="00E71A58"/>
    <w:rsid w:val="00E7724B"/>
    <w:rsid w:val="00E81DC2"/>
    <w:rsid w:val="00E84F21"/>
    <w:rsid w:val="00E90C03"/>
    <w:rsid w:val="00E90F73"/>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A6689"/>
    <w:rsid w:val="00EB20A0"/>
    <w:rsid w:val="00EB30B6"/>
    <w:rsid w:val="00EB4D7C"/>
    <w:rsid w:val="00EB4FA4"/>
    <w:rsid w:val="00EB5146"/>
    <w:rsid w:val="00EB55E9"/>
    <w:rsid w:val="00EB5641"/>
    <w:rsid w:val="00EB5CA9"/>
    <w:rsid w:val="00EB5ED4"/>
    <w:rsid w:val="00EB6537"/>
    <w:rsid w:val="00EB70E1"/>
    <w:rsid w:val="00EB763A"/>
    <w:rsid w:val="00EB7EB5"/>
    <w:rsid w:val="00EC454B"/>
    <w:rsid w:val="00EC6153"/>
    <w:rsid w:val="00EC7F92"/>
    <w:rsid w:val="00ED00A8"/>
    <w:rsid w:val="00ED0A79"/>
    <w:rsid w:val="00ED2961"/>
    <w:rsid w:val="00ED2989"/>
    <w:rsid w:val="00ED2CA5"/>
    <w:rsid w:val="00ED336F"/>
    <w:rsid w:val="00ED54D6"/>
    <w:rsid w:val="00ED5726"/>
    <w:rsid w:val="00EE0298"/>
    <w:rsid w:val="00EE0384"/>
    <w:rsid w:val="00EE10AA"/>
    <w:rsid w:val="00EE1637"/>
    <w:rsid w:val="00EE3B7A"/>
    <w:rsid w:val="00EE3E78"/>
    <w:rsid w:val="00EE5E02"/>
    <w:rsid w:val="00EE617D"/>
    <w:rsid w:val="00EE61BF"/>
    <w:rsid w:val="00EE6748"/>
    <w:rsid w:val="00EE6C6B"/>
    <w:rsid w:val="00EF0E75"/>
    <w:rsid w:val="00EF1F5A"/>
    <w:rsid w:val="00EF4199"/>
    <w:rsid w:val="00EF4685"/>
    <w:rsid w:val="00EF5397"/>
    <w:rsid w:val="00EF6BE3"/>
    <w:rsid w:val="00F00D0E"/>
    <w:rsid w:val="00F00D3C"/>
    <w:rsid w:val="00F04811"/>
    <w:rsid w:val="00F0488C"/>
    <w:rsid w:val="00F0496E"/>
    <w:rsid w:val="00F04D10"/>
    <w:rsid w:val="00F0625B"/>
    <w:rsid w:val="00F101FF"/>
    <w:rsid w:val="00F10A33"/>
    <w:rsid w:val="00F14CF4"/>
    <w:rsid w:val="00F15BEF"/>
    <w:rsid w:val="00F172BE"/>
    <w:rsid w:val="00F1776C"/>
    <w:rsid w:val="00F2037E"/>
    <w:rsid w:val="00F20D17"/>
    <w:rsid w:val="00F2103E"/>
    <w:rsid w:val="00F214FC"/>
    <w:rsid w:val="00F21C31"/>
    <w:rsid w:val="00F22FCD"/>
    <w:rsid w:val="00F23825"/>
    <w:rsid w:val="00F23FFF"/>
    <w:rsid w:val="00F2441D"/>
    <w:rsid w:val="00F24FAA"/>
    <w:rsid w:val="00F26197"/>
    <w:rsid w:val="00F318FC"/>
    <w:rsid w:val="00F31F76"/>
    <w:rsid w:val="00F3364D"/>
    <w:rsid w:val="00F34858"/>
    <w:rsid w:val="00F35899"/>
    <w:rsid w:val="00F35ACD"/>
    <w:rsid w:val="00F365BF"/>
    <w:rsid w:val="00F36BF8"/>
    <w:rsid w:val="00F37760"/>
    <w:rsid w:val="00F403D1"/>
    <w:rsid w:val="00F43921"/>
    <w:rsid w:val="00F4591F"/>
    <w:rsid w:val="00F4736B"/>
    <w:rsid w:val="00F47D05"/>
    <w:rsid w:val="00F50030"/>
    <w:rsid w:val="00F51FC9"/>
    <w:rsid w:val="00F54B31"/>
    <w:rsid w:val="00F54FD3"/>
    <w:rsid w:val="00F55605"/>
    <w:rsid w:val="00F62F02"/>
    <w:rsid w:val="00F63DDE"/>
    <w:rsid w:val="00F63FB7"/>
    <w:rsid w:val="00F64726"/>
    <w:rsid w:val="00F6561A"/>
    <w:rsid w:val="00F727D5"/>
    <w:rsid w:val="00F72F44"/>
    <w:rsid w:val="00F73A0C"/>
    <w:rsid w:val="00F759DC"/>
    <w:rsid w:val="00F76E62"/>
    <w:rsid w:val="00F771A5"/>
    <w:rsid w:val="00F817A4"/>
    <w:rsid w:val="00F81C3A"/>
    <w:rsid w:val="00F8309A"/>
    <w:rsid w:val="00F835FC"/>
    <w:rsid w:val="00F83E21"/>
    <w:rsid w:val="00F84E18"/>
    <w:rsid w:val="00F852E5"/>
    <w:rsid w:val="00F95117"/>
    <w:rsid w:val="00FA05D7"/>
    <w:rsid w:val="00FA1C6C"/>
    <w:rsid w:val="00FA2C2A"/>
    <w:rsid w:val="00FA309A"/>
    <w:rsid w:val="00FA7644"/>
    <w:rsid w:val="00FB0A9A"/>
    <w:rsid w:val="00FB483B"/>
    <w:rsid w:val="00FB5551"/>
    <w:rsid w:val="00FB56F1"/>
    <w:rsid w:val="00FB5FD4"/>
    <w:rsid w:val="00FB67F3"/>
    <w:rsid w:val="00FB7E06"/>
    <w:rsid w:val="00FC0D8A"/>
    <w:rsid w:val="00FC0E5F"/>
    <w:rsid w:val="00FC135D"/>
    <w:rsid w:val="00FC3C84"/>
    <w:rsid w:val="00FC4660"/>
    <w:rsid w:val="00FC56DE"/>
    <w:rsid w:val="00FC5BBF"/>
    <w:rsid w:val="00FD1261"/>
    <w:rsid w:val="00FD1627"/>
    <w:rsid w:val="00FD473D"/>
    <w:rsid w:val="00FD61C8"/>
    <w:rsid w:val="00FD63CE"/>
    <w:rsid w:val="00FD7D49"/>
    <w:rsid w:val="00FE1251"/>
    <w:rsid w:val="00FE27AE"/>
    <w:rsid w:val="00FE2F78"/>
    <w:rsid w:val="00FE3510"/>
    <w:rsid w:val="00FE375F"/>
    <w:rsid w:val="00FE4FCB"/>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7169547">
      <w:bodyDiv w:val="1"/>
      <w:marLeft w:val="0"/>
      <w:marRight w:val="0"/>
      <w:marTop w:val="0"/>
      <w:marBottom w:val="0"/>
      <w:divBdr>
        <w:top w:val="none" w:sz="0" w:space="0" w:color="auto"/>
        <w:left w:val="none" w:sz="0" w:space="0" w:color="auto"/>
        <w:bottom w:val="none" w:sz="0" w:space="0" w:color="auto"/>
        <w:right w:val="none" w:sz="0" w:space="0" w:color="auto"/>
      </w:divBdr>
    </w:div>
    <w:div w:id="94638251">
      <w:bodyDiv w:val="1"/>
      <w:marLeft w:val="0"/>
      <w:marRight w:val="0"/>
      <w:marTop w:val="0"/>
      <w:marBottom w:val="0"/>
      <w:divBdr>
        <w:top w:val="none" w:sz="0" w:space="0" w:color="auto"/>
        <w:left w:val="none" w:sz="0" w:space="0" w:color="auto"/>
        <w:bottom w:val="none" w:sz="0" w:space="0" w:color="auto"/>
        <w:right w:val="none" w:sz="0" w:space="0" w:color="auto"/>
      </w:divBdr>
    </w:div>
    <w:div w:id="238252420">
      <w:bodyDiv w:val="1"/>
      <w:marLeft w:val="0"/>
      <w:marRight w:val="0"/>
      <w:marTop w:val="0"/>
      <w:marBottom w:val="0"/>
      <w:divBdr>
        <w:top w:val="none" w:sz="0" w:space="0" w:color="auto"/>
        <w:left w:val="none" w:sz="0" w:space="0" w:color="auto"/>
        <w:bottom w:val="none" w:sz="0" w:space="0" w:color="auto"/>
        <w:right w:val="none" w:sz="0" w:space="0" w:color="auto"/>
      </w:divBdr>
    </w:div>
    <w:div w:id="240262598">
      <w:bodyDiv w:val="1"/>
      <w:marLeft w:val="0"/>
      <w:marRight w:val="0"/>
      <w:marTop w:val="0"/>
      <w:marBottom w:val="0"/>
      <w:divBdr>
        <w:top w:val="none" w:sz="0" w:space="0" w:color="auto"/>
        <w:left w:val="none" w:sz="0" w:space="0" w:color="auto"/>
        <w:bottom w:val="none" w:sz="0" w:space="0" w:color="auto"/>
        <w:right w:val="none" w:sz="0" w:space="0" w:color="auto"/>
      </w:divBdr>
    </w:div>
    <w:div w:id="276839719">
      <w:bodyDiv w:val="1"/>
      <w:marLeft w:val="0"/>
      <w:marRight w:val="0"/>
      <w:marTop w:val="0"/>
      <w:marBottom w:val="0"/>
      <w:divBdr>
        <w:top w:val="none" w:sz="0" w:space="0" w:color="auto"/>
        <w:left w:val="none" w:sz="0" w:space="0" w:color="auto"/>
        <w:bottom w:val="none" w:sz="0" w:space="0" w:color="auto"/>
        <w:right w:val="none" w:sz="0" w:space="0" w:color="auto"/>
      </w:divBdr>
    </w:div>
    <w:div w:id="280721696">
      <w:bodyDiv w:val="1"/>
      <w:marLeft w:val="0"/>
      <w:marRight w:val="0"/>
      <w:marTop w:val="0"/>
      <w:marBottom w:val="0"/>
      <w:divBdr>
        <w:top w:val="none" w:sz="0" w:space="0" w:color="auto"/>
        <w:left w:val="none" w:sz="0" w:space="0" w:color="auto"/>
        <w:bottom w:val="none" w:sz="0" w:space="0" w:color="auto"/>
        <w:right w:val="none" w:sz="0" w:space="0" w:color="auto"/>
      </w:divBdr>
    </w:div>
    <w:div w:id="416294190">
      <w:bodyDiv w:val="1"/>
      <w:marLeft w:val="0"/>
      <w:marRight w:val="0"/>
      <w:marTop w:val="0"/>
      <w:marBottom w:val="0"/>
      <w:divBdr>
        <w:top w:val="none" w:sz="0" w:space="0" w:color="auto"/>
        <w:left w:val="none" w:sz="0" w:space="0" w:color="auto"/>
        <w:bottom w:val="none" w:sz="0" w:space="0" w:color="auto"/>
        <w:right w:val="none" w:sz="0" w:space="0" w:color="auto"/>
      </w:divBdr>
    </w:div>
    <w:div w:id="430976118">
      <w:bodyDiv w:val="1"/>
      <w:marLeft w:val="0"/>
      <w:marRight w:val="0"/>
      <w:marTop w:val="0"/>
      <w:marBottom w:val="0"/>
      <w:divBdr>
        <w:top w:val="none" w:sz="0" w:space="0" w:color="auto"/>
        <w:left w:val="none" w:sz="0" w:space="0" w:color="auto"/>
        <w:bottom w:val="none" w:sz="0" w:space="0" w:color="auto"/>
        <w:right w:val="none" w:sz="0" w:space="0" w:color="auto"/>
      </w:divBdr>
    </w:div>
    <w:div w:id="446777837">
      <w:bodyDiv w:val="1"/>
      <w:marLeft w:val="0"/>
      <w:marRight w:val="0"/>
      <w:marTop w:val="0"/>
      <w:marBottom w:val="0"/>
      <w:divBdr>
        <w:top w:val="none" w:sz="0" w:space="0" w:color="auto"/>
        <w:left w:val="none" w:sz="0" w:space="0" w:color="auto"/>
        <w:bottom w:val="none" w:sz="0" w:space="0" w:color="auto"/>
        <w:right w:val="none" w:sz="0" w:space="0" w:color="auto"/>
      </w:divBdr>
    </w:div>
    <w:div w:id="501699546">
      <w:bodyDiv w:val="1"/>
      <w:marLeft w:val="0"/>
      <w:marRight w:val="0"/>
      <w:marTop w:val="0"/>
      <w:marBottom w:val="0"/>
      <w:divBdr>
        <w:top w:val="none" w:sz="0" w:space="0" w:color="auto"/>
        <w:left w:val="none" w:sz="0" w:space="0" w:color="auto"/>
        <w:bottom w:val="none" w:sz="0" w:space="0" w:color="auto"/>
        <w:right w:val="none" w:sz="0" w:space="0" w:color="auto"/>
      </w:divBdr>
    </w:div>
    <w:div w:id="526065032">
      <w:bodyDiv w:val="1"/>
      <w:marLeft w:val="0"/>
      <w:marRight w:val="0"/>
      <w:marTop w:val="0"/>
      <w:marBottom w:val="0"/>
      <w:divBdr>
        <w:top w:val="none" w:sz="0" w:space="0" w:color="auto"/>
        <w:left w:val="none" w:sz="0" w:space="0" w:color="auto"/>
        <w:bottom w:val="none" w:sz="0" w:space="0" w:color="auto"/>
        <w:right w:val="none" w:sz="0" w:space="0" w:color="auto"/>
      </w:divBdr>
    </w:div>
    <w:div w:id="633877307">
      <w:bodyDiv w:val="1"/>
      <w:marLeft w:val="0"/>
      <w:marRight w:val="0"/>
      <w:marTop w:val="0"/>
      <w:marBottom w:val="0"/>
      <w:divBdr>
        <w:top w:val="none" w:sz="0" w:space="0" w:color="auto"/>
        <w:left w:val="none" w:sz="0" w:space="0" w:color="auto"/>
        <w:bottom w:val="none" w:sz="0" w:space="0" w:color="auto"/>
        <w:right w:val="none" w:sz="0" w:space="0" w:color="auto"/>
      </w:divBdr>
    </w:div>
    <w:div w:id="655425969">
      <w:bodyDiv w:val="1"/>
      <w:marLeft w:val="0"/>
      <w:marRight w:val="0"/>
      <w:marTop w:val="0"/>
      <w:marBottom w:val="0"/>
      <w:divBdr>
        <w:top w:val="none" w:sz="0" w:space="0" w:color="auto"/>
        <w:left w:val="none" w:sz="0" w:space="0" w:color="auto"/>
        <w:bottom w:val="none" w:sz="0" w:space="0" w:color="auto"/>
        <w:right w:val="none" w:sz="0" w:space="0" w:color="auto"/>
      </w:divBdr>
    </w:div>
    <w:div w:id="755201583">
      <w:bodyDiv w:val="1"/>
      <w:marLeft w:val="0"/>
      <w:marRight w:val="0"/>
      <w:marTop w:val="0"/>
      <w:marBottom w:val="0"/>
      <w:divBdr>
        <w:top w:val="none" w:sz="0" w:space="0" w:color="auto"/>
        <w:left w:val="none" w:sz="0" w:space="0" w:color="auto"/>
        <w:bottom w:val="none" w:sz="0" w:space="0" w:color="auto"/>
        <w:right w:val="none" w:sz="0" w:space="0" w:color="auto"/>
      </w:divBdr>
    </w:div>
    <w:div w:id="759831249">
      <w:bodyDiv w:val="1"/>
      <w:marLeft w:val="0"/>
      <w:marRight w:val="0"/>
      <w:marTop w:val="0"/>
      <w:marBottom w:val="0"/>
      <w:divBdr>
        <w:top w:val="none" w:sz="0" w:space="0" w:color="auto"/>
        <w:left w:val="none" w:sz="0" w:space="0" w:color="auto"/>
        <w:bottom w:val="none" w:sz="0" w:space="0" w:color="auto"/>
        <w:right w:val="none" w:sz="0" w:space="0" w:color="auto"/>
      </w:divBdr>
    </w:div>
    <w:div w:id="765347354">
      <w:bodyDiv w:val="1"/>
      <w:marLeft w:val="0"/>
      <w:marRight w:val="0"/>
      <w:marTop w:val="0"/>
      <w:marBottom w:val="0"/>
      <w:divBdr>
        <w:top w:val="none" w:sz="0" w:space="0" w:color="auto"/>
        <w:left w:val="none" w:sz="0" w:space="0" w:color="auto"/>
        <w:bottom w:val="none" w:sz="0" w:space="0" w:color="auto"/>
        <w:right w:val="none" w:sz="0" w:space="0" w:color="auto"/>
      </w:divBdr>
    </w:div>
    <w:div w:id="803425400">
      <w:bodyDiv w:val="1"/>
      <w:marLeft w:val="0"/>
      <w:marRight w:val="0"/>
      <w:marTop w:val="0"/>
      <w:marBottom w:val="0"/>
      <w:divBdr>
        <w:top w:val="none" w:sz="0" w:space="0" w:color="auto"/>
        <w:left w:val="none" w:sz="0" w:space="0" w:color="auto"/>
        <w:bottom w:val="none" w:sz="0" w:space="0" w:color="auto"/>
        <w:right w:val="none" w:sz="0" w:space="0" w:color="auto"/>
      </w:divBdr>
    </w:div>
    <w:div w:id="816725141">
      <w:bodyDiv w:val="1"/>
      <w:marLeft w:val="0"/>
      <w:marRight w:val="0"/>
      <w:marTop w:val="0"/>
      <w:marBottom w:val="0"/>
      <w:divBdr>
        <w:top w:val="none" w:sz="0" w:space="0" w:color="auto"/>
        <w:left w:val="none" w:sz="0" w:space="0" w:color="auto"/>
        <w:bottom w:val="none" w:sz="0" w:space="0" w:color="auto"/>
        <w:right w:val="none" w:sz="0" w:space="0" w:color="auto"/>
      </w:divBdr>
    </w:div>
    <w:div w:id="817041319">
      <w:bodyDiv w:val="1"/>
      <w:marLeft w:val="0"/>
      <w:marRight w:val="0"/>
      <w:marTop w:val="0"/>
      <w:marBottom w:val="0"/>
      <w:divBdr>
        <w:top w:val="none" w:sz="0" w:space="0" w:color="auto"/>
        <w:left w:val="none" w:sz="0" w:space="0" w:color="auto"/>
        <w:bottom w:val="none" w:sz="0" w:space="0" w:color="auto"/>
        <w:right w:val="none" w:sz="0" w:space="0" w:color="auto"/>
      </w:divBdr>
    </w:div>
    <w:div w:id="883492507">
      <w:bodyDiv w:val="1"/>
      <w:marLeft w:val="0"/>
      <w:marRight w:val="0"/>
      <w:marTop w:val="0"/>
      <w:marBottom w:val="0"/>
      <w:divBdr>
        <w:top w:val="none" w:sz="0" w:space="0" w:color="auto"/>
        <w:left w:val="none" w:sz="0" w:space="0" w:color="auto"/>
        <w:bottom w:val="none" w:sz="0" w:space="0" w:color="auto"/>
        <w:right w:val="none" w:sz="0" w:space="0" w:color="auto"/>
      </w:divBdr>
    </w:div>
    <w:div w:id="890190768">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00095529">
      <w:bodyDiv w:val="1"/>
      <w:marLeft w:val="0"/>
      <w:marRight w:val="0"/>
      <w:marTop w:val="0"/>
      <w:marBottom w:val="0"/>
      <w:divBdr>
        <w:top w:val="none" w:sz="0" w:space="0" w:color="auto"/>
        <w:left w:val="none" w:sz="0" w:space="0" w:color="auto"/>
        <w:bottom w:val="none" w:sz="0" w:space="0" w:color="auto"/>
        <w:right w:val="none" w:sz="0" w:space="0" w:color="auto"/>
      </w:divBdr>
    </w:div>
    <w:div w:id="926504429">
      <w:bodyDiv w:val="1"/>
      <w:marLeft w:val="0"/>
      <w:marRight w:val="0"/>
      <w:marTop w:val="0"/>
      <w:marBottom w:val="0"/>
      <w:divBdr>
        <w:top w:val="none" w:sz="0" w:space="0" w:color="auto"/>
        <w:left w:val="none" w:sz="0" w:space="0" w:color="auto"/>
        <w:bottom w:val="none" w:sz="0" w:space="0" w:color="auto"/>
        <w:right w:val="none" w:sz="0" w:space="0" w:color="auto"/>
      </w:divBdr>
    </w:div>
    <w:div w:id="934442324">
      <w:bodyDiv w:val="1"/>
      <w:marLeft w:val="0"/>
      <w:marRight w:val="0"/>
      <w:marTop w:val="0"/>
      <w:marBottom w:val="0"/>
      <w:divBdr>
        <w:top w:val="none" w:sz="0" w:space="0" w:color="auto"/>
        <w:left w:val="none" w:sz="0" w:space="0" w:color="auto"/>
        <w:bottom w:val="none" w:sz="0" w:space="0" w:color="auto"/>
        <w:right w:val="none" w:sz="0" w:space="0" w:color="auto"/>
      </w:divBdr>
    </w:div>
    <w:div w:id="941379557">
      <w:bodyDiv w:val="1"/>
      <w:marLeft w:val="0"/>
      <w:marRight w:val="0"/>
      <w:marTop w:val="0"/>
      <w:marBottom w:val="0"/>
      <w:divBdr>
        <w:top w:val="none" w:sz="0" w:space="0" w:color="auto"/>
        <w:left w:val="none" w:sz="0" w:space="0" w:color="auto"/>
        <w:bottom w:val="none" w:sz="0" w:space="0" w:color="auto"/>
        <w:right w:val="none" w:sz="0" w:space="0" w:color="auto"/>
      </w:divBdr>
    </w:div>
    <w:div w:id="996543097">
      <w:bodyDiv w:val="1"/>
      <w:marLeft w:val="0"/>
      <w:marRight w:val="0"/>
      <w:marTop w:val="0"/>
      <w:marBottom w:val="0"/>
      <w:divBdr>
        <w:top w:val="none" w:sz="0" w:space="0" w:color="auto"/>
        <w:left w:val="none" w:sz="0" w:space="0" w:color="auto"/>
        <w:bottom w:val="none" w:sz="0" w:space="0" w:color="auto"/>
        <w:right w:val="none" w:sz="0" w:space="0" w:color="auto"/>
      </w:divBdr>
    </w:div>
    <w:div w:id="1051003694">
      <w:bodyDiv w:val="1"/>
      <w:marLeft w:val="0"/>
      <w:marRight w:val="0"/>
      <w:marTop w:val="0"/>
      <w:marBottom w:val="0"/>
      <w:divBdr>
        <w:top w:val="none" w:sz="0" w:space="0" w:color="auto"/>
        <w:left w:val="none" w:sz="0" w:space="0" w:color="auto"/>
        <w:bottom w:val="none" w:sz="0" w:space="0" w:color="auto"/>
        <w:right w:val="none" w:sz="0" w:space="0" w:color="auto"/>
      </w:divBdr>
    </w:div>
    <w:div w:id="1090586133">
      <w:bodyDiv w:val="1"/>
      <w:marLeft w:val="0"/>
      <w:marRight w:val="0"/>
      <w:marTop w:val="0"/>
      <w:marBottom w:val="0"/>
      <w:divBdr>
        <w:top w:val="none" w:sz="0" w:space="0" w:color="auto"/>
        <w:left w:val="none" w:sz="0" w:space="0" w:color="auto"/>
        <w:bottom w:val="none" w:sz="0" w:space="0" w:color="auto"/>
        <w:right w:val="none" w:sz="0" w:space="0" w:color="auto"/>
      </w:divBdr>
    </w:div>
    <w:div w:id="1102263713">
      <w:bodyDiv w:val="1"/>
      <w:marLeft w:val="0"/>
      <w:marRight w:val="0"/>
      <w:marTop w:val="0"/>
      <w:marBottom w:val="0"/>
      <w:divBdr>
        <w:top w:val="none" w:sz="0" w:space="0" w:color="auto"/>
        <w:left w:val="none" w:sz="0" w:space="0" w:color="auto"/>
        <w:bottom w:val="none" w:sz="0" w:space="0" w:color="auto"/>
        <w:right w:val="none" w:sz="0" w:space="0" w:color="auto"/>
      </w:divBdr>
    </w:div>
    <w:div w:id="1110204967">
      <w:bodyDiv w:val="1"/>
      <w:marLeft w:val="0"/>
      <w:marRight w:val="0"/>
      <w:marTop w:val="0"/>
      <w:marBottom w:val="0"/>
      <w:divBdr>
        <w:top w:val="none" w:sz="0" w:space="0" w:color="auto"/>
        <w:left w:val="none" w:sz="0" w:space="0" w:color="auto"/>
        <w:bottom w:val="none" w:sz="0" w:space="0" w:color="auto"/>
        <w:right w:val="none" w:sz="0" w:space="0" w:color="auto"/>
      </w:divBdr>
    </w:div>
    <w:div w:id="1132141109">
      <w:bodyDiv w:val="1"/>
      <w:marLeft w:val="0"/>
      <w:marRight w:val="0"/>
      <w:marTop w:val="0"/>
      <w:marBottom w:val="0"/>
      <w:divBdr>
        <w:top w:val="none" w:sz="0" w:space="0" w:color="auto"/>
        <w:left w:val="none" w:sz="0" w:space="0" w:color="auto"/>
        <w:bottom w:val="none" w:sz="0" w:space="0" w:color="auto"/>
        <w:right w:val="none" w:sz="0" w:space="0" w:color="auto"/>
      </w:divBdr>
    </w:div>
    <w:div w:id="1143425707">
      <w:bodyDiv w:val="1"/>
      <w:marLeft w:val="0"/>
      <w:marRight w:val="0"/>
      <w:marTop w:val="0"/>
      <w:marBottom w:val="0"/>
      <w:divBdr>
        <w:top w:val="none" w:sz="0" w:space="0" w:color="auto"/>
        <w:left w:val="none" w:sz="0" w:space="0" w:color="auto"/>
        <w:bottom w:val="none" w:sz="0" w:space="0" w:color="auto"/>
        <w:right w:val="none" w:sz="0" w:space="0" w:color="auto"/>
      </w:divBdr>
    </w:div>
    <w:div w:id="1220703716">
      <w:bodyDiv w:val="1"/>
      <w:marLeft w:val="0"/>
      <w:marRight w:val="0"/>
      <w:marTop w:val="0"/>
      <w:marBottom w:val="0"/>
      <w:divBdr>
        <w:top w:val="none" w:sz="0" w:space="0" w:color="auto"/>
        <w:left w:val="none" w:sz="0" w:space="0" w:color="auto"/>
        <w:bottom w:val="none" w:sz="0" w:space="0" w:color="auto"/>
        <w:right w:val="none" w:sz="0" w:space="0" w:color="auto"/>
      </w:divBdr>
    </w:div>
    <w:div w:id="1271741142">
      <w:bodyDiv w:val="1"/>
      <w:marLeft w:val="0"/>
      <w:marRight w:val="0"/>
      <w:marTop w:val="0"/>
      <w:marBottom w:val="0"/>
      <w:divBdr>
        <w:top w:val="none" w:sz="0" w:space="0" w:color="auto"/>
        <w:left w:val="none" w:sz="0" w:space="0" w:color="auto"/>
        <w:bottom w:val="none" w:sz="0" w:space="0" w:color="auto"/>
        <w:right w:val="none" w:sz="0" w:space="0" w:color="auto"/>
      </w:divBdr>
    </w:div>
    <w:div w:id="1284654697">
      <w:bodyDiv w:val="1"/>
      <w:marLeft w:val="0"/>
      <w:marRight w:val="0"/>
      <w:marTop w:val="0"/>
      <w:marBottom w:val="0"/>
      <w:divBdr>
        <w:top w:val="none" w:sz="0" w:space="0" w:color="auto"/>
        <w:left w:val="none" w:sz="0" w:space="0" w:color="auto"/>
        <w:bottom w:val="none" w:sz="0" w:space="0" w:color="auto"/>
        <w:right w:val="none" w:sz="0" w:space="0" w:color="auto"/>
      </w:divBdr>
    </w:div>
    <w:div w:id="1320186090">
      <w:bodyDiv w:val="1"/>
      <w:marLeft w:val="0"/>
      <w:marRight w:val="0"/>
      <w:marTop w:val="0"/>
      <w:marBottom w:val="0"/>
      <w:divBdr>
        <w:top w:val="none" w:sz="0" w:space="0" w:color="auto"/>
        <w:left w:val="none" w:sz="0" w:space="0" w:color="auto"/>
        <w:bottom w:val="none" w:sz="0" w:space="0" w:color="auto"/>
        <w:right w:val="none" w:sz="0" w:space="0" w:color="auto"/>
      </w:divBdr>
    </w:div>
    <w:div w:id="1337806368">
      <w:bodyDiv w:val="1"/>
      <w:marLeft w:val="0"/>
      <w:marRight w:val="0"/>
      <w:marTop w:val="0"/>
      <w:marBottom w:val="0"/>
      <w:divBdr>
        <w:top w:val="none" w:sz="0" w:space="0" w:color="auto"/>
        <w:left w:val="none" w:sz="0" w:space="0" w:color="auto"/>
        <w:bottom w:val="none" w:sz="0" w:space="0" w:color="auto"/>
        <w:right w:val="none" w:sz="0" w:space="0" w:color="auto"/>
      </w:divBdr>
    </w:div>
    <w:div w:id="1354727420">
      <w:bodyDiv w:val="1"/>
      <w:marLeft w:val="0"/>
      <w:marRight w:val="0"/>
      <w:marTop w:val="0"/>
      <w:marBottom w:val="0"/>
      <w:divBdr>
        <w:top w:val="none" w:sz="0" w:space="0" w:color="auto"/>
        <w:left w:val="none" w:sz="0" w:space="0" w:color="auto"/>
        <w:bottom w:val="none" w:sz="0" w:space="0" w:color="auto"/>
        <w:right w:val="none" w:sz="0" w:space="0" w:color="auto"/>
      </w:divBdr>
    </w:div>
    <w:div w:id="1412505286">
      <w:bodyDiv w:val="1"/>
      <w:marLeft w:val="0"/>
      <w:marRight w:val="0"/>
      <w:marTop w:val="0"/>
      <w:marBottom w:val="0"/>
      <w:divBdr>
        <w:top w:val="none" w:sz="0" w:space="0" w:color="auto"/>
        <w:left w:val="none" w:sz="0" w:space="0" w:color="auto"/>
        <w:bottom w:val="none" w:sz="0" w:space="0" w:color="auto"/>
        <w:right w:val="none" w:sz="0" w:space="0" w:color="auto"/>
      </w:divBdr>
    </w:div>
    <w:div w:id="1428430566">
      <w:bodyDiv w:val="1"/>
      <w:marLeft w:val="0"/>
      <w:marRight w:val="0"/>
      <w:marTop w:val="0"/>
      <w:marBottom w:val="0"/>
      <w:divBdr>
        <w:top w:val="none" w:sz="0" w:space="0" w:color="auto"/>
        <w:left w:val="none" w:sz="0" w:space="0" w:color="auto"/>
        <w:bottom w:val="none" w:sz="0" w:space="0" w:color="auto"/>
        <w:right w:val="none" w:sz="0" w:space="0" w:color="auto"/>
      </w:divBdr>
    </w:div>
    <w:div w:id="1452939911">
      <w:bodyDiv w:val="1"/>
      <w:marLeft w:val="0"/>
      <w:marRight w:val="0"/>
      <w:marTop w:val="0"/>
      <w:marBottom w:val="0"/>
      <w:divBdr>
        <w:top w:val="none" w:sz="0" w:space="0" w:color="auto"/>
        <w:left w:val="none" w:sz="0" w:space="0" w:color="auto"/>
        <w:bottom w:val="none" w:sz="0" w:space="0" w:color="auto"/>
        <w:right w:val="none" w:sz="0" w:space="0" w:color="auto"/>
      </w:divBdr>
    </w:div>
    <w:div w:id="1475829924">
      <w:bodyDiv w:val="1"/>
      <w:marLeft w:val="0"/>
      <w:marRight w:val="0"/>
      <w:marTop w:val="0"/>
      <w:marBottom w:val="0"/>
      <w:divBdr>
        <w:top w:val="none" w:sz="0" w:space="0" w:color="auto"/>
        <w:left w:val="none" w:sz="0" w:space="0" w:color="auto"/>
        <w:bottom w:val="none" w:sz="0" w:space="0" w:color="auto"/>
        <w:right w:val="none" w:sz="0" w:space="0" w:color="auto"/>
      </w:divBdr>
    </w:div>
    <w:div w:id="1490751030">
      <w:bodyDiv w:val="1"/>
      <w:marLeft w:val="0"/>
      <w:marRight w:val="0"/>
      <w:marTop w:val="0"/>
      <w:marBottom w:val="0"/>
      <w:divBdr>
        <w:top w:val="none" w:sz="0" w:space="0" w:color="auto"/>
        <w:left w:val="none" w:sz="0" w:space="0" w:color="auto"/>
        <w:bottom w:val="none" w:sz="0" w:space="0" w:color="auto"/>
        <w:right w:val="none" w:sz="0" w:space="0" w:color="auto"/>
      </w:divBdr>
    </w:div>
    <w:div w:id="1541553533">
      <w:bodyDiv w:val="1"/>
      <w:marLeft w:val="0"/>
      <w:marRight w:val="0"/>
      <w:marTop w:val="0"/>
      <w:marBottom w:val="0"/>
      <w:divBdr>
        <w:top w:val="none" w:sz="0" w:space="0" w:color="auto"/>
        <w:left w:val="none" w:sz="0" w:space="0" w:color="auto"/>
        <w:bottom w:val="none" w:sz="0" w:space="0" w:color="auto"/>
        <w:right w:val="none" w:sz="0" w:space="0" w:color="auto"/>
      </w:divBdr>
    </w:div>
    <w:div w:id="1676346549">
      <w:bodyDiv w:val="1"/>
      <w:marLeft w:val="0"/>
      <w:marRight w:val="0"/>
      <w:marTop w:val="0"/>
      <w:marBottom w:val="0"/>
      <w:divBdr>
        <w:top w:val="none" w:sz="0" w:space="0" w:color="auto"/>
        <w:left w:val="none" w:sz="0" w:space="0" w:color="auto"/>
        <w:bottom w:val="none" w:sz="0" w:space="0" w:color="auto"/>
        <w:right w:val="none" w:sz="0" w:space="0" w:color="auto"/>
      </w:divBdr>
    </w:div>
    <w:div w:id="1681084771">
      <w:bodyDiv w:val="1"/>
      <w:marLeft w:val="0"/>
      <w:marRight w:val="0"/>
      <w:marTop w:val="0"/>
      <w:marBottom w:val="0"/>
      <w:divBdr>
        <w:top w:val="none" w:sz="0" w:space="0" w:color="auto"/>
        <w:left w:val="none" w:sz="0" w:space="0" w:color="auto"/>
        <w:bottom w:val="none" w:sz="0" w:space="0" w:color="auto"/>
        <w:right w:val="none" w:sz="0" w:space="0" w:color="auto"/>
      </w:divBdr>
    </w:div>
    <w:div w:id="1709647987">
      <w:bodyDiv w:val="1"/>
      <w:marLeft w:val="0"/>
      <w:marRight w:val="0"/>
      <w:marTop w:val="0"/>
      <w:marBottom w:val="0"/>
      <w:divBdr>
        <w:top w:val="none" w:sz="0" w:space="0" w:color="auto"/>
        <w:left w:val="none" w:sz="0" w:space="0" w:color="auto"/>
        <w:bottom w:val="none" w:sz="0" w:space="0" w:color="auto"/>
        <w:right w:val="none" w:sz="0" w:space="0" w:color="auto"/>
      </w:divBdr>
    </w:div>
    <w:div w:id="1757282627">
      <w:bodyDiv w:val="1"/>
      <w:marLeft w:val="0"/>
      <w:marRight w:val="0"/>
      <w:marTop w:val="0"/>
      <w:marBottom w:val="0"/>
      <w:divBdr>
        <w:top w:val="none" w:sz="0" w:space="0" w:color="auto"/>
        <w:left w:val="none" w:sz="0" w:space="0" w:color="auto"/>
        <w:bottom w:val="none" w:sz="0" w:space="0" w:color="auto"/>
        <w:right w:val="none" w:sz="0" w:space="0" w:color="auto"/>
      </w:divBdr>
    </w:div>
    <w:div w:id="1766148915">
      <w:bodyDiv w:val="1"/>
      <w:marLeft w:val="0"/>
      <w:marRight w:val="0"/>
      <w:marTop w:val="0"/>
      <w:marBottom w:val="0"/>
      <w:divBdr>
        <w:top w:val="none" w:sz="0" w:space="0" w:color="auto"/>
        <w:left w:val="none" w:sz="0" w:space="0" w:color="auto"/>
        <w:bottom w:val="none" w:sz="0" w:space="0" w:color="auto"/>
        <w:right w:val="none" w:sz="0" w:space="0" w:color="auto"/>
      </w:divBdr>
    </w:div>
    <w:div w:id="1784571533">
      <w:bodyDiv w:val="1"/>
      <w:marLeft w:val="0"/>
      <w:marRight w:val="0"/>
      <w:marTop w:val="0"/>
      <w:marBottom w:val="0"/>
      <w:divBdr>
        <w:top w:val="none" w:sz="0" w:space="0" w:color="auto"/>
        <w:left w:val="none" w:sz="0" w:space="0" w:color="auto"/>
        <w:bottom w:val="none" w:sz="0" w:space="0" w:color="auto"/>
        <w:right w:val="none" w:sz="0" w:space="0" w:color="auto"/>
      </w:divBdr>
    </w:div>
    <w:div w:id="1801260551">
      <w:bodyDiv w:val="1"/>
      <w:marLeft w:val="0"/>
      <w:marRight w:val="0"/>
      <w:marTop w:val="0"/>
      <w:marBottom w:val="0"/>
      <w:divBdr>
        <w:top w:val="none" w:sz="0" w:space="0" w:color="auto"/>
        <w:left w:val="none" w:sz="0" w:space="0" w:color="auto"/>
        <w:bottom w:val="none" w:sz="0" w:space="0" w:color="auto"/>
        <w:right w:val="none" w:sz="0" w:space="0" w:color="auto"/>
      </w:divBdr>
    </w:div>
    <w:div w:id="1803962700">
      <w:bodyDiv w:val="1"/>
      <w:marLeft w:val="0"/>
      <w:marRight w:val="0"/>
      <w:marTop w:val="0"/>
      <w:marBottom w:val="0"/>
      <w:divBdr>
        <w:top w:val="none" w:sz="0" w:space="0" w:color="auto"/>
        <w:left w:val="none" w:sz="0" w:space="0" w:color="auto"/>
        <w:bottom w:val="none" w:sz="0" w:space="0" w:color="auto"/>
        <w:right w:val="none" w:sz="0" w:space="0" w:color="auto"/>
      </w:divBdr>
    </w:div>
    <w:div w:id="1838225288">
      <w:bodyDiv w:val="1"/>
      <w:marLeft w:val="0"/>
      <w:marRight w:val="0"/>
      <w:marTop w:val="0"/>
      <w:marBottom w:val="0"/>
      <w:divBdr>
        <w:top w:val="none" w:sz="0" w:space="0" w:color="auto"/>
        <w:left w:val="none" w:sz="0" w:space="0" w:color="auto"/>
        <w:bottom w:val="none" w:sz="0" w:space="0" w:color="auto"/>
        <w:right w:val="none" w:sz="0" w:space="0" w:color="auto"/>
      </w:divBdr>
    </w:div>
    <w:div w:id="1838423186">
      <w:bodyDiv w:val="1"/>
      <w:marLeft w:val="0"/>
      <w:marRight w:val="0"/>
      <w:marTop w:val="0"/>
      <w:marBottom w:val="0"/>
      <w:divBdr>
        <w:top w:val="none" w:sz="0" w:space="0" w:color="auto"/>
        <w:left w:val="none" w:sz="0" w:space="0" w:color="auto"/>
        <w:bottom w:val="none" w:sz="0" w:space="0" w:color="auto"/>
        <w:right w:val="none" w:sz="0" w:space="0" w:color="auto"/>
      </w:divBdr>
    </w:div>
    <w:div w:id="1903640905">
      <w:bodyDiv w:val="1"/>
      <w:marLeft w:val="0"/>
      <w:marRight w:val="0"/>
      <w:marTop w:val="0"/>
      <w:marBottom w:val="0"/>
      <w:divBdr>
        <w:top w:val="none" w:sz="0" w:space="0" w:color="auto"/>
        <w:left w:val="none" w:sz="0" w:space="0" w:color="auto"/>
        <w:bottom w:val="none" w:sz="0" w:space="0" w:color="auto"/>
        <w:right w:val="none" w:sz="0" w:space="0" w:color="auto"/>
      </w:divBdr>
    </w:div>
    <w:div w:id="1909654868">
      <w:bodyDiv w:val="1"/>
      <w:marLeft w:val="0"/>
      <w:marRight w:val="0"/>
      <w:marTop w:val="0"/>
      <w:marBottom w:val="0"/>
      <w:divBdr>
        <w:top w:val="none" w:sz="0" w:space="0" w:color="auto"/>
        <w:left w:val="none" w:sz="0" w:space="0" w:color="auto"/>
        <w:bottom w:val="none" w:sz="0" w:space="0" w:color="auto"/>
        <w:right w:val="none" w:sz="0" w:space="0" w:color="auto"/>
      </w:divBdr>
    </w:div>
    <w:div w:id="1932425964">
      <w:bodyDiv w:val="1"/>
      <w:marLeft w:val="0"/>
      <w:marRight w:val="0"/>
      <w:marTop w:val="0"/>
      <w:marBottom w:val="0"/>
      <w:divBdr>
        <w:top w:val="none" w:sz="0" w:space="0" w:color="auto"/>
        <w:left w:val="none" w:sz="0" w:space="0" w:color="auto"/>
        <w:bottom w:val="none" w:sz="0" w:space="0" w:color="auto"/>
        <w:right w:val="none" w:sz="0" w:space="0" w:color="auto"/>
      </w:divBdr>
    </w:div>
    <w:div w:id="1981303221">
      <w:bodyDiv w:val="1"/>
      <w:marLeft w:val="0"/>
      <w:marRight w:val="0"/>
      <w:marTop w:val="0"/>
      <w:marBottom w:val="0"/>
      <w:divBdr>
        <w:top w:val="none" w:sz="0" w:space="0" w:color="auto"/>
        <w:left w:val="none" w:sz="0" w:space="0" w:color="auto"/>
        <w:bottom w:val="none" w:sz="0" w:space="0" w:color="auto"/>
        <w:right w:val="none" w:sz="0" w:space="0" w:color="auto"/>
      </w:divBdr>
    </w:div>
    <w:div w:id="2055083959">
      <w:bodyDiv w:val="1"/>
      <w:marLeft w:val="0"/>
      <w:marRight w:val="0"/>
      <w:marTop w:val="0"/>
      <w:marBottom w:val="0"/>
      <w:divBdr>
        <w:top w:val="none" w:sz="0" w:space="0" w:color="auto"/>
        <w:left w:val="none" w:sz="0" w:space="0" w:color="auto"/>
        <w:bottom w:val="none" w:sz="0" w:space="0" w:color="auto"/>
        <w:right w:val="none" w:sz="0" w:space="0" w:color="auto"/>
      </w:divBdr>
    </w:div>
    <w:div w:id="2062904191">
      <w:bodyDiv w:val="1"/>
      <w:marLeft w:val="0"/>
      <w:marRight w:val="0"/>
      <w:marTop w:val="0"/>
      <w:marBottom w:val="0"/>
      <w:divBdr>
        <w:top w:val="none" w:sz="0" w:space="0" w:color="auto"/>
        <w:left w:val="none" w:sz="0" w:space="0" w:color="auto"/>
        <w:bottom w:val="none" w:sz="0" w:space="0" w:color="auto"/>
        <w:right w:val="none" w:sz="0" w:space="0" w:color="auto"/>
      </w:divBdr>
    </w:div>
    <w:div w:id="20692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BB6ED-258F-4080-BAFD-E5E0F009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86</TotalTime>
  <Pages>3</Pages>
  <Words>1330</Words>
  <Characters>6859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146</cp:revision>
  <cp:lastPrinted>2015-09-22T11:29:00Z</cp:lastPrinted>
  <dcterms:created xsi:type="dcterms:W3CDTF">2015-09-22T12:04:00Z</dcterms:created>
  <dcterms:modified xsi:type="dcterms:W3CDTF">2015-10-22T14:30:00Z</dcterms:modified>
</cp:coreProperties>
</file>