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94" w:rsidRPr="00F43D2E" w:rsidRDefault="00ED3A94" w:rsidP="00FE16E6">
      <w:pPr>
        <w:pStyle w:val="Textpoznpodarou"/>
        <w:jc w:val="both"/>
        <w:rPr>
          <w:sz w:val="6"/>
          <w:szCs w:val="6"/>
          <w:lang w:val="en-GB"/>
        </w:rPr>
      </w:pPr>
    </w:p>
    <w:p w:rsidR="00ED3A94" w:rsidRPr="00F43D2E" w:rsidRDefault="00ED3A94" w:rsidP="00FE16E6">
      <w:pPr>
        <w:pStyle w:val="Textpoznpodarou"/>
        <w:jc w:val="both"/>
        <w:rPr>
          <w:sz w:val="2"/>
          <w:szCs w:val="2"/>
          <w:lang w:val="en-GB"/>
        </w:rPr>
      </w:pPr>
    </w:p>
    <w:p w:rsidR="00576A3E" w:rsidRPr="00F43D2E" w:rsidRDefault="00172264" w:rsidP="00273EAA">
      <w:pPr>
        <w:pStyle w:val="Nadpis1"/>
        <w:numPr>
          <w:ilvl w:val="0"/>
          <w:numId w:val="7"/>
        </w:numPr>
        <w:jc w:val="both"/>
        <w:rPr>
          <w:lang w:val="en-GB"/>
        </w:rPr>
      </w:pPr>
      <w:bookmarkStart w:id="0" w:name="_Toc454185151"/>
      <w:r w:rsidRPr="00F43D2E">
        <w:rPr>
          <w:lang w:val="en-GB"/>
        </w:rPr>
        <w:t>External Economic Relations</w:t>
      </w:r>
      <w:bookmarkEnd w:id="0"/>
    </w:p>
    <w:tbl>
      <w:tblPr>
        <w:tblW w:w="5000" w:type="pct"/>
        <w:tblLayout w:type="fixed"/>
        <w:tblLook w:val="00A0"/>
      </w:tblPr>
      <w:tblGrid>
        <w:gridCol w:w="26"/>
        <w:gridCol w:w="918"/>
        <w:gridCol w:w="1137"/>
        <w:gridCol w:w="284"/>
        <w:gridCol w:w="2564"/>
        <w:gridCol w:w="822"/>
        <w:gridCol w:w="4066"/>
        <w:gridCol w:w="37"/>
      </w:tblGrid>
      <w:tr w:rsidR="00F66243" w:rsidRPr="00F43D2E" w:rsidTr="00930F8D">
        <w:tc>
          <w:tcPr>
            <w:tcW w:w="1056" w:type="pct"/>
            <w:gridSpan w:val="3"/>
          </w:tcPr>
          <w:p w:rsidR="00F66243" w:rsidRPr="00F43D2E" w:rsidRDefault="005329D6" w:rsidP="005329D6">
            <w:pPr>
              <w:spacing w:line="240" w:lineRule="auto"/>
              <w:rPr>
                <w:sz w:val="16"/>
                <w:szCs w:val="16"/>
                <w:lang w:val="en-GB"/>
              </w:rPr>
            </w:pPr>
            <w:r w:rsidRPr="00F43D2E">
              <w:rPr>
                <w:sz w:val="16"/>
                <w:szCs w:val="16"/>
                <w:lang w:val="en-GB"/>
              </w:rPr>
              <w:t xml:space="preserve">Surplus of the current account of the balance of payments arrived at 107 </w:t>
            </w:r>
            <w:r w:rsidR="007A46C3" w:rsidRPr="00F43D2E">
              <w:rPr>
                <w:sz w:val="16"/>
                <w:szCs w:val="16"/>
                <w:lang w:val="en-GB"/>
              </w:rPr>
              <w:t>CZK bn</w:t>
            </w:r>
            <w:r w:rsidRPr="00F43D2E">
              <w:rPr>
                <w:sz w:val="16"/>
                <w:szCs w:val="16"/>
                <w:lang w:val="en-GB"/>
              </w:rPr>
              <w:t xml:space="preserve"> in H1 2016… </w:t>
            </w:r>
          </w:p>
        </w:tc>
        <w:tc>
          <w:tcPr>
            <w:tcW w:w="144" w:type="pct"/>
          </w:tcPr>
          <w:p w:rsidR="00F66243" w:rsidRPr="00F43D2E" w:rsidRDefault="00F66243" w:rsidP="00AF5D62">
            <w:pPr>
              <w:pStyle w:val="Textpoznpodarou"/>
              <w:jc w:val="both"/>
              <w:rPr>
                <w:color w:val="FF0000"/>
                <w:lang w:val="en-GB"/>
              </w:rPr>
            </w:pPr>
          </w:p>
        </w:tc>
        <w:tc>
          <w:tcPr>
            <w:tcW w:w="3800" w:type="pct"/>
            <w:gridSpan w:val="4"/>
          </w:tcPr>
          <w:p w:rsidR="00F66243" w:rsidRPr="00F43D2E" w:rsidRDefault="005329D6" w:rsidP="00AF5D62">
            <w:pPr>
              <w:pStyle w:val="Textpoznpodarou"/>
              <w:jc w:val="both"/>
              <w:rPr>
                <w:spacing w:val="-2"/>
                <w:lang w:val="en-GB"/>
              </w:rPr>
            </w:pPr>
            <w:r w:rsidRPr="00F43D2E">
              <w:rPr>
                <w:lang w:val="en-GB"/>
              </w:rPr>
              <w:t xml:space="preserve">Balance of the current account of the balance of payments reaches a surplus in Q1 regularly since the year 2005 and the same situation occurred also in January to July. The surplus reached an amount of 107 </w:t>
            </w:r>
            <w:r w:rsidR="007A46C3" w:rsidRPr="00F43D2E">
              <w:rPr>
                <w:lang w:val="en-GB"/>
              </w:rPr>
              <w:t>CZK bn</w:t>
            </w:r>
            <w:r w:rsidRPr="00F43D2E">
              <w:rPr>
                <w:lang w:val="en-GB"/>
              </w:rPr>
              <w:t xml:space="preserve"> for the first half-year. Surplus of the capital account fell by 44 bn to 39 </w:t>
            </w:r>
            <w:r w:rsidR="007A46C3" w:rsidRPr="00F43D2E">
              <w:rPr>
                <w:lang w:val="en-GB"/>
              </w:rPr>
              <w:t>CZK bn</w:t>
            </w:r>
            <w:r w:rsidRPr="00F43D2E">
              <w:rPr>
                <w:lang w:val="en-GB"/>
              </w:rPr>
              <w:t xml:space="preserve"> </w:t>
            </w:r>
            <w:proofErr w:type="gramStart"/>
            <w:r w:rsidRPr="00F43D2E">
              <w:rPr>
                <w:lang w:val="en-GB"/>
              </w:rPr>
              <w:t>year-on-year</w:t>
            </w:r>
            <w:proofErr w:type="gramEnd"/>
            <w:r w:rsidRPr="00F43D2E">
              <w:rPr>
                <w:lang w:val="en-GB"/>
              </w:rPr>
              <w:t xml:space="preserve"> at the end of the first half-year, as a result of a shrinking volume of resources drawn from the EU funds. The financial account recorded an inflow of financial resources in the amount of 32.8 </w:t>
            </w:r>
            <w:r w:rsidR="007A46C3" w:rsidRPr="00F43D2E">
              <w:rPr>
                <w:lang w:val="en-GB"/>
              </w:rPr>
              <w:t>CZK bn</w:t>
            </w:r>
            <w:r w:rsidRPr="00F43D2E">
              <w:rPr>
                <w:lang w:val="en-GB"/>
              </w:rPr>
              <w:t xml:space="preserve"> in the second quarter, which reduced the outflow of the first quarter (109.1 </w:t>
            </w:r>
            <w:r w:rsidR="007A46C3" w:rsidRPr="00F43D2E">
              <w:rPr>
                <w:lang w:val="en-GB"/>
              </w:rPr>
              <w:t>CZK bn</w:t>
            </w:r>
            <w:r w:rsidRPr="00F43D2E">
              <w:rPr>
                <w:lang w:val="en-GB"/>
              </w:rPr>
              <w:t xml:space="preserve">) to 76.3 </w:t>
            </w:r>
            <w:r w:rsidR="007A46C3" w:rsidRPr="00F43D2E">
              <w:rPr>
                <w:lang w:val="en-GB"/>
              </w:rPr>
              <w:t>CZK bn</w:t>
            </w:r>
            <w:r w:rsidRPr="00F43D2E">
              <w:rPr>
                <w:lang w:val="en-GB"/>
              </w:rPr>
              <w:t xml:space="preserve"> at the end of the first half-year. Investments of the foreign investors into the domestic government bonds stand behind this development.</w:t>
            </w:r>
            <w:r w:rsidR="00F66243" w:rsidRPr="00F43D2E">
              <w:rPr>
                <w:spacing w:val="-4"/>
                <w:lang w:val="en-GB"/>
              </w:rPr>
              <w:t xml:space="preserve"> </w:t>
            </w:r>
          </w:p>
          <w:p w:rsidR="00F66243" w:rsidRPr="00F43D2E" w:rsidRDefault="00F66243" w:rsidP="00AF5D62">
            <w:pPr>
              <w:pStyle w:val="Textpoznpodarou"/>
              <w:jc w:val="both"/>
              <w:rPr>
                <w:color w:val="FF0000"/>
                <w:sz w:val="14"/>
                <w:szCs w:val="14"/>
                <w:lang w:val="en-GB"/>
              </w:rPr>
            </w:pPr>
          </w:p>
        </w:tc>
      </w:tr>
      <w:tr w:rsidR="00F66243" w:rsidRPr="00F43D2E" w:rsidTr="00930F8D">
        <w:tc>
          <w:tcPr>
            <w:tcW w:w="1056" w:type="pct"/>
            <w:gridSpan w:val="3"/>
          </w:tcPr>
          <w:p w:rsidR="00F66243" w:rsidRPr="00F43D2E" w:rsidRDefault="00EF4CE3" w:rsidP="00C419B4">
            <w:pPr>
              <w:spacing w:line="240" w:lineRule="auto"/>
              <w:rPr>
                <w:sz w:val="16"/>
                <w:szCs w:val="16"/>
                <w:lang w:val="en-GB"/>
              </w:rPr>
            </w:pPr>
            <w:r w:rsidRPr="00F43D2E">
              <w:rPr>
                <w:lang w:val="en-GB"/>
              </w:rPr>
              <w:t xml:space="preserve">… </w:t>
            </w:r>
            <w:r w:rsidRPr="00F43D2E">
              <w:rPr>
                <w:sz w:val="16"/>
                <w:szCs w:val="16"/>
                <w:lang w:val="en-GB"/>
              </w:rPr>
              <w:t>thanks to the year-on-year growth of the</w:t>
            </w:r>
            <w:r w:rsidR="00C419B4" w:rsidRPr="00F43D2E">
              <w:rPr>
                <w:sz w:val="16"/>
                <w:szCs w:val="16"/>
                <w:lang w:val="en-GB"/>
              </w:rPr>
              <w:t xml:space="preserve"> goods and services balance</w:t>
            </w:r>
            <w:r w:rsidRPr="00F43D2E">
              <w:rPr>
                <w:sz w:val="16"/>
                <w:szCs w:val="16"/>
                <w:lang w:val="en-GB"/>
              </w:rPr>
              <w:t xml:space="preserve"> and lowering of the primary income deficits </w:t>
            </w:r>
          </w:p>
        </w:tc>
        <w:tc>
          <w:tcPr>
            <w:tcW w:w="144" w:type="pct"/>
          </w:tcPr>
          <w:p w:rsidR="00F66243" w:rsidRPr="00F43D2E" w:rsidRDefault="00F66243" w:rsidP="00AF5D62">
            <w:pPr>
              <w:pStyle w:val="Textpoznpodarou"/>
              <w:jc w:val="both"/>
              <w:rPr>
                <w:color w:val="FF0000"/>
                <w:lang w:val="en-GB"/>
              </w:rPr>
            </w:pPr>
          </w:p>
        </w:tc>
        <w:tc>
          <w:tcPr>
            <w:tcW w:w="3800" w:type="pct"/>
            <w:gridSpan w:val="4"/>
          </w:tcPr>
          <w:p w:rsidR="00F66243" w:rsidRPr="00F43D2E" w:rsidRDefault="00EF4CE3" w:rsidP="00AF5D62">
            <w:pPr>
              <w:pStyle w:val="Textpoznpodarou"/>
              <w:jc w:val="both"/>
              <w:rPr>
                <w:color w:val="FF0000"/>
                <w:spacing w:val="-4"/>
                <w:lang w:val="en-GB"/>
              </w:rPr>
            </w:pPr>
            <w:r w:rsidRPr="00F43D2E">
              <w:rPr>
                <w:lang w:val="en-GB"/>
              </w:rPr>
              <w:t xml:space="preserve">Surplus of the current account expanded in the year-on-year comparison by 44.7 </w:t>
            </w:r>
            <w:r w:rsidR="007A46C3" w:rsidRPr="00F43D2E">
              <w:rPr>
                <w:lang w:val="en-GB"/>
              </w:rPr>
              <w:t>CZK bn</w:t>
            </w:r>
            <w:r w:rsidRPr="00F43D2E">
              <w:rPr>
                <w:lang w:val="en-GB"/>
              </w:rPr>
              <w:t xml:space="preserve"> in H1 of this year. The surplus of the</w:t>
            </w:r>
            <w:r w:rsidR="00C419B4" w:rsidRPr="00F43D2E">
              <w:rPr>
                <w:lang w:val="en-GB"/>
              </w:rPr>
              <w:t xml:space="preserve"> goods and services balance </w:t>
            </w:r>
            <w:r w:rsidRPr="00F43D2E">
              <w:rPr>
                <w:lang w:val="en-GB"/>
              </w:rPr>
              <w:t xml:space="preserve">year-on-year by nearly 40 </w:t>
            </w:r>
            <w:r w:rsidR="007A46C3" w:rsidRPr="00F43D2E">
              <w:rPr>
                <w:lang w:val="en-GB"/>
              </w:rPr>
              <w:t>CZK bn</w:t>
            </w:r>
            <w:r w:rsidRPr="00F43D2E">
              <w:rPr>
                <w:lang w:val="en-GB"/>
              </w:rPr>
              <w:t xml:space="preserve"> shared to the largest extent on its improvement. A weaker outflow of income from the direct investment caused the reduction of the negative balance in the component of primary incomes to -99 </w:t>
            </w:r>
            <w:r w:rsidR="007A46C3" w:rsidRPr="00F43D2E">
              <w:rPr>
                <w:lang w:val="en-GB"/>
              </w:rPr>
              <w:t>CZK bn</w:t>
            </w:r>
            <w:r w:rsidRPr="00F43D2E">
              <w:rPr>
                <w:lang w:val="en-GB"/>
              </w:rPr>
              <w:t xml:space="preserve"> from the last year's -120 </w:t>
            </w:r>
            <w:r w:rsidR="007A46C3" w:rsidRPr="00F43D2E">
              <w:rPr>
                <w:lang w:val="en-GB"/>
              </w:rPr>
              <w:t>CZK bn</w:t>
            </w:r>
            <w:r w:rsidRPr="00F43D2E">
              <w:rPr>
                <w:lang w:val="en-GB"/>
              </w:rPr>
              <w:t xml:space="preserve">. In contrast, the secondary income account experienced a worsening of the balance (-4.7 bn) by 16 </w:t>
            </w:r>
            <w:r w:rsidR="007A46C3" w:rsidRPr="00F43D2E">
              <w:rPr>
                <w:lang w:val="en-GB"/>
              </w:rPr>
              <w:t>CZK bn</w:t>
            </w:r>
            <w:r w:rsidRPr="00F43D2E">
              <w:rPr>
                <w:lang w:val="en-GB"/>
              </w:rPr>
              <w:t xml:space="preserve"> in comparison to the half-year of 2015. </w:t>
            </w:r>
          </w:p>
          <w:p w:rsidR="00F66243" w:rsidRPr="00F43D2E" w:rsidRDefault="00F66243" w:rsidP="00AF5D62">
            <w:pPr>
              <w:pStyle w:val="Textpoznpodarou"/>
              <w:jc w:val="both"/>
              <w:rPr>
                <w:color w:val="FF0000"/>
                <w:sz w:val="14"/>
                <w:szCs w:val="14"/>
                <w:lang w:val="en-GB"/>
              </w:rPr>
            </w:pPr>
          </w:p>
        </w:tc>
      </w:tr>
      <w:tr w:rsidR="00F66243" w:rsidRPr="00F43D2E" w:rsidTr="00930F8D">
        <w:tc>
          <w:tcPr>
            <w:tcW w:w="1056" w:type="pct"/>
            <w:gridSpan w:val="3"/>
          </w:tcPr>
          <w:p w:rsidR="00F66243" w:rsidRPr="00F43D2E" w:rsidRDefault="00FD4AAA" w:rsidP="00FD4AAA">
            <w:pPr>
              <w:spacing w:line="240" w:lineRule="auto"/>
              <w:rPr>
                <w:sz w:val="16"/>
                <w:szCs w:val="16"/>
                <w:lang w:val="en-GB"/>
              </w:rPr>
            </w:pPr>
            <w:r w:rsidRPr="00F43D2E">
              <w:rPr>
                <w:sz w:val="16"/>
                <w:szCs w:val="16"/>
                <w:lang w:val="en-GB"/>
              </w:rPr>
              <w:t xml:space="preserve">Especially the growing reserve activity linked to the intervention regime of the CNB was the source of the financial account deficit </w:t>
            </w:r>
          </w:p>
        </w:tc>
        <w:tc>
          <w:tcPr>
            <w:tcW w:w="144" w:type="pct"/>
          </w:tcPr>
          <w:p w:rsidR="00F66243" w:rsidRPr="00F43D2E" w:rsidRDefault="00F66243" w:rsidP="00AF5D62">
            <w:pPr>
              <w:pStyle w:val="Textpoznpodarou"/>
              <w:jc w:val="both"/>
              <w:rPr>
                <w:color w:val="FF0000"/>
                <w:lang w:val="en-GB"/>
              </w:rPr>
            </w:pPr>
          </w:p>
        </w:tc>
        <w:tc>
          <w:tcPr>
            <w:tcW w:w="3800" w:type="pct"/>
            <w:gridSpan w:val="4"/>
          </w:tcPr>
          <w:p w:rsidR="00F66243" w:rsidRPr="00F43D2E" w:rsidRDefault="00FD4AAA" w:rsidP="00AF5D62">
            <w:pPr>
              <w:pStyle w:val="Textpoznpodarou"/>
              <w:jc w:val="both"/>
              <w:rPr>
                <w:color w:val="FF0000"/>
                <w:lang w:val="en-GB"/>
              </w:rPr>
            </w:pPr>
            <w:r w:rsidRPr="00F43D2E">
              <w:rPr>
                <w:lang w:val="en-GB"/>
              </w:rPr>
              <w:t>Inflow of the direct investment into the Czech economy increased its pace year-on-year fr</w:t>
            </w:r>
            <w:r w:rsidR="007934A6">
              <w:rPr>
                <w:lang w:val="en-GB"/>
              </w:rPr>
              <w:t>o</w:t>
            </w:r>
            <w:r w:rsidRPr="00F43D2E">
              <w:rPr>
                <w:lang w:val="en-GB"/>
              </w:rPr>
              <w:t xml:space="preserve">m 9.7 </w:t>
            </w:r>
            <w:proofErr w:type="spellStart"/>
            <w:r w:rsidRPr="00F43D2E">
              <w:rPr>
                <w:lang w:val="en-GB"/>
              </w:rPr>
              <w:t>bn</w:t>
            </w:r>
            <w:proofErr w:type="spellEnd"/>
            <w:r w:rsidRPr="00F43D2E">
              <w:rPr>
                <w:lang w:val="en-GB"/>
              </w:rPr>
              <w:t xml:space="preserve"> to 67 </w:t>
            </w:r>
            <w:r w:rsidR="007A46C3" w:rsidRPr="00F43D2E">
              <w:rPr>
                <w:lang w:val="en-GB"/>
              </w:rPr>
              <w:t>CZK bn</w:t>
            </w:r>
            <w:r w:rsidRPr="00F43D2E">
              <w:rPr>
                <w:lang w:val="en-GB"/>
              </w:rPr>
              <w:t xml:space="preserve"> in H1 2016. While the domestic investors lowered the value of their foreign d</w:t>
            </w:r>
            <w:r w:rsidR="00235541">
              <w:rPr>
                <w:lang w:val="en-GB"/>
              </w:rPr>
              <w:t>irect investment (further also “FDI”</w:t>
            </w:r>
            <w:r w:rsidRPr="00F43D2E">
              <w:rPr>
                <w:lang w:val="en-GB"/>
              </w:rPr>
              <w:t xml:space="preserve">) by 1 bn, 66 </w:t>
            </w:r>
            <w:r w:rsidR="007A46C3" w:rsidRPr="00F43D2E">
              <w:rPr>
                <w:lang w:val="en-GB"/>
              </w:rPr>
              <w:t>CZK bn</w:t>
            </w:r>
            <w:r w:rsidRPr="00F43D2E">
              <w:rPr>
                <w:lang w:val="en-GB"/>
              </w:rPr>
              <w:t xml:space="preserve"> flew into the Czech economy from abroad in the form of FDI. Debt securities also recorded a marked year-on-year increase (from 17 bn to 133.6 </w:t>
            </w:r>
            <w:r w:rsidR="007A46C3" w:rsidRPr="00F43D2E">
              <w:rPr>
                <w:lang w:val="en-GB"/>
              </w:rPr>
              <w:t>CZK bn</w:t>
            </w:r>
            <w:r w:rsidRPr="00F43D2E">
              <w:rPr>
                <w:lang w:val="en-GB"/>
              </w:rPr>
              <w:t xml:space="preserve">). The main source of the financial account deficit, i.e. the outflow of funds abroad, was the development in the component of the reserve assets especially due to the continuing interventions of the CNB. Net transactions with reserve assets arrived at 220 </w:t>
            </w:r>
            <w:r w:rsidR="007A46C3" w:rsidRPr="00F43D2E">
              <w:rPr>
                <w:lang w:val="en-GB"/>
              </w:rPr>
              <w:t>CZK bn</w:t>
            </w:r>
            <w:r w:rsidRPr="00F43D2E">
              <w:rPr>
                <w:lang w:val="en-GB"/>
              </w:rPr>
              <w:t xml:space="preserve"> in H1, which represents a year-on-year increase of nearly 100 </w:t>
            </w:r>
            <w:r w:rsidR="007A46C3" w:rsidRPr="00F43D2E">
              <w:rPr>
                <w:lang w:val="en-GB"/>
              </w:rPr>
              <w:t>CZK bn</w:t>
            </w:r>
            <w:r w:rsidRPr="00F43D2E">
              <w:rPr>
                <w:lang w:val="en-GB"/>
              </w:rPr>
              <w:t>.</w:t>
            </w:r>
          </w:p>
          <w:p w:rsidR="00F66243" w:rsidRPr="00F43D2E" w:rsidRDefault="00F66243" w:rsidP="00AF5D62">
            <w:pPr>
              <w:pStyle w:val="Textpoznpodarou"/>
              <w:jc w:val="both"/>
              <w:rPr>
                <w:color w:val="FF0000"/>
                <w:sz w:val="14"/>
                <w:szCs w:val="14"/>
                <w:lang w:val="en-GB"/>
              </w:rPr>
            </w:pPr>
          </w:p>
        </w:tc>
      </w:tr>
      <w:tr w:rsidR="00F66243" w:rsidRPr="00F43D2E" w:rsidTr="00930F8D">
        <w:tc>
          <w:tcPr>
            <w:tcW w:w="1056" w:type="pct"/>
            <w:gridSpan w:val="3"/>
          </w:tcPr>
          <w:p w:rsidR="00F66243" w:rsidRPr="00F43D2E" w:rsidRDefault="00496B60" w:rsidP="00C419B4">
            <w:pPr>
              <w:spacing w:line="240" w:lineRule="auto"/>
              <w:rPr>
                <w:sz w:val="16"/>
                <w:szCs w:val="16"/>
                <w:lang w:val="en-GB"/>
              </w:rPr>
            </w:pPr>
            <w:r w:rsidRPr="00F43D2E">
              <w:rPr>
                <w:sz w:val="16"/>
                <w:szCs w:val="16"/>
                <w:lang w:val="en-GB"/>
              </w:rPr>
              <w:t xml:space="preserve">Interest of the foreign investors in the domestic government bonds is growing – they purchased these in the amount of 114.2 </w:t>
            </w:r>
            <w:r w:rsidR="007A46C3" w:rsidRPr="00F43D2E">
              <w:rPr>
                <w:sz w:val="16"/>
                <w:szCs w:val="16"/>
                <w:lang w:val="en-GB"/>
              </w:rPr>
              <w:t>CZK bn</w:t>
            </w:r>
            <w:r w:rsidRPr="00F43D2E">
              <w:rPr>
                <w:sz w:val="16"/>
                <w:szCs w:val="16"/>
                <w:lang w:val="en-GB"/>
              </w:rPr>
              <w:t xml:space="preserve"> during the first three months of this year  </w:t>
            </w:r>
          </w:p>
        </w:tc>
        <w:tc>
          <w:tcPr>
            <w:tcW w:w="144" w:type="pct"/>
          </w:tcPr>
          <w:p w:rsidR="00F66243" w:rsidRPr="00F43D2E" w:rsidRDefault="00F66243" w:rsidP="00AF5D62">
            <w:pPr>
              <w:pStyle w:val="Textpoznpodarou"/>
              <w:jc w:val="both"/>
              <w:rPr>
                <w:color w:val="FF0000"/>
                <w:lang w:val="en-GB"/>
              </w:rPr>
            </w:pPr>
          </w:p>
        </w:tc>
        <w:tc>
          <w:tcPr>
            <w:tcW w:w="3800" w:type="pct"/>
            <w:gridSpan w:val="4"/>
          </w:tcPr>
          <w:p w:rsidR="00F66243" w:rsidRPr="00F43D2E" w:rsidRDefault="00496B60" w:rsidP="00AF5D62">
            <w:pPr>
              <w:pStyle w:val="Textpoznpodarou"/>
              <w:jc w:val="both"/>
              <w:rPr>
                <w:color w:val="FF0000"/>
                <w:spacing w:val="-2"/>
                <w:lang w:val="en-GB"/>
              </w:rPr>
            </w:pPr>
            <w:r w:rsidRPr="00F43D2E">
              <w:rPr>
                <w:lang w:val="en-GB"/>
              </w:rPr>
              <w:t xml:space="preserve">Inflow of portfolio investment in the amount of 140.9 </w:t>
            </w:r>
            <w:r w:rsidR="007A46C3" w:rsidRPr="00F43D2E">
              <w:rPr>
                <w:lang w:val="en-GB"/>
              </w:rPr>
              <w:t>CZK bn</w:t>
            </w:r>
            <w:r w:rsidRPr="00F43D2E">
              <w:rPr>
                <w:lang w:val="en-GB"/>
              </w:rPr>
              <w:t xml:space="preserve"> eventuated during H1 2016. It markedly contrasted with the portfolio investment of the residents abroad (19.5 </w:t>
            </w:r>
            <w:r w:rsidR="007A46C3" w:rsidRPr="00F43D2E">
              <w:rPr>
                <w:lang w:val="en-GB"/>
              </w:rPr>
              <w:t>CZK bn</w:t>
            </w:r>
            <w:r w:rsidRPr="00F43D2E">
              <w:rPr>
                <w:lang w:val="en-GB"/>
              </w:rPr>
              <w:t xml:space="preserve">). Massive purchases of the government bonds kept occurring, the foreign institutions invested 114.2 </w:t>
            </w:r>
            <w:r w:rsidR="007A46C3" w:rsidRPr="00F43D2E">
              <w:rPr>
                <w:lang w:val="en-GB"/>
              </w:rPr>
              <w:t>CZK bn</w:t>
            </w:r>
            <w:r w:rsidRPr="00F43D2E">
              <w:rPr>
                <w:lang w:val="en-GB"/>
              </w:rPr>
              <w:t xml:space="preserve">, i.e. much more than in the same period of 2015 (39.4 </w:t>
            </w:r>
            <w:r w:rsidR="007A46C3" w:rsidRPr="00F43D2E">
              <w:rPr>
                <w:lang w:val="en-GB"/>
              </w:rPr>
              <w:t>CZK bn</w:t>
            </w:r>
            <w:r w:rsidRPr="00F43D2E">
              <w:rPr>
                <w:lang w:val="en-GB"/>
              </w:rPr>
              <w:t xml:space="preserve">). The demand of foreign investors flows for once from the good position of the Czech government bonds (i.e. relatively lower level of government indebtedness, lower credit risk of the CR), but also the anticipated future appreciation of </w:t>
            </w:r>
            <w:r w:rsidR="00A95742">
              <w:rPr>
                <w:lang w:val="en-GB"/>
              </w:rPr>
              <w:t>Koruna</w:t>
            </w:r>
            <w:r w:rsidRPr="00F43D2E">
              <w:rPr>
                <w:lang w:val="en-GB"/>
              </w:rPr>
              <w:t xml:space="preserve"> after the completion of the exchange rate interventions of the CNB. High demand and expectations of investors simultaneously manifested in the development of yields of the government bonds, when the investors especially with the bonds with maturity within two years accept</w:t>
            </w:r>
            <w:r w:rsidR="004627A6">
              <w:rPr>
                <w:lang w:val="en-GB"/>
              </w:rPr>
              <w:t>ed even a negative yield (-0.05</w:t>
            </w:r>
            <w:r w:rsidRPr="00F43D2E">
              <w:rPr>
                <w:lang w:val="en-GB"/>
              </w:rPr>
              <w:t>%). Low yields however prevailed also for bonds with a remaini</w:t>
            </w:r>
            <w:r w:rsidR="004627A6">
              <w:rPr>
                <w:lang w:val="en-GB"/>
              </w:rPr>
              <w:t>ng maturity up to 5 years (0.05%) and 10 years (0.45</w:t>
            </w:r>
            <w:r w:rsidRPr="00F43D2E">
              <w:rPr>
                <w:lang w:val="en-GB"/>
              </w:rPr>
              <w:t>%). As a result of this development, the share of possession of government bonds by non-residents increa</w:t>
            </w:r>
            <w:r w:rsidR="004627A6">
              <w:rPr>
                <w:lang w:val="en-GB"/>
              </w:rPr>
              <w:t xml:space="preserve">sed by nearly 9 </w:t>
            </w:r>
            <w:r w:rsidR="00A95742">
              <w:rPr>
                <w:lang w:val="en-GB"/>
              </w:rPr>
              <w:t>p.p.</w:t>
            </w:r>
            <w:r w:rsidR="004627A6">
              <w:rPr>
                <w:lang w:val="en-GB"/>
              </w:rPr>
              <w:t xml:space="preserve"> (to 26.12</w:t>
            </w:r>
            <w:r w:rsidRPr="00F43D2E">
              <w:rPr>
                <w:lang w:val="en-GB"/>
              </w:rPr>
              <w:t>%).</w:t>
            </w:r>
            <w:r w:rsidRPr="00F43D2E">
              <w:rPr>
                <w:color w:val="FF0000"/>
                <w:lang w:val="en-GB"/>
              </w:rPr>
              <w:t xml:space="preserve">  </w:t>
            </w:r>
          </w:p>
          <w:p w:rsidR="00F66243" w:rsidRPr="00F43D2E" w:rsidRDefault="00F66243" w:rsidP="00AF5D62">
            <w:pPr>
              <w:pStyle w:val="Textpoznpodarou"/>
              <w:jc w:val="both"/>
              <w:rPr>
                <w:color w:val="FF0000"/>
                <w:sz w:val="14"/>
                <w:szCs w:val="14"/>
                <w:lang w:val="en-GB"/>
              </w:rPr>
            </w:pPr>
          </w:p>
        </w:tc>
      </w:tr>
      <w:tr w:rsidR="00F66243" w:rsidRPr="00F43D2E" w:rsidTr="00930F8D">
        <w:tblPrEx>
          <w:tblCellMar>
            <w:left w:w="28" w:type="dxa"/>
            <w:right w:w="28" w:type="dxa"/>
          </w:tblCellMar>
        </w:tblPrEx>
        <w:trPr>
          <w:gridBefore w:val="1"/>
          <w:gridAfter w:val="1"/>
          <w:wBefore w:w="13" w:type="pct"/>
          <w:wAfter w:w="19" w:type="pct"/>
        </w:trPr>
        <w:tc>
          <w:tcPr>
            <w:tcW w:w="1043" w:type="pct"/>
            <w:gridSpan w:val="2"/>
          </w:tcPr>
          <w:p w:rsidR="00F66243" w:rsidRPr="00F43D2E" w:rsidRDefault="00CE74FE" w:rsidP="00AF5D62">
            <w:pPr>
              <w:spacing w:line="240" w:lineRule="auto"/>
              <w:rPr>
                <w:color w:val="000000"/>
                <w:sz w:val="16"/>
                <w:szCs w:val="16"/>
                <w:lang w:val="en-GB"/>
              </w:rPr>
            </w:pPr>
            <w:r w:rsidRPr="00F43D2E">
              <w:rPr>
                <w:sz w:val="16"/>
                <w:szCs w:val="16"/>
                <w:lang w:val="en-GB"/>
              </w:rPr>
              <w:t>Year-on-year rate of gr</w:t>
            </w:r>
            <w:r w:rsidR="004627A6">
              <w:rPr>
                <w:sz w:val="16"/>
                <w:szCs w:val="16"/>
                <w:lang w:val="en-GB"/>
              </w:rPr>
              <w:t>owth of exports declined to 3.1% in H1 2016 from 4.9</w:t>
            </w:r>
            <w:r w:rsidRPr="00F43D2E">
              <w:rPr>
                <w:sz w:val="16"/>
                <w:szCs w:val="16"/>
                <w:lang w:val="en-GB"/>
              </w:rPr>
              <w:t>% in the same period of 2015</w:t>
            </w:r>
          </w:p>
        </w:tc>
        <w:tc>
          <w:tcPr>
            <w:tcW w:w="144" w:type="pct"/>
          </w:tcPr>
          <w:p w:rsidR="00F66243" w:rsidRPr="00F43D2E" w:rsidRDefault="00F66243" w:rsidP="00AF5D62">
            <w:pPr>
              <w:pStyle w:val="Textpoznpodarou"/>
              <w:jc w:val="both"/>
              <w:rPr>
                <w:lang w:val="en-GB"/>
              </w:rPr>
            </w:pPr>
          </w:p>
        </w:tc>
        <w:tc>
          <w:tcPr>
            <w:tcW w:w="3781" w:type="pct"/>
            <w:gridSpan w:val="3"/>
          </w:tcPr>
          <w:p w:rsidR="00F66243" w:rsidRPr="00F43D2E" w:rsidRDefault="00CE74FE" w:rsidP="00AF5D62">
            <w:pPr>
              <w:pStyle w:val="Textpoznpodarou"/>
              <w:ind w:left="67"/>
              <w:jc w:val="both"/>
              <w:rPr>
                <w:spacing w:val="-2"/>
                <w:lang w:val="en-GB"/>
              </w:rPr>
            </w:pPr>
            <w:r w:rsidRPr="00F43D2E">
              <w:rPr>
                <w:lang w:val="en-GB"/>
              </w:rPr>
              <w:t>Based on the data related to the foreign trade with goods in the national conception, a mild revival of ex</w:t>
            </w:r>
            <w:r w:rsidR="004627A6">
              <w:rPr>
                <w:lang w:val="en-GB"/>
              </w:rPr>
              <w:t>ports to 4.3</w:t>
            </w:r>
            <w:r w:rsidRPr="00F43D2E">
              <w:rPr>
                <w:lang w:val="en-GB"/>
              </w:rPr>
              <w:t xml:space="preserve">% occurred in Q2 2016 following a </w:t>
            </w:r>
            <w:r w:rsidR="00A15E65" w:rsidRPr="00F43D2E">
              <w:rPr>
                <w:lang w:val="en-GB"/>
              </w:rPr>
              <w:t>lowered</w:t>
            </w:r>
            <w:r w:rsidRPr="00F43D2E">
              <w:rPr>
                <w:lang w:val="en-GB"/>
              </w:rPr>
              <w:t xml:space="preserve"> additio</w:t>
            </w:r>
            <w:r w:rsidR="004627A6">
              <w:rPr>
                <w:lang w:val="en-GB"/>
              </w:rPr>
              <w:t>n in Q1, which increased by 1.8</w:t>
            </w:r>
            <w:r w:rsidRPr="00F43D2E">
              <w:rPr>
                <w:lang w:val="en-GB"/>
              </w:rPr>
              <w:t xml:space="preserve">% in comparison to the same period of the preceding year. </w:t>
            </w:r>
            <w:r w:rsidR="00A15E65" w:rsidRPr="00F43D2E">
              <w:rPr>
                <w:lang w:val="en-GB"/>
              </w:rPr>
              <w:t>Subsequently</w:t>
            </w:r>
            <w:r w:rsidRPr="00F43D2E">
              <w:rPr>
                <w:lang w:val="en-GB"/>
              </w:rPr>
              <w:t xml:space="preserve"> the rate of growth of exports of the Czech economy </w:t>
            </w:r>
            <w:r w:rsidR="004627A6">
              <w:rPr>
                <w:lang w:val="en-GB"/>
              </w:rPr>
              <w:t>slowed down year-on-year to 3.1</w:t>
            </w:r>
            <w:r w:rsidRPr="00F43D2E">
              <w:rPr>
                <w:lang w:val="en-GB"/>
              </w:rPr>
              <w:t xml:space="preserve">% in H1 </w:t>
            </w:r>
            <w:r w:rsidR="004627A6">
              <w:rPr>
                <w:lang w:val="en-GB"/>
              </w:rPr>
              <w:t>2016 from 4.9</w:t>
            </w:r>
            <w:r w:rsidRPr="00F43D2E">
              <w:rPr>
                <w:lang w:val="en-GB"/>
              </w:rPr>
              <w:t>% i</w:t>
            </w:r>
            <w:r w:rsidR="004627A6">
              <w:rPr>
                <w:lang w:val="en-GB"/>
              </w:rPr>
              <w:t>n H1 2015. Exports grew by 15.4</w:t>
            </w:r>
            <w:r w:rsidRPr="00F43D2E">
              <w:rPr>
                <w:lang w:val="en-GB"/>
              </w:rPr>
              <w:t xml:space="preserve">% in H1 2014. Exports grew in nominal terms by 50.5 </w:t>
            </w:r>
            <w:r w:rsidR="007A46C3" w:rsidRPr="00F43D2E">
              <w:rPr>
                <w:lang w:val="en-GB"/>
              </w:rPr>
              <w:t>CZK bn</w:t>
            </w:r>
            <w:r w:rsidRPr="00F43D2E">
              <w:rPr>
                <w:lang w:val="en-GB"/>
              </w:rPr>
              <w:t xml:space="preserve"> year-on-year in H1 2016 (by 14.8 bn in Q1 a by 35.7 </w:t>
            </w:r>
            <w:r w:rsidR="007A46C3" w:rsidRPr="00F43D2E">
              <w:rPr>
                <w:lang w:val="en-GB"/>
              </w:rPr>
              <w:t>CZK bn</w:t>
            </w:r>
            <w:r w:rsidRPr="00F43D2E">
              <w:rPr>
                <w:lang w:val="en-GB"/>
              </w:rPr>
              <w:t xml:space="preserve"> in Q2), which was by 26.1 </w:t>
            </w:r>
            <w:r w:rsidR="007A46C3" w:rsidRPr="00F43D2E">
              <w:rPr>
                <w:lang w:val="en-GB"/>
              </w:rPr>
              <w:t>CZK bn</w:t>
            </w:r>
            <w:r w:rsidRPr="00F43D2E">
              <w:rPr>
                <w:lang w:val="en-GB"/>
              </w:rPr>
              <w:t xml:space="preserve"> less compared to the same period of the preceding year. </w:t>
            </w:r>
          </w:p>
          <w:p w:rsidR="00F66243" w:rsidRPr="00F43D2E" w:rsidRDefault="00F66243" w:rsidP="00AF5D62">
            <w:pPr>
              <w:pStyle w:val="Textpoznpodarou"/>
              <w:ind w:left="67"/>
              <w:jc w:val="both"/>
              <w:rPr>
                <w:spacing w:val="-2"/>
                <w:sz w:val="14"/>
                <w:szCs w:val="14"/>
                <w:lang w:val="en-GB"/>
              </w:rPr>
            </w:pPr>
          </w:p>
        </w:tc>
      </w:tr>
      <w:tr w:rsidR="00F66243" w:rsidRPr="00F43D2E" w:rsidTr="00930F8D">
        <w:tblPrEx>
          <w:tblCellMar>
            <w:left w:w="28" w:type="dxa"/>
            <w:right w:w="28" w:type="dxa"/>
          </w:tblCellMar>
        </w:tblPrEx>
        <w:trPr>
          <w:gridBefore w:val="1"/>
          <w:gridAfter w:val="1"/>
          <w:wBefore w:w="13" w:type="pct"/>
          <w:wAfter w:w="19" w:type="pct"/>
        </w:trPr>
        <w:tc>
          <w:tcPr>
            <w:tcW w:w="1043" w:type="pct"/>
            <w:gridSpan w:val="2"/>
          </w:tcPr>
          <w:p w:rsidR="00F66243" w:rsidRPr="00F43D2E" w:rsidRDefault="00CE74FE" w:rsidP="00CE74FE">
            <w:pPr>
              <w:spacing w:line="240" w:lineRule="auto"/>
              <w:rPr>
                <w:color w:val="000000"/>
                <w:sz w:val="16"/>
                <w:szCs w:val="16"/>
                <w:lang w:val="en-GB"/>
              </w:rPr>
            </w:pPr>
            <w:r w:rsidRPr="00F43D2E">
              <w:rPr>
                <w:sz w:val="16"/>
                <w:szCs w:val="16"/>
                <w:lang w:val="en-GB"/>
              </w:rPr>
              <w:t>Motor vehicles and metal products recorded the highest year-on-year additions to exports</w:t>
            </w:r>
          </w:p>
        </w:tc>
        <w:tc>
          <w:tcPr>
            <w:tcW w:w="144" w:type="pct"/>
          </w:tcPr>
          <w:p w:rsidR="00F66243" w:rsidRPr="00F43D2E" w:rsidRDefault="00F66243" w:rsidP="00AF5D62">
            <w:pPr>
              <w:pStyle w:val="Textpoznpodarou"/>
              <w:jc w:val="both"/>
              <w:rPr>
                <w:lang w:val="en-GB"/>
              </w:rPr>
            </w:pPr>
          </w:p>
        </w:tc>
        <w:tc>
          <w:tcPr>
            <w:tcW w:w="3781" w:type="pct"/>
            <w:gridSpan w:val="3"/>
          </w:tcPr>
          <w:p w:rsidR="00F66243" w:rsidRPr="00436227" w:rsidRDefault="00CE74FE" w:rsidP="00AF5D62">
            <w:pPr>
              <w:pStyle w:val="Textpoznpodarou"/>
              <w:ind w:left="67"/>
              <w:jc w:val="both"/>
              <w:rPr>
                <w:spacing w:val="-2"/>
                <w:lang w:val="en-GB"/>
              </w:rPr>
            </w:pPr>
            <w:r w:rsidRPr="00436227">
              <w:rPr>
                <w:spacing w:val="-2"/>
                <w:lang w:val="en-GB"/>
              </w:rPr>
              <w:t xml:space="preserve">The highest year-on-year addition to exports (by 53.8 </w:t>
            </w:r>
            <w:r w:rsidR="007A46C3" w:rsidRPr="00436227">
              <w:rPr>
                <w:spacing w:val="-2"/>
                <w:lang w:val="en-GB"/>
              </w:rPr>
              <w:t>CZK bn</w:t>
            </w:r>
            <w:r w:rsidRPr="00436227">
              <w:rPr>
                <w:spacing w:val="-2"/>
                <w:lang w:val="en-GB"/>
              </w:rPr>
              <w:t xml:space="preserve">) was recorded for motor vehicles in the </w:t>
            </w:r>
            <w:r w:rsidR="00A15E65" w:rsidRPr="00436227">
              <w:rPr>
                <w:spacing w:val="-2"/>
                <w:lang w:val="en-GB"/>
              </w:rPr>
              <w:t>first</w:t>
            </w:r>
            <w:r w:rsidRPr="00436227">
              <w:rPr>
                <w:spacing w:val="-2"/>
                <w:lang w:val="en-GB"/>
              </w:rPr>
              <w:t xml:space="preserve"> two quarters, which have a dominant position in the commodity structure of the Czech exports in the long-term. Their share on the total Czech exports rose by 2.4 </w:t>
            </w:r>
            <w:r w:rsidR="00A95742" w:rsidRPr="00436227">
              <w:rPr>
                <w:spacing w:val="-2"/>
                <w:lang w:val="en-GB"/>
              </w:rPr>
              <w:t>p.p.</w:t>
            </w:r>
            <w:r w:rsidRPr="00436227">
              <w:rPr>
                <w:spacing w:val="-2"/>
                <w:lang w:val="en-GB"/>
              </w:rPr>
              <w:t xml:space="preserve"> </w:t>
            </w:r>
            <w:r w:rsidR="00C419B4" w:rsidRPr="00436227">
              <w:rPr>
                <w:spacing w:val="-2"/>
                <w:lang w:val="en-GB"/>
              </w:rPr>
              <w:t>t</w:t>
            </w:r>
            <w:r w:rsidR="004627A6" w:rsidRPr="00436227">
              <w:rPr>
                <w:spacing w:val="-2"/>
                <w:lang w:val="en-GB"/>
              </w:rPr>
              <w:t>o 27.3</w:t>
            </w:r>
            <w:r w:rsidRPr="00436227">
              <w:rPr>
                <w:spacing w:val="-2"/>
                <w:lang w:val="en-GB"/>
              </w:rPr>
              <w:t xml:space="preserve">% year-on-year in H1. Exports of motor </w:t>
            </w:r>
            <w:r w:rsidRPr="00436227">
              <w:rPr>
                <w:spacing w:val="-2"/>
                <w:lang w:val="en-GB"/>
              </w:rPr>
              <w:lastRenderedPageBreak/>
              <w:t>vehi</w:t>
            </w:r>
            <w:r w:rsidR="004627A6" w:rsidRPr="00436227">
              <w:rPr>
                <w:spacing w:val="-2"/>
                <w:lang w:val="en-GB"/>
              </w:rPr>
              <w:t>cles rose by above average 13.2</w:t>
            </w:r>
            <w:r w:rsidRPr="00436227">
              <w:rPr>
                <w:spacing w:val="-2"/>
                <w:lang w:val="en-GB"/>
              </w:rPr>
              <w:t xml:space="preserve">% in the given period, similarly as in H1 2015. Among other commodities with a strong representation on the Czech exports, metal products (by 14.3 </w:t>
            </w:r>
            <w:r w:rsidR="007A46C3" w:rsidRPr="00436227">
              <w:rPr>
                <w:spacing w:val="-2"/>
                <w:lang w:val="en-GB"/>
              </w:rPr>
              <w:t>CZK bn</w:t>
            </w:r>
            <w:r w:rsidRPr="00436227">
              <w:rPr>
                <w:spacing w:val="-2"/>
                <w:lang w:val="en-GB"/>
              </w:rPr>
              <w:t xml:space="preserve">) and machinery and equipment (by 8.2 </w:t>
            </w:r>
            <w:r w:rsidR="007A46C3" w:rsidRPr="00436227">
              <w:rPr>
                <w:spacing w:val="-2"/>
                <w:lang w:val="en-GB"/>
              </w:rPr>
              <w:t>CZK bn</w:t>
            </w:r>
            <w:r w:rsidRPr="00436227">
              <w:rPr>
                <w:spacing w:val="-2"/>
                <w:lang w:val="en-GB"/>
              </w:rPr>
              <w:t xml:space="preserve">) registered the highest year-on-year additions. On the contrary, the largest decrease was apparent for exports of basic metals (by 14.3 </w:t>
            </w:r>
            <w:r w:rsidR="007A46C3" w:rsidRPr="00436227">
              <w:rPr>
                <w:spacing w:val="-2"/>
                <w:lang w:val="en-GB"/>
              </w:rPr>
              <w:t>CZK bn</w:t>
            </w:r>
            <w:r w:rsidRPr="00436227">
              <w:rPr>
                <w:spacing w:val="-2"/>
                <w:lang w:val="en-GB"/>
              </w:rPr>
              <w:t xml:space="preserve">), oil and natural gas (by 9.9 </w:t>
            </w:r>
            <w:r w:rsidR="007A46C3" w:rsidRPr="00436227">
              <w:rPr>
                <w:spacing w:val="-2"/>
                <w:lang w:val="en-GB"/>
              </w:rPr>
              <w:t>CZK bn</w:t>
            </w:r>
            <w:r w:rsidRPr="00436227">
              <w:rPr>
                <w:spacing w:val="-2"/>
                <w:lang w:val="en-GB"/>
              </w:rPr>
              <w:t xml:space="preserve">) and chemicals and chemical products (by 8.0 </w:t>
            </w:r>
            <w:r w:rsidR="007A46C3" w:rsidRPr="00436227">
              <w:rPr>
                <w:spacing w:val="-2"/>
                <w:lang w:val="en-GB"/>
              </w:rPr>
              <w:t>CZK bn</w:t>
            </w:r>
            <w:r w:rsidRPr="00436227">
              <w:rPr>
                <w:spacing w:val="-2"/>
                <w:lang w:val="en-GB"/>
              </w:rPr>
              <w:t>).</w:t>
            </w:r>
          </w:p>
          <w:p w:rsidR="00F66243" w:rsidRPr="00F43D2E" w:rsidRDefault="00F66243" w:rsidP="00AF5D62">
            <w:pPr>
              <w:pStyle w:val="Textpoznpodarou"/>
              <w:ind w:left="67"/>
              <w:jc w:val="both"/>
              <w:rPr>
                <w:spacing w:val="-2"/>
                <w:lang w:val="en-GB"/>
              </w:rPr>
            </w:pPr>
          </w:p>
        </w:tc>
      </w:tr>
      <w:tr w:rsidR="00F66243" w:rsidRPr="00F43D2E" w:rsidTr="00930F8D">
        <w:tblPrEx>
          <w:tblCellMar>
            <w:left w:w="28" w:type="dxa"/>
            <w:right w:w="28" w:type="dxa"/>
          </w:tblCellMar>
        </w:tblPrEx>
        <w:trPr>
          <w:gridBefore w:val="1"/>
          <w:gridAfter w:val="1"/>
          <w:wBefore w:w="13" w:type="pct"/>
          <w:wAfter w:w="19" w:type="pct"/>
        </w:trPr>
        <w:tc>
          <w:tcPr>
            <w:tcW w:w="1043" w:type="pct"/>
            <w:gridSpan w:val="2"/>
          </w:tcPr>
          <w:p w:rsidR="00F66243" w:rsidRPr="00F43D2E" w:rsidRDefault="005010BA" w:rsidP="005010BA">
            <w:pPr>
              <w:spacing w:line="240" w:lineRule="auto"/>
              <w:rPr>
                <w:color w:val="000000"/>
                <w:sz w:val="16"/>
                <w:szCs w:val="16"/>
                <w:lang w:val="en-GB"/>
              </w:rPr>
            </w:pPr>
            <w:r w:rsidRPr="00F43D2E">
              <w:rPr>
                <w:sz w:val="16"/>
                <w:szCs w:val="16"/>
                <w:lang w:val="en-GB"/>
              </w:rPr>
              <w:lastRenderedPageBreak/>
              <w:t xml:space="preserve">Rate of growth of exports into the EU countries slowed down </w:t>
            </w:r>
          </w:p>
        </w:tc>
        <w:tc>
          <w:tcPr>
            <w:tcW w:w="144" w:type="pct"/>
          </w:tcPr>
          <w:p w:rsidR="00F66243" w:rsidRPr="00F43D2E" w:rsidRDefault="00F66243" w:rsidP="00AF5D62">
            <w:pPr>
              <w:pStyle w:val="Textpoznpodarou"/>
              <w:jc w:val="both"/>
              <w:rPr>
                <w:lang w:val="en-GB"/>
              </w:rPr>
            </w:pPr>
          </w:p>
        </w:tc>
        <w:tc>
          <w:tcPr>
            <w:tcW w:w="3781" w:type="pct"/>
            <w:gridSpan w:val="3"/>
          </w:tcPr>
          <w:p w:rsidR="00F66243" w:rsidRPr="00436227" w:rsidRDefault="005010BA" w:rsidP="00AF5D62">
            <w:pPr>
              <w:pStyle w:val="Textpoznpodarou"/>
              <w:ind w:left="67"/>
              <w:jc w:val="both"/>
              <w:rPr>
                <w:spacing w:val="-2"/>
                <w:lang w:val="en-GB"/>
              </w:rPr>
            </w:pPr>
            <w:r w:rsidRPr="00436227">
              <w:rPr>
                <w:spacing w:val="-2"/>
                <w:lang w:val="en-GB"/>
              </w:rPr>
              <w:t xml:space="preserve">The rate of growth of exports into the </w:t>
            </w:r>
            <w:r w:rsidR="004627A6" w:rsidRPr="00436227">
              <w:rPr>
                <w:spacing w:val="-2"/>
                <w:lang w:val="en-GB"/>
              </w:rPr>
              <w:t>EU countries slowed down to 4.2</w:t>
            </w:r>
            <w:r w:rsidRPr="00436227">
              <w:rPr>
                <w:spacing w:val="-2"/>
                <w:lang w:val="en-GB"/>
              </w:rPr>
              <w:t>% in the first s</w:t>
            </w:r>
            <w:r w:rsidR="004627A6" w:rsidRPr="00436227">
              <w:rPr>
                <w:spacing w:val="-2"/>
                <w:lang w:val="en-GB"/>
              </w:rPr>
              <w:t xml:space="preserve">ix months of </w:t>
            </w:r>
            <w:r w:rsidR="0081315E" w:rsidRPr="00436227">
              <w:rPr>
                <w:spacing w:val="-2"/>
                <w:lang w:val="en-GB"/>
              </w:rPr>
              <w:t xml:space="preserve">the </w:t>
            </w:r>
            <w:r w:rsidR="004627A6" w:rsidRPr="00436227">
              <w:rPr>
                <w:spacing w:val="-2"/>
                <w:lang w:val="en-GB"/>
              </w:rPr>
              <w:t>year 2016 from 5.6</w:t>
            </w:r>
            <w:r w:rsidRPr="00436227">
              <w:rPr>
                <w:spacing w:val="-2"/>
                <w:lang w:val="en-GB"/>
              </w:rPr>
              <w:t>% in the same period of the preceding year. The reason is the slower growing expo</w:t>
            </w:r>
            <w:r w:rsidR="004627A6" w:rsidRPr="00436227">
              <w:rPr>
                <w:spacing w:val="-2"/>
                <w:lang w:val="en-GB"/>
              </w:rPr>
              <w:t>rts to Germany (increase by 2.6% compared to 4.9</w:t>
            </w:r>
            <w:r w:rsidRPr="00436227">
              <w:rPr>
                <w:spacing w:val="-2"/>
                <w:lang w:val="en-GB"/>
              </w:rPr>
              <w:t xml:space="preserve">%), France, Great Britain or Slovakia, but also the deepening fall of exports to Poland. Exports into the three most important export destinations of the Czech </w:t>
            </w:r>
            <w:r w:rsidR="00CC3641" w:rsidRPr="00436227">
              <w:rPr>
                <w:spacing w:val="-2"/>
                <w:lang w:val="en-GB"/>
              </w:rPr>
              <w:t>R</w:t>
            </w:r>
            <w:r w:rsidRPr="00436227">
              <w:rPr>
                <w:spacing w:val="-2"/>
                <w:lang w:val="en-GB"/>
              </w:rPr>
              <w:t xml:space="preserve">epublic, involving Germany, Slovakia and Poland, reached 827.6 </w:t>
            </w:r>
            <w:r w:rsidR="007A46C3" w:rsidRPr="00436227">
              <w:rPr>
                <w:spacing w:val="-2"/>
                <w:lang w:val="en-GB"/>
              </w:rPr>
              <w:t>CZK bn</w:t>
            </w:r>
            <w:r w:rsidRPr="00436227">
              <w:rPr>
                <w:spacing w:val="-2"/>
                <w:lang w:val="en-GB"/>
              </w:rPr>
              <w:t xml:space="preserve"> in H1 of this year. In the year-on-year comparison, the exports i</w:t>
            </w:r>
            <w:r w:rsidR="004627A6" w:rsidRPr="00436227">
              <w:rPr>
                <w:spacing w:val="-2"/>
                <w:lang w:val="en-GB"/>
              </w:rPr>
              <w:t>nto these countries grew by 2.8</w:t>
            </w:r>
            <w:r w:rsidRPr="00436227">
              <w:rPr>
                <w:spacing w:val="-2"/>
                <w:lang w:val="en-GB"/>
              </w:rPr>
              <w:t>%. The proportion of exports into Germany, Slovakia and Poland on th</w:t>
            </w:r>
            <w:r w:rsidR="004627A6" w:rsidRPr="00436227">
              <w:rPr>
                <w:spacing w:val="-2"/>
                <w:lang w:val="en-GB"/>
              </w:rPr>
              <w:t>e total exports lowered to 48.1% in H1 2016 from 48.2</w:t>
            </w:r>
            <w:r w:rsidRPr="00436227">
              <w:rPr>
                <w:spacing w:val="-2"/>
                <w:lang w:val="en-GB"/>
              </w:rPr>
              <w:t xml:space="preserve">% in H1 2015. The value of goods bound for the countries outside the </w:t>
            </w:r>
            <w:r w:rsidR="004627A6" w:rsidRPr="00436227">
              <w:rPr>
                <w:spacing w:val="-2"/>
                <w:lang w:val="en-GB"/>
              </w:rPr>
              <w:t>Europe twenty-eight fell by 2.4</w:t>
            </w:r>
            <w:r w:rsidRPr="00436227">
              <w:rPr>
                <w:spacing w:val="-2"/>
                <w:lang w:val="en-GB"/>
              </w:rPr>
              <w:t xml:space="preserve">% year-on-year (6.4 </w:t>
            </w:r>
            <w:r w:rsidR="00C419B4" w:rsidRPr="00436227">
              <w:rPr>
                <w:spacing w:val="-2"/>
                <w:lang w:val="en-GB"/>
              </w:rPr>
              <w:t xml:space="preserve">CZK </w:t>
            </w:r>
            <w:r w:rsidRPr="00436227">
              <w:rPr>
                <w:spacing w:val="-2"/>
                <w:lang w:val="en-GB"/>
              </w:rPr>
              <w:t>bn). In that exports to Russia, hit by restrictions and recession of</w:t>
            </w:r>
            <w:r w:rsidR="004627A6" w:rsidRPr="00436227">
              <w:rPr>
                <w:spacing w:val="-2"/>
                <w:lang w:val="en-GB"/>
              </w:rPr>
              <w:t xml:space="preserve"> local economy, plunged by 14.6</w:t>
            </w:r>
            <w:r w:rsidRPr="00436227">
              <w:rPr>
                <w:spacing w:val="-2"/>
                <w:lang w:val="en-GB"/>
              </w:rPr>
              <w:t>%. E</w:t>
            </w:r>
            <w:r w:rsidR="004627A6" w:rsidRPr="00436227">
              <w:rPr>
                <w:spacing w:val="-2"/>
                <w:lang w:val="en-GB"/>
              </w:rPr>
              <w:t>xports to China declined by 5.1</w:t>
            </w:r>
            <w:r w:rsidRPr="00436227">
              <w:rPr>
                <w:spacing w:val="-2"/>
                <w:lang w:val="en-GB"/>
              </w:rPr>
              <w:t xml:space="preserve">%. </w:t>
            </w:r>
            <w:r w:rsidR="00F66243" w:rsidRPr="00436227">
              <w:rPr>
                <w:spacing w:val="-2"/>
                <w:lang w:val="en-GB"/>
              </w:rPr>
              <w:t xml:space="preserve"> </w:t>
            </w:r>
          </w:p>
          <w:p w:rsidR="00F66243" w:rsidRPr="00F43D2E" w:rsidRDefault="00F66243" w:rsidP="00AF5D62">
            <w:pPr>
              <w:pStyle w:val="Textpoznpodarou"/>
              <w:ind w:left="67"/>
              <w:jc w:val="both"/>
              <w:rPr>
                <w:spacing w:val="-2"/>
                <w:sz w:val="14"/>
                <w:szCs w:val="14"/>
                <w:lang w:val="en-GB"/>
              </w:rPr>
            </w:pPr>
          </w:p>
        </w:tc>
      </w:tr>
      <w:tr w:rsidR="00F66243" w:rsidRPr="00F43D2E" w:rsidTr="00930F8D">
        <w:tblPrEx>
          <w:tblCellMar>
            <w:left w:w="28" w:type="dxa"/>
            <w:right w:w="28" w:type="dxa"/>
          </w:tblCellMar>
        </w:tblPrEx>
        <w:trPr>
          <w:gridBefore w:val="1"/>
          <w:gridAfter w:val="1"/>
          <w:wBefore w:w="13" w:type="pct"/>
          <w:wAfter w:w="19" w:type="pct"/>
        </w:trPr>
        <w:tc>
          <w:tcPr>
            <w:tcW w:w="1043" w:type="pct"/>
            <w:gridSpan w:val="2"/>
          </w:tcPr>
          <w:p w:rsidR="00F66243" w:rsidRPr="00F43D2E" w:rsidRDefault="00640C96" w:rsidP="00AF5D62">
            <w:pPr>
              <w:spacing w:line="240" w:lineRule="auto"/>
              <w:rPr>
                <w:color w:val="000000"/>
                <w:sz w:val="16"/>
                <w:szCs w:val="16"/>
                <w:lang w:val="en-GB"/>
              </w:rPr>
            </w:pPr>
            <w:r w:rsidRPr="00F43D2E">
              <w:rPr>
                <w:sz w:val="16"/>
                <w:szCs w:val="16"/>
                <w:lang w:val="en-GB"/>
              </w:rPr>
              <w:t>Growth of exports into the CZ markedly slowed down in H1 2016</w:t>
            </w:r>
          </w:p>
        </w:tc>
        <w:tc>
          <w:tcPr>
            <w:tcW w:w="144" w:type="pct"/>
          </w:tcPr>
          <w:p w:rsidR="00F66243" w:rsidRPr="00F43D2E" w:rsidRDefault="00F66243" w:rsidP="00AF5D62">
            <w:pPr>
              <w:pStyle w:val="Textpoznpodarou"/>
              <w:jc w:val="both"/>
              <w:rPr>
                <w:lang w:val="en-GB"/>
              </w:rPr>
            </w:pPr>
          </w:p>
        </w:tc>
        <w:tc>
          <w:tcPr>
            <w:tcW w:w="3781" w:type="pct"/>
            <w:gridSpan w:val="3"/>
          </w:tcPr>
          <w:p w:rsidR="00F66243" w:rsidRPr="00F43D2E" w:rsidRDefault="00640C96" w:rsidP="00AF5D62">
            <w:pPr>
              <w:pStyle w:val="Textpoznpodarou"/>
              <w:ind w:left="67"/>
              <w:jc w:val="both"/>
              <w:rPr>
                <w:spacing w:val="-2"/>
                <w:lang w:val="en-GB"/>
              </w:rPr>
            </w:pPr>
            <w:r w:rsidRPr="00F43D2E">
              <w:rPr>
                <w:lang w:val="en-GB"/>
              </w:rPr>
              <w:t>Higher year-on-year growth of imports against exports, characteristic</w:t>
            </w:r>
            <w:r w:rsidR="004627A6">
              <w:rPr>
                <w:lang w:val="en-GB"/>
              </w:rPr>
              <w:t xml:space="preserve"> for H1 2015 (by 5.9% compared to 4.9</w:t>
            </w:r>
            <w:r w:rsidRPr="00F43D2E">
              <w:rPr>
                <w:lang w:val="en-GB"/>
              </w:rPr>
              <w:t>%) was substituted by a marked slowdown in H1 2016, wh</w:t>
            </w:r>
            <w:r w:rsidR="004627A6">
              <w:rPr>
                <w:lang w:val="en-GB"/>
              </w:rPr>
              <w:t>en the imports grew only by 0.4</w:t>
            </w:r>
            <w:r w:rsidRPr="00F43D2E">
              <w:rPr>
                <w:lang w:val="en-GB"/>
              </w:rPr>
              <w:t xml:space="preserve">%. Mostly the imports of motor vehicles (by 26.3 </w:t>
            </w:r>
            <w:r w:rsidR="007A46C3" w:rsidRPr="00F43D2E">
              <w:rPr>
                <w:lang w:val="en-GB"/>
              </w:rPr>
              <w:t>CZK bn</w:t>
            </w:r>
            <w:r w:rsidRPr="00F43D2E">
              <w:rPr>
                <w:lang w:val="en-GB"/>
              </w:rPr>
              <w:t xml:space="preserve"> year-on-year) and metalworking products (by 12.2 </w:t>
            </w:r>
            <w:r w:rsidR="007A46C3" w:rsidRPr="00F43D2E">
              <w:rPr>
                <w:lang w:val="en-GB"/>
              </w:rPr>
              <w:t>CZK bn</w:t>
            </w:r>
            <w:r w:rsidRPr="00F43D2E">
              <w:rPr>
                <w:lang w:val="en-GB"/>
              </w:rPr>
              <w:t xml:space="preserve">) were higher year-on-year. The imports of oil and natural gas (by 33.9 </w:t>
            </w:r>
            <w:r w:rsidR="007A46C3" w:rsidRPr="00F43D2E">
              <w:rPr>
                <w:lang w:val="en-GB"/>
              </w:rPr>
              <w:t>CZK bn</w:t>
            </w:r>
            <w:r w:rsidRPr="00F43D2E">
              <w:rPr>
                <w:lang w:val="en-GB"/>
              </w:rPr>
              <w:t xml:space="preserve">), computers, electronic and optical appliances (by 15.9 </w:t>
            </w:r>
            <w:r w:rsidR="007A46C3" w:rsidRPr="00F43D2E">
              <w:rPr>
                <w:lang w:val="en-GB"/>
              </w:rPr>
              <w:t>CZK bn</w:t>
            </w:r>
            <w:r w:rsidRPr="00F43D2E">
              <w:rPr>
                <w:lang w:val="en-GB"/>
              </w:rPr>
              <w:t xml:space="preserve">) and basic metals (by 15.5 </w:t>
            </w:r>
            <w:r w:rsidR="007A46C3" w:rsidRPr="00F43D2E">
              <w:rPr>
                <w:lang w:val="en-GB"/>
              </w:rPr>
              <w:t>CZK bn</w:t>
            </w:r>
            <w:r w:rsidRPr="00F43D2E">
              <w:rPr>
                <w:lang w:val="en-GB"/>
              </w:rPr>
              <w:t xml:space="preserve">) lowered. </w:t>
            </w:r>
            <w:r w:rsidR="004627A6">
              <w:rPr>
                <w:lang w:val="en-GB"/>
              </w:rPr>
              <w:t>Imports from the EU grew by 2.5</w:t>
            </w:r>
            <w:r w:rsidRPr="00F43D2E">
              <w:rPr>
                <w:lang w:val="en-GB"/>
              </w:rPr>
              <w:t xml:space="preserve">% year-on-year (26.9 </w:t>
            </w:r>
            <w:r w:rsidR="007A46C3" w:rsidRPr="00F43D2E">
              <w:rPr>
                <w:lang w:val="en-GB"/>
              </w:rPr>
              <w:t>CZK bn</w:t>
            </w:r>
            <w:r w:rsidRPr="00F43D2E">
              <w:rPr>
                <w:lang w:val="en-GB"/>
              </w:rPr>
              <w:t>). The relative addition to imports from Germany and Poland slowed down, imports from Slovenia and Austria decreased. Imports from the countries o</w:t>
            </w:r>
            <w:r w:rsidR="004627A6">
              <w:rPr>
                <w:lang w:val="en-GB"/>
              </w:rPr>
              <w:t>utside the EU were lower by 4.7</w:t>
            </w:r>
            <w:r w:rsidRPr="00F43D2E">
              <w:rPr>
                <w:lang w:val="en-GB"/>
              </w:rPr>
              <w:t xml:space="preserve">% (22.7 </w:t>
            </w:r>
            <w:r w:rsidR="007A46C3" w:rsidRPr="00F43D2E">
              <w:rPr>
                <w:lang w:val="en-GB"/>
              </w:rPr>
              <w:t>CZK bn</w:t>
            </w:r>
            <w:r w:rsidRPr="00F43D2E">
              <w:rPr>
                <w:lang w:val="en-GB"/>
              </w:rPr>
              <w:t xml:space="preserve">), mostly affected by the plunge of imports from Russia (by more than 20 </w:t>
            </w:r>
            <w:r w:rsidR="007A46C3" w:rsidRPr="00F43D2E">
              <w:rPr>
                <w:lang w:val="en-GB"/>
              </w:rPr>
              <w:t>CZK bn</w:t>
            </w:r>
            <w:r w:rsidRPr="00F43D2E">
              <w:rPr>
                <w:lang w:val="en-GB"/>
              </w:rPr>
              <w:t xml:space="preserve"> year-on-year). </w:t>
            </w:r>
          </w:p>
          <w:p w:rsidR="00F66243" w:rsidRPr="00F43D2E" w:rsidRDefault="00F66243" w:rsidP="00AF5D62">
            <w:pPr>
              <w:pStyle w:val="Textpoznpodarou"/>
              <w:ind w:left="67"/>
              <w:jc w:val="both"/>
              <w:rPr>
                <w:spacing w:val="-2"/>
                <w:sz w:val="14"/>
                <w:szCs w:val="14"/>
                <w:lang w:val="en-GB"/>
              </w:rPr>
            </w:pPr>
          </w:p>
        </w:tc>
      </w:tr>
      <w:tr w:rsidR="00F66243" w:rsidRPr="00F43D2E" w:rsidTr="00930F8D">
        <w:tblPrEx>
          <w:tblCellMar>
            <w:left w:w="28" w:type="dxa"/>
            <w:right w:w="28" w:type="dxa"/>
          </w:tblCellMar>
        </w:tblPrEx>
        <w:trPr>
          <w:gridBefore w:val="1"/>
          <w:gridAfter w:val="1"/>
          <w:wBefore w:w="13" w:type="pct"/>
          <w:wAfter w:w="19" w:type="pct"/>
        </w:trPr>
        <w:tc>
          <w:tcPr>
            <w:tcW w:w="1043" w:type="pct"/>
            <w:gridSpan w:val="2"/>
          </w:tcPr>
          <w:p w:rsidR="00F66243" w:rsidRPr="00F43D2E" w:rsidRDefault="00053F27" w:rsidP="00AF5D62">
            <w:pPr>
              <w:spacing w:line="240" w:lineRule="auto"/>
              <w:rPr>
                <w:color w:val="000000"/>
                <w:sz w:val="16"/>
                <w:szCs w:val="16"/>
                <w:lang w:val="en-GB"/>
              </w:rPr>
            </w:pPr>
            <w:r w:rsidRPr="00F43D2E">
              <w:rPr>
                <w:color w:val="000000"/>
                <w:sz w:val="16"/>
                <w:szCs w:val="16"/>
                <w:lang w:val="en-GB"/>
              </w:rPr>
              <w:t>Trade balance surplus nearly the same in Q1 and Q2 2016</w:t>
            </w:r>
          </w:p>
          <w:p w:rsidR="00F66243" w:rsidRPr="00F43D2E" w:rsidRDefault="00F66243" w:rsidP="00AF5D62">
            <w:pPr>
              <w:spacing w:line="240" w:lineRule="auto"/>
              <w:rPr>
                <w:color w:val="000000"/>
                <w:sz w:val="16"/>
                <w:szCs w:val="16"/>
                <w:lang w:val="en-GB"/>
              </w:rPr>
            </w:pPr>
          </w:p>
          <w:p w:rsidR="00F66243" w:rsidRPr="00F43D2E" w:rsidRDefault="00F66243" w:rsidP="00AF5D62">
            <w:pPr>
              <w:spacing w:line="240" w:lineRule="auto"/>
              <w:rPr>
                <w:color w:val="000000"/>
                <w:sz w:val="16"/>
                <w:szCs w:val="16"/>
                <w:lang w:val="en-GB"/>
              </w:rPr>
            </w:pPr>
          </w:p>
        </w:tc>
        <w:tc>
          <w:tcPr>
            <w:tcW w:w="144" w:type="pct"/>
          </w:tcPr>
          <w:p w:rsidR="00F66243" w:rsidRPr="00F43D2E" w:rsidRDefault="00F66243" w:rsidP="00AF5D62">
            <w:pPr>
              <w:pStyle w:val="Textpoznpodarou"/>
              <w:jc w:val="both"/>
              <w:rPr>
                <w:lang w:val="en-GB"/>
              </w:rPr>
            </w:pPr>
          </w:p>
        </w:tc>
        <w:tc>
          <w:tcPr>
            <w:tcW w:w="3781" w:type="pct"/>
            <w:gridSpan w:val="3"/>
          </w:tcPr>
          <w:p w:rsidR="00F66243" w:rsidRPr="00F43D2E" w:rsidRDefault="00053F27" w:rsidP="0092519D">
            <w:pPr>
              <w:pStyle w:val="Textpoznpodarou"/>
              <w:ind w:left="67"/>
              <w:jc w:val="both"/>
              <w:rPr>
                <w:lang w:val="en-GB"/>
              </w:rPr>
            </w:pPr>
            <w:r w:rsidRPr="00F43D2E">
              <w:rPr>
                <w:lang w:val="en-GB"/>
              </w:rPr>
              <w:t xml:space="preserve">Trade balance of the foreign trade with goods in the national conception ended in surplus of 133.5 </w:t>
            </w:r>
            <w:r w:rsidR="007A46C3" w:rsidRPr="00F43D2E">
              <w:rPr>
                <w:lang w:val="en-GB"/>
              </w:rPr>
              <w:t>CZK bn</w:t>
            </w:r>
            <w:r w:rsidRPr="00F43D2E">
              <w:rPr>
                <w:lang w:val="en-GB"/>
              </w:rPr>
              <w:t xml:space="preserve"> in H1 2016, which was by 44.8 </w:t>
            </w:r>
            <w:r w:rsidR="007A46C3" w:rsidRPr="00F43D2E">
              <w:rPr>
                <w:lang w:val="en-GB"/>
              </w:rPr>
              <w:t>CZK bn</w:t>
            </w:r>
            <w:r w:rsidRPr="00F43D2E">
              <w:rPr>
                <w:lang w:val="en-GB"/>
              </w:rPr>
              <w:t xml:space="preserve"> higher </w:t>
            </w:r>
            <w:proofErr w:type="gramStart"/>
            <w:r w:rsidRPr="00F43D2E">
              <w:rPr>
                <w:lang w:val="en-GB"/>
              </w:rPr>
              <w:t>year-on-year</w:t>
            </w:r>
            <w:proofErr w:type="gramEnd"/>
            <w:r w:rsidRPr="00F43D2E">
              <w:rPr>
                <w:lang w:val="en-GB"/>
              </w:rPr>
              <w:t>. The balance contributed to the positive final value by nearly the same share in Q1 and Q2 2016.</w:t>
            </w:r>
          </w:p>
          <w:p w:rsidR="00053F27" w:rsidRPr="00F43D2E" w:rsidRDefault="00053F27" w:rsidP="0092519D">
            <w:pPr>
              <w:pStyle w:val="Textpoznpodarou"/>
              <w:ind w:left="67"/>
              <w:jc w:val="both"/>
              <w:rPr>
                <w:spacing w:val="-2"/>
                <w:sz w:val="14"/>
                <w:szCs w:val="14"/>
                <w:lang w:val="en-GB"/>
              </w:rPr>
            </w:pPr>
          </w:p>
        </w:tc>
      </w:tr>
      <w:tr w:rsidR="00F66243" w:rsidRPr="00F43D2E" w:rsidTr="00930F8D">
        <w:tblPrEx>
          <w:tblCellMar>
            <w:left w:w="28" w:type="dxa"/>
            <w:right w:w="28" w:type="dxa"/>
          </w:tblCellMar>
        </w:tblPrEx>
        <w:trPr>
          <w:gridBefore w:val="1"/>
          <w:gridAfter w:val="1"/>
          <w:wBefore w:w="13" w:type="pct"/>
          <w:wAfter w:w="19" w:type="pct"/>
        </w:trPr>
        <w:tc>
          <w:tcPr>
            <w:tcW w:w="1043" w:type="pct"/>
            <w:gridSpan w:val="2"/>
          </w:tcPr>
          <w:p w:rsidR="00F66243" w:rsidRPr="00F43D2E" w:rsidRDefault="00053F27" w:rsidP="00AF5D62">
            <w:pPr>
              <w:spacing w:line="240" w:lineRule="auto"/>
              <w:rPr>
                <w:color w:val="000000"/>
                <w:sz w:val="16"/>
                <w:szCs w:val="16"/>
                <w:lang w:val="en-GB"/>
              </w:rPr>
            </w:pPr>
            <w:r w:rsidRPr="00F43D2E">
              <w:rPr>
                <w:color w:val="000000"/>
                <w:sz w:val="16"/>
                <w:szCs w:val="16"/>
                <w:lang w:val="en-GB"/>
              </w:rPr>
              <w:t>Lower negative balance of trade with oil and natural gas</w:t>
            </w:r>
          </w:p>
        </w:tc>
        <w:tc>
          <w:tcPr>
            <w:tcW w:w="144" w:type="pct"/>
          </w:tcPr>
          <w:p w:rsidR="00F66243" w:rsidRPr="00F43D2E" w:rsidRDefault="00F66243" w:rsidP="00AF5D62">
            <w:pPr>
              <w:pStyle w:val="Textpoznpodarou"/>
              <w:jc w:val="both"/>
              <w:rPr>
                <w:lang w:val="en-GB"/>
              </w:rPr>
            </w:pPr>
          </w:p>
        </w:tc>
        <w:tc>
          <w:tcPr>
            <w:tcW w:w="3781" w:type="pct"/>
            <w:gridSpan w:val="3"/>
          </w:tcPr>
          <w:p w:rsidR="00F66243" w:rsidRPr="00F43D2E" w:rsidRDefault="00053F27" w:rsidP="00AF5D62">
            <w:pPr>
              <w:pStyle w:val="Textpoznpodarou"/>
              <w:ind w:left="67"/>
              <w:jc w:val="both"/>
              <w:rPr>
                <w:lang w:val="en-GB"/>
              </w:rPr>
            </w:pPr>
            <w:r w:rsidRPr="00F43D2E">
              <w:rPr>
                <w:lang w:val="en-GB"/>
              </w:rPr>
              <w:t xml:space="preserve">In the view of the Classifications of Products (CZ-CPA), the slump of the trade deficit with oil and natural gas (by 24.0 </w:t>
            </w:r>
            <w:r w:rsidR="007A46C3" w:rsidRPr="00F43D2E">
              <w:rPr>
                <w:lang w:val="en-GB"/>
              </w:rPr>
              <w:t xml:space="preserve">CZK </w:t>
            </w:r>
            <w:proofErr w:type="spellStart"/>
            <w:r w:rsidR="007A46C3" w:rsidRPr="00F43D2E">
              <w:rPr>
                <w:lang w:val="en-GB"/>
              </w:rPr>
              <w:t>bn</w:t>
            </w:r>
            <w:proofErr w:type="spellEnd"/>
            <w:r w:rsidRPr="00F43D2E">
              <w:rPr>
                <w:lang w:val="en-GB"/>
              </w:rPr>
              <w:t xml:space="preserve">) and </w:t>
            </w:r>
            <w:r w:rsidR="00B87C5F">
              <w:rPr>
                <w:lang w:val="en-GB"/>
              </w:rPr>
              <w:t xml:space="preserve">the </w:t>
            </w:r>
            <w:r w:rsidRPr="00F43D2E">
              <w:rPr>
                <w:lang w:val="en-GB"/>
              </w:rPr>
              <w:t xml:space="preserve">traditional growth of the trade surplus with the motor vehicles (by 27.5 </w:t>
            </w:r>
            <w:r w:rsidR="007A46C3" w:rsidRPr="00F43D2E">
              <w:rPr>
                <w:lang w:val="en-GB"/>
              </w:rPr>
              <w:t>CZK bn</w:t>
            </w:r>
            <w:r w:rsidRPr="00F43D2E">
              <w:rPr>
                <w:lang w:val="en-GB"/>
              </w:rPr>
              <w:t xml:space="preserve">) had a favourable impact on the total balance. Deficit in the trade with the chemicals and chemical products deepened by 16.1 </w:t>
            </w:r>
            <w:r w:rsidR="007A46C3" w:rsidRPr="00F43D2E">
              <w:rPr>
                <w:lang w:val="en-GB"/>
              </w:rPr>
              <w:t>CZK bn</w:t>
            </w:r>
            <w:r w:rsidRPr="00F43D2E">
              <w:rPr>
                <w:lang w:val="en-GB"/>
              </w:rPr>
              <w:t xml:space="preserve"> in comparison to the last year, the surplus of the balance of trade with machinery and equipment on the contrary increased by 14.9 </w:t>
            </w:r>
            <w:r w:rsidR="007A46C3" w:rsidRPr="00F43D2E">
              <w:rPr>
                <w:lang w:val="en-GB"/>
              </w:rPr>
              <w:t xml:space="preserve">CZK </w:t>
            </w:r>
            <w:proofErr w:type="spellStart"/>
            <w:r w:rsidR="007A46C3" w:rsidRPr="00F43D2E">
              <w:rPr>
                <w:lang w:val="en-GB"/>
              </w:rPr>
              <w:t>bn</w:t>
            </w:r>
            <w:proofErr w:type="spellEnd"/>
            <w:r w:rsidRPr="00F43D2E">
              <w:rPr>
                <w:lang w:val="en-GB"/>
              </w:rPr>
              <w:t xml:space="preserve"> and the trade with the metalworking products </w:t>
            </w:r>
            <w:r w:rsidR="00B87C5F">
              <w:rPr>
                <w:lang w:val="en-GB"/>
              </w:rPr>
              <w:t xml:space="preserve">grew slightly </w:t>
            </w:r>
            <w:r w:rsidRPr="00F43D2E">
              <w:rPr>
                <w:lang w:val="en-GB"/>
              </w:rPr>
              <w:t xml:space="preserve">by 2.1 </w:t>
            </w:r>
            <w:r w:rsidR="007A46C3" w:rsidRPr="00F43D2E">
              <w:rPr>
                <w:lang w:val="en-GB"/>
              </w:rPr>
              <w:t>CZK bn</w:t>
            </w:r>
            <w:r w:rsidRPr="00F43D2E">
              <w:rPr>
                <w:lang w:val="en-GB"/>
              </w:rPr>
              <w:t xml:space="preserve">. </w:t>
            </w:r>
          </w:p>
          <w:p w:rsidR="00053F27" w:rsidRPr="00F43D2E" w:rsidRDefault="00053F27" w:rsidP="00AF5D62">
            <w:pPr>
              <w:pStyle w:val="Textpoznpodarou"/>
              <w:ind w:left="67"/>
              <w:jc w:val="both"/>
              <w:rPr>
                <w:spacing w:val="-2"/>
                <w:sz w:val="14"/>
                <w:szCs w:val="14"/>
                <w:lang w:val="en-GB"/>
              </w:rPr>
            </w:pPr>
          </w:p>
        </w:tc>
      </w:tr>
      <w:tr w:rsidR="00F66243" w:rsidRPr="00F43D2E" w:rsidTr="00930F8D">
        <w:tblPrEx>
          <w:tblCellMar>
            <w:left w:w="28" w:type="dxa"/>
            <w:right w:w="28" w:type="dxa"/>
          </w:tblCellMar>
        </w:tblPrEx>
        <w:trPr>
          <w:gridBefore w:val="1"/>
          <w:gridAfter w:val="1"/>
          <w:wBefore w:w="13" w:type="pct"/>
          <w:wAfter w:w="19" w:type="pct"/>
        </w:trPr>
        <w:tc>
          <w:tcPr>
            <w:tcW w:w="1043" w:type="pct"/>
            <w:gridSpan w:val="2"/>
          </w:tcPr>
          <w:p w:rsidR="00F66243" w:rsidRPr="00F43D2E" w:rsidRDefault="00DE0243" w:rsidP="00AF5D62">
            <w:pPr>
              <w:spacing w:line="240" w:lineRule="auto"/>
              <w:rPr>
                <w:sz w:val="16"/>
                <w:szCs w:val="16"/>
                <w:lang w:val="en-GB"/>
              </w:rPr>
            </w:pPr>
            <w:r w:rsidRPr="00F43D2E">
              <w:rPr>
                <w:sz w:val="16"/>
                <w:szCs w:val="16"/>
                <w:lang w:val="en-GB"/>
              </w:rPr>
              <w:t>Trade balance improved due to the lowering of the deficit with the countries outside the EU year-on-year</w:t>
            </w:r>
          </w:p>
        </w:tc>
        <w:tc>
          <w:tcPr>
            <w:tcW w:w="144" w:type="pct"/>
          </w:tcPr>
          <w:p w:rsidR="00F66243" w:rsidRPr="00F43D2E" w:rsidRDefault="00F66243" w:rsidP="00AF5D62">
            <w:pPr>
              <w:pStyle w:val="Textpoznpodarou"/>
              <w:jc w:val="both"/>
              <w:rPr>
                <w:i/>
                <w:color w:val="FF0000"/>
                <w:lang w:val="en-GB"/>
              </w:rPr>
            </w:pPr>
          </w:p>
        </w:tc>
        <w:tc>
          <w:tcPr>
            <w:tcW w:w="3781" w:type="pct"/>
            <w:gridSpan w:val="3"/>
          </w:tcPr>
          <w:p w:rsidR="00F66243" w:rsidRDefault="00B87C5F" w:rsidP="00AF5D62">
            <w:pPr>
              <w:pStyle w:val="Textpoznpodarou"/>
              <w:ind w:left="67"/>
              <w:jc w:val="both"/>
              <w:rPr>
                <w:lang w:val="en-GB"/>
              </w:rPr>
            </w:pPr>
            <w:r>
              <w:rPr>
                <w:lang w:val="en-GB"/>
              </w:rPr>
              <w:t>T</w:t>
            </w:r>
            <w:r w:rsidRPr="00F43D2E">
              <w:rPr>
                <w:lang w:val="en-GB"/>
              </w:rPr>
              <w:t>he higher positive foreign trade balance compared to the last year</w:t>
            </w:r>
            <w:r>
              <w:rPr>
                <w:lang w:val="en-GB"/>
              </w:rPr>
              <w:t xml:space="preserve"> was affected by</w:t>
            </w:r>
            <w:r w:rsidRPr="00F43D2E">
              <w:rPr>
                <w:lang w:val="en-GB"/>
              </w:rPr>
              <w:t xml:space="preserve"> </w:t>
            </w:r>
            <w:r>
              <w:rPr>
                <w:lang w:val="en-GB"/>
              </w:rPr>
              <w:t>l</w:t>
            </w:r>
            <w:r w:rsidR="00DE0243" w:rsidRPr="00F43D2E">
              <w:rPr>
                <w:lang w:val="en-GB"/>
              </w:rPr>
              <w:t xml:space="preserve">owering of the foreign trade deficit with the countries outside the EU by 16.3 </w:t>
            </w:r>
            <w:r w:rsidR="007A46C3" w:rsidRPr="00F43D2E">
              <w:rPr>
                <w:lang w:val="en-GB"/>
              </w:rPr>
              <w:t>CZK bn</w:t>
            </w:r>
            <w:r w:rsidR="00DE0243" w:rsidRPr="00F43D2E">
              <w:rPr>
                <w:lang w:val="en-GB"/>
              </w:rPr>
              <w:t xml:space="preserve"> to 199.7 </w:t>
            </w:r>
            <w:r w:rsidR="007A46C3" w:rsidRPr="00F43D2E">
              <w:rPr>
                <w:lang w:val="en-GB"/>
              </w:rPr>
              <w:t xml:space="preserve">CZK </w:t>
            </w:r>
            <w:proofErr w:type="gramStart"/>
            <w:r w:rsidR="007A46C3" w:rsidRPr="00F43D2E">
              <w:rPr>
                <w:lang w:val="en-GB"/>
              </w:rPr>
              <w:t>bn</w:t>
            </w:r>
            <w:r>
              <w:rPr>
                <w:lang w:val="en-GB"/>
              </w:rPr>
              <w:t>.</w:t>
            </w:r>
            <w:r w:rsidR="00DE0243" w:rsidRPr="00F43D2E">
              <w:rPr>
                <w:lang w:val="en-GB"/>
              </w:rPr>
              <w:t>.</w:t>
            </w:r>
            <w:proofErr w:type="gramEnd"/>
            <w:r w:rsidR="00DE0243" w:rsidRPr="00F43D2E">
              <w:rPr>
                <w:lang w:val="en-GB"/>
              </w:rPr>
              <w:t xml:space="preserve"> At the same time the deficit reduced nearly by 15 </w:t>
            </w:r>
            <w:r w:rsidR="007A46C3" w:rsidRPr="00F43D2E">
              <w:rPr>
                <w:lang w:val="en-GB"/>
              </w:rPr>
              <w:t>CZK bn</w:t>
            </w:r>
            <w:r w:rsidR="00DE0243" w:rsidRPr="00F43D2E">
              <w:rPr>
                <w:lang w:val="en-GB"/>
              </w:rPr>
              <w:t xml:space="preserve"> in trade with Russia, further th</w:t>
            </w:r>
            <w:r w:rsidR="00FD3B11" w:rsidRPr="00F43D2E">
              <w:rPr>
                <w:lang w:val="en-GB"/>
              </w:rPr>
              <w:t>e</w:t>
            </w:r>
            <w:r w:rsidR="00DE0243" w:rsidRPr="00F43D2E">
              <w:rPr>
                <w:lang w:val="en-GB"/>
              </w:rPr>
              <w:t xml:space="preserve">n with Azerbaijan and Kazakhstan (by 4.5 bn and 4.8 </w:t>
            </w:r>
            <w:r w:rsidR="007A46C3" w:rsidRPr="00F43D2E">
              <w:rPr>
                <w:lang w:val="en-GB"/>
              </w:rPr>
              <w:t>CZK bn</w:t>
            </w:r>
            <w:r w:rsidR="00DE0243" w:rsidRPr="00F43D2E">
              <w:rPr>
                <w:lang w:val="en-GB"/>
              </w:rPr>
              <w:t xml:space="preserve">). Half-yearly surplus of the CR trade with the Union states recorded an increase of 30.6 </w:t>
            </w:r>
            <w:r w:rsidR="007A46C3" w:rsidRPr="00F43D2E">
              <w:rPr>
                <w:lang w:val="en-GB"/>
              </w:rPr>
              <w:t>CZK bn</w:t>
            </w:r>
            <w:r w:rsidR="00DE0243" w:rsidRPr="00F43D2E">
              <w:rPr>
                <w:lang w:val="en-GB"/>
              </w:rPr>
              <w:t xml:space="preserve"> to 344.1 </w:t>
            </w:r>
            <w:r w:rsidR="007A46C3" w:rsidRPr="00F43D2E">
              <w:rPr>
                <w:lang w:val="en-GB"/>
              </w:rPr>
              <w:t>CZK bn</w:t>
            </w:r>
            <w:r w:rsidR="00DE0243" w:rsidRPr="00F43D2E">
              <w:rPr>
                <w:lang w:val="en-GB"/>
              </w:rPr>
              <w:t xml:space="preserve"> despite </w:t>
            </w:r>
            <w:r w:rsidR="00905E96">
              <w:rPr>
                <w:lang w:val="en-GB"/>
              </w:rPr>
              <w:t xml:space="preserve">the </w:t>
            </w:r>
            <w:r w:rsidR="00905E96" w:rsidRPr="00F43D2E">
              <w:rPr>
                <w:lang w:val="en-GB"/>
              </w:rPr>
              <w:t>increase of the passive balance with Poland by 11.9 CZK bn.</w:t>
            </w:r>
            <w:r w:rsidR="00905E96">
              <w:rPr>
                <w:lang w:val="en-GB"/>
              </w:rPr>
              <w:t xml:space="preserve"> </w:t>
            </w:r>
            <w:r w:rsidR="00DE0243" w:rsidRPr="00F43D2E">
              <w:rPr>
                <w:lang w:val="en-GB"/>
              </w:rPr>
              <w:t xml:space="preserve">Constant positive balance with Germany rose by 10.9 </w:t>
            </w:r>
            <w:r w:rsidR="007A46C3" w:rsidRPr="00F43D2E">
              <w:rPr>
                <w:lang w:val="en-GB"/>
              </w:rPr>
              <w:t>CZK bn</w:t>
            </w:r>
            <w:r w:rsidR="00DE0243" w:rsidRPr="00F43D2E">
              <w:rPr>
                <w:lang w:val="en-GB"/>
              </w:rPr>
              <w:t xml:space="preserve"> and attained the value of 115.2 </w:t>
            </w:r>
            <w:r w:rsidR="007A46C3" w:rsidRPr="00F43D2E">
              <w:rPr>
                <w:lang w:val="en-GB"/>
              </w:rPr>
              <w:t>CZK bn</w:t>
            </w:r>
            <w:r w:rsidR="00DE0243" w:rsidRPr="00F43D2E">
              <w:rPr>
                <w:lang w:val="en-GB"/>
              </w:rPr>
              <w:t xml:space="preserve">. </w:t>
            </w:r>
            <w:r w:rsidR="00F66243" w:rsidRPr="00F43D2E">
              <w:rPr>
                <w:spacing w:val="-2"/>
                <w:lang w:val="en-GB"/>
              </w:rPr>
              <w:t xml:space="preserve"> </w:t>
            </w:r>
            <w:r w:rsidR="00905E96">
              <w:rPr>
                <w:lang w:val="en-GB"/>
              </w:rPr>
              <w:t>The</w:t>
            </w:r>
            <w:r w:rsidR="00905E96" w:rsidRPr="00F43D2E">
              <w:rPr>
                <w:lang w:val="en-GB"/>
              </w:rPr>
              <w:t xml:space="preserve"> active balance with the neighbouring Slovakia</w:t>
            </w:r>
            <w:r w:rsidR="00905E96">
              <w:rPr>
                <w:lang w:val="en-GB"/>
              </w:rPr>
              <w:t xml:space="preserve"> improved</w:t>
            </w:r>
            <w:r w:rsidR="00905E96" w:rsidRPr="00F43D2E">
              <w:rPr>
                <w:lang w:val="en-GB"/>
              </w:rPr>
              <w:t xml:space="preserve"> by 11.2 CZK </w:t>
            </w:r>
            <w:proofErr w:type="spellStart"/>
            <w:r w:rsidR="00905E96" w:rsidRPr="00F43D2E">
              <w:rPr>
                <w:lang w:val="en-GB"/>
              </w:rPr>
              <w:t>bn</w:t>
            </w:r>
            <w:proofErr w:type="spellEnd"/>
          </w:p>
          <w:p w:rsidR="00273EAA" w:rsidRDefault="00273EAA" w:rsidP="00AF5D62">
            <w:pPr>
              <w:pStyle w:val="Textpoznpodarou"/>
              <w:ind w:left="67"/>
              <w:jc w:val="both"/>
              <w:rPr>
                <w:lang w:val="en-GB"/>
              </w:rPr>
            </w:pPr>
          </w:p>
          <w:p w:rsidR="00273EAA" w:rsidRDefault="00273EAA" w:rsidP="00AF5D62">
            <w:pPr>
              <w:pStyle w:val="Textpoznpodarou"/>
              <w:ind w:left="67"/>
              <w:jc w:val="both"/>
              <w:rPr>
                <w:lang w:val="en-GB"/>
              </w:rPr>
            </w:pPr>
          </w:p>
          <w:p w:rsidR="00273EAA" w:rsidRDefault="00273EAA" w:rsidP="00AF5D62">
            <w:pPr>
              <w:pStyle w:val="Textpoznpodarou"/>
              <w:ind w:left="67"/>
              <w:jc w:val="both"/>
              <w:rPr>
                <w:lang w:val="en-GB"/>
              </w:rPr>
            </w:pPr>
          </w:p>
          <w:p w:rsidR="00273EAA" w:rsidRDefault="00273EAA" w:rsidP="00AF5D62">
            <w:pPr>
              <w:pStyle w:val="Textpoznpodarou"/>
              <w:ind w:left="67"/>
              <w:jc w:val="both"/>
              <w:rPr>
                <w:lang w:val="en-GB"/>
              </w:rPr>
            </w:pPr>
          </w:p>
          <w:p w:rsidR="00273EAA" w:rsidRDefault="00273EAA" w:rsidP="00AF5D62">
            <w:pPr>
              <w:pStyle w:val="Textpoznpodarou"/>
              <w:ind w:left="67"/>
              <w:jc w:val="both"/>
              <w:rPr>
                <w:lang w:val="en-GB"/>
              </w:rPr>
            </w:pPr>
          </w:p>
          <w:p w:rsidR="00273EAA" w:rsidRDefault="00273EAA" w:rsidP="00AF5D62">
            <w:pPr>
              <w:pStyle w:val="Textpoznpodarou"/>
              <w:ind w:left="67"/>
              <w:jc w:val="both"/>
              <w:rPr>
                <w:lang w:val="en-GB"/>
              </w:rPr>
            </w:pPr>
          </w:p>
          <w:p w:rsidR="00273EAA" w:rsidRDefault="00273EAA" w:rsidP="00AF5D62">
            <w:pPr>
              <w:pStyle w:val="Textpoznpodarou"/>
              <w:ind w:left="67"/>
              <w:jc w:val="both"/>
              <w:rPr>
                <w:lang w:val="en-GB"/>
              </w:rPr>
            </w:pPr>
          </w:p>
          <w:p w:rsidR="00273EAA" w:rsidRPr="00F43D2E" w:rsidRDefault="00273EAA" w:rsidP="00AF5D62">
            <w:pPr>
              <w:pStyle w:val="Textpoznpodarou"/>
              <w:ind w:left="67"/>
              <w:jc w:val="both"/>
              <w:rPr>
                <w:spacing w:val="-2"/>
                <w:lang w:val="en-GB"/>
              </w:rPr>
            </w:pPr>
          </w:p>
          <w:p w:rsidR="00F66243" w:rsidRPr="00F43D2E" w:rsidRDefault="00F66243" w:rsidP="00AF5D62">
            <w:pPr>
              <w:pStyle w:val="Textpoznpodarou"/>
              <w:ind w:left="67"/>
              <w:jc w:val="both"/>
              <w:rPr>
                <w:spacing w:val="-2"/>
                <w:sz w:val="14"/>
                <w:szCs w:val="14"/>
                <w:lang w:val="en-GB"/>
              </w:rPr>
            </w:pPr>
          </w:p>
        </w:tc>
      </w:tr>
      <w:tr w:rsidR="00F66243" w:rsidRPr="00F43D2E" w:rsidTr="00930F8D">
        <w:tblPrEx>
          <w:tblCellMar>
            <w:left w:w="70" w:type="dxa"/>
            <w:right w:w="70" w:type="dxa"/>
          </w:tblCellMar>
          <w:tblLook w:val="0000"/>
        </w:tblPrEx>
        <w:tc>
          <w:tcPr>
            <w:tcW w:w="479" w:type="pct"/>
            <w:gridSpan w:val="2"/>
          </w:tcPr>
          <w:p w:rsidR="00F66243" w:rsidRPr="00F43D2E" w:rsidRDefault="00C55C1B" w:rsidP="00C55C1B">
            <w:pPr>
              <w:spacing w:line="240" w:lineRule="auto"/>
              <w:rPr>
                <w:color w:val="000000"/>
                <w:sz w:val="19"/>
                <w:szCs w:val="19"/>
                <w:lang w:val="en-GB"/>
              </w:rPr>
            </w:pPr>
            <w:r w:rsidRPr="00F43D2E">
              <w:rPr>
                <w:color w:val="000000"/>
                <w:sz w:val="19"/>
                <w:szCs w:val="19"/>
                <w:lang w:val="en-GB"/>
              </w:rPr>
              <w:lastRenderedPageBreak/>
              <w:t xml:space="preserve">Chart </w:t>
            </w:r>
            <w:r w:rsidR="00F66243" w:rsidRPr="00F43D2E">
              <w:rPr>
                <w:color w:val="000000"/>
                <w:sz w:val="19"/>
                <w:szCs w:val="19"/>
                <w:lang w:val="en-GB"/>
              </w:rPr>
              <w:t>9</w:t>
            </w:r>
          </w:p>
        </w:tc>
        <w:tc>
          <w:tcPr>
            <w:tcW w:w="2022" w:type="pct"/>
            <w:gridSpan w:val="3"/>
          </w:tcPr>
          <w:p w:rsidR="00930F8D" w:rsidRPr="00F43D2E" w:rsidRDefault="008A3371" w:rsidP="00FD3B11">
            <w:pPr>
              <w:spacing w:line="240" w:lineRule="auto"/>
              <w:rPr>
                <w:b/>
                <w:bCs/>
                <w:lang w:val="en-GB"/>
              </w:rPr>
            </w:pPr>
            <w:r w:rsidRPr="00F43D2E">
              <w:rPr>
                <w:b/>
                <w:lang w:val="en-GB"/>
              </w:rPr>
              <w:t xml:space="preserve">Current account of balance of payments </w:t>
            </w:r>
            <w:r w:rsidR="00F66243" w:rsidRPr="00F43D2E">
              <w:rPr>
                <w:lang w:val="en-GB"/>
              </w:rPr>
              <w:t>(</w:t>
            </w:r>
            <w:r w:rsidR="00C55C1B" w:rsidRPr="00F43D2E">
              <w:rPr>
                <w:lang w:val="en-GB"/>
              </w:rPr>
              <w:t xml:space="preserve">in </w:t>
            </w:r>
            <w:r w:rsidR="00FD3B11" w:rsidRPr="00F43D2E">
              <w:rPr>
                <w:lang w:val="en-GB"/>
              </w:rPr>
              <w:t xml:space="preserve">CZK </w:t>
            </w:r>
            <w:r w:rsidR="00C55C1B" w:rsidRPr="00F43D2E">
              <w:rPr>
                <w:lang w:val="en-GB"/>
              </w:rPr>
              <w:t>bn</w:t>
            </w:r>
            <w:r w:rsidR="00F66243" w:rsidRPr="00F43D2E">
              <w:rPr>
                <w:lang w:val="en-GB"/>
              </w:rPr>
              <w:t>)</w:t>
            </w:r>
          </w:p>
        </w:tc>
        <w:tc>
          <w:tcPr>
            <w:tcW w:w="417" w:type="pct"/>
          </w:tcPr>
          <w:p w:rsidR="00F66243" w:rsidRPr="00F43D2E" w:rsidRDefault="00C55C1B" w:rsidP="00C55C1B">
            <w:pPr>
              <w:spacing w:line="240" w:lineRule="auto"/>
              <w:rPr>
                <w:color w:val="000000"/>
                <w:sz w:val="19"/>
                <w:szCs w:val="19"/>
                <w:lang w:val="en-GB"/>
              </w:rPr>
            </w:pPr>
            <w:r w:rsidRPr="00F43D2E">
              <w:rPr>
                <w:color w:val="000000"/>
                <w:sz w:val="19"/>
                <w:szCs w:val="19"/>
                <w:lang w:val="en-GB"/>
              </w:rPr>
              <w:t>Chart 1</w:t>
            </w:r>
            <w:r w:rsidR="00F66243" w:rsidRPr="00F43D2E">
              <w:rPr>
                <w:color w:val="000000"/>
                <w:sz w:val="19"/>
                <w:szCs w:val="19"/>
                <w:lang w:val="en-GB"/>
              </w:rPr>
              <w:t>0</w:t>
            </w:r>
          </w:p>
        </w:tc>
        <w:tc>
          <w:tcPr>
            <w:tcW w:w="2082" w:type="pct"/>
            <w:gridSpan w:val="2"/>
          </w:tcPr>
          <w:p w:rsidR="00F66243" w:rsidRPr="00F43D2E" w:rsidRDefault="008A3371" w:rsidP="00FD3B11">
            <w:pPr>
              <w:spacing w:line="240" w:lineRule="auto"/>
              <w:rPr>
                <w:bCs/>
                <w:lang w:val="en-GB"/>
              </w:rPr>
            </w:pPr>
            <w:r w:rsidRPr="00F43D2E">
              <w:rPr>
                <w:b/>
                <w:lang w:val="en-GB"/>
              </w:rPr>
              <w:t>Balance of foreign trade with goods in national conception in Q</w:t>
            </w:r>
            <w:r w:rsidR="00902D09">
              <w:rPr>
                <w:b/>
                <w:lang w:val="en-GB"/>
              </w:rPr>
              <w:t>2</w:t>
            </w:r>
            <w:r w:rsidRPr="00F43D2E">
              <w:rPr>
                <w:b/>
                <w:lang w:val="en-GB"/>
              </w:rPr>
              <w:t xml:space="preserve"> </w:t>
            </w:r>
            <w:r w:rsidR="00F66243" w:rsidRPr="00F43D2E">
              <w:rPr>
                <w:b/>
                <w:spacing w:val="-2"/>
                <w:lang w:val="en-GB"/>
              </w:rPr>
              <w:t>2016</w:t>
            </w:r>
            <w:r w:rsidR="00F66243" w:rsidRPr="00F43D2E">
              <w:rPr>
                <w:spacing w:val="-2"/>
                <w:lang w:val="en-GB"/>
              </w:rPr>
              <w:t xml:space="preserve"> (y–y </w:t>
            </w:r>
            <w:r w:rsidR="00C55C1B" w:rsidRPr="00F43D2E">
              <w:rPr>
                <w:spacing w:val="-2"/>
                <w:lang w:val="en-GB"/>
              </w:rPr>
              <w:t xml:space="preserve">in </w:t>
            </w:r>
            <w:r w:rsidR="00FD3B11" w:rsidRPr="00F43D2E">
              <w:rPr>
                <w:spacing w:val="-2"/>
                <w:lang w:val="en-GB"/>
              </w:rPr>
              <w:t xml:space="preserve">CZK </w:t>
            </w:r>
            <w:r w:rsidR="00C55C1B" w:rsidRPr="00F43D2E">
              <w:rPr>
                <w:spacing w:val="-2"/>
                <w:lang w:val="en-GB"/>
              </w:rPr>
              <w:t>bn</w:t>
            </w:r>
            <w:r w:rsidR="00F66243" w:rsidRPr="00F43D2E">
              <w:rPr>
                <w:spacing w:val="-2"/>
                <w:lang w:val="en-GB"/>
              </w:rPr>
              <w:t>)</w:t>
            </w:r>
          </w:p>
        </w:tc>
      </w:tr>
      <w:tr w:rsidR="00F66243" w:rsidRPr="00F43D2E" w:rsidTr="00930F8D">
        <w:tblPrEx>
          <w:tblCellMar>
            <w:left w:w="70" w:type="dxa"/>
            <w:right w:w="70" w:type="dxa"/>
          </w:tblCellMar>
          <w:tblLook w:val="0000"/>
        </w:tblPrEx>
        <w:trPr>
          <w:trHeight w:val="47"/>
        </w:trPr>
        <w:tc>
          <w:tcPr>
            <w:tcW w:w="2501" w:type="pct"/>
            <w:gridSpan w:val="5"/>
          </w:tcPr>
          <w:p w:rsidR="00F66243" w:rsidRPr="00F43D2E" w:rsidRDefault="00930F8D" w:rsidP="00AF5D62">
            <w:pPr>
              <w:pStyle w:val="Zhlav"/>
              <w:tabs>
                <w:tab w:val="clear" w:pos="4536"/>
                <w:tab w:val="clear" w:pos="9072"/>
              </w:tabs>
              <w:ind w:right="-275"/>
              <w:rPr>
                <w:rFonts w:ascii="Arial" w:hAnsi="Arial" w:cs="Arial"/>
                <w:lang w:val="en-GB"/>
              </w:rPr>
            </w:pPr>
            <w:r>
              <w:rPr>
                <w:rFonts w:ascii="Arial" w:hAnsi="Arial" w:cs="Arial"/>
                <w:noProof/>
                <w:sz w:val="18"/>
                <w:szCs w:val="18"/>
                <w:lang w:eastAsia="cs-CZ"/>
              </w:rPr>
              <w:drawing>
                <wp:inline distT="0" distB="0" distL="0" distR="0">
                  <wp:extent cx="3015096" cy="2511631"/>
                  <wp:effectExtent l="19050" t="0" r="0" b="0"/>
                  <wp:docPr id="3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015049" cy="2511592"/>
                          </a:xfrm>
                          <a:prstGeom prst="rect">
                            <a:avLst/>
                          </a:prstGeom>
                          <a:noFill/>
                          <a:ln w="9525">
                            <a:noFill/>
                            <a:miter lim="800000"/>
                            <a:headEnd/>
                            <a:tailEnd/>
                          </a:ln>
                        </pic:spPr>
                      </pic:pic>
                    </a:graphicData>
                  </a:graphic>
                </wp:inline>
              </w:drawing>
            </w:r>
          </w:p>
        </w:tc>
        <w:tc>
          <w:tcPr>
            <w:tcW w:w="2499" w:type="pct"/>
            <w:gridSpan w:val="3"/>
          </w:tcPr>
          <w:p w:rsidR="00F66243" w:rsidRPr="00F43D2E" w:rsidRDefault="00930F8D" w:rsidP="00AF5D62">
            <w:pPr>
              <w:pStyle w:val="Zhlav"/>
              <w:tabs>
                <w:tab w:val="clear" w:pos="4536"/>
                <w:tab w:val="clear" w:pos="9072"/>
              </w:tabs>
              <w:spacing w:line="235" w:lineRule="auto"/>
              <w:jc w:val="both"/>
              <w:rPr>
                <w:rFonts w:ascii="Arial" w:hAnsi="Arial" w:cs="Arial"/>
                <w:noProof/>
                <w:sz w:val="18"/>
                <w:szCs w:val="18"/>
                <w:lang w:val="en-GB" w:eastAsia="cs-CZ"/>
              </w:rPr>
            </w:pPr>
            <w:r>
              <w:rPr>
                <w:rFonts w:ascii="Arial" w:hAnsi="Arial" w:cs="Arial"/>
                <w:noProof/>
                <w:lang w:eastAsia="cs-CZ"/>
              </w:rPr>
              <w:drawing>
                <wp:inline distT="0" distB="0" distL="0" distR="0">
                  <wp:extent cx="3061537" cy="2511631"/>
                  <wp:effectExtent l="19050" t="0" r="5513" b="0"/>
                  <wp:docPr id="3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065547" cy="2514921"/>
                          </a:xfrm>
                          <a:prstGeom prst="rect">
                            <a:avLst/>
                          </a:prstGeom>
                          <a:noFill/>
                          <a:ln w="9525">
                            <a:noFill/>
                            <a:miter lim="800000"/>
                            <a:headEnd/>
                            <a:tailEnd/>
                          </a:ln>
                        </pic:spPr>
                      </pic:pic>
                    </a:graphicData>
                  </a:graphic>
                </wp:inline>
              </w:drawing>
            </w:r>
          </w:p>
          <w:p w:rsidR="008A3371" w:rsidRPr="00F27D6C" w:rsidRDefault="00C55C1B" w:rsidP="00F27D6C">
            <w:pPr>
              <w:pStyle w:val="Zhlav"/>
              <w:tabs>
                <w:tab w:val="clear" w:pos="4536"/>
                <w:tab w:val="clear" w:pos="9072"/>
              </w:tabs>
              <w:spacing w:line="235" w:lineRule="auto"/>
              <w:jc w:val="right"/>
              <w:rPr>
                <w:sz w:val="18"/>
                <w:szCs w:val="18"/>
                <w:lang w:val="en-GB"/>
              </w:rPr>
            </w:pPr>
            <w:r w:rsidRPr="00F43D2E">
              <w:rPr>
                <w:sz w:val="18"/>
                <w:szCs w:val="18"/>
                <w:lang w:val="en-GB"/>
              </w:rPr>
              <w:t>Source</w:t>
            </w:r>
            <w:r w:rsidR="00F66243" w:rsidRPr="00F43D2E">
              <w:rPr>
                <w:sz w:val="18"/>
                <w:szCs w:val="18"/>
                <w:lang w:val="en-GB"/>
              </w:rPr>
              <w:t xml:space="preserve">: </w:t>
            </w:r>
            <w:r w:rsidRPr="00F43D2E">
              <w:rPr>
                <w:sz w:val="18"/>
                <w:szCs w:val="18"/>
                <w:lang w:val="en-GB"/>
              </w:rPr>
              <w:t>CZSO,</w:t>
            </w:r>
            <w:r w:rsidR="00F66243" w:rsidRPr="00F43D2E">
              <w:rPr>
                <w:sz w:val="18"/>
                <w:szCs w:val="18"/>
                <w:lang w:val="en-GB"/>
              </w:rPr>
              <w:t xml:space="preserve"> </w:t>
            </w:r>
            <w:r w:rsidRPr="00F43D2E">
              <w:rPr>
                <w:sz w:val="18"/>
                <w:szCs w:val="18"/>
                <w:lang w:val="en-GB"/>
              </w:rPr>
              <w:t>C</w:t>
            </w:r>
            <w:r w:rsidR="00F66243" w:rsidRPr="00F43D2E">
              <w:rPr>
                <w:sz w:val="18"/>
                <w:szCs w:val="18"/>
                <w:lang w:val="en-GB"/>
              </w:rPr>
              <w:t>NB</w:t>
            </w:r>
          </w:p>
        </w:tc>
      </w:tr>
    </w:tbl>
    <w:p w:rsidR="00436227" w:rsidRPr="00436227" w:rsidRDefault="00436227" w:rsidP="002E0DB9">
      <w:pPr>
        <w:rPr>
          <w:szCs w:val="20"/>
          <w:lang w:val="en-GB"/>
        </w:rPr>
      </w:pPr>
    </w:p>
    <w:p w:rsidR="00ED3A94" w:rsidRPr="00F43D2E" w:rsidRDefault="00ED3A94" w:rsidP="002E0DB9">
      <w:pPr>
        <w:rPr>
          <w:sz w:val="2"/>
          <w:szCs w:val="2"/>
          <w:lang w:val="en-GB"/>
        </w:rPr>
      </w:pPr>
    </w:p>
    <w:sectPr w:rsidR="00ED3A94" w:rsidRPr="00F43D2E" w:rsidSect="00D43998">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181" w:rsidRDefault="00403181" w:rsidP="00E71A58">
      <w:r>
        <w:separator/>
      </w:r>
    </w:p>
  </w:endnote>
  <w:endnote w:type="continuationSeparator" w:id="0">
    <w:p w:rsidR="00403181" w:rsidRDefault="00403181"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Default="008437F0"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BF5F8B" w:rsidRPr="005A21E0">
      <w:rPr>
        <w:rFonts w:ascii="Arial" w:hAnsi="Arial" w:cs="Arial"/>
        <w:sz w:val="16"/>
        <w:szCs w:val="16"/>
      </w:rPr>
      <w:fldChar w:fldCharType="begin"/>
    </w:r>
    <w:r w:rsidRPr="005A21E0">
      <w:rPr>
        <w:rFonts w:ascii="Arial" w:hAnsi="Arial" w:cs="Arial"/>
        <w:sz w:val="16"/>
        <w:szCs w:val="16"/>
      </w:rPr>
      <w:instrText>PAGE   \* MERGEFORMAT</w:instrText>
    </w:r>
    <w:r w:rsidR="00BF5F8B" w:rsidRPr="005A21E0">
      <w:rPr>
        <w:rFonts w:ascii="Arial" w:hAnsi="Arial" w:cs="Arial"/>
        <w:sz w:val="16"/>
        <w:szCs w:val="16"/>
      </w:rPr>
      <w:fldChar w:fldCharType="separate"/>
    </w:r>
    <w:r w:rsidR="00273EAA">
      <w:rPr>
        <w:rFonts w:ascii="Arial" w:hAnsi="Arial" w:cs="Arial"/>
        <w:noProof/>
        <w:sz w:val="16"/>
        <w:szCs w:val="16"/>
      </w:rPr>
      <w:t>2</w:t>
    </w:r>
    <w:r w:rsidR="00BF5F8B"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Default="00667271" w:rsidP="00357449">
    <w:pPr>
      <w:pStyle w:val="Zpat"/>
      <w:tabs>
        <w:tab w:val="clear" w:pos="4536"/>
        <w:tab w:val="clear" w:pos="9072"/>
        <w:tab w:val="left" w:pos="1134"/>
        <w:tab w:val="left" w:pos="1920"/>
        <w:tab w:val="center" w:pos="4820"/>
        <w:tab w:val="right" w:pos="9639"/>
      </w:tabs>
    </w:pPr>
    <w:r w:rsidRPr="00667271">
      <w:rPr>
        <w:noProof/>
        <w:lang w:eastAsia="cs-CZ"/>
      </w:rPr>
      <w:drawing>
        <wp:anchor distT="0" distB="0" distL="114300" distR="114300" simplePos="0" relativeHeight="251662848" behindDoc="0" locked="0" layoutInCell="1" allowOverlap="1">
          <wp:simplePos x="0" y="0"/>
          <wp:positionH relativeFrom="column">
            <wp:posOffset>67504</wp:posOffset>
          </wp:positionH>
          <wp:positionV relativeFrom="paragraph">
            <wp:posOffset>159704</wp:posOffset>
          </wp:positionV>
          <wp:extent cx="687787" cy="201954"/>
          <wp:effectExtent l="19050" t="0" r="0" b="0"/>
          <wp:wrapNone/>
          <wp:docPr id="13"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87787" cy="201954"/>
                  </a:xfrm>
                  <a:prstGeom prst="rect">
                    <a:avLst/>
                  </a:prstGeom>
                  <a:noFill/>
                  <a:ln w="9525">
                    <a:noFill/>
                    <a:miter lim="800000"/>
                    <a:headEnd/>
                    <a:tailEnd/>
                  </a:ln>
                </pic:spPr>
              </pic:pic>
            </a:graphicData>
          </a:graphic>
        </wp:anchor>
      </w:drawing>
    </w:r>
    <w:r w:rsidR="008437F0">
      <w:tab/>
    </w:r>
    <w:r w:rsidR="008437F0">
      <w:tab/>
    </w:r>
    <w:r w:rsidR="008437F0" w:rsidRPr="00DC5B3B">
      <w:t xml:space="preserve">                              </w:t>
    </w:r>
  </w:p>
  <w:p w:rsidR="008437F0" w:rsidRPr="00223E00" w:rsidRDefault="008437F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BF5F8B"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BF5F8B" w:rsidRPr="00223E00">
      <w:rPr>
        <w:rFonts w:ascii="Arial" w:hAnsi="Arial" w:cs="Arial"/>
        <w:sz w:val="16"/>
        <w:szCs w:val="16"/>
      </w:rPr>
      <w:fldChar w:fldCharType="separate"/>
    </w:r>
    <w:r w:rsidR="00273EAA">
      <w:rPr>
        <w:rFonts w:ascii="Arial" w:hAnsi="Arial" w:cs="Arial"/>
        <w:noProof/>
        <w:sz w:val="16"/>
        <w:szCs w:val="16"/>
      </w:rPr>
      <w:t>1</w:t>
    </w:r>
    <w:r w:rsidR="00BF5F8B"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181" w:rsidRDefault="00403181" w:rsidP="00E71A58">
      <w:r>
        <w:separator/>
      </w:r>
    </w:p>
  </w:footnote>
  <w:footnote w:type="continuationSeparator" w:id="0">
    <w:p w:rsidR="00403181" w:rsidRDefault="00403181"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Pr="00163521" w:rsidRDefault="008437F0" w:rsidP="00163521">
    <w:pPr>
      <w:pStyle w:val="Zhlav"/>
      <w:tabs>
        <w:tab w:val="clear" w:pos="4536"/>
        <w:tab w:val="clear" w:pos="9072"/>
        <w:tab w:val="left" w:pos="-6379"/>
        <w:tab w:val="center" w:pos="4820"/>
        <w:tab w:val="right" w:pos="9639"/>
      </w:tabs>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First</w:t>
    </w:r>
    <w:proofErr w:type="spellEnd"/>
    <w:r>
      <w:rPr>
        <w:rFonts w:ascii="Arial" w:hAnsi="Arial" w:cs="Arial"/>
        <w:sz w:val="16"/>
        <w:szCs w:val="16"/>
      </w:rPr>
      <w:t xml:space="preserve"> Half </w:t>
    </w:r>
    <w:proofErr w:type="spellStart"/>
    <w:r>
      <w:rPr>
        <w:rFonts w:ascii="Arial" w:hAnsi="Arial" w:cs="Arial"/>
        <w:sz w:val="16"/>
        <w:szCs w:val="16"/>
      </w:rPr>
      <w:t>of</w:t>
    </w:r>
    <w:proofErr w:type="spellEnd"/>
    <w:r>
      <w:rPr>
        <w:rFonts w:ascii="Arial" w:hAnsi="Arial" w:cs="Arial"/>
        <w:sz w:val="16"/>
        <w:szCs w:val="16"/>
      </w:rPr>
      <w:t xml:space="preserve">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F0" w:rsidRPr="00D766EF" w:rsidRDefault="008437F0"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w:t>
    </w: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First</w:t>
    </w:r>
    <w:proofErr w:type="spellEnd"/>
    <w:r>
      <w:rPr>
        <w:rFonts w:ascii="Arial" w:hAnsi="Arial" w:cs="Arial"/>
        <w:sz w:val="16"/>
        <w:szCs w:val="16"/>
      </w:rPr>
      <w:t xml:space="preserve"> Half </w:t>
    </w:r>
    <w:proofErr w:type="spellStart"/>
    <w:r>
      <w:rPr>
        <w:rFonts w:ascii="Arial" w:hAnsi="Arial" w:cs="Arial"/>
        <w:sz w:val="16"/>
        <w:szCs w:val="16"/>
      </w:rPr>
      <w:t>of</w:t>
    </w:r>
    <w:proofErr w:type="spellEnd"/>
    <w:r>
      <w:rPr>
        <w:rFonts w:ascii="Arial" w:hAnsi="Arial" w:cs="Arial"/>
        <w:sz w:val="16"/>
        <w:szCs w:val="16"/>
      </w:rPr>
      <w:t xml:space="preserv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F296AD9"/>
    <w:multiLevelType w:val="hybridMultilevel"/>
    <w:tmpl w:val="62C6A4D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9B70BD"/>
    <w:rsid w:val="00000FA7"/>
    <w:rsid w:val="00001981"/>
    <w:rsid w:val="00001EFF"/>
    <w:rsid w:val="00003687"/>
    <w:rsid w:val="00003C43"/>
    <w:rsid w:val="00007044"/>
    <w:rsid w:val="00007498"/>
    <w:rsid w:val="0000767A"/>
    <w:rsid w:val="000101F5"/>
    <w:rsid w:val="000104B9"/>
    <w:rsid w:val="00010702"/>
    <w:rsid w:val="00011191"/>
    <w:rsid w:val="0001159B"/>
    <w:rsid w:val="00012986"/>
    <w:rsid w:val="00014028"/>
    <w:rsid w:val="00015195"/>
    <w:rsid w:val="0001519F"/>
    <w:rsid w:val="0001572B"/>
    <w:rsid w:val="0001573E"/>
    <w:rsid w:val="000157DA"/>
    <w:rsid w:val="000162DB"/>
    <w:rsid w:val="00017F05"/>
    <w:rsid w:val="000202C6"/>
    <w:rsid w:val="00020946"/>
    <w:rsid w:val="00022081"/>
    <w:rsid w:val="0002292C"/>
    <w:rsid w:val="00022B41"/>
    <w:rsid w:val="0002434F"/>
    <w:rsid w:val="00024887"/>
    <w:rsid w:val="00024CBA"/>
    <w:rsid w:val="00025501"/>
    <w:rsid w:val="00026998"/>
    <w:rsid w:val="000304C4"/>
    <w:rsid w:val="0003066A"/>
    <w:rsid w:val="00030F14"/>
    <w:rsid w:val="000311C5"/>
    <w:rsid w:val="00031A9D"/>
    <w:rsid w:val="00032838"/>
    <w:rsid w:val="00032C12"/>
    <w:rsid w:val="00032E0C"/>
    <w:rsid w:val="00035CCF"/>
    <w:rsid w:val="00035DC9"/>
    <w:rsid w:val="00035FC6"/>
    <w:rsid w:val="0003705E"/>
    <w:rsid w:val="00037667"/>
    <w:rsid w:val="0004075D"/>
    <w:rsid w:val="000411E1"/>
    <w:rsid w:val="00041476"/>
    <w:rsid w:val="00041F1F"/>
    <w:rsid w:val="000426E5"/>
    <w:rsid w:val="00043E05"/>
    <w:rsid w:val="0004694F"/>
    <w:rsid w:val="000500DC"/>
    <w:rsid w:val="00052052"/>
    <w:rsid w:val="00052172"/>
    <w:rsid w:val="00053CBA"/>
    <w:rsid w:val="00053F27"/>
    <w:rsid w:val="00054E43"/>
    <w:rsid w:val="00055059"/>
    <w:rsid w:val="000553E4"/>
    <w:rsid w:val="000567FA"/>
    <w:rsid w:val="00056B26"/>
    <w:rsid w:val="00057C16"/>
    <w:rsid w:val="00057C8B"/>
    <w:rsid w:val="00060F26"/>
    <w:rsid w:val="00062D43"/>
    <w:rsid w:val="00062EC5"/>
    <w:rsid w:val="00064256"/>
    <w:rsid w:val="00066C0B"/>
    <w:rsid w:val="000706A4"/>
    <w:rsid w:val="00070A0C"/>
    <w:rsid w:val="00071F80"/>
    <w:rsid w:val="00072118"/>
    <w:rsid w:val="00073173"/>
    <w:rsid w:val="000779AC"/>
    <w:rsid w:val="00080AA8"/>
    <w:rsid w:val="00083803"/>
    <w:rsid w:val="00084393"/>
    <w:rsid w:val="0008716A"/>
    <w:rsid w:val="00087634"/>
    <w:rsid w:val="00091237"/>
    <w:rsid w:val="0009191B"/>
    <w:rsid w:val="000920EC"/>
    <w:rsid w:val="00092208"/>
    <w:rsid w:val="00092505"/>
    <w:rsid w:val="00092C9A"/>
    <w:rsid w:val="00095C0E"/>
    <w:rsid w:val="00096459"/>
    <w:rsid w:val="0009716E"/>
    <w:rsid w:val="00097D02"/>
    <w:rsid w:val="000A1183"/>
    <w:rsid w:val="000A2121"/>
    <w:rsid w:val="000A2484"/>
    <w:rsid w:val="000A36CE"/>
    <w:rsid w:val="000A59BF"/>
    <w:rsid w:val="000A66C2"/>
    <w:rsid w:val="000B1CFE"/>
    <w:rsid w:val="000B210A"/>
    <w:rsid w:val="000B249B"/>
    <w:rsid w:val="000B3B01"/>
    <w:rsid w:val="000B3DB9"/>
    <w:rsid w:val="000B3F02"/>
    <w:rsid w:val="000B48A2"/>
    <w:rsid w:val="000B48E7"/>
    <w:rsid w:val="000B4F41"/>
    <w:rsid w:val="000B7663"/>
    <w:rsid w:val="000C1106"/>
    <w:rsid w:val="000C11D3"/>
    <w:rsid w:val="000C12F5"/>
    <w:rsid w:val="000C3408"/>
    <w:rsid w:val="000C5C0F"/>
    <w:rsid w:val="000C5D56"/>
    <w:rsid w:val="000C6498"/>
    <w:rsid w:val="000C6E0B"/>
    <w:rsid w:val="000C73BF"/>
    <w:rsid w:val="000D0D51"/>
    <w:rsid w:val="000D14B3"/>
    <w:rsid w:val="000D208B"/>
    <w:rsid w:val="000D263E"/>
    <w:rsid w:val="000D2B8D"/>
    <w:rsid w:val="000D2E41"/>
    <w:rsid w:val="000D342A"/>
    <w:rsid w:val="000D431B"/>
    <w:rsid w:val="000D5E7A"/>
    <w:rsid w:val="000D5FAA"/>
    <w:rsid w:val="000D65A4"/>
    <w:rsid w:val="000D6AEF"/>
    <w:rsid w:val="000E025B"/>
    <w:rsid w:val="000E0ECB"/>
    <w:rsid w:val="000E153A"/>
    <w:rsid w:val="000E19A8"/>
    <w:rsid w:val="000E1EEA"/>
    <w:rsid w:val="000E4A42"/>
    <w:rsid w:val="000E6476"/>
    <w:rsid w:val="000E78D2"/>
    <w:rsid w:val="000F3332"/>
    <w:rsid w:val="000F33EE"/>
    <w:rsid w:val="000F401E"/>
    <w:rsid w:val="000F40CD"/>
    <w:rsid w:val="000F5445"/>
    <w:rsid w:val="000F5673"/>
    <w:rsid w:val="000F67B2"/>
    <w:rsid w:val="000F74B6"/>
    <w:rsid w:val="000F790F"/>
    <w:rsid w:val="000F7E1B"/>
    <w:rsid w:val="00100014"/>
    <w:rsid w:val="0010039A"/>
    <w:rsid w:val="00101E94"/>
    <w:rsid w:val="00101FB2"/>
    <w:rsid w:val="00102CB8"/>
    <w:rsid w:val="00102F02"/>
    <w:rsid w:val="0010385D"/>
    <w:rsid w:val="00103E41"/>
    <w:rsid w:val="00104174"/>
    <w:rsid w:val="001041B6"/>
    <w:rsid w:val="001070EA"/>
    <w:rsid w:val="0011002A"/>
    <w:rsid w:val="001107CE"/>
    <w:rsid w:val="0011110A"/>
    <w:rsid w:val="001118AF"/>
    <w:rsid w:val="00111CA5"/>
    <w:rsid w:val="0011256E"/>
    <w:rsid w:val="0011352E"/>
    <w:rsid w:val="00114779"/>
    <w:rsid w:val="00114FC0"/>
    <w:rsid w:val="00115496"/>
    <w:rsid w:val="001165F9"/>
    <w:rsid w:val="00116DB9"/>
    <w:rsid w:val="00116F28"/>
    <w:rsid w:val="00121C39"/>
    <w:rsid w:val="00123255"/>
    <w:rsid w:val="00124572"/>
    <w:rsid w:val="00124D2D"/>
    <w:rsid w:val="00124DA1"/>
    <w:rsid w:val="00125326"/>
    <w:rsid w:val="00125CB5"/>
    <w:rsid w:val="00127535"/>
    <w:rsid w:val="001307BE"/>
    <w:rsid w:val="00130C8F"/>
    <w:rsid w:val="001314F2"/>
    <w:rsid w:val="001317DA"/>
    <w:rsid w:val="001323BA"/>
    <w:rsid w:val="0013254D"/>
    <w:rsid w:val="00133AAC"/>
    <w:rsid w:val="00133FBD"/>
    <w:rsid w:val="00135767"/>
    <w:rsid w:val="00136561"/>
    <w:rsid w:val="001400E1"/>
    <w:rsid w:val="001405FA"/>
    <w:rsid w:val="001413B3"/>
    <w:rsid w:val="001425C3"/>
    <w:rsid w:val="00142F16"/>
    <w:rsid w:val="00143E03"/>
    <w:rsid w:val="00143E93"/>
    <w:rsid w:val="0014428D"/>
    <w:rsid w:val="001500FC"/>
    <w:rsid w:val="00151AC0"/>
    <w:rsid w:val="00151B27"/>
    <w:rsid w:val="00152046"/>
    <w:rsid w:val="00154147"/>
    <w:rsid w:val="001550F3"/>
    <w:rsid w:val="00155746"/>
    <w:rsid w:val="00155D03"/>
    <w:rsid w:val="001561B7"/>
    <w:rsid w:val="00156318"/>
    <w:rsid w:val="0015639A"/>
    <w:rsid w:val="0016081D"/>
    <w:rsid w:val="00160CF3"/>
    <w:rsid w:val="00160E61"/>
    <w:rsid w:val="001620FA"/>
    <w:rsid w:val="00162853"/>
    <w:rsid w:val="00163521"/>
    <w:rsid w:val="00163793"/>
    <w:rsid w:val="00167FB2"/>
    <w:rsid w:val="001707DE"/>
    <w:rsid w:val="00170B04"/>
    <w:rsid w:val="00170F47"/>
    <w:rsid w:val="001711F2"/>
    <w:rsid w:val="001714F2"/>
    <w:rsid w:val="00172264"/>
    <w:rsid w:val="00173642"/>
    <w:rsid w:val="00173AF4"/>
    <w:rsid w:val="00173CB0"/>
    <w:rsid w:val="00174CE8"/>
    <w:rsid w:val="00175351"/>
    <w:rsid w:val="00175F60"/>
    <w:rsid w:val="00176050"/>
    <w:rsid w:val="001764D8"/>
    <w:rsid w:val="00176A8F"/>
    <w:rsid w:val="00180D58"/>
    <w:rsid w:val="00182981"/>
    <w:rsid w:val="00184CF9"/>
    <w:rsid w:val="00185010"/>
    <w:rsid w:val="001852EC"/>
    <w:rsid w:val="00186447"/>
    <w:rsid w:val="001874CF"/>
    <w:rsid w:val="00190214"/>
    <w:rsid w:val="00190D9B"/>
    <w:rsid w:val="001916BC"/>
    <w:rsid w:val="00191BAE"/>
    <w:rsid w:val="00193432"/>
    <w:rsid w:val="0019346C"/>
    <w:rsid w:val="00195444"/>
    <w:rsid w:val="001A0B1F"/>
    <w:rsid w:val="001A199D"/>
    <w:rsid w:val="001A2BDB"/>
    <w:rsid w:val="001A30F4"/>
    <w:rsid w:val="001A4C0D"/>
    <w:rsid w:val="001A5202"/>
    <w:rsid w:val="001A552F"/>
    <w:rsid w:val="001A56F3"/>
    <w:rsid w:val="001A737B"/>
    <w:rsid w:val="001A750C"/>
    <w:rsid w:val="001B1D89"/>
    <w:rsid w:val="001B3110"/>
    <w:rsid w:val="001B4198"/>
    <w:rsid w:val="001B44BC"/>
    <w:rsid w:val="001B5888"/>
    <w:rsid w:val="001B618F"/>
    <w:rsid w:val="001B6545"/>
    <w:rsid w:val="001B681B"/>
    <w:rsid w:val="001B6A49"/>
    <w:rsid w:val="001B7231"/>
    <w:rsid w:val="001B74FB"/>
    <w:rsid w:val="001B77A1"/>
    <w:rsid w:val="001C0422"/>
    <w:rsid w:val="001C0E0E"/>
    <w:rsid w:val="001C0EB9"/>
    <w:rsid w:val="001C1219"/>
    <w:rsid w:val="001C357A"/>
    <w:rsid w:val="001C3A37"/>
    <w:rsid w:val="001C3F60"/>
    <w:rsid w:val="001C4384"/>
    <w:rsid w:val="001C65FF"/>
    <w:rsid w:val="001D47E5"/>
    <w:rsid w:val="001D584C"/>
    <w:rsid w:val="001D5E1B"/>
    <w:rsid w:val="001D6655"/>
    <w:rsid w:val="001D66C1"/>
    <w:rsid w:val="001D70E4"/>
    <w:rsid w:val="001D7390"/>
    <w:rsid w:val="001D7C6F"/>
    <w:rsid w:val="001E0024"/>
    <w:rsid w:val="001E0C65"/>
    <w:rsid w:val="001E23E3"/>
    <w:rsid w:val="001E387A"/>
    <w:rsid w:val="001E3DA4"/>
    <w:rsid w:val="001E5830"/>
    <w:rsid w:val="001E684C"/>
    <w:rsid w:val="001E701C"/>
    <w:rsid w:val="001E724F"/>
    <w:rsid w:val="001E7C03"/>
    <w:rsid w:val="001F02AF"/>
    <w:rsid w:val="001F0649"/>
    <w:rsid w:val="001F28F4"/>
    <w:rsid w:val="001F2CC6"/>
    <w:rsid w:val="001F3055"/>
    <w:rsid w:val="001F31BC"/>
    <w:rsid w:val="001F378E"/>
    <w:rsid w:val="001F3C79"/>
    <w:rsid w:val="001F3E68"/>
    <w:rsid w:val="001F4597"/>
    <w:rsid w:val="001F56A9"/>
    <w:rsid w:val="001F5C6A"/>
    <w:rsid w:val="001F5E8F"/>
    <w:rsid w:val="001F63A7"/>
    <w:rsid w:val="001F670A"/>
    <w:rsid w:val="001F6A0E"/>
    <w:rsid w:val="001F6E5B"/>
    <w:rsid w:val="00200D15"/>
    <w:rsid w:val="0020223B"/>
    <w:rsid w:val="00203074"/>
    <w:rsid w:val="00203B46"/>
    <w:rsid w:val="00203DB3"/>
    <w:rsid w:val="002048E1"/>
    <w:rsid w:val="00207DB6"/>
    <w:rsid w:val="00210278"/>
    <w:rsid w:val="00210CC2"/>
    <w:rsid w:val="00210F5B"/>
    <w:rsid w:val="00210FFA"/>
    <w:rsid w:val="00211262"/>
    <w:rsid w:val="002115F5"/>
    <w:rsid w:val="00211AC9"/>
    <w:rsid w:val="00212B33"/>
    <w:rsid w:val="0021355B"/>
    <w:rsid w:val="0021385F"/>
    <w:rsid w:val="002179F9"/>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0F82"/>
    <w:rsid w:val="002310F1"/>
    <w:rsid w:val="0023229C"/>
    <w:rsid w:val="0023355C"/>
    <w:rsid w:val="00234280"/>
    <w:rsid w:val="00235000"/>
    <w:rsid w:val="002350E3"/>
    <w:rsid w:val="00235330"/>
    <w:rsid w:val="00235541"/>
    <w:rsid w:val="00236443"/>
    <w:rsid w:val="002365BA"/>
    <w:rsid w:val="00240773"/>
    <w:rsid w:val="00240815"/>
    <w:rsid w:val="00240A5B"/>
    <w:rsid w:val="00240C76"/>
    <w:rsid w:val="002411EF"/>
    <w:rsid w:val="00241446"/>
    <w:rsid w:val="00242730"/>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E5B"/>
    <w:rsid w:val="00262F34"/>
    <w:rsid w:val="00263470"/>
    <w:rsid w:val="00263733"/>
    <w:rsid w:val="00264676"/>
    <w:rsid w:val="00265536"/>
    <w:rsid w:val="00265E54"/>
    <w:rsid w:val="00266F3E"/>
    <w:rsid w:val="00270785"/>
    <w:rsid w:val="00272464"/>
    <w:rsid w:val="00273DCD"/>
    <w:rsid w:val="00273EAA"/>
    <w:rsid w:val="00274291"/>
    <w:rsid w:val="00276CFE"/>
    <w:rsid w:val="00277071"/>
    <w:rsid w:val="0027786C"/>
    <w:rsid w:val="00277BF7"/>
    <w:rsid w:val="00281416"/>
    <w:rsid w:val="00282556"/>
    <w:rsid w:val="00282F62"/>
    <w:rsid w:val="0028471E"/>
    <w:rsid w:val="00285CD3"/>
    <w:rsid w:val="0028686A"/>
    <w:rsid w:val="00286E66"/>
    <w:rsid w:val="002870B7"/>
    <w:rsid w:val="0028751D"/>
    <w:rsid w:val="002919B5"/>
    <w:rsid w:val="00293441"/>
    <w:rsid w:val="00294238"/>
    <w:rsid w:val="0029493E"/>
    <w:rsid w:val="002962E0"/>
    <w:rsid w:val="00296C2E"/>
    <w:rsid w:val="002A0814"/>
    <w:rsid w:val="002A1B05"/>
    <w:rsid w:val="002A267F"/>
    <w:rsid w:val="002A3354"/>
    <w:rsid w:val="002A35EA"/>
    <w:rsid w:val="002A37B6"/>
    <w:rsid w:val="002A3BD5"/>
    <w:rsid w:val="002A43A2"/>
    <w:rsid w:val="002A44ED"/>
    <w:rsid w:val="002A4612"/>
    <w:rsid w:val="002A4F70"/>
    <w:rsid w:val="002A5263"/>
    <w:rsid w:val="002A6821"/>
    <w:rsid w:val="002A7239"/>
    <w:rsid w:val="002A74D2"/>
    <w:rsid w:val="002A7CDA"/>
    <w:rsid w:val="002A7F47"/>
    <w:rsid w:val="002B1544"/>
    <w:rsid w:val="002B1BF4"/>
    <w:rsid w:val="002B1DC1"/>
    <w:rsid w:val="002B2789"/>
    <w:rsid w:val="002B36C8"/>
    <w:rsid w:val="002B46DE"/>
    <w:rsid w:val="002B71B4"/>
    <w:rsid w:val="002B7240"/>
    <w:rsid w:val="002C0E23"/>
    <w:rsid w:val="002C0FF4"/>
    <w:rsid w:val="002C125A"/>
    <w:rsid w:val="002C2668"/>
    <w:rsid w:val="002C43BD"/>
    <w:rsid w:val="002C493D"/>
    <w:rsid w:val="002C5261"/>
    <w:rsid w:val="002C6091"/>
    <w:rsid w:val="002D0562"/>
    <w:rsid w:val="002D1B5A"/>
    <w:rsid w:val="002D2500"/>
    <w:rsid w:val="002D338A"/>
    <w:rsid w:val="002D3738"/>
    <w:rsid w:val="002D3F00"/>
    <w:rsid w:val="002D4B81"/>
    <w:rsid w:val="002D4D59"/>
    <w:rsid w:val="002D54BF"/>
    <w:rsid w:val="002D5E94"/>
    <w:rsid w:val="002D632D"/>
    <w:rsid w:val="002D6FC7"/>
    <w:rsid w:val="002E02A1"/>
    <w:rsid w:val="002E0982"/>
    <w:rsid w:val="002E0DB9"/>
    <w:rsid w:val="002E2CE4"/>
    <w:rsid w:val="002E34F3"/>
    <w:rsid w:val="002E435E"/>
    <w:rsid w:val="002E5B78"/>
    <w:rsid w:val="002E73F2"/>
    <w:rsid w:val="002F33FB"/>
    <w:rsid w:val="002F663A"/>
    <w:rsid w:val="002F68A4"/>
    <w:rsid w:val="002F7594"/>
    <w:rsid w:val="00300D6F"/>
    <w:rsid w:val="00301357"/>
    <w:rsid w:val="003016F6"/>
    <w:rsid w:val="00301D04"/>
    <w:rsid w:val="003035D4"/>
    <w:rsid w:val="00303DCB"/>
    <w:rsid w:val="00304771"/>
    <w:rsid w:val="00305736"/>
    <w:rsid w:val="00306C5B"/>
    <w:rsid w:val="00306E3B"/>
    <w:rsid w:val="003119B6"/>
    <w:rsid w:val="00312C3D"/>
    <w:rsid w:val="00314331"/>
    <w:rsid w:val="00314AA7"/>
    <w:rsid w:val="00317E31"/>
    <w:rsid w:val="00320214"/>
    <w:rsid w:val="003209D6"/>
    <w:rsid w:val="0032109A"/>
    <w:rsid w:val="0032214F"/>
    <w:rsid w:val="00322164"/>
    <w:rsid w:val="00323CF7"/>
    <w:rsid w:val="00323E61"/>
    <w:rsid w:val="0032513D"/>
    <w:rsid w:val="00326251"/>
    <w:rsid w:val="0032739C"/>
    <w:rsid w:val="00327DEE"/>
    <w:rsid w:val="00327FF5"/>
    <w:rsid w:val="003302DA"/>
    <w:rsid w:val="00330EB0"/>
    <w:rsid w:val="00332214"/>
    <w:rsid w:val="0033229B"/>
    <w:rsid w:val="003329F3"/>
    <w:rsid w:val="0033352E"/>
    <w:rsid w:val="00333690"/>
    <w:rsid w:val="00333D20"/>
    <w:rsid w:val="00333F53"/>
    <w:rsid w:val="003340EF"/>
    <w:rsid w:val="00334A49"/>
    <w:rsid w:val="0033536F"/>
    <w:rsid w:val="00335BB0"/>
    <w:rsid w:val="0033627B"/>
    <w:rsid w:val="003366FC"/>
    <w:rsid w:val="00337107"/>
    <w:rsid w:val="003406BD"/>
    <w:rsid w:val="00343474"/>
    <w:rsid w:val="00343553"/>
    <w:rsid w:val="00343F84"/>
    <w:rsid w:val="00344135"/>
    <w:rsid w:val="003450E2"/>
    <w:rsid w:val="00351B63"/>
    <w:rsid w:val="00352E57"/>
    <w:rsid w:val="003541B0"/>
    <w:rsid w:val="0035457E"/>
    <w:rsid w:val="00355885"/>
    <w:rsid w:val="0035605E"/>
    <w:rsid w:val="00357449"/>
    <w:rsid w:val="0036238B"/>
    <w:rsid w:val="003651A4"/>
    <w:rsid w:val="00365680"/>
    <w:rsid w:val="003657F3"/>
    <w:rsid w:val="00366D4D"/>
    <w:rsid w:val="00367038"/>
    <w:rsid w:val="00370963"/>
    <w:rsid w:val="0037144E"/>
    <w:rsid w:val="003736B5"/>
    <w:rsid w:val="00374F1E"/>
    <w:rsid w:val="00376DEC"/>
    <w:rsid w:val="00377200"/>
    <w:rsid w:val="0038034A"/>
    <w:rsid w:val="00380E04"/>
    <w:rsid w:val="00380E6C"/>
    <w:rsid w:val="00383227"/>
    <w:rsid w:val="003839C9"/>
    <w:rsid w:val="00384B8E"/>
    <w:rsid w:val="00384D8F"/>
    <w:rsid w:val="00385D98"/>
    <w:rsid w:val="00385EC5"/>
    <w:rsid w:val="0038658E"/>
    <w:rsid w:val="0039066E"/>
    <w:rsid w:val="00391C95"/>
    <w:rsid w:val="00392110"/>
    <w:rsid w:val="00394D49"/>
    <w:rsid w:val="00396DAC"/>
    <w:rsid w:val="003A0214"/>
    <w:rsid w:val="003A027D"/>
    <w:rsid w:val="003A1D74"/>
    <w:rsid w:val="003A2B4D"/>
    <w:rsid w:val="003A2D2B"/>
    <w:rsid w:val="003A2DD4"/>
    <w:rsid w:val="003A3B1C"/>
    <w:rsid w:val="003A4088"/>
    <w:rsid w:val="003A478C"/>
    <w:rsid w:val="003A4F82"/>
    <w:rsid w:val="003A5525"/>
    <w:rsid w:val="003A6750"/>
    <w:rsid w:val="003A6B38"/>
    <w:rsid w:val="003B0218"/>
    <w:rsid w:val="003B20D9"/>
    <w:rsid w:val="003B2580"/>
    <w:rsid w:val="003B2E63"/>
    <w:rsid w:val="003B3189"/>
    <w:rsid w:val="003B3A9D"/>
    <w:rsid w:val="003B3DDD"/>
    <w:rsid w:val="003B4683"/>
    <w:rsid w:val="003B5031"/>
    <w:rsid w:val="003B5A32"/>
    <w:rsid w:val="003B6105"/>
    <w:rsid w:val="003C03CC"/>
    <w:rsid w:val="003C04C4"/>
    <w:rsid w:val="003C26F4"/>
    <w:rsid w:val="003C3686"/>
    <w:rsid w:val="003C4852"/>
    <w:rsid w:val="003C5BC7"/>
    <w:rsid w:val="003C601E"/>
    <w:rsid w:val="003C66C4"/>
    <w:rsid w:val="003D2C4E"/>
    <w:rsid w:val="003D2CA4"/>
    <w:rsid w:val="003D3600"/>
    <w:rsid w:val="003D3825"/>
    <w:rsid w:val="003D3D90"/>
    <w:rsid w:val="003D3EC4"/>
    <w:rsid w:val="003D4760"/>
    <w:rsid w:val="003D49DC"/>
    <w:rsid w:val="003D4DD9"/>
    <w:rsid w:val="003D5D7A"/>
    <w:rsid w:val="003D653F"/>
    <w:rsid w:val="003E0663"/>
    <w:rsid w:val="003E0E1D"/>
    <w:rsid w:val="003E133F"/>
    <w:rsid w:val="003E2DA8"/>
    <w:rsid w:val="003E49F6"/>
    <w:rsid w:val="003E699C"/>
    <w:rsid w:val="003E69F3"/>
    <w:rsid w:val="003E782E"/>
    <w:rsid w:val="003E7A0B"/>
    <w:rsid w:val="003E7B2B"/>
    <w:rsid w:val="003F181F"/>
    <w:rsid w:val="003F1A48"/>
    <w:rsid w:val="003F1E23"/>
    <w:rsid w:val="003F22F6"/>
    <w:rsid w:val="003F2B0A"/>
    <w:rsid w:val="003F313C"/>
    <w:rsid w:val="003F341B"/>
    <w:rsid w:val="003F37FC"/>
    <w:rsid w:val="003F3A26"/>
    <w:rsid w:val="003F49A6"/>
    <w:rsid w:val="003F5098"/>
    <w:rsid w:val="003F5568"/>
    <w:rsid w:val="003F5A95"/>
    <w:rsid w:val="003F6D19"/>
    <w:rsid w:val="004000D5"/>
    <w:rsid w:val="00400244"/>
    <w:rsid w:val="004005C1"/>
    <w:rsid w:val="00401716"/>
    <w:rsid w:val="00401A09"/>
    <w:rsid w:val="0040273A"/>
    <w:rsid w:val="00402C25"/>
    <w:rsid w:val="00403181"/>
    <w:rsid w:val="004050D7"/>
    <w:rsid w:val="00405EC9"/>
    <w:rsid w:val="00406292"/>
    <w:rsid w:val="00406769"/>
    <w:rsid w:val="004078BD"/>
    <w:rsid w:val="00410132"/>
    <w:rsid w:val="00410B3B"/>
    <w:rsid w:val="00410BCD"/>
    <w:rsid w:val="00410DE5"/>
    <w:rsid w:val="0041175D"/>
    <w:rsid w:val="004117CE"/>
    <w:rsid w:val="004123BE"/>
    <w:rsid w:val="00414CE5"/>
    <w:rsid w:val="00416673"/>
    <w:rsid w:val="00420C0B"/>
    <w:rsid w:val="0042160D"/>
    <w:rsid w:val="00423A3C"/>
    <w:rsid w:val="0042681B"/>
    <w:rsid w:val="00427193"/>
    <w:rsid w:val="00430627"/>
    <w:rsid w:val="0043068A"/>
    <w:rsid w:val="004306E0"/>
    <w:rsid w:val="00431A03"/>
    <w:rsid w:val="00431D54"/>
    <w:rsid w:val="004329BE"/>
    <w:rsid w:val="00432C38"/>
    <w:rsid w:val="004342EC"/>
    <w:rsid w:val="00436227"/>
    <w:rsid w:val="00437C76"/>
    <w:rsid w:val="0044105C"/>
    <w:rsid w:val="00443E95"/>
    <w:rsid w:val="004441A0"/>
    <w:rsid w:val="00444268"/>
    <w:rsid w:val="00444326"/>
    <w:rsid w:val="004443BF"/>
    <w:rsid w:val="004447F3"/>
    <w:rsid w:val="00444C19"/>
    <w:rsid w:val="00445218"/>
    <w:rsid w:val="00445CDD"/>
    <w:rsid w:val="00446043"/>
    <w:rsid w:val="00446892"/>
    <w:rsid w:val="00447E36"/>
    <w:rsid w:val="00450700"/>
    <w:rsid w:val="00450C30"/>
    <w:rsid w:val="004529C7"/>
    <w:rsid w:val="004540FF"/>
    <w:rsid w:val="004541F1"/>
    <w:rsid w:val="00455ECA"/>
    <w:rsid w:val="00457296"/>
    <w:rsid w:val="00457320"/>
    <w:rsid w:val="00460164"/>
    <w:rsid w:val="0046039A"/>
    <w:rsid w:val="00460A6B"/>
    <w:rsid w:val="00461977"/>
    <w:rsid w:val="00461A3F"/>
    <w:rsid w:val="004627A6"/>
    <w:rsid w:val="00462843"/>
    <w:rsid w:val="004629FD"/>
    <w:rsid w:val="00462AD2"/>
    <w:rsid w:val="00463B4B"/>
    <w:rsid w:val="00463F4D"/>
    <w:rsid w:val="0046471F"/>
    <w:rsid w:val="00464BE8"/>
    <w:rsid w:val="00465019"/>
    <w:rsid w:val="00465FA4"/>
    <w:rsid w:val="0046613F"/>
    <w:rsid w:val="0046655D"/>
    <w:rsid w:val="00466AAE"/>
    <w:rsid w:val="0046765E"/>
    <w:rsid w:val="004676E2"/>
    <w:rsid w:val="00471EDD"/>
    <w:rsid w:val="00473E94"/>
    <w:rsid w:val="00473FB6"/>
    <w:rsid w:val="0047400C"/>
    <w:rsid w:val="004745D9"/>
    <w:rsid w:val="00475CF8"/>
    <w:rsid w:val="004762D8"/>
    <w:rsid w:val="004765B3"/>
    <w:rsid w:val="00476D29"/>
    <w:rsid w:val="00477241"/>
    <w:rsid w:val="00477EAF"/>
    <w:rsid w:val="00477EE0"/>
    <w:rsid w:val="00480AB8"/>
    <w:rsid w:val="00480C5D"/>
    <w:rsid w:val="0048139F"/>
    <w:rsid w:val="00481C00"/>
    <w:rsid w:val="00483053"/>
    <w:rsid w:val="00484874"/>
    <w:rsid w:val="00485230"/>
    <w:rsid w:val="004879E9"/>
    <w:rsid w:val="00487F81"/>
    <w:rsid w:val="00490247"/>
    <w:rsid w:val="0049104F"/>
    <w:rsid w:val="00491218"/>
    <w:rsid w:val="00491CFD"/>
    <w:rsid w:val="00493362"/>
    <w:rsid w:val="00494343"/>
    <w:rsid w:val="0049438A"/>
    <w:rsid w:val="00496B60"/>
    <w:rsid w:val="00496C2F"/>
    <w:rsid w:val="0049740D"/>
    <w:rsid w:val="004978D3"/>
    <w:rsid w:val="004A11F8"/>
    <w:rsid w:val="004A22BD"/>
    <w:rsid w:val="004A22FA"/>
    <w:rsid w:val="004A2517"/>
    <w:rsid w:val="004A269A"/>
    <w:rsid w:val="004A30FB"/>
    <w:rsid w:val="004A35DD"/>
    <w:rsid w:val="004A37D3"/>
    <w:rsid w:val="004A3AD6"/>
    <w:rsid w:val="004A4F28"/>
    <w:rsid w:val="004A52AA"/>
    <w:rsid w:val="004A5865"/>
    <w:rsid w:val="004A77DF"/>
    <w:rsid w:val="004B0295"/>
    <w:rsid w:val="004B0803"/>
    <w:rsid w:val="004B10A8"/>
    <w:rsid w:val="004B22DA"/>
    <w:rsid w:val="004B3CB7"/>
    <w:rsid w:val="004B3D55"/>
    <w:rsid w:val="004B55B7"/>
    <w:rsid w:val="004B5836"/>
    <w:rsid w:val="004B5F05"/>
    <w:rsid w:val="004C00A6"/>
    <w:rsid w:val="004C0BBB"/>
    <w:rsid w:val="004C1AD6"/>
    <w:rsid w:val="004C1B86"/>
    <w:rsid w:val="004C3382"/>
    <w:rsid w:val="004C3867"/>
    <w:rsid w:val="004C4AB7"/>
    <w:rsid w:val="004C4B88"/>
    <w:rsid w:val="004C4CD0"/>
    <w:rsid w:val="004C57B5"/>
    <w:rsid w:val="004C5C25"/>
    <w:rsid w:val="004C6717"/>
    <w:rsid w:val="004C6CFF"/>
    <w:rsid w:val="004C70DC"/>
    <w:rsid w:val="004C7268"/>
    <w:rsid w:val="004D0211"/>
    <w:rsid w:val="004D1C9C"/>
    <w:rsid w:val="004D2872"/>
    <w:rsid w:val="004D458D"/>
    <w:rsid w:val="004D504B"/>
    <w:rsid w:val="004D536E"/>
    <w:rsid w:val="004D76CC"/>
    <w:rsid w:val="004E1839"/>
    <w:rsid w:val="004E4A75"/>
    <w:rsid w:val="004E4DE8"/>
    <w:rsid w:val="004E541A"/>
    <w:rsid w:val="004E5A5C"/>
    <w:rsid w:val="004E7007"/>
    <w:rsid w:val="004E75F9"/>
    <w:rsid w:val="004E76D6"/>
    <w:rsid w:val="004E7F57"/>
    <w:rsid w:val="004F06F5"/>
    <w:rsid w:val="004F191F"/>
    <w:rsid w:val="004F2A4D"/>
    <w:rsid w:val="004F2A73"/>
    <w:rsid w:val="004F33A0"/>
    <w:rsid w:val="004F4353"/>
    <w:rsid w:val="004F447D"/>
    <w:rsid w:val="004F4C28"/>
    <w:rsid w:val="004F4E82"/>
    <w:rsid w:val="004F5470"/>
    <w:rsid w:val="004F5CC5"/>
    <w:rsid w:val="004F6350"/>
    <w:rsid w:val="005010BA"/>
    <w:rsid w:val="005028E1"/>
    <w:rsid w:val="0050692E"/>
    <w:rsid w:val="00507040"/>
    <w:rsid w:val="005073E8"/>
    <w:rsid w:val="005079F8"/>
    <w:rsid w:val="00510189"/>
    <w:rsid w:val="005108C0"/>
    <w:rsid w:val="00511873"/>
    <w:rsid w:val="0051367B"/>
    <w:rsid w:val="00513B7E"/>
    <w:rsid w:val="005140DE"/>
    <w:rsid w:val="00514474"/>
    <w:rsid w:val="005147E9"/>
    <w:rsid w:val="005175BC"/>
    <w:rsid w:val="0051778E"/>
    <w:rsid w:val="00521210"/>
    <w:rsid w:val="005215EF"/>
    <w:rsid w:val="00524637"/>
    <w:rsid w:val="00524FDD"/>
    <w:rsid w:val="00525128"/>
    <w:rsid w:val="00525137"/>
    <w:rsid w:val="005251DD"/>
    <w:rsid w:val="00526DB6"/>
    <w:rsid w:val="0053017A"/>
    <w:rsid w:val="00530492"/>
    <w:rsid w:val="00532854"/>
    <w:rsid w:val="005329D6"/>
    <w:rsid w:val="005350F2"/>
    <w:rsid w:val="00535152"/>
    <w:rsid w:val="00535359"/>
    <w:rsid w:val="005357A2"/>
    <w:rsid w:val="005359E3"/>
    <w:rsid w:val="00535D87"/>
    <w:rsid w:val="00535EF0"/>
    <w:rsid w:val="005363DF"/>
    <w:rsid w:val="005369F9"/>
    <w:rsid w:val="0053734B"/>
    <w:rsid w:val="005375B1"/>
    <w:rsid w:val="00537AFD"/>
    <w:rsid w:val="00537CB4"/>
    <w:rsid w:val="00540CD4"/>
    <w:rsid w:val="0054516B"/>
    <w:rsid w:val="0054559E"/>
    <w:rsid w:val="00550ACB"/>
    <w:rsid w:val="005513D5"/>
    <w:rsid w:val="005523B9"/>
    <w:rsid w:val="005545E0"/>
    <w:rsid w:val="00554865"/>
    <w:rsid w:val="00554E57"/>
    <w:rsid w:val="00555463"/>
    <w:rsid w:val="00562749"/>
    <w:rsid w:val="00562DE9"/>
    <w:rsid w:val="005638A5"/>
    <w:rsid w:val="00566381"/>
    <w:rsid w:val="00566A03"/>
    <w:rsid w:val="005700EF"/>
    <w:rsid w:val="00571932"/>
    <w:rsid w:val="00573C97"/>
    <w:rsid w:val="00574240"/>
    <w:rsid w:val="00575CDC"/>
    <w:rsid w:val="005765D5"/>
    <w:rsid w:val="00576A3E"/>
    <w:rsid w:val="0057703D"/>
    <w:rsid w:val="00580733"/>
    <w:rsid w:val="0058366F"/>
    <w:rsid w:val="00583715"/>
    <w:rsid w:val="00583D5B"/>
    <w:rsid w:val="00583FFD"/>
    <w:rsid w:val="00587CCD"/>
    <w:rsid w:val="005908AE"/>
    <w:rsid w:val="0059176E"/>
    <w:rsid w:val="00592854"/>
    <w:rsid w:val="00592A9F"/>
    <w:rsid w:val="00593152"/>
    <w:rsid w:val="00593CA3"/>
    <w:rsid w:val="00594161"/>
    <w:rsid w:val="00594969"/>
    <w:rsid w:val="00594B91"/>
    <w:rsid w:val="00596C5E"/>
    <w:rsid w:val="005A2194"/>
    <w:rsid w:val="005A21E0"/>
    <w:rsid w:val="005A33A1"/>
    <w:rsid w:val="005A54EE"/>
    <w:rsid w:val="005A563B"/>
    <w:rsid w:val="005A7500"/>
    <w:rsid w:val="005A77E4"/>
    <w:rsid w:val="005B1BDB"/>
    <w:rsid w:val="005B2BAA"/>
    <w:rsid w:val="005B2D53"/>
    <w:rsid w:val="005B3247"/>
    <w:rsid w:val="005B3409"/>
    <w:rsid w:val="005B498A"/>
    <w:rsid w:val="005B7B12"/>
    <w:rsid w:val="005C16CB"/>
    <w:rsid w:val="005C21D6"/>
    <w:rsid w:val="005C3C24"/>
    <w:rsid w:val="005C3F9F"/>
    <w:rsid w:val="005C406F"/>
    <w:rsid w:val="005C4A23"/>
    <w:rsid w:val="005C562C"/>
    <w:rsid w:val="005C5812"/>
    <w:rsid w:val="005C6400"/>
    <w:rsid w:val="005C700A"/>
    <w:rsid w:val="005C74F2"/>
    <w:rsid w:val="005C7F1E"/>
    <w:rsid w:val="005D25B4"/>
    <w:rsid w:val="005D374F"/>
    <w:rsid w:val="005D5802"/>
    <w:rsid w:val="005D6CFC"/>
    <w:rsid w:val="005D73E2"/>
    <w:rsid w:val="005D757A"/>
    <w:rsid w:val="005D7C4B"/>
    <w:rsid w:val="005E1E4B"/>
    <w:rsid w:val="005E223E"/>
    <w:rsid w:val="005E3006"/>
    <w:rsid w:val="005E362D"/>
    <w:rsid w:val="005E3A0C"/>
    <w:rsid w:val="005E3FAC"/>
    <w:rsid w:val="005E492C"/>
    <w:rsid w:val="005E4BAA"/>
    <w:rsid w:val="005E52EF"/>
    <w:rsid w:val="005E5B56"/>
    <w:rsid w:val="005E6059"/>
    <w:rsid w:val="005E6088"/>
    <w:rsid w:val="005E61DF"/>
    <w:rsid w:val="005E6B65"/>
    <w:rsid w:val="005E6B78"/>
    <w:rsid w:val="005E75B8"/>
    <w:rsid w:val="005F0976"/>
    <w:rsid w:val="005F26CE"/>
    <w:rsid w:val="005F4057"/>
    <w:rsid w:val="005F4088"/>
    <w:rsid w:val="005F4C83"/>
    <w:rsid w:val="005F601D"/>
    <w:rsid w:val="005F6119"/>
    <w:rsid w:val="005F7940"/>
    <w:rsid w:val="006000F4"/>
    <w:rsid w:val="0060107A"/>
    <w:rsid w:val="00601AFF"/>
    <w:rsid w:val="00602D1D"/>
    <w:rsid w:val="00604307"/>
    <w:rsid w:val="0060487F"/>
    <w:rsid w:val="00605814"/>
    <w:rsid w:val="00606B93"/>
    <w:rsid w:val="00607727"/>
    <w:rsid w:val="00610BD5"/>
    <w:rsid w:val="00611363"/>
    <w:rsid w:val="00611531"/>
    <w:rsid w:val="006118AA"/>
    <w:rsid w:val="006139C7"/>
    <w:rsid w:val="006153E3"/>
    <w:rsid w:val="00615BE6"/>
    <w:rsid w:val="006167AB"/>
    <w:rsid w:val="00617D2D"/>
    <w:rsid w:val="00617D83"/>
    <w:rsid w:val="00620430"/>
    <w:rsid w:val="00620AC5"/>
    <w:rsid w:val="00621575"/>
    <w:rsid w:val="006215FC"/>
    <w:rsid w:val="00624093"/>
    <w:rsid w:val="00624A23"/>
    <w:rsid w:val="00630F66"/>
    <w:rsid w:val="00631FC2"/>
    <w:rsid w:val="00632171"/>
    <w:rsid w:val="0063332A"/>
    <w:rsid w:val="006347F9"/>
    <w:rsid w:val="0063494E"/>
    <w:rsid w:val="00634C90"/>
    <w:rsid w:val="00635E79"/>
    <w:rsid w:val="00636E5E"/>
    <w:rsid w:val="0063769A"/>
    <w:rsid w:val="006379E0"/>
    <w:rsid w:val="006404A7"/>
    <w:rsid w:val="006407F3"/>
    <w:rsid w:val="006408EC"/>
    <w:rsid w:val="00640C96"/>
    <w:rsid w:val="0064129B"/>
    <w:rsid w:val="00641DF7"/>
    <w:rsid w:val="00643A80"/>
    <w:rsid w:val="00644DFC"/>
    <w:rsid w:val="006451E4"/>
    <w:rsid w:val="006454B4"/>
    <w:rsid w:val="00645A9C"/>
    <w:rsid w:val="006460B8"/>
    <w:rsid w:val="006504A0"/>
    <w:rsid w:val="006520C7"/>
    <w:rsid w:val="006520D5"/>
    <w:rsid w:val="00652CBB"/>
    <w:rsid w:val="006530B8"/>
    <w:rsid w:val="006535D6"/>
    <w:rsid w:val="00656716"/>
    <w:rsid w:val="006572ED"/>
    <w:rsid w:val="00657E87"/>
    <w:rsid w:val="00660457"/>
    <w:rsid w:val="00660CB4"/>
    <w:rsid w:val="00660E1E"/>
    <w:rsid w:val="006637B1"/>
    <w:rsid w:val="00663FFB"/>
    <w:rsid w:val="00664B64"/>
    <w:rsid w:val="00665D67"/>
    <w:rsid w:val="00665D77"/>
    <w:rsid w:val="006660CD"/>
    <w:rsid w:val="00666EC8"/>
    <w:rsid w:val="00666F4B"/>
    <w:rsid w:val="00667271"/>
    <w:rsid w:val="006676D0"/>
    <w:rsid w:val="0066796E"/>
    <w:rsid w:val="00670FAC"/>
    <w:rsid w:val="006710C9"/>
    <w:rsid w:val="006716A5"/>
    <w:rsid w:val="00675CF1"/>
    <w:rsid w:val="00675E37"/>
    <w:rsid w:val="006764ED"/>
    <w:rsid w:val="00676AFC"/>
    <w:rsid w:val="00676F11"/>
    <w:rsid w:val="00677BFE"/>
    <w:rsid w:val="00680079"/>
    <w:rsid w:val="00680F68"/>
    <w:rsid w:val="0068260E"/>
    <w:rsid w:val="0068373D"/>
    <w:rsid w:val="00683BFE"/>
    <w:rsid w:val="0068437D"/>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AA5"/>
    <w:rsid w:val="006977F6"/>
    <w:rsid w:val="00697A13"/>
    <w:rsid w:val="006A0F1B"/>
    <w:rsid w:val="006A109C"/>
    <w:rsid w:val="006A18AE"/>
    <w:rsid w:val="006A2EE8"/>
    <w:rsid w:val="006A3CF3"/>
    <w:rsid w:val="006A568F"/>
    <w:rsid w:val="006A65EF"/>
    <w:rsid w:val="006A672B"/>
    <w:rsid w:val="006B23A9"/>
    <w:rsid w:val="006B281D"/>
    <w:rsid w:val="006B3F8A"/>
    <w:rsid w:val="006B5CA3"/>
    <w:rsid w:val="006B6B3B"/>
    <w:rsid w:val="006B7248"/>
    <w:rsid w:val="006B7714"/>
    <w:rsid w:val="006B78D8"/>
    <w:rsid w:val="006B7B66"/>
    <w:rsid w:val="006B7BE9"/>
    <w:rsid w:val="006C090F"/>
    <w:rsid w:val="006C0935"/>
    <w:rsid w:val="006C0BCE"/>
    <w:rsid w:val="006C113F"/>
    <w:rsid w:val="006C2AED"/>
    <w:rsid w:val="006C38DD"/>
    <w:rsid w:val="006C457F"/>
    <w:rsid w:val="006C53C7"/>
    <w:rsid w:val="006C5577"/>
    <w:rsid w:val="006C559A"/>
    <w:rsid w:val="006C58FA"/>
    <w:rsid w:val="006D042D"/>
    <w:rsid w:val="006D06EF"/>
    <w:rsid w:val="006D142E"/>
    <w:rsid w:val="006D4497"/>
    <w:rsid w:val="006D4927"/>
    <w:rsid w:val="006D4E6F"/>
    <w:rsid w:val="006D5A0C"/>
    <w:rsid w:val="006D61F6"/>
    <w:rsid w:val="006E0EB0"/>
    <w:rsid w:val="006E1F4C"/>
    <w:rsid w:val="006E22C8"/>
    <w:rsid w:val="006E279A"/>
    <w:rsid w:val="006E2F3F"/>
    <w:rsid w:val="006E313B"/>
    <w:rsid w:val="006E442A"/>
    <w:rsid w:val="006E4434"/>
    <w:rsid w:val="006E59FC"/>
    <w:rsid w:val="006E5CFD"/>
    <w:rsid w:val="006E5D21"/>
    <w:rsid w:val="006E7E2C"/>
    <w:rsid w:val="006F1326"/>
    <w:rsid w:val="006F2BEE"/>
    <w:rsid w:val="006F3708"/>
    <w:rsid w:val="006F394E"/>
    <w:rsid w:val="006F3E6B"/>
    <w:rsid w:val="006F4619"/>
    <w:rsid w:val="006F4A59"/>
    <w:rsid w:val="00700232"/>
    <w:rsid w:val="007014C7"/>
    <w:rsid w:val="00702D6F"/>
    <w:rsid w:val="00703B6C"/>
    <w:rsid w:val="00703C6B"/>
    <w:rsid w:val="007047D5"/>
    <w:rsid w:val="00705D98"/>
    <w:rsid w:val="00707891"/>
    <w:rsid w:val="00707D23"/>
    <w:rsid w:val="00707D43"/>
    <w:rsid w:val="00711EF1"/>
    <w:rsid w:val="0071229A"/>
    <w:rsid w:val="00712572"/>
    <w:rsid w:val="00713495"/>
    <w:rsid w:val="00713EEB"/>
    <w:rsid w:val="007159D2"/>
    <w:rsid w:val="0072050E"/>
    <w:rsid w:val="00720FA2"/>
    <w:rsid w:val="007211F5"/>
    <w:rsid w:val="00722CE0"/>
    <w:rsid w:val="00724666"/>
    <w:rsid w:val="00725492"/>
    <w:rsid w:val="00726043"/>
    <w:rsid w:val="0072704A"/>
    <w:rsid w:val="00730AE8"/>
    <w:rsid w:val="007315DA"/>
    <w:rsid w:val="00731963"/>
    <w:rsid w:val="00733AF9"/>
    <w:rsid w:val="00734321"/>
    <w:rsid w:val="0073532E"/>
    <w:rsid w:val="00740310"/>
    <w:rsid w:val="00740652"/>
    <w:rsid w:val="00740F02"/>
    <w:rsid w:val="00740FEC"/>
    <w:rsid w:val="0074132E"/>
    <w:rsid w:val="00741493"/>
    <w:rsid w:val="007426B3"/>
    <w:rsid w:val="007426FD"/>
    <w:rsid w:val="0074329D"/>
    <w:rsid w:val="007442F7"/>
    <w:rsid w:val="00744376"/>
    <w:rsid w:val="007449EA"/>
    <w:rsid w:val="00744D00"/>
    <w:rsid w:val="00744D2B"/>
    <w:rsid w:val="00745273"/>
    <w:rsid w:val="00746DD9"/>
    <w:rsid w:val="0075057A"/>
    <w:rsid w:val="00751771"/>
    <w:rsid w:val="00751C1C"/>
    <w:rsid w:val="00752180"/>
    <w:rsid w:val="007521A1"/>
    <w:rsid w:val="00752BC3"/>
    <w:rsid w:val="00752FA1"/>
    <w:rsid w:val="0075315D"/>
    <w:rsid w:val="007538F9"/>
    <w:rsid w:val="00754253"/>
    <w:rsid w:val="007552BB"/>
    <w:rsid w:val="007558D3"/>
    <w:rsid w:val="007559D7"/>
    <w:rsid w:val="00755D3A"/>
    <w:rsid w:val="00760141"/>
    <w:rsid w:val="007609C6"/>
    <w:rsid w:val="007610A0"/>
    <w:rsid w:val="00762036"/>
    <w:rsid w:val="007620F2"/>
    <w:rsid w:val="00762EBA"/>
    <w:rsid w:val="0076359D"/>
    <w:rsid w:val="0076370B"/>
    <w:rsid w:val="007642C3"/>
    <w:rsid w:val="0077058D"/>
    <w:rsid w:val="00772536"/>
    <w:rsid w:val="00773613"/>
    <w:rsid w:val="00774782"/>
    <w:rsid w:val="00776476"/>
    <w:rsid w:val="00776527"/>
    <w:rsid w:val="007805E1"/>
    <w:rsid w:val="0078113E"/>
    <w:rsid w:val="00781834"/>
    <w:rsid w:val="007821DB"/>
    <w:rsid w:val="00782818"/>
    <w:rsid w:val="007838F1"/>
    <w:rsid w:val="00784C4A"/>
    <w:rsid w:val="00787432"/>
    <w:rsid w:val="00787507"/>
    <w:rsid w:val="007879F2"/>
    <w:rsid w:val="00791804"/>
    <w:rsid w:val="00791CF8"/>
    <w:rsid w:val="00791EF9"/>
    <w:rsid w:val="00792262"/>
    <w:rsid w:val="00793387"/>
    <w:rsid w:val="007934A6"/>
    <w:rsid w:val="00793BAE"/>
    <w:rsid w:val="00794E0A"/>
    <w:rsid w:val="00796642"/>
    <w:rsid w:val="007A11D9"/>
    <w:rsid w:val="007A327B"/>
    <w:rsid w:val="007A4048"/>
    <w:rsid w:val="007A45B1"/>
    <w:rsid w:val="007A4606"/>
    <w:rsid w:val="007A46C3"/>
    <w:rsid w:val="007A4CDD"/>
    <w:rsid w:val="007A62A6"/>
    <w:rsid w:val="007B03A6"/>
    <w:rsid w:val="007B0D67"/>
    <w:rsid w:val="007B1966"/>
    <w:rsid w:val="007B2779"/>
    <w:rsid w:val="007B3DCC"/>
    <w:rsid w:val="007B4518"/>
    <w:rsid w:val="007B5031"/>
    <w:rsid w:val="007B573F"/>
    <w:rsid w:val="007B78F8"/>
    <w:rsid w:val="007C0065"/>
    <w:rsid w:val="007C010B"/>
    <w:rsid w:val="007C0A4B"/>
    <w:rsid w:val="007C0CB9"/>
    <w:rsid w:val="007C3AE3"/>
    <w:rsid w:val="007C605B"/>
    <w:rsid w:val="007D2A5A"/>
    <w:rsid w:val="007D2AD8"/>
    <w:rsid w:val="007D2C47"/>
    <w:rsid w:val="007D2F81"/>
    <w:rsid w:val="007D3167"/>
    <w:rsid w:val="007D4128"/>
    <w:rsid w:val="007D4281"/>
    <w:rsid w:val="007D42F5"/>
    <w:rsid w:val="007D44C3"/>
    <w:rsid w:val="007D5947"/>
    <w:rsid w:val="007D65C1"/>
    <w:rsid w:val="007E030F"/>
    <w:rsid w:val="007E0E59"/>
    <w:rsid w:val="007E0F4B"/>
    <w:rsid w:val="007E3715"/>
    <w:rsid w:val="007E7E61"/>
    <w:rsid w:val="007F02FE"/>
    <w:rsid w:val="007F0845"/>
    <w:rsid w:val="007F16F9"/>
    <w:rsid w:val="007F17DF"/>
    <w:rsid w:val="007F3E3E"/>
    <w:rsid w:val="007F42E0"/>
    <w:rsid w:val="007F500D"/>
    <w:rsid w:val="007F5F14"/>
    <w:rsid w:val="007F7B54"/>
    <w:rsid w:val="00800073"/>
    <w:rsid w:val="008005D7"/>
    <w:rsid w:val="00801FDD"/>
    <w:rsid w:val="008020C2"/>
    <w:rsid w:val="0080255C"/>
    <w:rsid w:val="00806088"/>
    <w:rsid w:val="00806D07"/>
    <w:rsid w:val="0081019B"/>
    <w:rsid w:val="0081187C"/>
    <w:rsid w:val="00811E24"/>
    <w:rsid w:val="00812386"/>
    <w:rsid w:val="00812E2B"/>
    <w:rsid w:val="0081315E"/>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9C3"/>
    <w:rsid w:val="00826ED1"/>
    <w:rsid w:val="00827181"/>
    <w:rsid w:val="0082733C"/>
    <w:rsid w:val="00827746"/>
    <w:rsid w:val="00827E77"/>
    <w:rsid w:val="0083017F"/>
    <w:rsid w:val="0083102D"/>
    <w:rsid w:val="0083143E"/>
    <w:rsid w:val="0083159D"/>
    <w:rsid w:val="008318FF"/>
    <w:rsid w:val="00832187"/>
    <w:rsid w:val="00832493"/>
    <w:rsid w:val="008329BD"/>
    <w:rsid w:val="008336D8"/>
    <w:rsid w:val="008339C4"/>
    <w:rsid w:val="00834F0A"/>
    <w:rsid w:val="00834FAA"/>
    <w:rsid w:val="00835181"/>
    <w:rsid w:val="00835991"/>
    <w:rsid w:val="00836086"/>
    <w:rsid w:val="00840699"/>
    <w:rsid w:val="008410CF"/>
    <w:rsid w:val="00841D9F"/>
    <w:rsid w:val="00842604"/>
    <w:rsid w:val="008437F0"/>
    <w:rsid w:val="00843ECF"/>
    <w:rsid w:val="00845AB1"/>
    <w:rsid w:val="00846673"/>
    <w:rsid w:val="00846772"/>
    <w:rsid w:val="00850DFC"/>
    <w:rsid w:val="0085281A"/>
    <w:rsid w:val="00853F33"/>
    <w:rsid w:val="008559FE"/>
    <w:rsid w:val="00857339"/>
    <w:rsid w:val="00860706"/>
    <w:rsid w:val="00862A7A"/>
    <w:rsid w:val="00863104"/>
    <w:rsid w:val="008636CD"/>
    <w:rsid w:val="00863702"/>
    <w:rsid w:val="00863D9E"/>
    <w:rsid w:val="00863FDC"/>
    <w:rsid w:val="008642AF"/>
    <w:rsid w:val="00865729"/>
    <w:rsid w:val="00865ED4"/>
    <w:rsid w:val="008669A7"/>
    <w:rsid w:val="00867464"/>
    <w:rsid w:val="00867E29"/>
    <w:rsid w:val="00870F2B"/>
    <w:rsid w:val="00873B2E"/>
    <w:rsid w:val="008746E6"/>
    <w:rsid w:val="008752B9"/>
    <w:rsid w:val="0087594C"/>
    <w:rsid w:val="00876086"/>
    <w:rsid w:val="008765FA"/>
    <w:rsid w:val="008768D6"/>
    <w:rsid w:val="008775D1"/>
    <w:rsid w:val="008777BB"/>
    <w:rsid w:val="0087798D"/>
    <w:rsid w:val="00877D68"/>
    <w:rsid w:val="00877E5D"/>
    <w:rsid w:val="00880150"/>
    <w:rsid w:val="00880ABA"/>
    <w:rsid w:val="00883A67"/>
    <w:rsid w:val="00883D45"/>
    <w:rsid w:val="00884D69"/>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371"/>
    <w:rsid w:val="008A3A85"/>
    <w:rsid w:val="008A43E9"/>
    <w:rsid w:val="008A4CB1"/>
    <w:rsid w:val="008A615E"/>
    <w:rsid w:val="008A632B"/>
    <w:rsid w:val="008A6680"/>
    <w:rsid w:val="008A6BFE"/>
    <w:rsid w:val="008A7EB8"/>
    <w:rsid w:val="008B00C2"/>
    <w:rsid w:val="008B07EF"/>
    <w:rsid w:val="008B16DE"/>
    <w:rsid w:val="008B190E"/>
    <w:rsid w:val="008B1A8A"/>
    <w:rsid w:val="008B1FC9"/>
    <w:rsid w:val="008B531F"/>
    <w:rsid w:val="008B54A3"/>
    <w:rsid w:val="008B6B67"/>
    <w:rsid w:val="008B7306"/>
    <w:rsid w:val="008B775F"/>
    <w:rsid w:val="008B7C02"/>
    <w:rsid w:val="008B7D13"/>
    <w:rsid w:val="008B7F9E"/>
    <w:rsid w:val="008C034E"/>
    <w:rsid w:val="008C0E88"/>
    <w:rsid w:val="008C1399"/>
    <w:rsid w:val="008C1AA8"/>
    <w:rsid w:val="008C22A8"/>
    <w:rsid w:val="008C3C7A"/>
    <w:rsid w:val="008C5B43"/>
    <w:rsid w:val="008C63FD"/>
    <w:rsid w:val="008C6CB8"/>
    <w:rsid w:val="008C7815"/>
    <w:rsid w:val="008C7A07"/>
    <w:rsid w:val="008C7EB3"/>
    <w:rsid w:val="008D0171"/>
    <w:rsid w:val="008D13EA"/>
    <w:rsid w:val="008D2671"/>
    <w:rsid w:val="008D2A16"/>
    <w:rsid w:val="008D2ECF"/>
    <w:rsid w:val="008D347D"/>
    <w:rsid w:val="008D3F3D"/>
    <w:rsid w:val="008D4376"/>
    <w:rsid w:val="008E0367"/>
    <w:rsid w:val="008E308D"/>
    <w:rsid w:val="008E31FF"/>
    <w:rsid w:val="008E46A3"/>
    <w:rsid w:val="008E5DE6"/>
    <w:rsid w:val="008E6113"/>
    <w:rsid w:val="008E67B2"/>
    <w:rsid w:val="008E6AB3"/>
    <w:rsid w:val="008E6AD3"/>
    <w:rsid w:val="008E71A6"/>
    <w:rsid w:val="008E7695"/>
    <w:rsid w:val="008E77B6"/>
    <w:rsid w:val="008E7C55"/>
    <w:rsid w:val="008F032E"/>
    <w:rsid w:val="008F0F14"/>
    <w:rsid w:val="008F2F44"/>
    <w:rsid w:val="008F3423"/>
    <w:rsid w:val="008F3A8A"/>
    <w:rsid w:val="008F4FCE"/>
    <w:rsid w:val="008F5301"/>
    <w:rsid w:val="008F6627"/>
    <w:rsid w:val="008F6967"/>
    <w:rsid w:val="008F6A0C"/>
    <w:rsid w:val="008F6F38"/>
    <w:rsid w:val="008F7721"/>
    <w:rsid w:val="008F7D28"/>
    <w:rsid w:val="009003A8"/>
    <w:rsid w:val="009010A7"/>
    <w:rsid w:val="009010E3"/>
    <w:rsid w:val="00901AF3"/>
    <w:rsid w:val="00901CA8"/>
    <w:rsid w:val="00902BDD"/>
    <w:rsid w:val="00902CBE"/>
    <w:rsid w:val="00902D09"/>
    <w:rsid w:val="00902D74"/>
    <w:rsid w:val="00902EFF"/>
    <w:rsid w:val="00903E06"/>
    <w:rsid w:val="009040B3"/>
    <w:rsid w:val="00904B9D"/>
    <w:rsid w:val="00905A11"/>
    <w:rsid w:val="00905E96"/>
    <w:rsid w:val="009066E1"/>
    <w:rsid w:val="00907A41"/>
    <w:rsid w:val="009102BD"/>
    <w:rsid w:val="00910F93"/>
    <w:rsid w:val="0091255A"/>
    <w:rsid w:val="00913BCD"/>
    <w:rsid w:val="00914426"/>
    <w:rsid w:val="0091675F"/>
    <w:rsid w:val="00917709"/>
    <w:rsid w:val="00917918"/>
    <w:rsid w:val="00920874"/>
    <w:rsid w:val="00921F14"/>
    <w:rsid w:val="00923750"/>
    <w:rsid w:val="009243A5"/>
    <w:rsid w:val="0092500F"/>
    <w:rsid w:val="009250D2"/>
    <w:rsid w:val="0092519D"/>
    <w:rsid w:val="0092540B"/>
    <w:rsid w:val="009256C5"/>
    <w:rsid w:val="00926283"/>
    <w:rsid w:val="00927D62"/>
    <w:rsid w:val="009306BE"/>
    <w:rsid w:val="00930F8D"/>
    <w:rsid w:val="009319E3"/>
    <w:rsid w:val="00937B11"/>
    <w:rsid w:val="00940F1F"/>
    <w:rsid w:val="00941250"/>
    <w:rsid w:val="00941F4F"/>
    <w:rsid w:val="0094427A"/>
    <w:rsid w:val="00944380"/>
    <w:rsid w:val="009459C5"/>
    <w:rsid w:val="0094626C"/>
    <w:rsid w:val="0095013A"/>
    <w:rsid w:val="00953AEF"/>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63EB"/>
    <w:rsid w:val="0096650F"/>
    <w:rsid w:val="00967801"/>
    <w:rsid w:val="00967AD2"/>
    <w:rsid w:val="009700DB"/>
    <w:rsid w:val="00971DC6"/>
    <w:rsid w:val="00972263"/>
    <w:rsid w:val="00972502"/>
    <w:rsid w:val="00972D8D"/>
    <w:rsid w:val="00973A7A"/>
    <w:rsid w:val="00973AAE"/>
    <w:rsid w:val="0097476C"/>
    <w:rsid w:val="00974923"/>
    <w:rsid w:val="00974D48"/>
    <w:rsid w:val="00974D5F"/>
    <w:rsid w:val="00975017"/>
    <w:rsid w:val="0097562D"/>
    <w:rsid w:val="009759DF"/>
    <w:rsid w:val="0098019B"/>
    <w:rsid w:val="00980373"/>
    <w:rsid w:val="00980621"/>
    <w:rsid w:val="0098095B"/>
    <w:rsid w:val="00982072"/>
    <w:rsid w:val="009833FA"/>
    <w:rsid w:val="00983DBB"/>
    <w:rsid w:val="00983ECF"/>
    <w:rsid w:val="00986745"/>
    <w:rsid w:val="009867BC"/>
    <w:rsid w:val="00987109"/>
    <w:rsid w:val="00987309"/>
    <w:rsid w:val="0099012D"/>
    <w:rsid w:val="00990363"/>
    <w:rsid w:val="009954FF"/>
    <w:rsid w:val="00995E2F"/>
    <w:rsid w:val="009961BC"/>
    <w:rsid w:val="00996355"/>
    <w:rsid w:val="0099684C"/>
    <w:rsid w:val="009A2014"/>
    <w:rsid w:val="009A3030"/>
    <w:rsid w:val="009A3A87"/>
    <w:rsid w:val="009A434E"/>
    <w:rsid w:val="009A4E12"/>
    <w:rsid w:val="009A5C68"/>
    <w:rsid w:val="009A6EF7"/>
    <w:rsid w:val="009B04D0"/>
    <w:rsid w:val="009B052C"/>
    <w:rsid w:val="009B0EF2"/>
    <w:rsid w:val="009B23A3"/>
    <w:rsid w:val="009B2C0E"/>
    <w:rsid w:val="009B4925"/>
    <w:rsid w:val="009B4B4B"/>
    <w:rsid w:val="009B68B8"/>
    <w:rsid w:val="009B6FD3"/>
    <w:rsid w:val="009B70BD"/>
    <w:rsid w:val="009C07A5"/>
    <w:rsid w:val="009C13A4"/>
    <w:rsid w:val="009C2A52"/>
    <w:rsid w:val="009C3705"/>
    <w:rsid w:val="009C7388"/>
    <w:rsid w:val="009D0CFF"/>
    <w:rsid w:val="009D1551"/>
    <w:rsid w:val="009D2859"/>
    <w:rsid w:val="009D36EC"/>
    <w:rsid w:val="009D4173"/>
    <w:rsid w:val="009D6095"/>
    <w:rsid w:val="009D6306"/>
    <w:rsid w:val="009E048A"/>
    <w:rsid w:val="009E1FBA"/>
    <w:rsid w:val="009E2C54"/>
    <w:rsid w:val="009E3710"/>
    <w:rsid w:val="009E6F65"/>
    <w:rsid w:val="009E7340"/>
    <w:rsid w:val="009E7B1F"/>
    <w:rsid w:val="009F3FC3"/>
    <w:rsid w:val="009F4126"/>
    <w:rsid w:val="009F41C4"/>
    <w:rsid w:val="009F5846"/>
    <w:rsid w:val="009F63D2"/>
    <w:rsid w:val="009F7B52"/>
    <w:rsid w:val="009F7D77"/>
    <w:rsid w:val="00A004D2"/>
    <w:rsid w:val="00A015EA"/>
    <w:rsid w:val="00A041F3"/>
    <w:rsid w:val="00A10CB1"/>
    <w:rsid w:val="00A10D66"/>
    <w:rsid w:val="00A12BA8"/>
    <w:rsid w:val="00A13993"/>
    <w:rsid w:val="00A1420C"/>
    <w:rsid w:val="00A1456C"/>
    <w:rsid w:val="00A14821"/>
    <w:rsid w:val="00A15E65"/>
    <w:rsid w:val="00A17754"/>
    <w:rsid w:val="00A2055B"/>
    <w:rsid w:val="00A20AAE"/>
    <w:rsid w:val="00A2253C"/>
    <w:rsid w:val="00A23545"/>
    <w:rsid w:val="00A23A55"/>
    <w:rsid w:val="00A23E43"/>
    <w:rsid w:val="00A23EF0"/>
    <w:rsid w:val="00A24F8C"/>
    <w:rsid w:val="00A2565B"/>
    <w:rsid w:val="00A262BF"/>
    <w:rsid w:val="00A271AD"/>
    <w:rsid w:val="00A276D5"/>
    <w:rsid w:val="00A30336"/>
    <w:rsid w:val="00A30BB5"/>
    <w:rsid w:val="00A30C37"/>
    <w:rsid w:val="00A3128F"/>
    <w:rsid w:val="00A31BE3"/>
    <w:rsid w:val="00A326D0"/>
    <w:rsid w:val="00A35287"/>
    <w:rsid w:val="00A378F8"/>
    <w:rsid w:val="00A40B19"/>
    <w:rsid w:val="00A41D07"/>
    <w:rsid w:val="00A424F8"/>
    <w:rsid w:val="00A42883"/>
    <w:rsid w:val="00A437B7"/>
    <w:rsid w:val="00A44D3A"/>
    <w:rsid w:val="00A46D48"/>
    <w:rsid w:val="00A46DE0"/>
    <w:rsid w:val="00A4778A"/>
    <w:rsid w:val="00A47C94"/>
    <w:rsid w:val="00A504C0"/>
    <w:rsid w:val="00A5067F"/>
    <w:rsid w:val="00A517C1"/>
    <w:rsid w:val="00A518E0"/>
    <w:rsid w:val="00A55301"/>
    <w:rsid w:val="00A572FB"/>
    <w:rsid w:val="00A57B3C"/>
    <w:rsid w:val="00A57F1B"/>
    <w:rsid w:val="00A600D2"/>
    <w:rsid w:val="00A6128E"/>
    <w:rsid w:val="00A62CE1"/>
    <w:rsid w:val="00A63114"/>
    <w:rsid w:val="00A631FA"/>
    <w:rsid w:val="00A64203"/>
    <w:rsid w:val="00A64348"/>
    <w:rsid w:val="00A644E1"/>
    <w:rsid w:val="00A711B0"/>
    <w:rsid w:val="00A721FB"/>
    <w:rsid w:val="00A727BA"/>
    <w:rsid w:val="00A72D4B"/>
    <w:rsid w:val="00A732AE"/>
    <w:rsid w:val="00A75E40"/>
    <w:rsid w:val="00A76965"/>
    <w:rsid w:val="00A76F5B"/>
    <w:rsid w:val="00A77AE4"/>
    <w:rsid w:val="00A77EB2"/>
    <w:rsid w:val="00A81094"/>
    <w:rsid w:val="00A82B66"/>
    <w:rsid w:val="00A83B58"/>
    <w:rsid w:val="00A84FAF"/>
    <w:rsid w:val="00A851B6"/>
    <w:rsid w:val="00A85729"/>
    <w:rsid w:val="00A8574B"/>
    <w:rsid w:val="00A857C0"/>
    <w:rsid w:val="00A90343"/>
    <w:rsid w:val="00A91336"/>
    <w:rsid w:val="00A9221C"/>
    <w:rsid w:val="00A94628"/>
    <w:rsid w:val="00A94954"/>
    <w:rsid w:val="00A94EAE"/>
    <w:rsid w:val="00A95742"/>
    <w:rsid w:val="00A96463"/>
    <w:rsid w:val="00A97E3F"/>
    <w:rsid w:val="00AA020E"/>
    <w:rsid w:val="00AA09D3"/>
    <w:rsid w:val="00AA23FB"/>
    <w:rsid w:val="00AA34FE"/>
    <w:rsid w:val="00AA42AB"/>
    <w:rsid w:val="00AA559A"/>
    <w:rsid w:val="00AA5F10"/>
    <w:rsid w:val="00AB104D"/>
    <w:rsid w:val="00AB1441"/>
    <w:rsid w:val="00AB2AF1"/>
    <w:rsid w:val="00AB440B"/>
    <w:rsid w:val="00AB47E3"/>
    <w:rsid w:val="00AB7170"/>
    <w:rsid w:val="00AB74C5"/>
    <w:rsid w:val="00AB7BEE"/>
    <w:rsid w:val="00AB7DF2"/>
    <w:rsid w:val="00AC1E3F"/>
    <w:rsid w:val="00AC1E88"/>
    <w:rsid w:val="00AC219A"/>
    <w:rsid w:val="00AC4F18"/>
    <w:rsid w:val="00AD0B46"/>
    <w:rsid w:val="00AD1094"/>
    <w:rsid w:val="00AD2565"/>
    <w:rsid w:val="00AD306C"/>
    <w:rsid w:val="00AD3424"/>
    <w:rsid w:val="00AD50D1"/>
    <w:rsid w:val="00AD59BB"/>
    <w:rsid w:val="00AD5D68"/>
    <w:rsid w:val="00AD6C73"/>
    <w:rsid w:val="00AD7D49"/>
    <w:rsid w:val="00AE06D0"/>
    <w:rsid w:val="00AE1B8A"/>
    <w:rsid w:val="00AE39DC"/>
    <w:rsid w:val="00AE3CDA"/>
    <w:rsid w:val="00AE6331"/>
    <w:rsid w:val="00AE7968"/>
    <w:rsid w:val="00AE7B2B"/>
    <w:rsid w:val="00AE7DFF"/>
    <w:rsid w:val="00AF128B"/>
    <w:rsid w:val="00AF1AEA"/>
    <w:rsid w:val="00AF2852"/>
    <w:rsid w:val="00AF3225"/>
    <w:rsid w:val="00AF4983"/>
    <w:rsid w:val="00AF518B"/>
    <w:rsid w:val="00AF5275"/>
    <w:rsid w:val="00AF5D62"/>
    <w:rsid w:val="00AF6367"/>
    <w:rsid w:val="00AF6A79"/>
    <w:rsid w:val="00AF724E"/>
    <w:rsid w:val="00AF73A9"/>
    <w:rsid w:val="00B01436"/>
    <w:rsid w:val="00B01C2C"/>
    <w:rsid w:val="00B01E40"/>
    <w:rsid w:val="00B0231C"/>
    <w:rsid w:val="00B07C2A"/>
    <w:rsid w:val="00B13681"/>
    <w:rsid w:val="00B15DCD"/>
    <w:rsid w:val="00B17ACB"/>
    <w:rsid w:val="00B17E71"/>
    <w:rsid w:val="00B17FDE"/>
    <w:rsid w:val="00B208FC"/>
    <w:rsid w:val="00B20C65"/>
    <w:rsid w:val="00B22E17"/>
    <w:rsid w:val="00B25567"/>
    <w:rsid w:val="00B266C5"/>
    <w:rsid w:val="00B27293"/>
    <w:rsid w:val="00B301BB"/>
    <w:rsid w:val="00B321E3"/>
    <w:rsid w:val="00B3229E"/>
    <w:rsid w:val="00B32DDB"/>
    <w:rsid w:val="00B34931"/>
    <w:rsid w:val="00B35174"/>
    <w:rsid w:val="00B35BEA"/>
    <w:rsid w:val="00B378C5"/>
    <w:rsid w:val="00B37915"/>
    <w:rsid w:val="00B3793D"/>
    <w:rsid w:val="00B41BE6"/>
    <w:rsid w:val="00B42831"/>
    <w:rsid w:val="00B428A4"/>
    <w:rsid w:val="00B44FC4"/>
    <w:rsid w:val="00B457E7"/>
    <w:rsid w:val="00B45D1B"/>
    <w:rsid w:val="00B463F5"/>
    <w:rsid w:val="00B46D25"/>
    <w:rsid w:val="00B47430"/>
    <w:rsid w:val="00B47AC6"/>
    <w:rsid w:val="00B52D2D"/>
    <w:rsid w:val="00B52F8A"/>
    <w:rsid w:val="00B534EF"/>
    <w:rsid w:val="00B55BA8"/>
    <w:rsid w:val="00B55F15"/>
    <w:rsid w:val="00B561A6"/>
    <w:rsid w:val="00B60062"/>
    <w:rsid w:val="00B62960"/>
    <w:rsid w:val="00B63A11"/>
    <w:rsid w:val="00B63D16"/>
    <w:rsid w:val="00B63FD0"/>
    <w:rsid w:val="00B65C84"/>
    <w:rsid w:val="00B6608F"/>
    <w:rsid w:val="00B74317"/>
    <w:rsid w:val="00B76D1E"/>
    <w:rsid w:val="00B77BC8"/>
    <w:rsid w:val="00B800EB"/>
    <w:rsid w:val="00B822D2"/>
    <w:rsid w:val="00B83308"/>
    <w:rsid w:val="00B83D46"/>
    <w:rsid w:val="00B848B8"/>
    <w:rsid w:val="00B84A41"/>
    <w:rsid w:val="00B84D57"/>
    <w:rsid w:val="00B8504B"/>
    <w:rsid w:val="00B85689"/>
    <w:rsid w:val="00B86748"/>
    <w:rsid w:val="00B87C5F"/>
    <w:rsid w:val="00B907EA"/>
    <w:rsid w:val="00B91EC9"/>
    <w:rsid w:val="00B924CA"/>
    <w:rsid w:val="00B92A34"/>
    <w:rsid w:val="00B92A4B"/>
    <w:rsid w:val="00B92C76"/>
    <w:rsid w:val="00B93384"/>
    <w:rsid w:val="00B93616"/>
    <w:rsid w:val="00B94417"/>
    <w:rsid w:val="00B95566"/>
    <w:rsid w:val="00B95940"/>
    <w:rsid w:val="00B95EF8"/>
    <w:rsid w:val="00B95F50"/>
    <w:rsid w:val="00B96BD9"/>
    <w:rsid w:val="00B97DCE"/>
    <w:rsid w:val="00BA4358"/>
    <w:rsid w:val="00BB0274"/>
    <w:rsid w:val="00BB1CFD"/>
    <w:rsid w:val="00BB2C53"/>
    <w:rsid w:val="00BB32DA"/>
    <w:rsid w:val="00BB3A54"/>
    <w:rsid w:val="00BB4D26"/>
    <w:rsid w:val="00BB4E21"/>
    <w:rsid w:val="00BB7746"/>
    <w:rsid w:val="00BC22EB"/>
    <w:rsid w:val="00BC682B"/>
    <w:rsid w:val="00BC6B04"/>
    <w:rsid w:val="00BC6D27"/>
    <w:rsid w:val="00BD059A"/>
    <w:rsid w:val="00BD1708"/>
    <w:rsid w:val="00BD186B"/>
    <w:rsid w:val="00BD1EAC"/>
    <w:rsid w:val="00BD254C"/>
    <w:rsid w:val="00BD3428"/>
    <w:rsid w:val="00BD366B"/>
    <w:rsid w:val="00BD534C"/>
    <w:rsid w:val="00BD55A9"/>
    <w:rsid w:val="00BD56BC"/>
    <w:rsid w:val="00BD5D91"/>
    <w:rsid w:val="00BD6445"/>
    <w:rsid w:val="00BD6615"/>
    <w:rsid w:val="00BD6D50"/>
    <w:rsid w:val="00BE0D79"/>
    <w:rsid w:val="00BE0DB0"/>
    <w:rsid w:val="00BE272F"/>
    <w:rsid w:val="00BE3282"/>
    <w:rsid w:val="00BE3381"/>
    <w:rsid w:val="00BE3F09"/>
    <w:rsid w:val="00BE670A"/>
    <w:rsid w:val="00BE6906"/>
    <w:rsid w:val="00BF18F4"/>
    <w:rsid w:val="00BF1A69"/>
    <w:rsid w:val="00BF3BC8"/>
    <w:rsid w:val="00BF3DF1"/>
    <w:rsid w:val="00BF4C31"/>
    <w:rsid w:val="00BF4E57"/>
    <w:rsid w:val="00BF537B"/>
    <w:rsid w:val="00BF53B8"/>
    <w:rsid w:val="00BF5F8B"/>
    <w:rsid w:val="00BF786A"/>
    <w:rsid w:val="00BF7CB8"/>
    <w:rsid w:val="00C00F20"/>
    <w:rsid w:val="00C01700"/>
    <w:rsid w:val="00C034E6"/>
    <w:rsid w:val="00C05715"/>
    <w:rsid w:val="00C05926"/>
    <w:rsid w:val="00C0784A"/>
    <w:rsid w:val="00C10B28"/>
    <w:rsid w:val="00C10D62"/>
    <w:rsid w:val="00C10FAE"/>
    <w:rsid w:val="00C11DAF"/>
    <w:rsid w:val="00C123B4"/>
    <w:rsid w:val="00C12A69"/>
    <w:rsid w:val="00C13737"/>
    <w:rsid w:val="00C150BE"/>
    <w:rsid w:val="00C158B0"/>
    <w:rsid w:val="00C15A0C"/>
    <w:rsid w:val="00C15DCB"/>
    <w:rsid w:val="00C16208"/>
    <w:rsid w:val="00C1711F"/>
    <w:rsid w:val="00C17E06"/>
    <w:rsid w:val="00C17E38"/>
    <w:rsid w:val="00C20744"/>
    <w:rsid w:val="00C20B1C"/>
    <w:rsid w:val="00C20C4D"/>
    <w:rsid w:val="00C2150A"/>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3609E"/>
    <w:rsid w:val="00C40F81"/>
    <w:rsid w:val="00C41463"/>
    <w:rsid w:val="00C419B4"/>
    <w:rsid w:val="00C41A72"/>
    <w:rsid w:val="00C42D45"/>
    <w:rsid w:val="00C4422D"/>
    <w:rsid w:val="00C45806"/>
    <w:rsid w:val="00C45ECA"/>
    <w:rsid w:val="00C476C5"/>
    <w:rsid w:val="00C503B0"/>
    <w:rsid w:val="00C511C2"/>
    <w:rsid w:val="00C5253B"/>
    <w:rsid w:val="00C527C6"/>
    <w:rsid w:val="00C53CDB"/>
    <w:rsid w:val="00C53D82"/>
    <w:rsid w:val="00C54748"/>
    <w:rsid w:val="00C55C1B"/>
    <w:rsid w:val="00C575FB"/>
    <w:rsid w:val="00C60696"/>
    <w:rsid w:val="00C60943"/>
    <w:rsid w:val="00C60EEF"/>
    <w:rsid w:val="00C6121D"/>
    <w:rsid w:val="00C615F1"/>
    <w:rsid w:val="00C61627"/>
    <w:rsid w:val="00C63B1A"/>
    <w:rsid w:val="00C64E60"/>
    <w:rsid w:val="00C657A4"/>
    <w:rsid w:val="00C6736C"/>
    <w:rsid w:val="00C71A1D"/>
    <w:rsid w:val="00C71EC4"/>
    <w:rsid w:val="00C71FD7"/>
    <w:rsid w:val="00C7591E"/>
    <w:rsid w:val="00C75C7E"/>
    <w:rsid w:val="00C75C9B"/>
    <w:rsid w:val="00C76D8E"/>
    <w:rsid w:val="00C772C1"/>
    <w:rsid w:val="00C77833"/>
    <w:rsid w:val="00C80C9B"/>
    <w:rsid w:val="00C8335E"/>
    <w:rsid w:val="00C83A6D"/>
    <w:rsid w:val="00C83F9C"/>
    <w:rsid w:val="00C84CE3"/>
    <w:rsid w:val="00C85614"/>
    <w:rsid w:val="00C86127"/>
    <w:rsid w:val="00C90CF4"/>
    <w:rsid w:val="00C91C19"/>
    <w:rsid w:val="00C929A0"/>
    <w:rsid w:val="00C93389"/>
    <w:rsid w:val="00C937DB"/>
    <w:rsid w:val="00C94519"/>
    <w:rsid w:val="00C94E83"/>
    <w:rsid w:val="00C97038"/>
    <w:rsid w:val="00CA02B2"/>
    <w:rsid w:val="00CA0883"/>
    <w:rsid w:val="00CA1085"/>
    <w:rsid w:val="00CA140F"/>
    <w:rsid w:val="00CA25C2"/>
    <w:rsid w:val="00CA37BB"/>
    <w:rsid w:val="00CA37CA"/>
    <w:rsid w:val="00CA5724"/>
    <w:rsid w:val="00CA6508"/>
    <w:rsid w:val="00CA6BA1"/>
    <w:rsid w:val="00CA6CD5"/>
    <w:rsid w:val="00CA7C47"/>
    <w:rsid w:val="00CB1910"/>
    <w:rsid w:val="00CB2150"/>
    <w:rsid w:val="00CB28EE"/>
    <w:rsid w:val="00CB43A7"/>
    <w:rsid w:val="00CB4DF1"/>
    <w:rsid w:val="00CB5996"/>
    <w:rsid w:val="00CB6809"/>
    <w:rsid w:val="00CB7452"/>
    <w:rsid w:val="00CC06C7"/>
    <w:rsid w:val="00CC0E10"/>
    <w:rsid w:val="00CC1DAF"/>
    <w:rsid w:val="00CC2642"/>
    <w:rsid w:val="00CC2967"/>
    <w:rsid w:val="00CC2A36"/>
    <w:rsid w:val="00CC2E15"/>
    <w:rsid w:val="00CC3440"/>
    <w:rsid w:val="00CC3641"/>
    <w:rsid w:val="00CC3908"/>
    <w:rsid w:val="00CC62AD"/>
    <w:rsid w:val="00CC6CA2"/>
    <w:rsid w:val="00CC7B80"/>
    <w:rsid w:val="00CD2B3C"/>
    <w:rsid w:val="00CD30F6"/>
    <w:rsid w:val="00CD3B07"/>
    <w:rsid w:val="00CD482D"/>
    <w:rsid w:val="00CD4B29"/>
    <w:rsid w:val="00CD6954"/>
    <w:rsid w:val="00CD6DA3"/>
    <w:rsid w:val="00CD6EF1"/>
    <w:rsid w:val="00CD7E35"/>
    <w:rsid w:val="00CE21C7"/>
    <w:rsid w:val="00CE2682"/>
    <w:rsid w:val="00CE2756"/>
    <w:rsid w:val="00CE442A"/>
    <w:rsid w:val="00CE57D8"/>
    <w:rsid w:val="00CE617A"/>
    <w:rsid w:val="00CE6E3C"/>
    <w:rsid w:val="00CE74FE"/>
    <w:rsid w:val="00CE797F"/>
    <w:rsid w:val="00CF25D2"/>
    <w:rsid w:val="00CF28C2"/>
    <w:rsid w:val="00CF42BD"/>
    <w:rsid w:val="00CF51EC"/>
    <w:rsid w:val="00CF6A9D"/>
    <w:rsid w:val="00CF6CD7"/>
    <w:rsid w:val="00CF75EC"/>
    <w:rsid w:val="00D0037A"/>
    <w:rsid w:val="00D0061E"/>
    <w:rsid w:val="00D00DAF"/>
    <w:rsid w:val="00D017EC"/>
    <w:rsid w:val="00D01CDA"/>
    <w:rsid w:val="00D020FC"/>
    <w:rsid w:val="00D040DD"/>
    <w:rsid w:val="00D04E1B"/>
    <w:rsid w:val="00D0547B"/>
    <w:rsid w:val="00D076DB"/>
    <w:rsid w:val="00D07EFF"/>
    <w:rsid w:val="00D1067C"/>
    <w:rsid w:val="00D10DC5"/>
    <w:rsid w:val="00D11CBB"/>
    <w:rsid w:val="00D132AE"/>
    <w:rsid w:val="00D136D4"/>
    <w:rsid w:val="00D13830"/>
    <w:rsid w:val="00D13ECF"/>
    <w:rsid w:val="00D142E5"/>
    <w:rsid w:val="00D148CD"/>
    <w:rsid w:val="00D14E11"/>
    <w:rsid w:val="00D1611E"/>
    <w:rsid w:val="00D163CC"/>
    <w:rsid w:val="00D16E69"/>
    <w:rsid w:val="00D17F4A"/>
    <w:rsid w:val="00D205A9"/>
    <w:rsid w:val="00D217EE"/>
    <w:rsid w:val="00D245BA"/>
    <w:rsid w:val="00D26923"/>
    <w:rsid w:val="00D27856"/>
    <w:rsid w:val="00D27941"/>
    <w:rsid w:val="00D27D34"/>
    <w:rsid w:val="00D3006B"/>
    <w:rsid w:val="00D301CA"/>
    <w:rsid w:val="00D30740"/>
    <w:rsid w:val="00D31075"/>
    <w:rsid w:val="00D31445"/>
    <w:rsid w:val="00D31932"/>
    <w:rsid w:val="00D32AE0"/>
    <w:rsid w:val="00D33531"/>
    <w:rsid w:val="00D360DA"/>
    <w:rsid w:val="00D37689"/>
    <w:rsid w:val="00D378CC"/>
    <w:rsid w:val="00D4042C"/>
    <w:rsid w:val="00D40B9E"/>
    <w:rsid w:val="00D41281"/>
    <w:rsid w:val="00D42312"/>
    <w:rsid w:val="00D42F89"/>
    <w:rsid w:val="00D433F5"/>
    <w:rsid w:val="00D43998"/>
    <w:rsid w:val="00D439C2"/>
    <w:rsid w:val="00D446E3"/>
    <w:rsid w:val="00D451E0"/>
    <w:rsid w:val="00D45A1D"/>
    <w:rsid w:val="00D4615E"/>
    <w:rsid w:val="00D478E2"/>
    <w:rsid w:val="00D51535"/>
    <w:rsid w:val="00D5264C"/>
    <w:rsid w:val="00D547BA"/>
    <w:rsid w:val="00D55626"/>
    <w:rsid w:val="00D556BC"/>
    <w:rsid w:val="00D5626D"/>
    <w:rsid w:val="00D56631"/>
    <w:rsid w:val="00D56B60"/>
    <w:rsid w:val="00D56BA2"/>
    <w:rsid w:val="00D60277"/>
    <w:rsid w:val="00D60336"/>
    <w:rsid w:val="00D61F88"/>
    <w:rsid w:val="00D62901"/>
    <w:rsid w:val="00D63415"/>
    <w:rsid w:val="00D6470C"/>
    <w:rsid w:val="00D64853"/>
    <w:rsid w:val="00D64CB5"/>
    <w:rsid w:val="00D66D48"/>
    <w:rsid w:val="00D7162F"/>
    <w:rsid w:val="00D72897"/>
    <w:rsid w:val="00D73256"/>
    <w:rsid w:val="00D7344B"/>
    <w:rsid w:val="00D73A30"/>
    <w:rsid w:val="00D74C65"/>
    <w:rsid w:val="00D74F21"/>
    <w:rsid w:val="00D75DC2"/>
    <w:rsid w:val="00D766EF"/>
    <w:rsid w:val="00D76C03"/>
    <w:rsid w:val="00D77F8D"/>
    <w:rsid w:val="00D8119B"/>
    <w:rsid w:val="00D815C0"/>
    <w:rsid w:val="00D82462"/>
    <w:rsid w:val="00D868CE"/>
    <w:rsid w:val="00D86DAE"/>
    <w:rsid w:val="00D90116"/>
    <w:rsid w:val="00D90C1E"/>
    <w:rsid w:val="00D91BDF"/>
    <w:rsid w:val="00D91F2C"/>
    <w:rsid w:val="00D92EC1"/>
    <w:rsid w:val="00D93F09"/>
    <w:rsid w:val="00D954C2"/>
    <w:rsid w:val="00D97BB8"/>
    <w:rsid w:val="00DA097A"/>
    <w:rsid w:val="00DA1318"/>
    <w:rsid w:val="00DA1382"/>
    <w:rsid w:val="00DA28B7"/>
    <w:rsid w:val="00DA2FE8"/>
    <w:rsid w:val="00DA380E"/>
    <w:rsid w:val="00DA4AF6"/>
    <w:rsid w:val="00DB016E"/>
    <w:rsid w:val="00DB06E9"/>
    <w:rsid w:val="00DB19BD"/>
    <w:rsid w:val="00DB1D55"/>
    <w:rsid w:val="00DB378E"/>
    <w:rsid w:val="00DB3E9D"/>
    <w:rsid w:val="00DB47B9"/>
    <w:rsid w:val="00DB4FB8"/>
    <w:rsid w:val="00DB53CE"/>
    <w:rsid w:val="00DB549D"/>
    <w:rsid w:val="00DB5792"/>
    <w:rsid w:val="00DB6A88"/>
    <w:rsid w:val="00DB76AC"/>
    <w:rsid w:val="00DB7BA4"/>
    <w:rsid w:val="00DC213A"/>
    <w:rsid w:val="00DC226A"/>
    <w:rsid w:val="00DC257F"/>
    <w:rsid w:val="00DC2A9F"/>
    <w:rsid w:val="00DC350B"/>
    <w:rsid w:val="00DC3790"/>
    <w:rsid w:val="00DC408A"/>
    <w:rsid w:val="00DC436D"/>
    <w:rsid w:val="00DC519B"/>
    <w:rsid w:val="00DC5B3B"/>
    <w:rsid w:val="00DC6796"/>
    <w:rsid w:val="00DC78DF"/>
    <w:rsid w:val="00DC7D4C"/>
    <w:rsid w:val="00DD0821"/>
    <w:rsid w:val="00DD0E32"/>
    <w:rsid w:val="00DD2872"/>
    <w:rsid w:val="00DD2A62"/>
    <w:rsid w:val="00DD2BFE"/>
    <w:rsid w:val="00DD373E"/>
    <w:rsid w:val="00DD57AD"/>
    <w:rsid w:val="00DD7435"/>
    <w:rsid w:val="00DD7C6D"/>
    <w:rsid w:val="00DE009B"/>
    <w:rsid w:val="00DE0243"/>
    <w:rsid w:val="00DE08F8"/>
    <w:rsid w:val="00DE0C31"/>
    <w:rsid w:val="00DE2ED9"/>
    <w:rsid w:val="00DE319A"/>
    <w:rsid w:val="00DF0615"/>
    <w:rsid w:val="00DF0DC3"/>
    <w:rsid w:val="00DF21FD"/>
    <w:rsid w:val="00DF2873"/>
    <w:rsid w:val="00DF293C"/>
    <w:rsid w:val="00DF4C74"/>
    <w:rsid w:val="00DF5578"/>
    <w:rsid w:val="00DF78DD"/>
    <w:rsid w:val="00DF7FEC"/>
    <w:rsid w:val="00E01C0E"/>
    <w:rsid w:val="00E02086"/>
    <w:rsid w:val="00E02740"/>
    <w:rsid w:val="00E03B27"/>
    <w:rsid w:val="00E04694"/>
    <w:rsid w:val="00E049F6"/>
    <w:rsid w:val="00E04CA9"/>
    <w:rsid w:val="00E05B2B"/>
    <w:rsid w:val="00E06A2A"/>
    <w:rsid w:val="00E07F05"/>
    <w:rsid w:val="00E127E1"/>
    <w:rsid w:val="00E142B3"/>
    <w:rsid w:val="00E144D2"/>
    <w:rsid w:val="00E144D6"/>
    <w:rsid w:val="00E15346"/>
    <w:rsid w:val="00E15B7D"/>
    <w:rsid w:val="00E2097E"/>
    <w:rsid w:val="00E21337"/>
    <w:rsid w:val="00E215EA"/>
    <w:rsid w:val="00E21CAB"/>
    <w:rsid w:val="00E221FC"/>
    <w:rsid w:val="00E225C8"/>
    <w:rsid w:val="00E22E78"/>
    <w:rsid w:val="00E24619"/>
    <w:rsid w:val="00E25223"/>
    <w:rsid w:val="00E25999"/>
    <w:rsid w:val="00E263A8"/>
    <w:rsid w:val="00E30BEA"/>
    <w:rsid w:val="00E31764"/>
    <w:rsid w:val="00E32BC2"/>
    <w:rsid w:val="00E33433"/>
    <w:rsid w:val="00E34985"/>
    <w:rsid w:val="00E34E4A"/>
    <w:rsid w:val="00E365B3"/>
    <w:rsid w:val="00E366BB"/>
    <w:rsid w:val="00E37C45"/>
    <w:rsid w:val="00E40AAA"/>
    <w:rsid w:val="00E42444"/>
    <w:rsid w:val="00E438CF"/>
    <w:rsid w:val="00E43B06"/>
    <w:rsid w:val="00E43C41"/>
    <w:rsid w:val="00E4500E"/>
    <w:rsid w:val="00E450CE"/>
    <w:rsid w:val="00E45A00"/>
    <w:rsid w:val="00E45CE7"/>
    <w:rsid w:val="00E4631F"/>
    <w:rsid w:val="00E46A4A"/>
    <w:rsid w:val="00E47CB8"/>
    <w:rsid w:val="00E522BB"/>
    <w:rsid w:val="00E539E4"/>
    <w:rsid w:val="00E569C7"/>
    <w:rsid w:val="00E571F2"/>
    <w:rsid w:val="00E57429"/>
    <w:rsid w:val="00E61726"/>
    <w:rsid w:val="00E61EA8"/>
    <w:rsid w:val="00E630CB"/>
    <w:rsid w:val="00E63221"/>
    <w:rsid w:val="00E63672"/>
    <w:rsid w:val="00E64EA1"/>
    <w:rsid w:val="00E65898"/>
    <w:rsid w:val="00E668A6"/>
    <w:rsid w:val="00E669C7"/>
    <w:rsid w:val="00E703AD"/>
    <w:rsid w:val="00E70510"/>
    <w:rsid w:val="00E71262"/>
    <w:rsid w:val="00E71A58"/>
    <w:rsid w:val="00E737F6"/>
    <w:rsid w:val="00E7568F"/>
    <w:rsid w:val="00E764AE"/>
    <w:rsid w:val="00E7724B"/>
    <w:rsid w:val="00E81543"/>
    <w:rsid w:val="00E84F21"/>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AF3"/>
    <w:rsid w:val="00EA0C68"/>
    <w:rsid w:val="00EA19E2"/>
    <w:rsid w:val="00EA3EBE"/>
    <w:rsid w:val="00EA3FAC"/>
    <w:rsid w:val="00EA4153"/>
    <w:rsid w:val="00EA5CD6"/>
    <w:rsid w:val="00EA76FD"/>
    <w:rsid w:val="00EB03D4"/>
    <w:rsid w:val="00EB0555"/>
    <w:rsid w:val="00EB20A0"/>
    <w:rsid w:val="00EB30B6"/>
    <w:rsid w:val="00EB4FA4"/>
    <w:rsid w:val="00EB5146"/>
    <w:rsid w:val="00EB522B"/>
    <w:rsid w:val="00EB55E9"/>
    <w:rsid w:val="00EB5641"/>
    <w:rsid w:val="00EB5CA9"/>
    <w:rsid w:val="00EB5ED4"/>
    <w:rsid w:val="00EB6537"/>
    <w:rsid w:val="00EB70E1"/>
    <w:rsid w:val="00EB7EB5"/>
    <w:rsid w:val="00EC0860"/>
    <w:rsid w:val="00EC424C"/>
    <w:rsid w:val="00EC454B"/>
    <w:rsid w:val="00EC6153"/>
    <w:rsid w:val="00EC7F92"/>
    <w:rsid w:val="00ED00A8"/>
    <w:rsid w:val="00ED0A79"/>
    <w:rsid w:val="00ED2989"/>
    <w:rsid w:val="00ED2CA5"/>
    <w:rsid w:val="00ED336F"/>
    <w:rsid w:val="00ED3A94"/>
    <w:rsid w:val="00ED40F0"/>
    <w:rsid w:val="00ED4AC0"/>
    <w:rsid w:val="00ED53D3"/>
    <w:rsid w:val="00ED54D6"/>
    <w:rsid w:val="00ED5726"/>
    <w:rsid w:val="00EE0113"/>
    <w:rsid w:val="00EE0298"/>
    <w:rsid w:val="00EE0384"/>
    <w:rsid w:val="00EE1057"/>
    <w:rsid w:val="00EE10AA"/>
    <w:rsid w:val="00EE1637"/>
    <w:rsid w:val="00EE3679"/>
    <w:rsid w:val="00EE3B7A"/>
    <w:rsid w:val="00EE3E78"/>
    <w:rsid w:val="00EE495A"/>
    <w:rsid w:val="00EE5E02"/>
    <w:rsid w:val="00EE617D"/>
    <w:rsid w:val="00EE61BF"/>
    <w:rsid w:val="00EE6538"/>
    <w:rsid w:val="00EE6748"/>
    <w:rsid w:val="00EE6C6B"/>
    <w:rsid w:val="00EF0E75"/>
    <w:rsid w:val="00EF1542"/>
    <w:rsid w:val="00EF164E"/>
    <w:rsid w:val="00EF1F5A"/>
    <w:rsid w:val="00EF4685"/>
    <w:rsid w:val="00EF4CE3"/>
    <w:rsid w:val="00EF5397"/>
    <w:rsid w:val="00EF6BE3"/>
    <w:rsid w:val="00EF75D0"/>
    <w:rsid w:val="00EF76A9"/>
    <w:rsid w:val="00F00381"/>
    <w:rsid w:val="00F00D0E"/>
    <w:rsid w:val="00F00D3C"/>
    <w:rsid w:val="00F04811"/>
    <w:rsid w:val="00F0488C"/>
    <w:rsid w:val="00F0496E"/>
    <w:rsid w:val="00F04D10"/>
    <w:rsid w:val="00F053EA"/>
    <w:rsid w:val="00F0625B"/>
    <w:rsid w:val="00F101FF"/>
    <w:rsid w:val="00F104DF"/>
    <w:rsid w:val="00F10A33"/>
    <w:rsid w:val="00F10B64"/>
    <w:rsid w:val="00F1186C"/>
    <w:rsid w:val="00F1476A"/>
    <w:rsid w:val="00F14ACD"/>
    <w:rsid w:val="00F15BEF"/>
    <w:rsid w:val="00F172BE"/>
    <w:rsid w:val="00F1744E"/>
    <w:rsid w:val="00F1776C"/>
    <w:rsid w:val="00F2037E"/>
    <w:rsid w:val="00F20D17"/>
    <w:rsid w:val="00F2103E"/>
    <w:rsid w:val="00F214FC"/>
    <w:rsid w:val="00F21C31"/>
    <w:rsid w:val="00F220A9"/>
    <w:rsid w:val="00F23825"/>
    <w:rsid w:val="00F2389A"/>
    <w:rsid w:val="00F23FFF"/>
    <w:rsid w:val="00F2441D"/>
    <w:rsid w:val="00F24FAA"/>
    <w:rsid w:val="00F26197"/>
    <w:rsid w:val="00F264D6"/>
    <w:rsid w:val="00F26FDA"/>
    <w:rsid w:val="00F273D4"/>
    <w:rsid w:val="00F27D6C"/>
    <w:rsid w:val="00F307DD"/>
    <w:rsid w:val="00F3159B"/>
    <w:rsid w:val="00F318FC"/>
    <w:rsid w:val="00F31F76"/>
    <w:rsid w:val="00F325A3"/>
    <w:rsid w:val="00F32939"/>
    <w:rsid w:val="00F3364D"/>
    <w:rsid w:val="00F35ACD"/>
    <w:rsid w:val="00F365BF"/>
    <w:rsid w:val="00F36BF8"/>
    <w:rsid w:val="00F375BA"/>
    <w:rsid w:val="00F37760"/>
    <w:rsid w:val="00F403D1"/>
    <w:rsid w:val="00F43921"/>
    <w:rsid w:val="00F43D2E"/>
    <w:rsid w:val="00F44E1B"/>
    <w:rsid w:val="00F4524F"/>
    <w:rsid w:val="00F45530"/>
    <w:rsid w:val="00F4591F"/>
    <w:rsid w:val="00F47321"/>
    <w:rsid w:val="00F4736B"/>
    <w:rsid w:val="00F47997"/>
    <w:rsid w:val="00F47D05"/>
    <w:rsid w:val="00F50030"/>
    <w:rsid w:val="00F502F5"/>
    <w:rsid w:val="00F50B9D"/>
    <w:rsid w:val="00F51FC9"/>
    <w:rsid w:val="00F53243"/>
    <w:rsid w:val="00F53579"/>
    <w:rsid w:val="00F541ED"/>
    <w:rsid w:val="00F54B30"/>
    <w:rsid w:val="00F54B31"/>
    <w:rsid w:val="00F54FD3"/>
    <w:rsid w:val="00F55605"/>
    <w:rsid w:val="00F57CD7"/>
    <w:rsid w:val="00F62F02"/>
    <w:rsid w:val="00F6339F"/>
    <w:rsid w:val="00F63DDE"/>
    <w:rsid w:val="00F63FB7"/>
    <w:rsid w:val="00F64726"/>
    <w:rsid w:val="00F6561A"/>
    <w:rsid w:val="00F66243"/>
    <w:rsid w:val="00F665EB"/>
    <w:rsid w:val="00F70309"/>
    <w:rsid w:val="00F7078A"/>
    <w:rsid w:val="00F70E45"/>
    <w:rsid w:val="00F727D5"/>
    <w:rsid w:val="00F72F44"/>
    <w:rsid w:val="00F73A0C"/>
    <w:rsid w:val="00F7596B"/>
    <w:rsid w:val="00F759DC"/>
    <w:rsid w:val="00F7717C"/>
    <w:rsid w:val="00F771A5"/>
    <w:rsid w:val="00F77693"/>
    <w:rsid w:val="00F77D04"/>
    <w:rsid w:val="00F81697"/>
    <w:rsid w:val="00F817A4"/>
    <w:rsid w:val="00F81C3A"/>
    <w:rsid w:val="00F835E1"/>
    <w:rsid w:val="00F835FC"/>
    <w:rsid w:val="00F8373A"/>
    <w:rsid w:val="00F83E21"/>
    <w:rsid w:val="00F83FA4"/>
    <w:rsid w:val="00F84E18"/>
    <w:rsid w:val="00F852E5"/>
    <w:rsid w:val="00F90350"/>
    <w:rsid w:val="00F9310A"/>
    <w:rsid w:val="00F95117"/>
    <w:rsid w:val="00F97ED2"/>
    <w:rsid w:val="00FA05D7"/>
    <w:rsid w:val="00FA1992"/>
    <w:rsid w:val="00FA1C6C"/>
    <w:rsid w:val="00FA2447"/>
    <w:rsid w:val="00FA2C2A"/>
    <w:rsid w:val="00FA309A"/>
    <w:rsid w:val="00FA36EF"/>
    <w:rsid w:val="00FA7644"/>
    <w:rsid w:val="00FB0A9A"/>
    <w:rsid w:val="00FB16AD"/>
    <w:rsid w:val="00FB483B"/>
    <w:rsid w:val="00FB56F1"/>
    <w:rsid w:val="00FB5FD4"/>
    <w:rsid w:val="00FB6555"/>
    <w:rsid w:val="00FB6798"/>
    <w:rsid w:val="00FB67F3"/>
    <w:rsid w:val="00FC0D8A"/>
    <w:rsid w:val="00FC0E5F"/>
    <w:rsid w:val="00FC135D"/>
    <w:rsid w:val="00FC34A6"/>
    <w:rsid w:val="00FC3C84"/>
    <w:rsid w:val="00FC4660"/>
    <w:rsid w:val="00FC56DE"/>
    <w:rsid w:val="00FC5E01"/>
    <w:rsid w:val="00FD1261"/>
    <w:rsid w:val="00FD1627"/>
    <w:rsid w:val="00FD1BBD"/>
    <w:rsid w:val="00FD3B11"/>
    <w:rsid w:val="00FD473D"/>
    <w:rsid w:val="00FD4AAA"/>
    <w:rsid w:val="00FD61C8"/>
    <w:rsid w:val="00FD63CE"/>
    <w:rsid w:val="00FD7D49"/>
    <w:rsid w:val="00FE1251"/>
    <w:rsid w:val="00FE16E6"/>
    <w:rsid w:val="00FE2F78"/>
    <w:rsid w:val="00FE3510"/>
    <w:rsid w:val="00FE371D"/>
    <w:rsid w:val="00FE375F"/>
    <w:rsid w:val="00FE3D8B"/>
    <w:rsid w:val="00FE4FCB"/>
    <w:rsid w:val="00FE688F"/>
    <w:rsid w:val="00FE705E"/>
    <w:rsid w:val="00FF02E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uiPriority w:val="99"/>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uiPriority w:val="99"/>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B655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uiPriority w:val="99"/>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uiPriority w:val="99"/>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Normlnweb">
    <w:name w:val="Normal (Web)"/>
    <w:basedOn w:val="Normln"/>
    <w:uiPriority w:val="99"/>
    <w:semiHidden/>
    <w:unhideWhenUsed/>
    <w:locked/>
    <w:rsid w:val="00FB655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5325993">
      <w:bodyDiv w:val="1"/>
      <w:marLeft w:val="0"/>
      <w:marRight w:val="0"/>
      <w:marTop w:val="0"/>
      <w:marBottom w:val="0"/>
      <w:divBdr>
        <w:top w:val="none" w:sz="0" w:space="0" w:color="auto"/>
        <w:left w:val="none" w:sz="0" w:space="0" w:color="auto"/>
        <w:bottom w:val="none" w:sz="0" w:space="0" w:color="auto"/>
        <w:right w:val="none" w:sz="0" w:space="0" w:color="auto"/>
      </w:divBdr>
    </w:div>
    <w:div w:id="63526688">
      <w:bodyDiv w:val="1"/>
      <w:marLeft w:val="0"/>
      <w:marRight w:val="0"/>
      <w:marTop w:val="0"/>
      <w:marBottom w:val="0"/>
      <w:divBdr>
        <w:top w:val="none" w:sz="0" w:space="0" w:color="auto"/>
        <w:left w:val="none" w:sz="0" w:space="0" w:color="auto"/>
        <w:bottom w:val="none" w:sz="0" w:space="0" w:color="auto"/>
        <w:right w:val="none" w:sz="0" w:space="0" w:color="auto"/>
      </w:divBdr>
    </w:div>
    <w:div w:id="114445636">
      <w:bodyDiv w:val="1"/>
      <w:marLeft w:val="0"/>
      <w:marRight w:val="0"/>
      <w:marTop w:val="0"/>
      <w:marBottom w:val="0"/>
      <w:divBdr>
        <w:top w:val="none" w:sz="0" w:space="0" w:color="auto"/>
        <w:left w:val="none" w:sz="0" w:space="0" w:color="auto"/>
        <w:bottom w:val="none" w:sz="0" w:space="0" w:color="auto"/>
        <w:right w:val="none" w:sz="0" w:space="0" w:color="auto"/>
      </w:divBdr>
    </w:div>
    <w:div w:id="228855498">
      <w:bodyDiv w:val="1"/>
      <w:marLeft w:val="0"/>
      <w:marRight w:val="0"/>
      <w:marTop w:val="0"/>
      <w:marBottom w:val="0"/>
      <w:divBdr>
        <w:top w:val="none" w:sz="0" w:space="0" w:color="auto"/>
        <w:left w:val="none" w:sz="0" w:space="0" w:color="auto"/>
        <w:bottom w:val="none" w:sz="0" w:space="0" w:color="auto"/>
        <w:right w:val="none" w:sz="0" w:space="0" w:color="auto"/>
      </w:divBdr>
    </w:div>
    <w:div w:id="484053728">
      <w:bodyDiv w:val="1"/>
      <w:marLeft w:val="0"/>
      <w:marRight w:val="0"/>
      <w:marTop w:val="0"/>
      <w:marBottom w:val="0"/>
      <w:divBdr>
        <w:top w:val="none" w:sz="0" w:space="0" w:color="auto"/>
        <w:left w:val="none" w:sz="0" w:space="0" w:color="auto"/>
        <w:bottom w:val="none" w:sz="0" w:space="0" w:color="auto"/>
        <w:right w:val="none" w:sz="0" w:space="0" w:color="auto"/>
      </w:divBdr>
    </w:div>
    <w:div w:id="506218342">
      <w:bodyDiv w:val="1"/>
      <w:marLeft w:val="0"/>
      <w:marRight w:val="0"/>
      <w:marTop w:val="0"/>
      <w:marBottom w:val="0"/>
      <w:divBdr>
        <w:top w:val="none" w:sz="0" w:space="0" w:color="auto"/>
        <w:left w:val="none" w:sz="0" w:space="0" w:color="auto"/>
        <w:bottom w:val="none" w:sz="0" w:space="0" w:color="auto"/>
        <w:right w:val="none" w:sz="0" w:space="0" w:color="auto"/>
      </w:divBdr>
    </w:div>
    <w:div w:id="529296442">
      <w:bodyDiv w:val="1"/>
      <w:marLeft w:val="0"/>
      <w:marRight w:val="0"/>
      <w:marTop w:val="0"/>
      <w:marBottom w:val="0"/>
      <w:divBdr>
        <w:top w:val="none" w:sz="0" w:space="0" w:color="auto"/>
        <w:left w:val="none" w:sz="0" w:space="0" w:color="auto"/>
        <w:bottom w:val="none" w:sz="0" w:space="0" w:color="auto"/>
        <w:right w:val="none" w:sz="0" w:space="0" w:color="auto"/>
      </w:divBdr>
    </w:div>
    <w:div w:id="603079723">
      <w:bodyDiv w:val="1"/>
      <w:marLeft w:val="0"/>
      <w:marRight w:val="0"/>
      <w:marTop w:val="0"/>
      <w:marBottom w:val="0"/>
      <w:divBdr>
        <w:top w:val="none" w:sz="0" w:space="0" w:color="auto"/>
        <w:left w:val="none" w:sz="0" w:space="0" w:color="auto"/>
        <w:bottom w:val="none" w:sz="0" w:space="0" w:color="auto"/>
        <w:right w:val="none" w:sz="0" w:space="0" w:color="auto"/>
      </w:divBdr>
    </w:div>
    <w:div w:id="614944147">
      <w:bodyDiv w:val="1"/>
      <w:marLeft w:val="0"/>
      <w:marRight w:val="0"/>
      <w:marTop w:val="0"/>
      <w:marBottom w:val="0"/>
      <w:divBdr>
        <w:top w:val="none" w:sz="0" w:space="0" w:color="auto"/>
        <w:left w:val="none" w:sz="0" w:space="0" w:color="auto"/>
        <w:bottom w:val="none" w:sz="0" w:space="0" w:color="auto"/>
        <w:right w:val="none" w:sz="0" w:space="0" w:color="auto"/>
      </w:divBdr>
    </w:div>
    <w:div w:id="628823926">
      <w:bodyDiv w:val="1"/>
      <w:marLeft w:val="0"/>
      <w:marRight w:val="0"/>
      <w:marTop w:val="0"/>
      <w:marBottom w:val="0"/>
      <w:divBdr>
        <w:top w:val="none" w:sz="0" w:space="0" w:color="auto"/>
        <w:left w:val="none" w:sz="0" w:space="0" w:color="auto"/>
        <w:bottom w:val="none" w:sz="0" w:space="0" w:color="auto"/>
        <w:right w:val="none" w:sz="0" w:space="0" w:color="auto"/>
      </w:divBdr>
    </w:div>
    <w:div w:id="732390569">
      <w:bodyDiv w:val="1"/>
      <w:marLeft w:val="0"/>
      <w:marRight w:val="0"/>
      <w:marTop w:val="0"/>
      <w:marBottom w:val="0"/>
      <w:divBdr>
        <w:top w:val="none" w:sz="0" w:space="0" w:color="auto"/>
        <w:left w:val="none" w:sz="0" w:space="0" w:color="auto"/>
        <w:bottom w:val="none" w:sz="0" w:space="0" w:color="auto"/>
        <w:right w:val="none" w:sz="0" w:space="0" w:color="auto"/>
      </w:divBdr>
    </w:div>
    <w:div w:id="748962139">
      <w:bodyDiv w:val="1"/>
      <w:marLeft w:val="0"/>
      <w:marRight w:val="0"/>
      <w:marTop w:val="0"/>
      <w:marBottom w:val="0"/>
      <w:divBdr>
        <w:top w:val="none" w:sz="0" w:space="0" w:color="auto"/>
        <w:left w:val="none" w:sz="0" w:space="0" w:color="auto"/>
        <w:bottom w:val="none" w:sz="0" w:space="0" w:color="auto"/>
        <w:right w:val="none" w:sz="0" w:space="0" w:color="auto"/>
      </w:divBdr>
    </w:div>
    <w:div w:id="767968854">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034768594">
      <w:bodyDiv w:val="1"/>
      <w:marLeft w:val="0"/>
      <w:marRight w:val="0"/>
      <w:marTop w:val="0"/>
      <w:marBottom w:val="0"/>
      <w:divBdr>
        <w:top w:val="none" w:sz="0" w:space="0" w:color="auto"/>
        <w:left w:val="none" w:sz="0" w:space="0" w:color="auto"/>
        <w:bottom w:val="none" w:sz="0" w:space="0" w:color="auto"/>
        <w:right w:val="none" w:sz="0" w:space="0" w:color="auto"/>
      </w:divBdr>
    </w:div>
    <w:div w:id="1069040061">
      <w:bodyDiv w:val="1"/>
      <w:marLeft w:val="0"/>
      <w:marRight w:val="0"/>
      <w:marTop w:val="0"/>
      <w:marBottom w:val="0"/>
      <w:divBdr>
        <w:top w:val="none" w:sz="0" w:space="0" w:color="auto"/>
        <w:left w:val="none" w:sz="0" w:space="0" w:color="auto"/>
        <w:bottom w:val="none" w:sz="0" w:space="0" w:color="auto"/>
        <w:right w:val="none" w:sz="0" w:space="0" w:color="auto"/>
      </w:divBdr>
    </w:div>
    <w:div w:id="1082026530">
      <w:bodyDiv w:val="1"/>
      <w:marLeft w:val="0"/>
      <w:marRight w:val="0"/>
      <w:marTop w:val="0"/>
      <w:marBottom w:val="0"/>
      <w:divBdr>
        <w:top w:val="none" w:sz="0" w:space="0" w:color="auto"/>
        <w:left w:val="none" w:sz="0" w:space="0" w:color="auto"/>
        <w:bottom w:val="none" w:sz="0" w:space="0" w:color="auto"/>
        <w:right w:val="none" w:sz="0" w:space="0" w:color="auto"/>
      </w:divBdr>
    </w:div>
    <w:div w:id="1212232217">
      <w:bodyDiv w:val="1"/>
      <w:marLeft w:val="0"/>
      <w:marRight w:val="0"/>
      <w:marTop w:val="0"/>
      <w:marBottom w:val="0"/>
      <w:divBdr>
        <w:top w:val="none" w:sz="0" w:space="0" w:color="auto"/>
        <w:left w:val="none" w:sz="0" w:space="0" w:color="auto"/>
        <w:bottom w:val="none" w:sz="0" w:space="0" w:color="auto"/>
        <w:right w:val="none" w:sz="0" w:space="0" w:color="auto"/>
      </w:divBdr>
    </w:div>
    <w:div w:id="1273784873">
      <w:bodyDiv w:val="1"/>
      <w:marLeft w:val="0"/>
      <w:marRight w:val="0"/>
      <w:marTop w:val="0"/>
      <w:marBottom w:val="0"/>
      <w:divBdr>
        <w:top w:val="none" w:sz="0" w:space="0" w:color="auto"/>
        <w:left w:val="none" w:sz="0" w:space="0" w:color="auto"/>
        <w:bottom w:val="none" w:sz="0" w:space="0" w:color="auto"/>
        <w:right w:val="none" w:sz="0" w:space="0" w:color="auto"/>
      </w:divBdr>
    </w:div>
    <w:div w:id="1305233296">
      <w:bodyDiv w:val="1"/>
      <w:marLeft w:val="0"/>
      <w:marRight w:val="0"/>
      <w:marTop w:val="0"/>
      <w:marBottom w:val="0"/>
      <w:divBdr>
        <w:top w:val="none" w:sz="0" w:space="0" w:color="auto"/>
        <w:left w:val="none" w:sz="0" w:space="0" w:color="auto"/>
        <w:bottom w:val="none" w:sz="0" w:space="0" w:color="auto"/>
        <w:right w:val="none" w:sz="0" w:space="0" w:color="auto"/>
      </w:divBdr>
    </w:div>
    <w:div w:id="1305769490">
      <w:bodyDiv w:val="1"/>
      <w:marLeft w:val="0"/>
      <w:marRight w:val="0"/>
      <w:marTop w:val="0"/>
      <w:marBottom w:val="0"/>
      <w:divBdr>
        <w:top w:val="none" w:sz="0" w:space="0" w:color="auto"/>
        <w:left w:val="none" w:sz="0" w:space="0" w:color="auto"/>
        <w:bottom w:val="none" w:sz="0" w:space="0" w:color="auto"/>
        <w:right w:val="none" w:sz="0" w:space="0" w:color="auto"/>
      </w:divBdr>
    </w:div>
    <w:div w:id="1328821066">
      <w:bodyDiv w:val="1"/>
      <w:marLeft w:val="0"/>
      <w:marRight w:val="0"/>
      <w:marTop w:val="0"/>
      <w:marBottom w:val="0"/>
      <w:divBdr>
        <w:top w:val="none" w:sz="0" w:space="0" w:color="auto"/>
        <w:left w:val="none" w:sz="0" w:space="0" w:color="auto"/>
        <w:bottom w:val="none" w:sz="0" w:space="0" w:color="auto"/>
        <w:right w:val="none" w:sz="0" w:space="0" w:color="auto"/>
      </w:divBdr>
    </w:div>
    <w:div w:id="1335111794">
      <w:bodyDiv w:val="1"/>
      <w:marLeft w:val="0"/>
      <w:marRight w:val="0"/>
      <w:marTop w:val="0"/>
      <w:marBottom w:val="0"/>
      <w:divBdr>
        <w:top w:val="none" w:sz="0" w:space="0" w:color="auto"/>
        <w:left w:val="none" w:sz="0" w:space="0" w:color="auto"/>
        <w:bottom w:val="none" w:sz="0" w:space="0" w:color="auto"/>
        <w:right w:val="none" w:sz="0" w:space="0" w:color="auto"/>
      </w:divBdr>
    </w:div>
    <w:div w:id="1337685621">
      <w:bodyDiv w:val="1"/>
      <w:marLeft w:val="0"/>
      <w:marRight w:val="0"/>
      <w:marTop w:val="0"/>
      <w:marBottom w:val="0"/>
      <w:divBdr>
        <w:top w:val="none" w:sz="0" w:space="0" w:color="auto"/>
        <w:left w:val="none" w:sz="0" w:space="0" w:color="auto"/>
        <w:bottom w:val="none" w:sz="0" w:space="0" w:color="auto"/>
        <w:right w:val="none" w:sz="0" w:space="0" w:color="auto"/>
      </w:divBdr>
    </w:div>
    <w:div w:id="1338507400">
      <w:bodyDiv w:val="1"/>
      <w:marLeft w:val="0"/>
      <w:marRight w:val="0"/>
      <w:marTop w:val="0"/>
      <w:marBottom w:val="0"/>
      <w:divBdr>
        <w:top w:val="none" w:sz="0" w:space="0" w:color="auto"/>
        <w:left w:val="none" w:sz="0" w:space="0" w:color="auto"/>
        <w:bottom w:val="none" w:sz="0" w:space="0" w:color="auto"/>
        <w:right w:val="none" w:sz="0" w:space="0" w:color="auto"/>
      </w:divBdr>
    </w:div>
    <w:div w:id="1450736267">
      <w:bodyDiv w:val="1"/>
      <w:marLeft w:val="0"/>
      <w:marRight w:val="0"/>
      <w:marTop w:val="0"/>
      <w:marBottom w:val="0"/>
      <w:divBdr>
        <w:top w:val="none" w:sz="0" w:space="0" w:color="auto"/>
        <w:left w:val="none" w:sz="0" w:space="0" w:color="auto"/>
        <w:bottom w:val="none" w:sz="0" w:space="0" w:color="auto"/>
        <w:right w:val="none" w:sz="0" w:space="0" w:color="auto"/>
      </w:divBdr>
    </w:div>
    <w:div w:id="1510412218">
      <w:bodyDiv w:val="1"/>
      <w:marLeft w:val="0"/>
      <w:marRight w:val="0"/>
      <w:marTop w:val="0"/>
      <w:marBottom w:val="0"/>
      <w:divBdr>
        <w:top w:val="none" w:sz="0" w:space="0" w:color="auto"/>
        <w:left w:val="none" w:sz="0" w:space="0" w:color="auto"/>
        <w:bottom w:val="none" w:sz="0" w:space="0" w:color="auto"/>
        <w:right w:val="none" w:sz="0" w:space="0" w:color="auto"/>
      </w:divBdr>
    </w:div>
    <w:div w:id="1526557819">
      <w:bodyDiv w:val="1"/>
      <w:marLeft w:val="0"/>
      <w:marRight w:val="0"/>
      <w:marTop w:val="0"/>
      <w:marBottom w:val="0"/>
      <w:divBdr>
        <w:top w:val="none" w:sz="0" w:space="0" w:color="auto"/>
        <w:left w:val="none" w:sz="0" w:space="0" w:color="auto"/>
        <w:bottom w:val="none" w:sz="0" w:space="0" w:color="auto"/>
        <w:right w:val="none" w:sz="0" w:space="0" w:color="auto"/>
      </w:divBdr>
    </w:div>
    <w:div w:id="1601647280">
      <w:bodyDiv w:val="1"/>
      <w:marLeft w:val="0"/>
      <w:marRight w:val="0"/>
      <w:marTop w:val="0"/>
      <w:marBottom w:val="0"/>
      <w:divBdr>
        <w:top w:val="none" w:sz="0" w:space="0" w:color="auto"/>
        <w:left w:val="none" w:sz="0" w:space="0" w:color="auto"/>
        <w:bottom w:val="none" w:sz="0" w:space="0" w:color="auto"/>
        <w:right w:val="none" w:sz="0" w:space="0" w:color="auto"/>
      </w:divBdr>
    </w:div>
    <w:div w:id="1619215650">
      <w:bodyDiv w:val="1"/>
      <w:marLeft w:val="0"/>
      <w:marRight w:val="0"/>
      <w:marTop w:val="0"/>
      <w:marBottom w:val="0"/>
      <w:divBdr>
        <w:top w:val="none" w:sz="0" w:space="0" w:color="auto"/>
        <w:left w:val="none" w:sz="0" w:space="0" w:color="auto"/>
        <w:bottom w:val="none" w:sz="0" w:space="0" w:color="auto"/>
        <w:right w:val="none" w:sz="0" w:space="0" w:color="auto"/>
      </w:divBdr>
    </w:div>
    <w:div w:id="1643073884">
      <w:bodyDiv w:val="1"/>
      <w:marLeft w:val="0"/>
      <w:marRight w:val="0"/>
      <w:marTop w:val="0"/>
      <w:marBottom w:val="0"/>
      <w:divBdr>
        <w:top w:val="none" w:sz="0" w:space="0" w:color="auto"/>
        <w:left w:val="none" w:sz="0" w:space="0" w:color="auto"/>
        <w:bottom w:val="none" w:sz="0" w:space="0" w:color="auto"/>
        <w:right w:val="none" w:sz="0" w:space="0" w:color="auto"/>
      </w:divBdr>
    </w:div>
    <w:div w:id="1682510105">
      <w:bodyDiv w:val="1"/>
      <w:marLeft w:val="0"/>
      <w:marRight w:val="0"/>
      <w:marTop w:val="0"/>
      <w:marBottom w:val="0"/>
      <w:divBdr>
        <w:top w:val="none" w:sz="0" w:space="0" w:color="auto"/>
        <w:left w:val="none" w:sz="0" w:space="0" w:color="auto"/>
        <w:bottom w:val="none" w:sz="0" w:space="0" w:color="auto"/>
        <w:right w:val="none" w:sz="0" w:space="0" w:color="auto"/>
      </w:divBdr>
    </w:div>
    <w:div w:id="1698966458">
      <w:bodyDiv w:val="1"/>
      <w:marLeft w:val="0"/>
      <w:marRight w:val="0"/>
      <w:marTop w:val="0"/>
      <w:marBottom w:val="0"/>
      <w:divBdr>
        <w:top w:val="none" w:sz="0" w:space="0" w:color="auto"/>
        <w:left w:val="none" w:sz="0" w:space="0" w:color="auto"/>
        <w:bottom w:val="none" w:sz="0" w:space="0" w:color="auto"/>
        <w:right w:val="none" w:sz="0" w:space="0" w:color="auto"/>
      </w:divBdr>
    </w:div>
    <w:div w:id="1719623276">
      <w:bodyDiv w:val="1"/>
      <w:marLeft w:val="0"/>
      <w:marRight w:val="0"/>
      <w:marTop w:val="0"/>
      <w:marBottom w:val="0"/>
      <w:divBdr>
        <w:top w:val="none" w:sz="0" w:space="0" w:color="auto"/>
        <w:left w:val="none" w:sz="0" w:space="0" w:color="auto"/>
        <w:bottom w:val="none" w:sz="0" w:space="0" w:color="auto"/>
        <w:right w:val="none" w:sz="0" w:space="0" w:color="auto"/>
      </w:divBdr>
    </w:div>
    <w:div w:id="1877886469">
      <w:bodyDiv w:val="1"/>
      <w:marLeft w:val="0"/>
      <w:marRight w:val="0"/>
      <w:marTop w:val="0"/>
      <w:marBottom w:val="0"/>
      <w:divBdr>
        <w:top w:val="none" w:sz="0" w:space="0" w:color="auto"/>
        <w:left w:val="none" w:sz="0" w:space="0" w:color="auto"/>
        <w:bottom w:val="none" w:sz="0" w:space="0" w:color="auto"/>
        <w:right w:val="none" w:sz="0" w:space="0" w:color="auto"/>
      </w:divBdr>
    </w:div>
    <w:div w:id="1911116916">
      <w:bodyDiv w:val="1"/>
      <w:marLeft w:val="0"/>
      <w:marRight w:val="0"/>
      <w:marTop w:val="0"/>
      <w:marBottom w:val="0"/>
      <w:divBdr>
        <w:top w:val="none" w:sz="0" w:space="0" w:color="auto"/>
        <w:left w:val="none" w:sz="0" w:space="0" w:color="auto"/>
        <w:bottom w:val="none" w:sz="0" w:space="0" w:color="auto"/>
        <w:right w:val="none" w:sz="0" w:space="0" w:color="auto"/>
      </w:divBdr>
    </w:div>
    <w:div w:id="2040230636">
      <w:bodyDiv w:val="1"/>
      <w:marLeft w:val="0"/>
      <w:marRight w:val="0"/>
      <w:marTop w:val="0"/>
      <w:marBottom w:val="0"/>
      <w:divBdr>
        <w:top w:val="none" w:sz="0" w:space="0" w:color="auto"/>
        <w:left w:val="none" w:sz="0" w:space="0" w:color="auto"/>
        <w:bottom w:val="none" w:sz="0" w:space="0" w:color="auto"/>
        <w:right w:val="none" w:sz="0" w:space="0" w:color="auto"/>
      </w:divBdr>
    </w:div>
    <w:div w:id="2085099298">
      <w:bodyDiv w:val="1"/>
      <w:marLeft w:val="0"/>
      <w:marRight w:val="0"/>
      <w:marTop w:val="0"/>
      <w:marBottom w:val="0"/>
      <w:divBdr>
        <w:top w:val="none" w:sz="0" w:space="0" w:color="auto"/>
        <w:left w:val="none" w:sz="0" w:space="0" w:color="auto"/>
        <w:bottom w:val="none" w:sz="0" w:space="0" w:color="auto"/>
        <w:right w:val="none" w:sz="0" w:space="0" w:color="auto"/>
      </w:divBdr>
    </w:div>
    <w:div w:id="2097482922">
      <w:bodyDiv w:val="1"/>
      <w:marLeft w:val="0"/>
      <w:marRight w:val="0"/>
      <w:marTop w:val="0"/>
      <w:marBottom w:val="0"/>
      <w:divBdr>
        <w:top w:val="none" w:sz="0" w:space="0" w:color="auto"/>
        <w:left w:val="none" w:sz="0" w:space="0" w:color="auto"/>
        <w:bottom w:val="none" w:sz="0" w:space="0" w:color="auto"/>
        <w:right w:val="none" w:sz="0" w:space="0" w:color="auto"/>
      </w:divBdr>
    </w:div>
    <w:div w:id="21245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116AA-7AFF-4E22-B407-381792A1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1</TotalTime>
  <Pages>3</Pages>
  <Words>1334</Words>
  <Characters>7871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2016-10-19T12:45:00Z</cp:lastPrinted>
  <dcterms:created xsi:type="dcterms:W3CDTF">2016-10-21T17:03:00Z</dcterms:created>
  <dcterms:modified xsi:type="dcterms:W3CDTF">2016-10-21T17:03:00Z</dcterms:modified>
</cp:coreProperties>
</file>