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28" w:rsidRPr="00412F61" w:rsidRDefault="00C62828" w:rsidP="00C62828">
      <w:pPr>
        <w:pStyle w:val="Nadpis11"/>
        <w:rPr>
          <w:lang w:val="en-GB"/>
        </w:rPr>
      </w:pPr>
      <w:bookmarkStart w:id="0" w:name="_Toc525046021"/>
      <w:r w:rsidRPr="00412F61">
        <w:rPr>
          <w:lang w:val="en-GB"/>
        </w:rPr>
        <w:t xml:space="preserve">2. </w:t>
      </w:r>
      <w:r w:rsidR="00510210" w:rsidRPr="00412F61">
        <w:rPr>
          <w:lang w:val="en-GB"/>
        </w:rPr>
        <w:t>Overall Economic Performance</w:t>
      </w:r>
      <w:bookmarkEnd w:id="0"/>
    </w:p>
    <w:tbl>
      <w:tblPr>
        <w:tblW w:w="9639" w:type="dxa"/>
        <w:tblInd w:w="-15" w:type="dxa"/>
        <w:tblCellMar>
          <w:left w:w="0" w:type="dxa"/>
          <w:right w:w="0" w:type="dxa"/>
        </w:tblCellMar>
        <w:tblLook w:val="00A0"/>
      </w:tblPr>
      <w:tblGrid>
        <w:gridCol w:w="1888"/>
        <w:gridCol w:w="250"/>
        <w:gridCol w:w="7501"/>
      </w:tblGrid>
      <w:tr w:rsidR="00FE2C7E" w:rsidRPr="00412F61" w:rsidTr="00232C2B">
        <w:trPr>
          <w:trHeight w:val="145"/>
        </w:trPr>
        <w:tc>
          <w:tcPr>
            <w:tcW w:w="1888" w:type="dxa"/>
            <w:shd w:val="clear" w:color="auto" w:fill="auto"/>
            <w:tcMar>
              <w:left w:w="0" w:type="dxa"/>
            </w:tcMar>
          </w:tcPr>
          <w:p w:rsidR="00FE2C7E" w:rsidRPr="00412F61" w:rsidRDefault="003441C3" w:rsidP="00FE2C7E">
            <w:pPr>
              <w:pStyle w:val="Marginlie"/>
              <w:rPr>
                <w:lang w:val="en-GB"/>
              </w:rPr>
            </w:pPr>
            <w:r w:rsidRPr="00412F61">
              <w:rPr>
                <w:lang w:val="en-GB"/>
              </w:rPr>
              <w:t>Year-on-year dynamics of the GDP growth markedly slowed down in Q2</w:t>
            </w:r>
            <w:r w:rsidR="00FE2C7E" w:rsidRPr="00412F61">
              <w:rPr>
                <w:lang w:val="en-GB"/>
              </w:rPr>
              <w:t>.</w:t>
            </w:r>
          </w:p>
        </w:tc>
        <w:tc>
          <w:tcPr>
            <w:tcW w:w="250" w:type="dxa"/>
            <w:shd w:val="clear" w:color="auto" w:fill="auto"/>
            <w:tcMar>
              <w:left w:w="0" w:type="dxa"/>
            </w:tcMar>
          </w:tcPr>
          <w:p w:rsidR="00FE2C7E" w:rsidRPr="00412F61" w:rsidRDefault="00FE2C7E" w:rsidP="00FE2C7E">
            <w:pPr>
              <w:pStyle w:val="Textpoznpodarou"/>
              <w:jc w:val="both"/>
              <w:rPr>
                <w:spacing w:val="-4"/>
                <w:lang w:val="en-GB"/>
              </w:rPr>
            </w:pPr>
          </w:p>
        </w:tc>
        <w:tc>
          <w:tcPr>
            <w:tcW w:w="7501" w:type="dxa"/>
            <w:shd w:val="clear" w:color="auto" w:fill="auto"/>
            <w:tcMar>
              <w:left w:w="0" w:type="dxa"/>
            </w:tcMar>
          </w:tcPr>
          <w:p w:rsidR="00FE2C7E" w:rsidRPr="00412F61" w:rsidRDefault="003441C3" w:rsidP="00BE33E5">
            <w:pPr>
              <w:spacing w:after="220"/>
              <w:rPr>
                <w:spacing w:val="-2"/>
                <w:lang w:val="en-GB"/>
              </w:rPr>
            </w:pPr>
            <w:r w:rsidRPr="00412F61">
              <w:rPr>
                <w:spacing w:val="-2"/>
                <w:lang w:val="en-GB"/>
              </w:rPr>
              <w:t xml:space="preserve">Fast rate of growth of the economic </w:t>
            </w:r>
            <w:r w:rsidR="006E3937" w:rsidRPr="00412F61">
              <w:rPr>
                <w:spacing w:val="-2"/>
                <w:lang w:val="en-GB"/>
              </w:rPr>
              <w:t>expansion</w:t>
            </w:r>
            <w:r w:rsidRPr="00412F61">
              <w:rPr>
                <w:spacing w:val="-2"/>
                <w:lang w:val="en-GB"/>
              </w:rPr>
              <w:t>, which was characteristic for the Czech economy in the past year, was not sustained in the 1</w:t>
            </w:r>
            <w:r w:rsidRPr="00412F61">
              <w:rPr>
                <w:spacing w:val="-2"/>
                <w:vertAlign w:val="superscript"/>
                <w:lang w:val="en-GB"/>
              </w:rPr>
              <w:t>st</w:t>
            </w:r>
            <w:r w:rsidRPr="00412F61">
              <w:rPr>
                <w:spacing w:val="-2"/>
                <w:lang w:val="en-GB"/>
              </w:rPr>
              <w:t xml:space="preserve"> half of year 2018. </w:t>
            </w:r>
            <w:r w:rsidR="00FE2C7E" w:rsidRPr="00412F61">
              <w:rPr>
                <w:spacing w:val="-2"/>
                <w:lang w:val="en-GB"/>
              </w:rPr>
              <w:t>M</w:t>
            </w:r>
            <w:r w:rsidRPr="00412F61">
              <w:rPr>
                <w:spacing w:val="-2"/>
                <w:lang w:val="en-GB"/>
              </w:rPr>
              <w:t xml:space="preserve">oderate </w:t>
            </w:r>
            <w:r w:rsidR="00046535" w:rsidRPr="00412F61">
              <w:rPr>
                <w:spacing w:val="-2"/>
                <w:lang w:val="en-GB"/>
              </w:rPr>
              <w:t>slowdown</w:t>
            </w:r>
            <w:r w:rsidRPr="00412F61">
              <w:rPr>
                <w:spacing w:val="-2"/>
                <w:lang w:val="en-GB"/>
              </w:rPr>
              <w:t xml:space="preserve"> was apparent already in Q1, when the growth of the Gross domestic product (GDP) </w:t>
            </w:r>
            <w:r w:rsidR="00F04D7F" w:rsidRPr="00412F61">
              <w:rPr>
                <w:spacing w:val="-2"/>
                <w:lang w:val="en-GB"/>
              </w:rPr>
              <w:t xml:space="preserve">reached </w:t>
            </w:r>
            <w:r w:rsidR="00FE2C7E" w:rsidRPr="00412F61">
              <w:rPr>
                <w:spacing w:val="-2"/>
                <w:lang w:val="en-GB"/>
              </w:rPr>
              <w:t>4</w:t>
            </w:r>
            <w:r w:rsidR="00F04D7F" w:rsidRPr="00412F61">
              <w:rPr>
                <w:spacing w:val="-2"/>
                <w:lang w:val="en-GB"/>
              </w:rPr>
              <w:t>.</w:t>
            </w:r>
            <w:r w:rsidR="00FE2C7E" w:rsidRPr="00412F61">
              <w:rPr>
                <w:spacing w:val="-2"/>
                <w:lang w:val="en-GB"/>
              </w:rPr>
              <w:t>1</w:t>
            </w:r>
            <w:r w:rsidR="00C777A6" w:rsidRPr="00412F61">
              <w:rPr>
                <w:spacing w:val="-2"/>
                <w:lang w:val="en-GB"/>
              </w:rPr>
              <w:t>%</w:t>
            </w:r>
            <w:r w:rsidR="00FE2C7E" w:rsidRPr="00412F61">
              <w:rPr>
                <w:rStyle w:val="Znakapoznpodarou"/>
                <w:rFonts w:cs="Arial"/>
                <w:spacing w:val="-2"/>
                <w:lang w:val="en-GB"/>
              </w:rPr>
              <w:footnoteReference w:id="1"/>
            </w:r>
            <w:r w:rsidR="00FE2C7E" w:rsidRPr="00412F61">
              <w:rPr>
                <w:spacing w:val="-2"/>
                <w:lang w:val="en-GB"/>
              </w:rPr>
              <w:t xml:space="preserve">. </w:t>
            </w:r>
            <w:r w:rsidR="00F3720E" w:rsidRPr="00412F61">
              <w:rPr>
                <w:spacing w:val="-2"/>
                <w:lang w:val="en-GB"/>
              </w:rPr>
              <w:t>The year-on-year addition of Q2 2018 definitely confirmed this development. It amounted to 2.4%, which is the lowest value since the end of year 2016.</w:t>
            </w:r>
            <w:r w:rsidR="002F54AD" w:rsidRPr="00412F61">
              <w:rPr>
                <w:spacing w:val="-2"/>
                <w:lang w:val="en-GB"/>
              </w:rPr>
              <w:t xml:space="preserve"> </w:t>
            </w:r>
            <w:r w:rsidR="00D54FDE" w:rsidRPr="00412F61">
              <w:rPr>
                <w:spacing w:val="-2"/>
                <w:lang w:val="en-GB"/>
              </w:rPr>
              <w:t xml:space="preserve">Consumption as well as the investment expenditures had a favourable effect on the GDP growth, </w:t>
            </w:r>
            <w:r w:rsidR="009C64C9" w:rsidRPr="00412F61">
              <w:rPr>
                <w:spacing w:val="-2"/>
                <w:lang w:val="en-GB"/>
              </w:rPr>
              <w:t>similar</w:t>
            </w:r>
            <w:r w:rsidR="00D54FDE" w:rsidRPr="00412F61">
              <w:rPr>
                <w:spacing w:val="-2"/>
                <w:lang w:val="en-GB"/>
              </w:rPr>
              <w:t xml:space="preserve"> to the foreign trade balance. The adverse influence of the </w:t>
            </w:r>
            <w:r w:rsidR="00BE33E5" w:rsidRPr="00412F61">
              <w:rPr>
                <w:spacing w:val="-2"/>
                <w:lang w:val="en-GB"/>
              </w:rPr>
              <w:t xml:space="preserve">change of the inventory stock </w:t>
            </w:r>
            <w:r w:rsidR="00D54FDE" w:rsidRPr="00412F61">
              <w:rPr>
                <w:spacing w:val="-2"/>
                <w:lang w:val="en-GB"/>
              </w:rPr>
              <w:t xml:space="preserve">however had a large impact. Quarter-on-quarter dynamics of the GDP </w:t>
            </w:r>
            <w:r w:rsidR="002F54AD" w:rsidRPr="00412F61">
              <w:rPr>
                <w:spacing w:val="-2"/>
                <w:lang w:val="en-GB"/>
              </w:rPr>
              <w:t>has been</w:t>
            </w:r>
            <w:r w:rsidR="00D54FDE" w:rsidRPr="00412F61">
              <w:rPr>
                <w:spacing w:val="-2"/>
                <w:lang w:val="en-GB"/>
              </w:rPr>
              <w:t xml:space="preserve"> </w:t>
            </w:r>
            <w:r w:rsidR="009C64C9" w:rsidRPr="00412F61">
              <w:rPr>
                <w:spacing w:val="-2"/>
                <w:lang w:val="en-GB"/>
              </w:rPr>
              <w:t xml:space="preserve">relatively stable in the recent quarters. </w:t>
            </w:r>
            <w:r w:rsidR="00DF74E3" w:rsidRPr="00412F61">
              <w:rPr>
                <w:spacing w:val="-2"/>
                <w:lang w:val="en-GB"/>
              </w:rPr>
              <w:t>Following the exceptionally large quarterly additions in H1 2017, whose impulse subsequently transferred into a notable year-on-year rate of growth, t</w:t>
            </w:r>
            <w:r w:rsidR="00C23127" w:rsidRPr="00412F61">
              <w:rPr>
                <w:spacing w:val="-2"/>
                <w:lang w:val="en-GB"/>
              </w:rPr>
              <w:t>he dyna</w:t>
            </w:r>
            <w:r w:rsidR="00DF74E3" w:rsidRPr="00412F61">
              <w:rPr>
                <w:spacing w:val="-2"/>
                <w:lang w:val="en-GB"/>
              </w:rPr>
              <w:t>m</w:t>
            </w:r>
            <w:r w:rsidR="00C23127" w:rsidRPr="00412F61">
              <w:rPr>
                <w:spacing w:val="-2"/>
                <w:lang w:val="en-GB"/>
              </w:rPr>
              <w:t xml:space="preserve">ics returned to a lower level. The GDP thus expanded by 0.7% in Q2 compared to Q1. Year-on-year growth of the </w:t>
            </w:r>
            <w:r w:rsidR="002F54AD" w:rsidRPr="00412F61">
              <w:rPr>
                <w:spacing w:val="-2"/>
                <w:lang w:val="en-GB"/>
              </w:rPr>
              <w:t>G</w:t>
            </w:r>
            <w:r w:rsidR="00C23127" w:rsidRPr="00412F61">
              <w:rPr>
                <w:spacing w:val="-2"/>
                <w:lang w:val="en-GB"/>
              </w:rPr>
              <w:t xml:space="preserve">ross value added (GVA) copied the GDP in Q2, when it reached 4.2%. Quarter-on-quarter addition to GVA on the contrary lagged somewhat behind </w:t>
            </w:r>
            <w:r w:rsidR="00FE2C7E" w:rsidRPr="00412F61">
              <w:rPr>
                <w:spacing w:val="-2"/>
                <w:lang w:val="en-GB"/>
              </w:rPr>
              <w:t>(0</w:t>
            </w:r>
            <w:r w:rsidR="00C23127" w:rsidRPr="00412F61">
              <w:rPr>
                <w:spacing w:val="-2"/>
                <w:lang w:val="en-GB"/>
              </w:rPr>
              <w:t>.</w:t>
            </w:r>
            <w:r w:rsidR="00FE2C7E" w:rsidRPr="00412F61">
              <w:rPr>
                <w:spacing w:val="-2"/>
                <w:lang w:val="en-GB"/>
              </w:rPr>
              <w:t>5</w:t>
            </w:r>
            <w:r w:rsidR="00C777A6" w:rsidRPr="00412F61">
              <w:rPr>
                <w:spacing w:val="-2"/>
                <w:lang w:val="en-GB"/>
              </w:rPr>
              <w:t>%</w:t>
            </w:r>
            <w:r w:rsidR="00FE2C7E" w:rsidRPr="00412F61">
              <w:rPr>
                <w:spacing w:val="-2"/>
                <w:lang w:val="en-GB"/>
              </w:rPr>
              <w:t xml:space="preserve">). </w:t>
            </w:r>
            <w:r w:rsidR="00C23127" w:rsidRPr="00412F61">
              <w:rPr>
                <w:spacing w:val="-2"/>
                <w:lang w:val="en-GB"/>
              </w:rPr>
              <w:t xml:space="preserve">Manufacturing kept its significant role regarding the </w:t>
            </w:r>
            <w:r w:rsidR="00DF74E3" w:rsidRPr="00412F61">
              <w:rPr>
                <w:spacing w:val="-2"/>
                <w:lang w:val="en-GB"/>
              </w:rPr>
              <w:t xml:space="preserve">GVA </w:t>
            </w:r>
            <w:proofErr w:type="gramStart"/>
            <w:r w:rsidR="00DF74E3" w:rsidRPr="00412F61">
              <w:rPr>
                <w:spacing w:val="-2"/>
                <w:lang w:val="en-GB"/>
              </w:rPr>
              <w:t>growth,</w:t>
            </w:r>
            <w:proofErr w:type="gramEnd"/>
            <w:r w:rsidR="00DF74E3" w:rsidRPr="00412F61">
              <w:rPr>
                <w:spacing w:val="-2"/>
                <w:lang w:val="en-GB"/>
              </w:rPr>
              <w:t xml:space="preserve"> however the contribution of services dominated the dynamics this time.</w:t>
            </w:r>
          </w:p>
        </w:tc>
      </w:tr>
      <w:tr w:rsidR="00FE2C7E" w:rsidRPr="00412F61" w:rsidTr="00232C2B">
        <w:trPr>
          <w:trHeight w:val="170"/>
        </w:trPr>
        <w:tc>
          <w:tcPr>
            <w:tcW w:w="1888" w:type="dxa"/>
            <w:vMerge w:val="restart"/>
            <w:shd w:val="clear" w:color="auto" w:fill="auto"/>
            <w:tcMar>
              <w:left w:w="0" w:type="dxa"/>
            </w:tcMar>
          </w:tcPr>
          <w:p w:rsidR="00FE2C7E" w:rsidRPr="00412F61" w:rsidRDefault="00FE2C7E" w:rsidP="00FE2C7E">
            <w:pPr>
              <w:pStyle w:val="Marginlie"/>
              <w:rPr>
                <w:lang w:val="en-GB"/>
              </w:rPr>
            </w:pPr>
          </w:p>
        </w:tc>
        <w:tc>
          <w:tcPr>
            <w:tcW w:w="250" w:type="dxa"/>
            <w:vMerge w:val="restart"/>
            <w:shd w:val="clear" w:color="auto" w:fill="auto"/>
            <w:tcMar>
              <w:left w:w="0" w:type="dxa"/>
            </w:tcMar>
          </w:tcPr>
          <w:p w:rsidR="00FE2C7E" w:rsidRPr="00412F61" w:rsidRDefault="00FE2C7E" w:rsidP="00FE2C7E">
            <w:pPr>
              <w:pStyle w:val="Textpoznpodarou"/>
              <w:jc w:val="both"/>
              <w:rPr>
                <w:spacing w:val="-4"/>
                <w:lang w:val="en-GB"/>
              </w:rPr>
            </w:pPr>
          </w:p>
        </w:tc>
        <w:tc>
          <w:tcPr>
            <w:tcW w:w="7501" w:type="dxa"/>
            <w:shd w:val="clear" w:color="auto" w:fill="auto"/>
            <w:tcMar>
              <w:left w:w="0" w:type="dxa"/>
            </w:tcMar>
          </w:tcPr>
          <w:p w:rsidR="00FE2C7E" w:rsidRPr="00412F61" w:rsidRDefault="009C64C9" w:rsidP="00FE2C7E">
            <w:pPr>
              <w:spacing w:after="0"/>
              <w:rPr>
                <w:b/>
                <w:lang w:val="en-GB"/>
              </w:rPr>
            </w:pPr>
            <w:r w:rsidRPr="00412F61">
              <w:rPr>
                <w:rFonts w:cs="Arial"/>
                <w:b/>
                <w:bCs/>
                <w:color w:val="000000"/>
                <w:sz w:val="18"/>
                <w:szCs w:val="18"/>
                <w:lang w:val="en-GB"/>
              </w:rPr>
              <w:t xml:space="preserve">Chart </w:t>
            </w:r>
            <w:r w:rsidR="00FE2C7E" w:rsidRPr="00412F61">
              <w:rPr>
                <w:rFonts w:cs="Arial"/>
                <w:b/>
                <w:bCs/>
                <w:color w:val="000000"/>
                <w:sz w:val="18"/>
                <w:szCs w:val="18"/>
                <w:lang w:val="en-GB"/>
              </w:rPr>
              <w:t>1</w:t>
            </w:r>
            <w:r w:rsidR="00C23127" w:rsidRPr="00412F61">
              <w:rPr>
                <w:rFonts w:cs="Arial"/>
                <w:b/>
                <w:bCs/>
                <w:color w:val="000000"/>
                <w:sz w:val="18"/>
                <w:szCs w:val="18"/>
                <w:lang w:val="en-GB"/>
              </w:rPr>
              <w:t xml:space="preserve"> </w:t>
            </w:r>
            <w:r w:rsidRPr="00412F61">
              <w:rPr>
                <w:rFonts w:cs="Arial"/>
                <w:b/>
                <w:bCs/>
                <w:color w:val="000000"/>
                <w:sz w:val="18"/>
                <w:szCs w:val="18"/>
                <w:lang w:val="en-GB"/>
              </w:rPr>
              <w:t xml:space="preserve">GDP </w:t>
            </w:r>
            <w:r w:rsidR="00FE2C7E" w:rsidRPr="00412F61">
              <w:rPr>
                <w:rFonts w:cs="Arial"/>
                <w:sz w:val="18"/>
                <w:szCs w:val="18"/>
                <w:lang w:val="en-GB" w:eastAsia="en-US"/>
              </w:rPr>
              <w:t>(</w:t>
            </w:r>
            <w:r w:rsidRPr="00412F61">
              <w:rPr>
                <w:rFonts w:cs="Arial"/>
                <w:sz w:val="18"/>
                <w:szCs w:val="18"/>
                <w:lang w:val="en-GB" w:eastAsia="en-US"/>
              </w:rPr>
              <w:t xml:space="preserve">volume </w:t>
            </w:r>
            <w:r w:rsidR="00E71D50" w:rsidRPr="00412F61">
              <w:rPr>
                <w:rFonts w:cs="Arial"/>
                <w:sz w:val="18"/>
                <w:szCs w:val="18"/>
                <w:lang w:val="en-GB" w:eastAsia="en-US"/>
              </w:rPr>
              <w:t>indices</w:t>
            </w:r>
            <w:r w:rsidRPr="00412F61">
              <w:rPr>
                <w:rFonts w:cs="Arial"/>
                <w:sz w:val="18"/>
                <w:szCs w:val="18"/>
                <w:lang w:val="en-GB" w:eastAsia="en-US"/>
              </w:rPr>
              <w:t xml:space="preserve"> adjusted for seasonal and calendar effects, in </w:t>
            </w:r>
            <w:r w:rsidR="007B0E83" w:rsidRPr="00412F61">
              <w:rPr>
                <w:rFonts w:cs="Arial"/>
                <w:sz w:val="18"/>
                <w:szCs w:val="18"/>
                <w:lang w:val="en-GB" w:eastAsia="en-US"/>
              </w:rPr>
              <w:t>%</w:t>
            </w:r>
            <w:r w:rsidR="00FE2C7E" w:rsidRPr="00412F61">
              <w:rPr>
                <w:rFonts w:cs="Arial"/>
                <w:sz w:val="18"/>
                <w:szCs w:val="18"/>
                <w:lang w:val="en-GB" w:eastAsia="en-US"/>
              </w:rPr>
              <w:t>)</w:t>
            </w:r>
          </w:p>
        </w:tc>
      </w:tr>
      <w:tr w:rsidR="00FE2C7E" w:rsidRPr="00412F61" w:rsidTr="00232C2B">
        <w:trPr>
          <w:trHeight w:val="170"/>
        </w:trPr>
        <w:tc>
          <w:tcPr>
            <w:tcW w:w="1888" w:type="dxa"/>
            <w:vMerge/>
            <w:shd w:val="clear" w:color="auto" w:fill="auto"/>
            <w:tcMar>
              <w:left w:w="0" w:type="dxa"/>
            </w:tcMar>
          </w:tcPr>
          <w:p w:rsidR="00FE2C7E" w:rsidRPr="00412F61" w:rsidRDefault="00FE2C7E" w:rsidP="00965797">
            <w:pPr>
              <w:pStyle w:val="Marginlie"/>
              <w:rPr>
                <w:lang w:val="en-GB"/>
              </w:rPr>
            </w:pPr>
          </w:p>
        </w:tc>
        <w:tc>
          <w:tcPr>
            <w:tcW w:w="250" w:type="dxa"/>
            <w:vMerge/>
            <w:shd w:val="clear" w:color="auto" w:fill="auto"/>
            <w:tcMar>
              <w:left w:w="0" w:type="dxa"/>
            </w:tcMar>
          </w:tcPr>
          <w:p w:rsidR="00FE2C7E" w:rsidRPr="00412F61" w:rsidRDefault="00FE2C7E" w:rsidP="00965797">
            <w:pPr>
              <w:pStyle w:val="Textpoznpodarou"/>
              <w:jc w:val="both"/>
              <w:rPr>
                <w:spacing w:val="-4"/>
                <w:lang w:val="en-GB"/>
              </w:rPr>
            </w:pPr>
          </w:p>
        </w:tc>
        <w:tc>
          <w:tcPr>
            <w:tcW w:w="7501" w:type="dxa"/>
            <w:shd w:val="clear" w:color="auto" w:fill="auto"/>
            <w:tcMar>
              <w:left w:w="0" w:type="dxa"/>
            </w:tcMar>
          </w:tcPr>
          <w:p w:rsidR="00FE2C7E" w:rsidRPr="00412F61" w:rsidRDefault="00232C2B" w:rsidP="00965797">
            <w:pPr>
              <w:spacing w:after="0"/>
              <w:rPr>
                <w:lang w:val="en-GB"/>
              </w:rPr>
            </w:pPr>
            <w:r w:rsidRPr="00232C2B">
              <w:rPr>
                <w:noProof/>
              </w:rPr>
              <w:drawing>
                <wp:inline distT="0" distB="0" distL="0" distR="0">
                  <wp:extent cx="4737600" cy="3553200"/>
                  <wp:effectExtent l="19050" t="0" r="0" b="0"/>
                  <wp:docPr id="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FE2C7E" w:rsidRPr="00412F61" w:rsidTr="00232C2B">
        <w:trPr>
          <w:trHeight w:val="170"/>
        </w:trPr>
        <w:tc>
          <w:tcPr>
            <w:tcW w:w="1888" w:type="dxa"/>
            <w:vMerge/>
            <w:shd w:val="clear" w:color="auto" w:fill="auto"/>
            <w:tcMar>
              <w:left w:w="0" w:type="dxa"/>
            </w:tcMar>
          </w:tcPr>
          <w:p w:rsidR="00FE2C7E" w:rsidRPr="00412F61" w:rsidRDefault="00FE2C7E" w:rsidP="00965797">
            <w:pPr>
              <w:pStyle w:val="Marginlie"/>
              <w:rPr>
                <w:lang w:val="en-GB"/>
              </w:rPr>
            </w:pPr>
          </w:p>
        </w:tc>
        <w:tc>
          <w:tcPr>
            <w:tcW w:w="250" w:type="dxa"/>
            <w:vMerge/>
            <w:shd w:val="clear" w:color="auto" w:fill="auto"/>
            <w:tcMar>
              <w:left w:w="0" w:type="dxa"/>
            </w:tcMar>
          </w:tcPr>
          <w:p w:rsidR="00FE2C7E" w:rsidRPr="00412F61" w:rsidRDefault="00FE2C7E" w:rsidP="00965797">
            <w:pPr>
              <w:pStyle w:val="Textpoznpodarou"/>
              <w:jc w:val="both"/>
              <w:rPr>
                <w:spacing w:val="-4"/>
                <w:lang w:val="en-GB"/>
              </w:rPr>
            </w:pPr>
          </w:p>
        </w:tc>
        <w:tc>
          <w:tcPr>
            <w:tcW w:w="7501" w:type="dxa"/>
            <w:shd w:val="clear" w:color="auto" w:fill="auto"/>
            <w:tcMar>
              <w:left w:w="0" w:type="dxa"/>
            </w:tcMar>
          </w:tcPr>
          <w:p w:rsidR="00B22920" w:rsidRPr="00412F61" w:rsidRDefault="00B22920" w:rsidP="00232C2B">
            <w:pPr>
              <w:spacing w:after="220"/>
              <w:rPr>
                <w:b/>
                <w:sz w:val="18"/>
                <w:szCs w:val="18"/>
                <w:lang w:val="en-GB"/>
              </w:rPr>
            </w:pPr>
            <w:r w:rsidRPr="00412F61">
              <w:rPr>
                <w:sz w:val="14"/>
                <w:szCs w:val="14"/>
                <w:lang w:val="en-GB"/>
              </w:rPr>
              <w:t>Source</w:t>
            </w:r>
            <w:r w:rsidR="00FE2C7E" w:rsidRPr="00412F61">
              <w:rPr>
                <w:sz w:val="14"/>
                <w:szCs w:val="14"/>
                <w:lang w:val="en-GB"/>
              </w:rPr>
              <w:t xml:space="preserve">: </w:t>
            </w:r>
            <w:r w:rsidRPr="00412F61">
              <w:rPr>
                <w:sz w:val="14"/>
                <w:szCs w:val="14"/>
                <w:lang w:val="en-GB"/>
              </w:rPr>
              <w:t>CZSO</w:t>
            </w:r>
            <w:r w:rsidR="00FE2C7E" w:rsidRPr="00412F61">
              <w:rPr>
                <w:sz w:val="14"/>
                <w:szCs w:val="14"/>
                <w:lang w:val="en-GB"/>
              </w:rPr>
              <w:t xml:space="preserve">, </w:t>
            </w:r>
            <w:proofErr w:type="spellStart"/>
            <w:r w:rsidR="00FE2C7E" w:rsidRPr="00412F61">
              <w:rPr>
                <w:sz w:val="14"/>
                <w:szCs w:val="14"/>
                <w:lang w:val="en-GB"/>
              </w:rPr>
              <w:t>Eurostat</w:t>
            </w:r>
            <w:proofErr w:type="spellEnd"/>
          </w:p>
        </w:tc>
      </w:tr>
      <w:tr w:rsidR="00FE2C7E" w:rsidRPr="00412F61" w:rsidTr="00232C2B">
        <w:trPr>
          <w:trHeight w:val="145"/>
        </w:trPr>
        <w:tc>
          <w:tcPr>
            <w:tcW w:w="1888" w:type="dxa"/>
            <w:shd w:val="clear" w:color="auto" w:fill="auto"/>
            <w:tcMar>
              <w:left w:w="0" w:type="dxa"/>
            </w:tcMar>
          </w:tcPr>
          <w:p w:rsidR="00FE2C7E" w:rsidRPr="00412F61" w:rsidRDefault="00A77A0F" w:rsidP="00FE2C7E">
            <w:pPr>
              <w:pStyle w:val="Marginlie"/>
              <w:rPr>
                <w:lang w:val="en-GB"/>
              </w:rPr>
            </w:pPr>
            <w:r w:rsidRPr="00412F61">
              <w:rPr>
                <w:lang w:val="en-GB"/>
              </w:rPr>
              <w:t>European Union also recorded a smaller slowdown</w:t>
            </w:r>
            <w:r w:rsidR="007B6A80" w:rsidRPr="00412F61">
              <w:rPr>
                <w:lang w:val="en-GB"/>
              </w:rPr>
              <w:t>.</w:t>
            </w:r>
          </w:p>
        </w:tc>
        <w:tc>
          <w:tcPr>
            <w:tcW w:w="250" w:type="dxa"/>
            <w:shd w:val="clear" w:color="auto" w:fill="auto"/>
            <w:tcMar>
              <w:left w:w="0" w:type="dxa"/>
            </w:tcMar>
          </w:tcPr>
          <w:p w:rsidR="00FE2C7E" w:rsidRPr="00412F61" w:rsidRDefault="00FE2C7E" w:rsidP="00FE2C7E">
            <w:pPr>
              <w:pStyle w:val="Textpoznpodarou"/>
              <w:jc w:val="both"/>
              <w:rPr>
                <w:spacing w:val="-4"/>
                <w:lang w:val="en-GB"/>
              </w:rPr>
            </w:pPr>
          </w:p>
        </w:tc>
        <w:tc>
          <w:tcPr>
            <w:tcW w:w="7501" w:type="dxa"/>
            <w:shd w:val="clear" w:color="auto" w:fill="auto"/>
            <w:tcMar>
              <w:left w:w="0" w:type="dxa"/>
            </w:tcMar>
          </w:tcPr>
          <w:p w:rsidR="00FE2C7E" w:rsidRPr="00412F61" w:rsidRDefault="00A77A0F" w:rsidP="00B83E07">
            <w:pPr>
              <w:spacing w:after="0"/>
              <w:rPr>
                <w:lang w:val="en-GB"/>
              </w:rPr>
            </w:pPr>
            <w:r w:rsidRPr="00412F61">
              <w:rPr>
                <w:lang w:val="en-GB"/>
              </w:rPr>
              <w:t xml:space="preserve">Year-on-year dynamics of the GDP growth </w:t>
            </w:r>
            <w:r w:rsidR="00110940" w:rsidRPr="00412F61">
              <w:rPr>
                <w:lang w:val="en-GB"/>
              </w:rPr>
              <w:t xml:space="preserve">also slightly slowed down in the European Union. Total addition arrived at </w:t>
            </w:r>
            <w:r w:rsidR="00FE2C7E" w:rsidRPr="00412F61">
              <w:rPr>
                <w:lang w:val="en-GB"/>
              </w:rPr>
              <w:t>2</w:t>
            </w:r>
            <w:r w:rsidR="00110940" w:rsidRPr="00412F61">
              <w:rPr>
                <w:lang w:val="en-GB"/>
              </w:rPr>
              <w:t>.</w:t>
            </w:r>
            <w:r w:rsidR="00FE2C7E" w:rsidRPr="00412F61">
              <w:rPr>
                <w:lang w:val="en-GB"/>
              </w:rPr>
              <w:t>1</w:t>
            </w:r>
            <w:r w:rsidR="007B0E83" w:rsidRPr="00412F61">
              <w:rPr>
                <w:lang w:val="en-GB"/>
              </w:rPr>
              <w:t>%</w:t>
            </w:r>
            <w:r w:rsidR="00FE2C7E" w:rsidRPr="00412F61">
              <w:rPr>
                <w:rStyle w:val="Znakapoznpodarou"/>
                <w:spacing w:val="-2"/>
                <w:lang w:val="en-GB"/>
              </w:rPr>
              <w:footnoteReference w:id="2"/>
            </w:r>
            <w:r w:rsidR="00FE2C7E" w:rsidRPr="00412F61">
              <w:rPr>
                <w:lang w:val="en-GB"/>
              </w:rPr>
              <w:t xml:space="preserve"> a</w:t>
            </w:r>
            <w:r w:rsidR="00110940" w:rsidRPr="00412F61">
              <w:rPr>
                <w:lang w:val="en-GB"/>
              </w:rPr>
              <w:t xml:space="preserve">nd it moderated for the majority of the EU countries. The economies of Malta (5.7%), Poland (5.0%) and Hungary (4.6%) attained the highest year-on-year additions. </w:t>
            </w:r>
            <w:r w:rsidR="000A6691" w:rsidRPr="00412F61">
              <w:rPr>
                <w:lang w:val="en-GB"/>
              </w:rPr>
              <w:t>This trio of countries also experienced the highest year-on-year increase of the household consumption, Hungary and Malta ranked among the first</w:t>
            </w:r>
            <w:r w:rsidR="00774A86" w:rsidRPr="00412F61">
              <w:rPr>
                <w:lang w:val="en-GB"/>
              </w:rPr>
              <w:t xml:space="preserve"> </w:t>
            </w:r>
            <w:r w:rsidR="000A6691" w:rsidRPr="00412F61">
              <w:rPr>
                <w:lang w:val="en-GB"/>
              </w:rPr>
              <w:t>three countries with the highest</w:t>
            </w:r>
            <w:r w:rsidR="00774A86" w:rsidRPr="00412F61">
              <w:rPr>
                <w:lang w:val="en-GB"/>
              </w:rPr>
              <w:t xml:space="preserve"> addition </w:t>
            </w:r>
            <w:r w:rsidR="00774A86" w:rsidRPr="00412F61">
              <w:rPr>
                <w:lang w:val="en-GB"/>
              </w:rPr>
              <w:lastRenderedPageBreak/>
              <w:t xml:space="preserve">to the investment activity. Denmark (GDP addition 0.6%), Italy (1.2%) and Great Britain (1.3%) </w:t>
            </w:r>
            <w:r w:rsidR="00A261D9" w:rsidRPr="00412F61">
              <w:rPr>
                <w:lang w:val="en-GB"/>
              </w:rPr>
              <w:t>ended o</w:t>
            </w:r>
            <w:r w:rsidR="00774A86" w:rsidRPr="00412F61">
              <w:rPr>
                <w:lang w:val="en-GB"/>
              </w:rPr>
              <w:t xml:space="preserve">n the opposite side of the </w:t>
            </w:r>
            <w:r w:rsidR="00A261D9" w:rsidRPr="00412F61">
              <w:rPr>
                <w:lang w:val="en-GB"/>
              </w:rPr>
              <w:t>comparison</w:t>
            </w:r>
            <w:r w:rsidR="00774A86" w:rsidRPr="00412F61">
              <w:rPr>
                <w:lang w:val="en-GB"/>
              </w:rPr>
              <w:t>.</w:t>
            </w:r>
            <w:r w:rsidR="00A261D9" w:rsidRPr="00412F61">
              <w:rPr>
                <w:lang w:val="en-GB"/>
              </w:rPr>
              <w:t xml:space="preserve"> Quarter-on-quarter rate of growth of GDP preserved the value from the preceding quarter </w:t>
            </w:r>
            <w:r w:rsidR="00FE2C7E" w:rsidRPr="00412F61">
              <w:rPr>
                <w:lang w:val="en-GB"/>
              </w:rPr>
              <w:t>(0</w:t>
            </w:r>
            <w:r w:rsidR="00A261D9" w:rsidRPr="00412F61">
              <w:rPr>
                <w:lang w:val="en-GB"/>
              </w:rPr>
              <w:t>.</w:t>
            </w:r>
            <w:r w:rsidR="00FE2C7E" w:rsidRPr="00412F61">
              <w:rPr>
                <w:lang w:val="en-GB"/>
              </w:rPr>
              <w:t>4</w:t>
            </w:r>
            <w:r w:rsidR="007B0E83" w:rsidRPr="00412F61">
              <w:rPr>
                <w:lang w:val="en-GB"/>
              </w:rPr>
              <w:t>%</w:t>
            </w:r>
            <w:r w:rsidR="00FE2C7E" w:rsidRPr="00412F61">
              <w:rPr>
                <w:lang w:val="en-GB"/>
              </w:rPr>
              <w:t>)</w:t>
            </w:r>
            <w:r w:rsidR="00FC0696" w:rsidRPr="00412F61">
              <w:rPr>
                <w:lang w:val="en-GB"/>
              </w:rPr>
              <w:t xml:space="preserve"> in the EU</w:t>
            </w:r>
            <w:r w:rsidR="00FE2C7E" w:rsidRPr="00412F61">
              <w:rPr>
                <w:lang w:val="en-GB"/>
              </w:rPr>
              <w:t xml:space="preserve">. </w:t>
            </w:r>
            <w:r w:rsidR="00A261D9" w:rsidRPr="00412F61">
              <w:rPr>
                <w:lang w:val="en-GB"/>
              </w:rPr>
              <w:t xml:space="preserve">Malta reached the highest quarter-on-quarter addition </w:t>
            </w:r>
            <w:r w:rsidR="00FE2C7E" w:rsidRPr="00412F61">
              <w:rPr>
                <w:lang w:val="en-GB"/>
              </w:rPr>
              <w:t>(1</w:t>
            </w:r>
            <w:r w:rsidR="00A261D9" w:rsidRPr="00412F61">
              <w:rPr>
                <w:lang w:val="en-GB"/>
              </w:rPr>
              <w:t>.</w:t>
            </w:r>
            <w:r w:rsidR="00FE2C7E" w:rsidRPr="00412F61">
              <w:rPr>
                <w:lang w:val="en-GB"/>
              </w:rPr>
              <w:t>9</w:t>
            </w:r>
            <w:r w:rsidR="007B0E83" w:rsidRPr="00412F61">
              <w:rPr>
                <w:lang w:val="en-GB"/>
              </w:rPr>
              <w:t>%</w:t>
            </w:r>
            <w:r w:rsidR="00FE2C7E" w:rsidRPr="00412F61">
              <w:rPr>
                <w:lang w:val="en-GB"/>
              </w:rPr>
              <w:t>)</w:t>
            </w:r>
            <w:r w:rsidR="00A261D9" w:rsidRPr="00412F61">
              <w:rPr>
                <w:lang w:val="en-GB"/>
              </w:rPr>
              <w:t xml:space="preserve"> and this impulse lifted it to the top also in the year-on-year perspective. The GDP grew quarter-on-quarter similarly by 1.4% in Estonia and Romania.</w:t>
            </w:r>
            <w:r w:rsidR="00FE2C7E" w:rsidRPr="00412F61">
              <w:rPr>
                <w:lang w:val="en-GB"/>
              </w:rPr>
              <w:t xml:space="preserve"> </w:t>
            </w:r>
          </w:p>
          <w:p w:rsidR="00774A86" w:rsidRPr="00412F61" w:rsidRDefault="00774A86" w:rsidP="00B83E07">
            <w:pPr>
              <w:spacing w:after="0"/>
              <w:rPr>
                <w:lang w:val="en-GB"/>
              </w:rPr>
            </w:pPr>
          </w:p>
        </w:tc>
      </w:tr>
      <w:tr w:rsidR="00FE2C7E" w:rsidRPr="00412F61" w:rsidTr="00232C2B">
        <w:trPr>
          <w:trHeight w:val="170"/>
        </w:trPr>
        <w:tc>
          <w:tcPr>
            <w:tcW w:w="1888" w:type="dxa"/>
            <w:vMerge w:val="restart"/>
            <w:shd w:val="clear" w:color="auto" w:fill="auto"/>
            <w:tcMar>
              <w:left w:w="0" w:type="dxa"/>
            </w:tcMar>
          </w:tcPr>
          <w:p w:rsidR="00FE2C7E" w:rsidRPr="00412F61" w:rsidRDefault="00FE2C7E" w:rsidP="00FE2C7E">
            <w:pPr>
              <w:pStyle w:val="Marginlie"/>
              <w:rPr>
                <w:lang w:val="en-GB"/>
              </w:rPr>
            </w:pPr>
          </w:p>
        </w:tc>
        <w:tc>
          <w:tcPr>
            <w:tcW w:w="250" w:type="dxa"/>
            <w:vMerge w:val="restart"/>
            <w:shd w:val="clear" w:color="auto" w:fill="auto"/>
            <w:tcMar>
              <w:left w:w="0" w:type="dxa"/>
            </w:tcMar>
          </w:tcPr>
          <w:p w:rsidR="00FE2C7E" w:rsidRPr="00412F61" w:rsidRDefault="00FE2C7E" w:rsidP="00FE2C7E">
            <w:pPr>
              <w:pStyle w:val="Textpoznpodarou"/>
              <w:jc w:val="both"/>
              <w:rPr>
                <w:spacing w:val="-4"/>
                <w:lang w:val="en-GB"/>
              </w:rPr>
            </w:pPr>
          </w:p>
        </w:tc>
        <w:tc>
          <w:tcPr>
            <w:tcW w:w="7501" w:type="dxa"/>
            <w:shd w:val="clear" w:color="auto" w:fill="auto"/>
            <w:tcMar>
              <w:left w:w="0" w:type="dxa"/>
            </w:tcMar>
          </w:tcPr>
          <w:p w:rsidR="00FE2C7E" w:rsidRPr="00412F61" w:rsidRDefault="00697836" w:rsidP="0072504F">
            <w:pPr>
              <w:spacing w:after="0"/>
              <w:rPr>
                <w:b/>
                <w:sz w:val="18"/>
                <w:szCs w:val="18"/>
                <w:lang w:val="en-GB"/>
              </w:rPr>
            </w:pPr>
            <w:r w:rsidRPr="00412F61">
              <w:rPr>
                <w:b/>
                <w:spacing w:val="-4"/>
                <w:sz w:val="18"/>
                <w:szCs w:val="18"/>
                <w:lang w:val="en-GB" w:eastAsia="en-US"/>
              </w:rPr>
              <w:t xml:space="preserve">Chart </w:t>
            </w:r>
            <w:r w:rsidR="00FE2C7E" w:rsidRPr="00412F61">
              <w:rPr>
                <w:b/>
                <w:spacing w:val="-4"/>
                <w:sz w:val="18"/>
                <w:szCs w:val="18"/>
                <w:lang w:val="en-GB" w:eastAsia="en-US"/>
              </w:rPr>
              <w:t>2</w:t>
            </w:r>
            <w:r w:rsidRPr="00412F61">
              <w:rPr>
                <w:b/>
                <w:spacing w:val="-4"/>
                <w:sz w:val="18"/>
                <w:szCs w:val="18"/>
                <w:lang w:val="en-GB" w:eastAsia="en-US"/>
              </w:rPr>
              <w:t xml:space="preserve"> </w:t>
            </w:r>
            <w:r w:rsidR="00FC0696" w:rsidRPr="00412F61">
              <w:rPr>
                <w:b/>
                <w:spacing w:val="-4"/>
                <w:sz w:val="18"/>
                <w:szCs w:val="18"/>
                <w:lang w:val="en-GB" w:eastAsia="en-US"/>
              </w:rPr>
              <w:t>GDP</w:t>
            </w:r>
            <w:r w:rsidR="00FC0696" w:rsidRPr="00412F61">
              <w:rPr>
                <w:rFonts w:cs="Arial"/>
                <w:b/>
                <w:sz w:val="18"/>
                <w:szCs w:val="18"/>
                <w:lang w:val="en-GB" w:eastAsia="en-US"/>
              </w:rPr>
              <w:t xml:space="preserve"> (</w:t>
            </w:r>
            <w:r w:rsidR="00BE33E5" w:rsidRPr="00412F61">
              <w:rPr>
                <w:rFonts w:cs="Arial"/>
                <w:sz w:val="18"/>
                <w:szCs w:val="18"/>
                <w:lang w:val="en-GB" w:eastAsia="en-US"/>
              </w:rPr>
              <w:t xml:space="preserve">volume indices, adjusted for seasonal and calendar effects, year-on-year in </w:t>
            </w:r>
            <w:r w:rsidR="00FE2C7E" w:rsidRPr="00412F61">
              <w:rPr>
                <w:rFonts w:cs="Arial"/>
                <w:sz w:val="18"/>
                <w:szCs w:val="18"/>
                <w:lang w:val="en-GB" w:eastAsia="en-US"/>
              </w:rPr>
              <w:t xml:space="preserve">%, </w:t>
            </w:r>
            <w:r w:rsidR="00BE33E5" w:rsidRPr="00412F61">
              <w:rPr>
                <w:rFonts w:cs="Arial"/>
                <w:sz w:val="18"/>
                <w:szCs w:val="18"/>
                <w:lang w:val="en-GB" w:eastAsia="en-US"/>
              </w:rPr>
              <w:t>right axis</w:t>
            </w:r>
            <w:r w:rsidR="00FE2C7E" w:rsidRPr="00412F61">
              <w:rPr>
                <w:rFonts w:cs="Arial"/>
                <w:sz w:val="18"/>
                <w:szCs w:val="18"/>
                <w:lang w:val="en-GB" w:eastAsia="en-US"/>
              </w:rPr>
              <w:t>)</w:t>
            </w:r>
            <w:r w:rsidR="00FE2C7E" w:rsidRPr="00412F61">
              <w:rPr>
                <w:rFonts w:cs="Arial"/>
                <w:b/>
                <w:sz w:val="18"/>
                <w:szCs w:val="18"/>
                <w:lang w:val="en-GB" w:eastAsia="en-US"/>
              </w:rPr>
              <w:t xml:space="preserve"> a</w:t>
            </w:r>
            <w:r w:rsidR="0072504F" w:rsidRPr="00412F61">
              <w:rPr>
                <w:rFonts w:cs="Arial"/>
                <w:b/>
                <w:sz w:val="18"/>
                <w:szCs w:val="18"/>
                <w:lang w:val="en-GB" w:eastAsia="en-US"/>
              </w:rPr>
              <w:t xml:space="preserve">nd confidence indicators </w:t>
            </w:r>
            <w:r w:rsidR="00FE2C7E" w:rsidRPr="00412F61">
              <w:rPr>
                <w:rFonts w:cs="Arial"/>
                <w:sz w:val="18"/>
                <w:szCs w:val="18"/>
                <w:lang w:val="en-GB" w:eastAsia="en-US"/>
              </w:rPr>
              <w:t>(2005</w:t>
            </w:r>
            <w:r w:rsidR="00BB15C3" w:rsidRPr="00412F61">
              <w:rPr>
                <w:rFonts w:cs="Arial"/>
                <w:sz w:val="18"/>
                <w:szCs w:val="18"/>
                <w:lang w:val="en-GB" w:eastAsia="en-US"/>
              </w:rPr>
              <w:t xml:space="preserve"> </w:t>
            </w:r>
            <w:r w:rsidR="00FE2C7E" w:rsidRPr="00412F61">
              <w:rPr>
                <w:rFonts w:cs="Arial"/>
                <w:sz w:val="18"/>
                <w:szCs w:val="18"/>
                <w:lang w:val="en-GB" w:eastAsia="en-US"/>
              </w:rPr>
              <w:t>=</w:t>
            </w:r>
            <w:r w:rsidR="00BB15C3" w:rsidRPr="00412F61">
              <w:rPr>
                <w:rFonts w:cs="Arial"/>
                <w:sz w:val="18"/>
                <w:szCs w:val="18"/>
                <w:lang w:val="en-GB" w:eastAsia="en-US"/>
              </w:rPr>
              <w:t xml:space="preserve"> </w:t>
            </w:r>
            <w:r w:rsidR="00FE2C7E" w:rsidRPr="00412F61">
              <w:rPr>
                <w:rFonts w:cs="Arial"/>
                <w:sz w:val="18"/>
                <w:szCs w:val="18"/>
                <w:lang w:val="en-GB" w:eastAsia="en-US"/>
              </w:rPr>
              <w:t>100, le</w:t>
            </w:r>
            <w:r w:rsidR="0072504F" w:rsidRPr="00412F61">
              <w:rPr>
                <w:rFonts w:cs="Arial"/>
                <w:sz w:val="18"/>
                <w:szCs w:val="18"/>
                <w:lang w:val="en-GB" w:eastAsia="en-US"/>
              </w:rPr>
              <w:t>ft axis</w:t>
            </w:r>
            <w:r w:rsidR="00FE2C7E" w:rsidRPr="00412F61">
              <w:rPr>
                <w:rFonts w:cs="Arial"/>
                <w:sz w:val="18"/>
                <w:szCs w:val="18"/>
                <w:lang w:val="en-GB" w:eastAsia="en-US"/>
              </w:rPr>
              <w:t>)</w:t>
            </w:r>
          </w:p>
        </w:tc>
      </w:tr>
      <w:tr w:rsidR="00FE2C7E" w:rsidRPr="00412F61" w:rsidTr="00232C2B">
        <w:trPr>
          <w:trHeight w:val="170"/>
        </w:trPr>
        <w:tc>
          <w:tcPr>
            <w:tcW w:w="1888" w:type="dxa"/>
            <w:vMerge/>
            <w:shd w:val="clear" w:color="auto" w:fill="auto"/>
            <w:tcMar>
              <w:left w:w="0" w:type="dxa"/>
            </w:tcMar>
          </w:tcPr>
          <w:p w:rsidR="00FE2C7E" w:rsidRPr="00412F61" w:rsidRDefault="00FE2C7E" w:rsidP="00965797">
            <w:pPr>
              <w:pStyle w:val="Marginlie"/>
              <w:rPr>
                <w:lang w:val="en-GB"/>
              </w:rPr>
            </w:pPr>
          </w:p>
        </w:tc>
        <w:tc>
          <w:tcPr>
            <w:tcW w:w="250" w:type="dxa"/>
            <w:vMerge/>
            <w:shd w:val="clear" w:color="auto" w:fill="auto"/>
            <w:tcMar>
              <w:left w:w="0" w:type="dxa"/>
            </w:tcMar>
          </w:tcPr>
          <w:p w:rsidR="00FE2C7E" w:rsidRPr="00412F61" w:rsidRDefault="00FE2C7E" w:rsidP="00965797">
            <w:pPr>
              <w:pStyle w:val="Textpoznpodarou"/>
              <w:jc w:val="both"/>
              <w:rPr>
                <w:spacing w:val="-4"/>
                <w:lang w:val="en-GB"/>
              </w:rPr>
            </w:pPr>
          </w:p>
        </w:tc>
        <w:tc>
          <w:tcPr>
            <w:tcW w:w="7501" w:type="dxa"/>
            <w:shd w:val="clear" w:color="auto" w:fill="auto"/>
            <w:tcMar>
              <w:left w:w="0" w:type="dxa"/>
            </w:tcMar>
          </w:tcPr>
          <w:p w:rsidR="00FE2C7E" w:rsidRPr="00412F61" w:rsidRDefault="00E71D50" w:rsidP="00965797">
            <w:pPr>
              <w:spacing w:after="0"/>
              <w:rPr>
                <w:lang w:val="en-GB"/>
              </w:rPr>
            </w:pPr>
            <w:r w:rsidRPr="00E71D50">
              <w:rPr>
                <w:noProof/>
              </w:rPr>
              <w:drawing>
                <wp:inline distT="0" distB="0" distL="0" distR="0">
                  <wp:extent cx="4737600" cy="3553200"/>
                  <wp:effectExtent l="0" t="0" r="0" b="0"/>
                  <wp:docPr id="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FE2C7E" w:rsidRPr="00412F61" w:rsidTr="00232C2B">
        <w:trPr>
          <w:trHeight w:val="170"/>
        </w:trPr>
        <w:tc>
          <w:tcPr>
            <w:tcW w:w="1888" w:type="dxa"/>
            <w:vMerge/>
            <w:shd w:val="clear" w:color="auto" w:fill="auto"/>
            <w:tcMar>
              <w:left w:w="0" w:type="dxa"/>
            </w:tcMar>
          </w:tcPr>
          <w:p w:rsidR="00FE2C7E" w:rsidRPr="00412F61" w:rsidRDefault="00FE2C7E" w:rsidP="00965797">
            <w:pPr>
              <w:pStyle w:val="Marginlie"/>
              <w:rPr>
                <w:lang w:val="en-GB"/>
              </w:rPr>
            </w:pPr>
          </w:p>
        </w:tc>
        <w:tc>
          <w:tcPr>
            <w:tcW w:w="250" w:type="dxa"/>
            <w:vMerge/>
            <w:shd w:val="clear" w:color="auto" w:fill="auto"/>
            <w:tcMar>
              <w:left w:w="0" w:type="dxa"/>
            </w:tcMar>
          </w:tcPr>
          <w:p w:rsidR="00FE2C7E" w:rsidRPr="00412F61" w:rsidRDefault="00FE2C7E" w:rsidP="00965797">
            <w:pPr>
              <w:pStyle w:val="Textpoznpodarou"/>
              <w:jc w:val="both"/>
              <w:rPr>
                <w:spacing w:val="-4"/>
                <w:lang w:val="en-GB"/>
              </w:rPr>
            </w:pPr>
          </w:p>
        </w:tc>
        <w:tc>
          <w:tcPr>
            <w:tcW w:w="7501" w:type="dxa"/>
            <w:shd w:val="clear" w:color="auto" w:fill="auto"/>
            <w:tcMar>
              <w:left w:w="0" w:type="dxa"/>
            </w:tcMar>
          </w:tcPr>
          <w:p w:rsidR="00697836" w:rsidRPr="00412F61" w:rsidRDefault="00697836" w:rsidP="00E71D50">
            <w:pPr>
              <w:rPr>
                <w:sz w:val="14"/>
                <w:szCs w:val="14"/>
                <w:lang w:val="en-GB"/>
              </w:rPr>
            </w:pPr>
            <w:r w:rsidRPr="00412F61">
              <w:rPr>
                <w:sz w:val="14"/>
                <w:szCs w:val="14"/>
                <w:lang w:val="en-GB"/>
              </w:rPr>
              <w:t>Source</w:t>
            </w:r>
            <w:r w:rsidR="00FE2C7E" w:rsidRPr="00412F61">
              <w:rPr>
                <w:sz w:val="14"/>
                <w:szCs w:val="14"/>
                <w:lang w:val="en-GB"/>
              </w:rPr>
              <w:t xml:space="preserve">: </w:t>
            </w:r>
            <w:r w:rsidRPr="00412F61">
              <w:rPr>
                <w:sz w:val="14"/>
                <w:szCs w:val="14"/>
                <w:lang w:val="en-GB"/>
              </w:rPr>
              <w:t>CZSO</w:t>
            </w:r>
          </w:p>
        </w:tc>
      </w:tr>
      <w:tr w:rsidR="00FE2C7E" w:rsidRPr="00412F61" w:rsidTr="00232C2B">
        <w:trPr>
          <w:trHeight w:val="145"/>
        </w:trPr>
        <w:tc>
          <w:tcPr>
            <w:tcW w:w="1888" w:type="dxa"/>
            <w:shd w:val="clear" w:color="auto" w:fill="auto"/>
            <w:tcMar>
              <w:left w:w="0" w:type="dxa"/>
            </w:tcMar>
          </w:tcPr>
          <w:p w:rsidR="00FE2C7E" w:rsidRPr="00412F61" w:rsidRDefault="00104442" w:rsidP="00FE2C7E">
            <w:pPr>
              <w:pStyle w:val="Marginlie"/>
              <w:rPr>
                <w:lang w:val="en-GB"/>
              </w:rPr>
            </w:pPr>
            <w:r w:rsidRPr="00412F61">
              <w:rPr>
                <w:lang w:val="en-GB"/>
              </w:rPr>
              <w:t>Expenditures on the domestic consumption grew by a relatively fast pace</w:t>
            </w:r>
            <w:r w:rsidR="00C62E08" w:rsidRPr="00412F61">
              <w:rPr>
                <w:lang w:val="en-GB"/>
              </w:rPr>
              <w:t>, even though slower compared to the past year</w:t>
            </w:r>
            <w:r w:rsidR="005B2020" w:rsidRPr="00412F61">
              <w:rPr>
                <w:lang w:val="en-GB"/>
              </w:rPr>
              <w:t>.</w:t>
            </w:r>
            <w:r w:rsidR="00C62E08" w:rsidRPr="00412F61">
              <w:rPr>
                <w:lang w:val="en-GB"/>
              </w:rPr>
              <w:t xml:space="preserve"> </w:t>
            </w:r>
            <w:r w:rsidRPr="00412F61">
              <w:rPr>
                <w:lang w:val="en-GB"/>
              </w:rPr>
              <w:t xml:space="preserve"> </w:t>
            </w:r>
          </w:p>
        </w:tc>
        <w:tc>
          <w:tcPr>
            <w:tcW w:w="250" w:type="dxa"/>
            <w:shd w:val="clear" w:color="auto" w:fill="auto"/>
            <w:tcMar>
              <w:left w:w="0" w:type="dxa"/>
            </w:tcMar>
          </w:tcPr>
          <w:p w:rsidR="00FE2C7E" w:rsidRPr="00412F61" w:rsidRDefault="00FE2C7E" w:rsidP="00FE2C7E">
            <w:pPr>
              <w:pStyle w:val="Textpoznpodarou"/>
              <w:jc w:val="both"/>
              <w:rPr>
                <w:spacing w:val="-4"/>
                <w:lang w:val="en-GB"/>
              </w:rPr>
            </w:pPr>
          </w:p>
        </w:tc>
        <w:tc>
          <w:tcPr>
            <w:tcW w:w="7501" w:type="dxa"/>
            <w:shd w:val="clear" w:color="auto" w:fill="auto"/>
            <w:tcMar>
              <w:left w:w="0" w:type="dxa"/>
            </w:tcMar>
          </w:tcPr>
          <w:p w:rsidR="00FE2C7E" w:rsidRDefault="00C62E08" w:rsidP="00E71D50">
            <w:pPr>
              <w:rPr>
                <w:lang w:val="en-GB"/>
              </w:rPr>
            </w:pPr>
            <w:r w:rsidRPr="00412F61">
              <w:rPr>
                <w:lang w:val="en-GB"/>
              </w:rPr>
              <w:t xml:space="preserve">Year-on-year growth of the total final consumption expenditure slowed down to 3.3% in Q2, which simultaneously signified a reduction </w:t>
            </w:r>
            <w:r w:rsidR="00910196" w:rsidRPr="00412F61">
              <w:rPr>
                <w:lang w:val="en-GB"/>
              </w:rPr>
              <w:t>in</w:t>
            </w:r>
            <w:r w:rsidRPr="00412F61">
              <w:rPr>
                <w:lang w:val="en-GB"/>
              </w:rPr>
              <w:t xml:space="preserve"> the contribution of consumption to total GDP growth to 1.8 </w:t>
            </w:r>
            <w:r w:rsidR="00C777A6" w:rsidRPr="00412F61">
              <w:rPr>
                <w:lang w:val="en-GB"/>
              </w:rPr>
              <w:t>p.p.</w:t>
            </w:r>
            <w:r w:rsidR="00FE2C7E" w:rsidRPr="00412F61">
              <w:rPr>
                <w:rStyle w:val="Znakapoznpodarou"/>
                <w:lang w:val="en-GB"/>
              </w:rPr>
              <w:footnoteReference w:id="3"/>
            </w:r>
            <w:r w:rsidR="00FE2C7E" w:rsidRPr="00412F61">
              <w:rPr>
                <w:lang w:val="en-GB"/>
              </w:rPr>
              <w:t xml:space="preserve"> </w:t>
            </w:r>
            <w:r w:rsidR="00FB6F10" w:rsidRPr="00412F61">
              <w:rPr>
                <w:lang w:val="en-GB"/>
              </w:rPr>
              <w:t xml:space="preserve">High comparative basis of the last year affected the final rate of growth. The quarter-on-quarter dynamics however also declined considerably compared to Q1 </w:t>
            </w:r>
            <w:r w:rsidR="00FE2C7E" w:rsidRPr="00412F61">
              <w:rPr>
                <w:lang w:val="en-GB"/>
              </w:rPr>
              <w:t>(1</w:t>
            </w:r>
            <w:r w:rsidR="00FB6F10" w:rsidRPr="00412F61">
              <w:rPr>
                <w:lang w:val="en-GB"/>
              </w:rPr>
              <w:t>.</w:t>
            </w:r>
            <w:r w:rsidR="00FE2C7E" w:rsidRPr="00412F61">
              <w:rPr>
                <w:lang w:val="en-GB"/>
              </w:rPr>
              <w:t>2</w:t>
            </w:r>
            <w:r w:rsidR="007B0E83" w:rsidRPr="00412F61">
              <w:rPr>
                <w:lang w:val="en-GB"/>
              </w:rPr>
              <w:t>%</w:t>
            </w:r>
            <w:r w:rsidR="00FE2C7E" w:rsidRPr="00412F61">
              <w:rPr>
                <w:lang w:val="en-GB"/>
              </w:rPr>
              <w:t xml:space="preserve"> a</w:t>
            </w:r>
            <w:r w:rsidR="00FB6F10" w:rsidRPr="00412F61">
              <w:rPr>
                <w:lang w:val="en-GB"/>
              </w:rPr>
              <w:t>nd</w:t>
            </w:r>
            <w:r w:rsidR="00FE2C7E" w:rsidRPr="00412F61">
              <w:rPr>
                <w:lang w:val="en-GB"/>
              </w:rPr>
              <w:t> 0</w:t>
            </w:r>
            <w:r w:rsidR="00FB6F10" w:rsidRPr="00412F61">
              <w:rPr>
                <w:lang w:val="en-GB"/>
              </w:rPr>
              <w:t>.</w:t>
            </w:r>
            <w:r w:rsidR="00FE2C7E" w:rsidRPr="00412F61">
              <w:rPr>
                <w:lang w:val="en-GB"/>
              </w:rPr>
              <w:t>5</w:t>
            </w:r>
            <w:r w:rsidR="007B0E83" w:rsidRPr="00412F61">
              <w:rPr>
                <w:lang w:val="en-GB"/>
              </w:rPr>
              <w:t>%</w:t>
            </w:r>
            <w:r w:rsidR="00FE2C7E" w:rsidRPr="00412F61">
              <w:rPr>
                <w:lang w:val="en-GB"/>
              </w:rPr>
              <w:t xml:space="preserve"> </w:t>
            </w:r>
            <w:r w:rsidR="00FB6F10" w:rsidRPr="00412F61">
              <w:rPr>
                <w:lang w:val="en-GB"/>
              </w:rPr>
              <w:t>in Q1 and 2</w:t>
            </w:r>
            <w:r w:rsidR="00FE2C7E" w:rsidRPr="00412F61">
              <w:rPr>
                <w:lang w:val="en-GB"/>
              </w:rPr>
              <w:t xml:space="preserve">). </w:t>
            </w:r>
            <w:r w:rsidR="00F72D2E" w:rsidRPr="00412F61">
              <w:rPr>
                <w:lang w:val="en-GB"/>
              </w:rPr>
              <w:t xml:space="preserve">Both household consumption and consumption of government institutions observed a slowdown. </w:t>
            </w:r>
            <w:r w:rsidR="00603525" w:rsidRPr="00412F61">
              <w:rPr>
                <w:lang w:val="en-GB"/>
              </w:rPr>
              <w:t>Household expenditures increased year-on-year by 3.5%</w:t>
            </w:r>
            <w:r w:rsidR="002901C9" w:rsidRPr="00412F61">
              <w:rPr>
                <w:lang w:val="en-GB"/>
              </w:rPr>
              <w:t xml:space="preserve"> in Q2 </w:t>
            </w:r>
            <w:r w:rsidR="00FE2C7E" w:rsidRPr="00412F61">
              <w:rPr>
                <w:lang w:val="en-GB"/>
              </w:rPr>
              <w:t>(</w:t>
            </w:r>
            <w:r w:rsidR="002901C9" w:rsidRPr="00412F61">
              <w:rPr>
                <w:lang w:val="en-GB"/>
              </w:rPr>
              <w:t xml:space="preserve">the least since the end of year 2016) and contributed to the total GDP growth by 1.3 </w:t>
            </w:r>
            <w:r w:rsidR="00C777A6" w:rsidRPr="00412F61">
              <w:rPr>
                <w:lang w:val="en-GB"/>
              </w:rPr>
              <w:t>p.p.</w:t>
            </w:r>
            <w:r w:rsidR="002901C9" w:rsidRPr="00412F61">
              <w:rPr>
                <w:lang w:val="en-GB"/>
              </w:rPr>
              <w:t xml:space="preserve"> </w:t>
            </w:r>
            <w:r w:rsidR="00E71D50">
              <w:rPr>
                <w:lang w:val="en-GB"/>
              </w:rPr>
              <w:t>q</w:t>
            </w:r>
            <w:r w:rsidR="002901C9" w:rsidRPr="00412F61">
              <w:rPr>
                <w:lang w:val="en-GB"/>
              </w:rPr>
              <w:t xml:space="preserve">uarter-on-quarter addition was 0.7%. </w:t>
            </w:r>
            <w:r w:rsidR="00445827" w:rsidRPr="00412F61">
              <w:rPr>
                <w:lang w:val="en-GB"/>
              </w:rPr>
              <w:t>View of the consumption development in terms of durability</w:t>
            </w:r>
            <w:r w:rsidR="00FE2C7E" w:rsidRPr="00412F61">
              <w:rPr>
                <w:rStyle w:val="Znakapoznpodarou"/>
                <w:lang w:val="en-GB"/>
              </w:rPr>
              <w:footnoteReference w:id="4"/>
            </w:r>
            <w:r w:rsidR="00FE2C7E" w:rsidRPr="00412F61">
              <w:rPr>
                <w:lang w:val="en-GB"/>
              </w:rPr>
              <w:t xml:space="preserve"> </w:t>
            </w:r>
            <w:r w:rsidR="00E71D50" w:rsidRPr="00412F61">
              <w:rPr>
                <w:lang w:val="en-GB"/>
              </w:rPr>
              <w:t>shows that</w:t>
            </w:r>
            <w:r w:rsidR="00445827" w:rsidRPr="00412F61">
              <w:rPr>
                <w:lang w:val="en-GB"/>
              </w:rPr>
              <w:t xml:space="preserve"> with the exception of </w:t>
            </w:r>
            <w:r w:rsidR="00E71D50">
              <w:rPr>
                <w:lang w:val="en-GB"/>
              </w:rPr>
              <w:t>semi-durables</w:t>
            </w:r>
            <w:r w:rsidR="00445827" w:rsidRPr="00412F61">
              <w:rPr>
                <w:lang w:val="en-GB"/>
              </w:rPr>
              <w:t xml:space="preserve"> (6.8%) all segments experienced a mild slowdown of the year-on-year dynamics. Expenditures on </w:t>
            </w:r>
            <w:r w:rsidR="00E71D50">
              <w:rPr>
                <w:lang w:val="en-GB"/>
              </w:rPr>
              <w:t>non-durables</w:t>
            </w:r>
            <w:r w:rsidR="00445827" w:rsidRPr="00412F61">
              <w:rPr>
                <w:lang w:val="en-GB"/>
              </w:rPr>
              <w:t xml:space="preserve"> (3.3%) as well as services (3.4%) however managed to maintain a relatively strong pace. </w:t>
            </w:r>
            <w:r w:rsidR="00AD2AF0" w:rsidRPr="00412F61">
              <w:rPr>
                <w:lang w:val="en-GB"/>
              </w:rPr>
              <w:t>After the extraordinarily strong both quarter-on-quarter and year-on-year addition in Q1, the</w:t>
            </w:r>
            <w:r w:rsidR="00E71D50">
              <w:rPr>
                <w:lang w:val="en-GB"/>
              </w:rPr>
              <w:t xml:space="preserve"> growth rate of</w:t>
            </w:r>
            <w:r w:rsidR="00AD2AF0" w:rsidRPr="00412F61">
              <w:rPr>
                <w:lang w:val="en-GB"/>
              </w:rPr>
              <w:t xml:space="preserve"> consumption expenditures of government dropped. The year-on-year rate of growth thus fell to 2.6% in Q2 and the consumption here rose to 0.2% quarter-on-quarter. </w:t>
            </w:r>
          </w:p>
          <w:p w:rsidR="00583DCF" w:rsidRPr="00412F61" w:rsidRDefault="00583DCF" w:rsidP="00E71D50">
            <w:pPr>
              <w:rPr>
                <w:lang w:val="en-GB"/>
              </w:rPr>
            </w:pPr>
          </w:p>
        </w:tc>
      </w:tr>
      <w:tr w:rsidR="00FE2C7E" w:rsidRPr="00412F61" w:rsidTr="00232C2B">
        <w:trPr>
          <w:trHeight w:val="170"/>
        </w:trPr>
        <w:tc>
          <w:tcPr>
            <w:tcW w:w="1888" w:type="dxa"/>
            <w:vMerge w:val="restart"/>
            <w:shd w:val="clear" w:color="auto" w:fill="auto"/>
            <w:tcMar>
              <w:left w:w="0" w:type="dxa"/>
            </w:tcMar>
          </w:tcPr>
          <w:p w:rsidR="00FE2C7E" w:rsidRPr="00412F61" w:rsidRDefault="00FE2C7E" w:rsidP="00FE2C7E">
            <w:pPr>
              <w:pStyle w:val="Marginlie"/>
              <w:rPr>
                <w:lang w:val="en-GB"/>
              </w:rPr>
            </w:pPr>
          </w:p>
        </w:tc>
        <w:tc>
          <w:tcPr>
            <w:tcW w:w="250" w:type="dxa"/>
            <w:vMerge w:val="restart"/>
            <w:shd w:val="clear" w:color="auto" w:fill="auto"/>
            <w:tcMar>
              <w:left w:w="0" w:type="dxa"/>
            </w:tcMar>
          </w:tcPr>
          <w:p w:rsidR="00FE2C7E" w:rsidRPr="00412F61" w:rsidRDefault="00FE2C7E" w:rsidP="00FE2C7E">
            <w:pPr>
              <w:pStyle w:val="Textpoznpodarou"/>
              <w:jc w:val="both"/>
              <w:rPr>
                <w:spacing w:val="-4"/>
                <w:lang w:val="en-GB"/>
              </w:rPr>
            </w:pPr>
          </w:p>
        </w:tc>
        <w:tc>
          <w:tcPr>
            <w:tcW w:w="7501" w:type="dxa"/>
            <w:shd w:val="clear" w:color="auto" w:fill="auto"/>
            <w:tcMar>
              <w:left w:w="0" w:type="dxa"/>
            </w:tcMar>
          </w:tcPr>
          <w:p w:rsidR="00FE2C7E" w:rsidRPr="00412F61" w:rsidRDefault="00232C53" w:rsidP="00FE50A9">
            <w:pPr>
              <w:spacing w:after="0"/>
              <w:rPr>
                <w:b/>
                <w:sz w:val="18"/>
                <w:szCs w:val="18"/>
                <w:lang w:val="en-GB"/>
              </w:rPr>
            </w:pPr>
            <w:r w:rsidRPr="00412F61">
              <w:rPr>
                <w:b/>
                <w:sz w:val="18"/>
                <w:szCs w:val="18"/>
                <w:lang w:val="en-GB"/>
              </w:rPr>
              <w:t xml:space="preserve">Chart </w:t>
            </w:r>
            <w:r w:rsidR="007B2810" w:rsidRPr="00412F61">
              <w:rPr>
                <w:b/>
                <w:sz w:val="18"/>
                <w:szCs w:val="18"/>
                <w:lang w:val="en-GB"/>
              </w:rPr>
              <w:t>3 Contributions</w:t>
            </w:r>
            <w:r w:rsidR="00FE50A9" w:rsidRPr="00412F61">
              <w:rPr>
                <w:rFonts w:cs="Arial"/>
                <w:b/>
                <w:sz w:val="18"/>
                <w:szCs w:val="18"/>
                <w:lang w:val="en-GB" w:eastAsia="en-US"/>
              </w:rPr>
              <w:t xml:space="preserve"> of expenditure items to real GDP change</w:t>
            </w:r>
            <w:r w:rsidR="00FE2C7E" w:rsidRPr="00412F61">
              <w:rPr>
                <w:rFonts w:cs="Arial"/>
                <w:b/>
                <w:sz w:val="18"/>
                <w:szCs w:val="18"/>
                <w:lang w:val="en-GB" w:eastAsia="en-US"/>
              </w:rPr>
              <w:t>* (</w:t>
            </w:r>
            <w:r w:rsidR="00FE50A9" w:rsidRPr="00412F61">
              <w:rPr>
                <w:rFonts w:cs="Arial"/>
                <w:sz w:val="18"/>
                <w:szCs w:val="18"/>
                <w:lang w:val="en-GB" w:eastAsia="en-US"/>
              </w:rPr>
              <w:t xml:space="preserve">volume indices, year-on-year growth, contributions in </w:t>
            </w:r>
            <w:r w:rsidR="00C777A6" w:rsidRPr="00412F61">
              <w:rPr>
                <w:rFonts w:cs="Arial"/>
                <w:sz w:val="18"/>
                <w:szCs w:val="18"/>
                <w:lang w:val="en-GB" w:eastAsia="en-US"/>
              </w:rPr>
              <w:t>p.p.</w:t>
            </w:r>
            <w:r w:rsidR="00FE50A9" w:rsidRPr="00412F61">
              <w:rPr>
                <w:rFonts w:cs="Arial"/>
                <w:sz w:val="18"/>
                <w:szCs w:val="18"/>
                <w:lang w:val="en-GB" w:eastAsia="en-US"/>
              </w:rPr>
              <w:t>, GDP in %)</w:t>
            </w:r>
          </w:p>
        </w:tc>
      </w:tr>
      <w:tr w:rsidR="00FE2C7E" w:rsidRPr="00412F61" w:rsidTr="00232C2B">
        <w:trPr>
          <w:trHeight w:val="170"/>
        </w:trPr>
        <w:tc>
          <w:tcPr>
            <w:tcW w:w="1888" w:type="dxa"/>
            <w:vMerge/>
            <w:shd w:val="clear" w:color="auto" w:fill="auto"/>
            <w:tcMar>
              <w:left w:w="0" w:type="dxa"/>
            </w:tcMar>
          </w:tcPr>
          <w:p w:rsidR="00FE2C7E" w:rsidRPr="00412F61" w:rsidRDefault="00FE2C7E" w:rsidP="00965797">
            <w:pPr>
              <w:pStyle w:val="Marginlie"/>
              <w:rPr>
                <w:lang w:val="en-GB"/>
              </w:rPr>
            </w:pPr>
          </w:p>
        </w:tc>
        <w:tc>
          <w:tcPr>
            <w:tcW w:w="250" w:type="dxa"/>
            <w:vMerge/>
            <w:shd w:val="clear" w:color="auto" w:fill="auto"/>
            <w:tcMar>
              <w:left w:w="0" w:type="dxa"/>
            </w:tcMar>
          </w:tcPr>
          <w:p w:rsidR="00FE2C7E" w:rsidRPr="00412F61" w:rsidRDefault="00FE2C7E" w:rsidP="00965797">
            <w:pPr>
              <w:pStyle w:val="Textpoznpodarou"/>
              <w:jc w:val="both"/>
              <w:rPr>
                <w:spacing w:val="-4"/>
                <w:lang w:val="en-GB"/>
              </w:rPr>
            </w:pPr>
          </w:p>
        </w:tc>
        <w:tc>
          <w:tcPr>
            <w:tcW w:w="7501" w:type="dxa"/>
            <w:shd w:val="clear" w:color="auto" w:fill="auto"/>
            <w:tcMar>
              <w:left w:w="0" w:type="dxa"/>
            </w:tcMar>
          </w:tcPr>
          <w:p w:rsidR="00FE2C7E" w:rsidRPr="00412F61" w:rsidRDefault="00E71D50" w:rsidP="00965797">
            <w:pPr>
              <w:spacing w:after="0"/>
              <w:rPr>
                <w:lang w:val="en-GB"/>
              </w:rPr>
            </w:pPr>
            <w:r w:rsidRPr="00E71D50">
              <w:rPr>
                <w:noProof/>
              </w:rPr>
              <w:drawing>
                <wp:inline distT="0" distB="0" distL="0" distR="0">
                  <wp:extent cx="4737600" cy="3553200"/>
                  <wp:effectExtent l="0" t="0" r="0" b="0"/>
                  <wp:docPr id="1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FE2C7E" w:rsidRPr="00412F61" w:rsidTr="00232C2B">
        <w:trPr>
          <w:trHeight w:val="170"/>
        </w:trPr>
        <w:tc>
          <w:tcPr>
            <w:tcW w:w="1888" w:type="dxa"/>
            <w:vMerge/>
            <w:shd w:val="clear" w:color="auto" w:fill="auto"/>
            <w:tcMar>
              <w:left w:w="0" w:type="dxa"/>
            </w:tcMar>
          </w:tcPr>
          <w:p w:rsidR="00FE2C7E" w:rsidRPr="00412F61" w:rsidRDefault="00FE2C7E" w:rsidP="00965797">
            <w:pPr>
              <w:pStyle w:val="Marginlie"/>
              <w:rPr>
                <w:lang w:val="en-GB"/>
              </w:rPr>
            </w:pPr>
          </w:p>
        </w:tc>
        <w:tc>
          <w:tcPr>
            <w:tcW w:w="250" w:type="dxa"/>
            <w:vMerge/>
            <w:shd w:val="clear" w:color="auto" w:fill="auto"/>
            <w:tcMar>
              <w:left w:w="0" w:type="dxa"/>
            </w:tcMar>
          </w:tcPr>
          <w:p w:rsidR="00FE2C7E" w:rsidRPr="00412F61" w:rsidRDefault="00FE2C7E" w:rsidP="00965797">
            <w:pPr>
              <w:pStyle w:val="Textpoznpodarou"/>
              <w:jc w:val="both"/>
              <w:rPr>
                <w:spacing w:val="-4"/>
                <w:lang w:val="en-GB"/>
              </w:rPr>
            </w:pPr>
          </w:p>
        </w:tc>
        <w:tc>
          <w:tcPr>
            <w:tcW w:w="7501" w:type="dxa"/>
            <w:shd w:val="clear" w:color="auto" w:fill="auto"/>
            <w:tcMar>
              <w:left w:w="0" w:type="dxa"/>
            </w:tcMar>
          </w:tcPr>
          <w:p w:rsidR="00FE2C7E" w:rsidRPr="00412F61" w:rsidRDefault="00C318AA" w:rsidP="00FE2C7E">
            <w:pPr>
              <w:spacing w:after="0"/>
              <w:rPr>
                <w:sz w:val="14"/>
                <w:szCs w:val="14"/>
                <w:lang w:val="en-GB"/>
              </w:rPr>
            </w:pPr>
            <w:r w:rsidRPr="00412F61">
              <w:rPr>
                <w:sz w:val="14"/>
                <w:szCs w:val="14"/>
                <w:lang w:val="en-GB"/>
              </w:rPr>
              <w:t>Source</w:t>
            </w:r>
            <w:r w:rsidR="00FE2C7E" w:rsidRPr="00412F61">
              <w:rPr>
                <w:sz w:val="14"/>
                <w:szCs w:val="14"/>
                <w:lang w:val="en-GB"/>
              </w:rPr>
              <w:t xml:space="preserve">: </w:t>
            </w:r>
            <w:r w:rsidRPr="00412F61">
              <w:rPr>
                <w:sz w:val="14"/>
                <w:szCs w:val="14"/>
                <w:lang w:val="en-GB"/>
              </w:rPr>
              <w:t>CZSO</w:t>
            </w:r>
          </w:p>
          <w:p w:rsidR="002372E9" w:rsidRPr="00412F61" w:rsidRDefault="00FE2C7E" w:rsidP="00E71D50">
            <w:pPr>
              <w:rPr>
                <w:b/>
                <w:sz w:val="18"/>
                <w:szCs w:val="18"/>
                <w:lang w:val="en-GB"/>
              </w:rPr>
            </w:pPr>
            <w:r w:rsidRPr="00412F61">
              <w:rPr>
                <w:sz w:val="14"/>
                <w:szCs w:val="14"/>
                <w:lang w:val="en-GB"/>
              </w:rPr>
              <w:t>*</w:t>
            </w:r>
            <w:r w:rsidR="00D931CB" w:rsidRPr="00412F61">
              <w:rPr>
                <w:rFonts w:cs="Arial"/>
                <w:sz w:val="14"/>
                <w:szCs w:val="14"/>
                <w:lang w:val="en-GB" w:eastAsia="en-US"/>
              </w:rPr>
              <w:t>after exclusion of imports for final use</w:t>
            </w:r>
          </w:p>
        </w:tc>
      </w:tr>
      <w:tr w:rsidR="00E71D50" w:rsidRPr="00412F61" w:rsidTr="00232C2B">
        <w:trPr>
          <w:trHeight w:val="145"/>
        </w:trPr>
        <w:tc>
          <w:tcPr>
            <w:tcW w:w="1888" w:type="dxa"/>
            <w:shd w:val="clear" w:color="auto" w:fill="auto"/>
            <w:tcMar>
              <w:left w:w="0" w:type="dxa"/>
            </w:tcMar>
          </w:tcPr>
          <w:p w:rsidR="00E71D50" w:rsidRPr="00412F61" w:rsidRDefault="00E71D50" w:rsidP="002A4FB0">
            <w:pPr>
              <w:pStyle w:val="Marginlie"/>
              <w:rPr>
                <w:lang w:val="en-GB"/>
              </w:rPr>
            </w:pPr>
            <w:r w:rsidRPr="00412F61">
              <w:rPr>
                <w:lang w:val="en-GB"/>
              </w:rPr>
              <w:t>Volume of paid out wages and salaries again increased by more than 10%. Also, thanks to the moderate growth of prices, the increase is for the most part projected into real incomes.</w:t>
            </w:r>
          </w:p>
        </w:tc>
        <w:tc>
          <w:tcPr>
            <w:tcW w:w="250" w:type="dxa"/>
            <w:shd w:val="clear" w:color="auto" w:fill="auto"/>
            <w:tcMar>
              <w:left w:w="0" w:type="dxa"/>
            </w:tcMar>
          </w:tcPr>
          <w:p w:rsidR="00E71D50" w:rsidRPr="00412F61" w:rsidRDefault="00E71D50" w:rsidP="002A4FB0">
            <w:pPr>
              <w:pStyle w:val="Textpoznpodarou"/>
              <w:jc w:val="both"/>
              <w:rPr>
                <w:spacing w:val="-4"/>
                <w:lang w:val="en-GB"/>
              </w:rPr>
            </w:pPr>
          </w:p>
        </w:tc>
        <w:tc>
          <w:tcPr>
            <w:tcW w:w="7501" w:type="dxa"/>
            <w:shd w:val="clear" w:color="auto" w:fill="auto"/>
            <w:tcMar>
              <w:left w:w="0" w:type="dxa"/>
            </w:tcMar>
          </w:tcPr>
          <w:p w:rsidR="00E71D50" w:rsidRPr="00412F61" w:rsidRDefault="00E71D50" w:rsidP="002A4FB0">
            <w:pPr>
              <w:rPr>
                <w:spacing w:val="-2"/>
                <w:lang w:val="en-GB"/>
              </w:rPr>
            </w:pPr>
            <w:r w:rsidRPr="00412F61">
              <w:rPr>
                <w:spacing w:val="-2"/>
                <w:lang w:val="en-GB"/>
              </w:rPr>
              <w:t>Moderation of the economic growth has not been reflected in the development of the volume of wages and salaries so far. It increased by 10.2% in total year-on-year in Q2, which is only by 0.3 p.p. less compared to the preceding quarter. Real increase of the wage resources reached 7.4%</w:t>
            </w:r>
            <w:r w:rsidRPr="00412F61">
              <w:rPr>
                <w:rStyle w:val="Znakapoznpodarou"/>
                <w:spacing w:val="-2"/>
                <w:lang w:val="en-GB"/>
              </w:rPr>
              <w:footnoteReference w:id="5"/>
            </w:r>
            <w:r w:rsidRPr="00412F61">
              <w:rPr>
                <w:spacing w:val="-2"/>
                <w:lang w:val="en-GB"/>
              </w:rPr>
              <w:t xml:space="preserve">, so it slightly fell compared to the previous </w:t>
            </w:r>
            <w:proofErr w:type="gramStart"/>
            <w:r w:rsidRPr="00412F61">
              <w:rPr>
                <w:spacing w:val="-2"/>
                <w:lang w:val="en-GB"/>
              </w:rPr>
              <w:t>period,</w:t>
            </w:r>
            <w:proofErr w:type="gramEnd"/>
            <w:r w:rsidRPr="00412F61">
              <w:rPr>
                <w:spacing w:val="-2"/>
                <w:lang w:val="en-GB"/>
              </w:rPr>
              <w:t xml:space="preserve"> however it still represents significantly large value. Growth of total employment</w:t>
            </w:r>
            <w:r w:rsidRPr="00412F61">
              <w:rPr>
                <w:rStyle w:val="Znakapoznpodarou"/>
                <w:spacing w:val="-2"/>
                <w:lang w:val="en-GB"/>
              </w:rPr>
              <w:footnoteReference w:id="6"/>
            </w:r>
            <w:r w:rsidRPr="00412F61">
              <w:rPr>
                <w:spacing w:val="-2"/>
                <w:lang w:val="en-GB"/>
              </w:rPr>
              <w:t xml:space="preserve"> attained 1.9% in year-on-year expression and 0.6% quarter-on-quarter. The majority of the increase of the paid-out wage resources was thus reflected in the rise of the average wage. Manufacturing as a branch with the highest number of employees influences the total wage dynamics from a large part. The employment expanded by 2.1% here in Q2, which was also mirrored in the large increase of the volume of wages and salaries by 9.1%. The most notable addition to the volume of wages and salaries occurred in branches with the predominance of the public sector</w:t>
            </w:r>
            <w:r w:rsidRPr="00412F61">
              <w:rPr>
                <w:rStyle w:val="Znakapoznpodarou"/>
                <w:spacing w:val="-2"/>
                <w:lang w:val="en-GB"/>
              </w:rPr>
              <w:footnoteReference w:id="7"/>
            </w:r>
            <w:r w:rsidRPr="00412F61">
              <w:rPr>
                <w:spacing w:val="-2"/>
                <w:lang w:val="en-GB"/>
              </w:rPr>
              <w:t xml:space="preserve"> (13.6%). The raised tariffs together with increase of the employed persons by 2.7% stood behind this development. Real estate activities, where the increase of total 2.8% also assisted the resulting rate of growth accomplished the same year-on-year dynamics of wages and salaries in Q2. Information and communication succeeded in reaching the highest growth of employment (4.6%). In spite of 11.1% increase of the volume of wages and salaries, the average wage grew here slower compared to the rest of the economy. However, it is a branch with the second highest average wage in the economy, where the comparatively high absolute increase is the result of the lower relative growth. Employment slump occurred in construction despite revival of this activity (–0.7%). Final increase of the volume of wages was also the lowest in the whole economy (7.1%).</w:t>
            </w:r>
          </w:p>
        </w:tc>
      </w:tr>
      <w:tr w:rsidR="00E71D50" w:rsidRPr="00412F61" w:rsidTr="00232C2B">
        <w:trPr>
          <w:trHeight w:val="145"/>
        </w:trPr>
        <w:tc>
          <w:tcPr>
            <w:tcW w:w="1888" w:type="dxa"/>
            <w:shd w:val="clear" w:color="auto" w:fill="auto"/>
            <w:tcMar>
              <w:left w:w="0" w:type="dxa"/>
            </w:tcMar>
          </w:tcPr>
          <w:p w:rsidR="00E71D50" w:rsidRPr="00412F61" w:rsidRDefault="00E71D50" w:rsidP="00FE2C7E">
            <w:pPr>
              <w:pStyle w:val="Marginlie"/>
              <w:rPr>
                <w:lang w:val="en-GB"/>
              </w:rPr>
            </w:pPr>
            <w:r w:rsidRPr="00412F61">
              <w:rPr>
                <w:lang w:val="en-GB"/>
              </w:rPr>
              <w:lastRenderedPageBreak/>
              <w:t xml:space="preserve">Investment activity does not ease up. Both </w:t>
            </w:r>
            <w:r w:rsidR="006B179D" w:rsidRPr="00412F61">
              <w:rPr>
                <w:lang w:val="en-GB"/>
              </w:rPr>
              <w:t>investments</w:t>
            </w:r>
            <w:r w:rsidRPr="00412F61">
              <w:rPr>
                <w:lang w:val="en-GB"/>
              </w:rPr>
              <w:t xml:space="preserve"> into infrastructure as well as housing participated to a larger extent. </w:t>
            </w:r>
          </w:p>
        </w:tc>
        <w:tc>
          <w:tcPr>
            <w:tcW w:w="250" w:type="dxa"/>
            <w:shd w:val="clear" w:color="auto" w:fill="auto"/>
            <w:tcMar>
              <w:left w:w="0" w:type="dxa"/>
            </w:tcMar>
          </w:tcPr>
          <w:p w:rsidR="00E71D50" w:rsidRPr="00412F61" w:rsidRDefault="00E71D50" w:rsidP="00FE2C7E">
            <w:pPr>
              <w:pStyle w:val="Textpoznpodarou"/>
              <w:jc w:val="both"/>
              <w:rPr>
                <w:spacing w:val="-4"/>
                <w:lang w:val="en-GB"/>
              </w:rPr>
            </w:pPr>
          </w:p>
        </w:tc>
        <w:tc>
          <w:tcPr>
            <w:tcW w:w="7501" w:type="dxa"/>
            <w:shd w:val="clear" w:color="auto" w:fill="auto"/>
            <w:tcMar>
              <w:left w:w="0" w:type="dxa"/>
            </w:tcMar>
          </w:tcPr>
          <w:p w:rsidR="00E71D50" w:rsidRPr="00412F61" w:rsidRDefault="00E71D50" w:rsidP="00D918D2">
            <w:pPr>
              <w:rPr>
                <w:lang w:val="en-GB"/>
              </w:rPr>
            </w:pPr>
            <w:r w:rsidRPr="00412F61">
              <w:rPr>
                <w:lang w:val="en-GB"/>
              </w:rPr>
              <w:t xml:space="preserve">High year-on-year pace of the gross capital formation expenditure, which significantly supported the total economic growth in the past periods slumped notably to the value of 2.4%. The reason is mainly the change in the inventory stock, whose markedly negative effect even overtook the 7.8% increase of investment into the fixed capital. Final contribution of gross capital formation to the GDP growth was only 0.1 p.p., even though the investment activity itself added 1.4 p.p. </w:t>
            </w:r>
            <w:r w:rsidRPr="00412F61">
              <w:rPr>
                <w:rFonts w:cs="Arial"/>
                <w:szCs w:val="20"/>
                <w:lang w:val="en-GB"/>
              </w:rPr>
              <w:t>Type classification of investment activity</w:t>
            </w:r>
            <w:r w:rsidRPr="00412F61">
              <w:rPr>
                <w:rStyle w:val="Znakapoznpodarou"/>
                <w:lang w:val="en-GB"/>
              </w:rPr>
              <w:footnoteReference w:id="8"/>
            </w:r>
            <w:r w:rsidRPr="00412F61">
              <w:rPr>
                <w:lang w:val="en-GB"/>
              </w:rPr>
              <w:t xml:space="preserve"> showed, that high year-on-year growth of investment into housing continued in Q2 (13.0%). This increase indirectly signals the still high investment activity of households. Moderate slowdown occurred for investment into the ICT and other machines and equipment (7.9%). In contrast the investment expenditure on transport equipment followed in the high rate of growth of Q1 and further accelerated to 13.9%. Investment into other buildings and structures was not much hindered even by the high basis of the same period of the last year and it grew by 10.7%. </w:t>
            </w:r>
          </w:p>
        </w:tc>
      </w:tr>
      <w:tr w:rsidR="00E71D50" w:rsidRPr="00412F61" w:rsidTr="00232C2B">
        <w:trPr>
          <w:trHeight w:val="145"/>
        </w:trPr>
        <w:tc>
          <w:tcPr>
            <w:tcW w:w="1888" w:type="dxa"/>
            <w:shd w:val="clear" w:color="auto" w:fill="auto"/>
            <w:tcMar>
              <w:left w:w="0" w:type="dxa"/>
            </w:tcMar>
          </w:tcPr>
          <w:p w:rsidR="00E71D50" w:rsidRPr="00412F61" w:rsidRDefault="00E71D50" w:rsidP="00AA2AF4">
            <w:pPr>
              <w:pStyle w:val="Marginlie"/>
              <w:rPr>
                <w:lang w:val="en-GB"/>
              </w:rPr>
            </w:pPr>
            <w:r w:rsidRPr="00412F61">
              <w:rPr>
                <w:lang w:val="en-GB"/>
              </w:rPr>
              <w:t xml:space="preserve">Surplus of the foreign trade balance shrank. </w:t>
            </w:r>
          </w:p>
        </w:tc>
        <w:tc>
          <w:tcPr>
            <w:tcW w:w="250" w:type="dxa"/>
            <w:shd w:val="clear" w:color="auto" w:fill="auto"/>
            <w:tcMar>
              <w:left w:w="0" w:type="dxa"/>
            </w:tcMar>
          </w:tcPr>
          <w:p w:rsidR="00E71D50" w:rsidRPr="00412F61" w:rsidRDefault="00E71D50" w:rsidP="00FE2C7E">
            <w:pPr>
              <w:pStyle w:val="Textpoznpodarou"/>
              <w:jc w:val="both"/>
              <w:rPr>
                <w:spacing w:val="-4"/>
                <w:lang w:val="en-GB"/>
              </w:rPr>
            </w:pPr>
          </w:p>
        </w:tc>
        <w:tc>
          <w:tcPr>
            <w:tcW w:w="7501" w:type="dxa"/>
            <w:shd w:val="clear" w:color="auto" w:fill="auto"/>
            <w:tcMar>
              <w:left w:w="0" w:type="dxa"/>
            </w:tcMar>
          </w:tcPr>
          <w:p w:rsidR="00E71D50" w:rsidRPr="00412F61" w:rsidRDefault="00E71D50" w:rsidP="00AA2AF4">
            <w:pPr>
              <w:rPr>
                <w:lang w:val="en-GB"/>
              </w:rPr>
            </w:pPr>
            <w:r w:rsidRPr="00412F61">
              <w:rPr>
                <w:lang w:val="en-GB"/>
              </w:rPr>
              <w:t>Total surplus of the trade with goods and services amounted to 185.4 CZK bn</w:t>
            </w:r>
            <w:r w:rsidRPr="00412F61">
              <w:rPr>
                <w:rStyle w:val="Znakapoznpodarou"/>
                <w:lang w:val="en-GB"/>
              </w:rPr>
              <w:footnoteReference w:id="9"/>
            </w:r>
            <w:r w:rsidRPr="00412F61">
              <w:rPr>
                <w:lang w:val="en-GB"/>
              </w:rPr>
              <w:t xml:space="preserve"> in the first half year and it lowered by 6.8 bn </w:t>
            </w:r>
            <w:proofErr w:type="gramStart"/>
            <w:r w:rsidRPr="00412F61">
              <w:rPr>
                <w:lang w:val="en-GB"/>
              </w:rPr>
              <w:t>year-on-year</w:t>
            </w:r>
            <w:proofErr w:type="gramEnd"/>
            <w:r w:rsidRPr="00412F61">
              <w:rPr>
                <w:lang w:val="en-GB"/>
              </w:rPr>
              <w:t>. The drop was equally spread between the individual quarters. The surplus was 93.2 CZK bn in Q2 and it decreased by 3.7 bn year-on-year. The fall of the surplus was again related only to the trade with goods (–6.0 CZK bn), for services a year-on-year increase of 2.3 bn eventuated. The terms of trade mildly fell in Q2 and reached 100.3%.</w:t>
            </w:r>
          </w:p>
        </w:tc>
      </w:tr>
      <w:tr w:rsidR="00E71D50" w:rsidRPr="00412F61" w:rsidTr="00232C2B">
        <w:trPr>
          <w:trHeight w:val="170"/>
        </w:trPr>
        <w:tc>
          <w:tcPr>
            <w:tcW w:w="1888" w:type="dxa"/>
            <w:vMerge w:val="restart"/>
            <w:shd w:val="clear" w:color="auto" w:fill="auto"/>
            <w:tcMar>
              <w:left w:w="0" w:type="dxa"/>
            </w:tcMar>
          </w:tcPr>
          <w:p w:rsidR="00E71D50" w:rsidRPr="00412F61" w:rsidRDefault="00E71D50" w:rsidP="00FE2C7E">
            <w:pPr>
              <w:pStyle w:val="Marginlie"/>
              <w:rPr>
                <w:lang w:val="en-GB"/>
              </w:rPr>
            </w:pPr>
          </w:p>
        </w:tc>
        <w:tc>
          <w:tcPr>
            <w:tcW w:w="250" w:type="dxa"/>
            <w:vMerge w:val="restart"/>
            <w:shd w:val="clear" w:color="auto" w:fill="auto"/>
            <w:tcMar>
              <w:left w:w="0" w:type="dxa"/>
            </w:tcMar>
          </w:tcPr>
          <w:p w:rsidR="00E71D50" w:rsidRPr="00412F61" w:rsidRDefault="00E71D50" w:rsidP="00FE2C7E">
            <w:pPr>
              <w:pStyle w:val="Textpoznpodarou"/>
              <w:jc w:val="both"/>
              <w:rPr>
                <w:spacing w:val="-4"/>
                <w:lang w:val="en-GB"/>
              </w:rPr>
            </w:pPr>
          </w:p>
        </w:tc>
        <w:tc>
          <w:tcPr>
            <w:tcW w:w="7501" w:type="dxa"/>
            <w:shd w:val="clear" w:color="auto" w:fill="auto"/>
            <w:tcMar>
              <w:left w:w="0" w:type="dxa"/>
            </w:tcMar>
          </w:tcPr>
          <w:p w:rsidR="00E71D50" w:rsidRPr="006B179D" w:rsidRDefault="00E71D50" w:rsidP="00653E0B">
            <w:pPr>
              <w:spacing w:after="0"/>
              <w:rPr>
                <w:sz w:val="18"/>
                <w:szCs w:val="18"/>
                <w:lang w:val="en-GB"/>
              </w:rPr>
            </w:pPr>
            <w:r w:rsidRPr="006B179D">
              <w:rPr>
                <w:b/>
                <w:sz w:val="18"/>
                <w:szCs w:val="18"/>
                <w:lang w:val="en-GB"/>
              </w:rPr>
              <w:t>Chart 4 Contributions</w:t>
            </w:r>
            <w:r w:rsidRPr="006B179D">
              <w:rPr>
                <w:b/>
                <w:sz w:val="18"/>
                <w:szCs w:val="18"/>
                <w:lang w:val="en-GB" w:eastAsia="en-US"/>
              </w:rPr>
              <w:t xml:space="preserve"> of branches to real change in GVA</w:t>
            </w:r>
            <w:r w:rsidRPr="006B179D">
              <w:rPr>
                <w:rFonts w:cs="Arial"/>
                <w:sz w:val="18"/>
                <w:szCs w:val="18"/>
                <w:lang w:val="en-GB" w:eastAsia="en-US"/>
              </w:rPr>
              <w:t xml:space="preserve"> (volume indices, year-on-year contributions in p.p., GVA in %)</w:t>
            </w:r>
          </w:p>
        </w:tc>
      </w:tr>
      <w:tr w:rsidR="00E71D50" w:rsidRPr="00412F61" w:rsidTr="00232C2B">
        <w:trPr>
          <w:trHeight w:val="170"/>
        </w:trPr>
        <w:tc>
          <w:tcPr>
            <w:tcW w:w="1888" w:type="dxa"/>
            <w:vMerge/>
            <w:shd w:val="clear" w:color="auto" w:fill="auto"/>
            <w:tcMar>
              <w:left w:w="0" w:type="dxa"/>
            </w:tcMar>
          </w:tcPr>
          <w:p w:rsidR="00E71D50" w:rsidRPr="00412F61" w:rsidRDefault="00E71D50" w:rsidP="00965797">
            <w:pPr>
              <w:pStyle w:val="Marginlie"/>
              <w:rPr>
                <w:lang w:val="en-GB"/>
              </w:rPr>
            </w:pPr>
          </w:p>
        </w:tc>
        <w:tc>
          <w:tcPr>
            <w:tcW w:w="250" w:type="dxa"/>
            <w:vMerge/>
            <w:shd w:val="clear" w:color="auto" w:fill="auto"/>
            <w:tcMar>
              <w:left w:w="0" w:type="dxa"/>
            </w:tcMar>
          </w:tcPr>
          <w:p w:rsidR="00E71D50" w:rsidRPr="00412F61" w:rsidRDefault="00E71D50" w:rsidP="00965797">
            <w:pPr>
              <w:pStyle w:val="Textpoznpodarou"/>
              <w:jc w:val="both"/>
              <w:rPr>
                <w:spacing w:val="-4"/>
                <w:lang w:val="en-GB"/>
              </w:rPr>
            </w:pPr>
          </w:p>
        </w:tc>
        <w:tc>
          <w:tcPr>
            <w:tcW w:w="7501" w:type="dxa"/>
            <w:shd w:val="clear" w:color="auto" w:fill="auto"/>
            <w:tcMar>
              <w:left w:w="0" w:type="dxa"/>
            </w:tcMar>
          </w:tcPr>
          <w:p w:rsidR="00E71D50" w:rsidRPr="00412F61" w:rsidRDefault="006B179D" w:rsidP="00965797">
            <w:pPr>
              <w:spacing w:after="0"/>
              <w:rPr>
                <w:lang w:val="en-GB"/>
              </w:rPr>
            </w:pPr>
            <w:r w:rsidRPr="006B179D">
              <w:rPr>
                <w:noProof/>
              </w:rPr>
              <w:drawing>
                <wp:inline distT="0" distB="0" distL="0" distR="0">
                  <wp:extent cx="4737600" cy="3553200"/>
                  <wp:effectExtent l="0" t="0" r="0" b="0"/>
                  <wp:docPr id="2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E71D50" w:rsidRPr="00412F61" w:rsidTr="00232C2B">
        <w:trPr>
          <w:trHeight w:val="170"/>
        </w:trPr>
        <w:tc>
          <w:tcPr>
            <w:tcW w:w="1888" w:type="dxa"/>
            <w:vMerge/>
            <w:shd w:val="clear" w:color="auto" w:fill="auto"/>
            <w:tcMar>
              <w:left w:w="0" w:type="dxa"/>
            </w:tcMar>
          </w:tcPr>
          <w:p w:rsidR="00E71D50" w:rsidRPr="00412F61" w:rsidRDefault="00E71D50" w:rsidP="00965797">
            <w:pPr>
              <w:pStyle w:val="Marginlie"/>
              <w:rPr>
                <w:lang w:val="en-GB"/>
              </w:rPr>
            </w:pPr>
          </w:p>
        </w:tc>
        <w:tc>
          <w:tcPr>
            <w:tcW w:w="250" w:type="dxa"/>
            <w:vMerge/>
            <w:shd w:val="clear" w:color="auto" w:fill="auto"/>
            <w:tcMar>
              <w:left w:w="0" w:type="dxa"/>
            </w:tcMar>
          </w:tcPr>
          <w:p w:rsidR="00E71D50" w:rsidRPr="00412F61" w:rsidRDefault="00E71D50" w:rsidP="00965797">
            <w:pPr>
              <w:pStyle w:val="Textpoznpodarou"/>
              <w:jc w:val="both"/>
              <w:rPr>
                <w:spacing w:val="-4"/>
                <w:lang w:val="en-GB"/>
              </w:rPr>
            </w:pPr>
          </w:p>
        </w:tc>
        <w:tc>
          <w:tcPr>
            <w:tcW w:w="7501" w:type="dxa"/>
            <w:shd w:val="clear" w:color="auto" w:fill="auto"/>
            <w:tcMar>
              <w:left w:w="0" w:type="dxa"/>
            </w:tcMar>
          </w:tcPr>
          <w:p w:rsidR="00E71D50" w:rsidRPr="00412F61" w:rsidRDefault="00E71D50" w:rsidP="006B179D">
            <w:pPr>
              <w:spacing w:after="0"/>
              <w:rPr>
                <w:sz w:val="14"/>
                <w:szCs w:val="14"/>
                <w:lang w:val="en-GB"/>
              </w:rPr>
            </w:pPr>
            <w:r w:rsidRPr="00412F61">
              <w:rPr>
                <w:sz w:val="14"/>
                <w:szCs w:val="14"/>
                <w:lang w:val="en-GB"/>
              </w:rPr>
              <w:t>Source: CZSO</w:t>
            </w:r>
          </w:p>
        </w:tc>
      </w:tr>
      <w:tr w:rsidR="006B179D" w:rsidRPr="00412F61" w:rsidTr="00232C2B">
        <w:trPr>
          <w:trHeight w:val="170"/>
        </w:trPr>
        <w:tc>
          <w:tcPr>
            <w:tcW w:w="1888" w:type="dxa"/>
            <w:shd w:val="clear" w:color="auto" w:fill="auto"/>
            <w:tcMar>
              <w:left w:w="0" w:type="dxa"/>
            </w:tcMar>
          </w:tcPr>
          <w:p w:rsidR="006B179D" w:rsidRPr="00412F61" w:rsidRDefault="006B179D" w:rsidP="002A4FB0">
            <w:pPr>
              <w:pStyle w:val="Marginlie"/>
              <w:rPr>
                <w:lang w:val="en-GB"/>
              </w:rPr>
            </w:pPr>
            <w:r w:rsidRPr="00412F61">
              <w:rPr>
                <w:lang w:val="en-GB"/>
              </w:rPr>
              <w:t xml:space="preserve">Services affected the GVA growth the most. </w:t>
            </w:r>
          </w:p>
        </w:tc>
        <w:tc>
          <w:tcPr>
            <w:tcW w:w="250" w:type="dxa"/>
            <w:shd w:val="clear" w:color="auto" w:fill="auto"/>
            <w:tcMar>
              <w:left w:w="0" w:type="dxa"/>
            </w:tcMar>
          </w:tcPr>
          <w:p w:rsidR="006B179D" w:rsidRPr="00412F61" w:rsidRDefault="006B179D" w:rsidP="002A4FB0">
            <w:pPr>
              <w:pStyle w:val="Textpoznpodarou"/>
              <w:jc w:val="both"/>
              <w:rPr>
                <w:spacing w:val="-4"/>
                <w:lang w:val="en-GB"/>
              </w:rPr>
            </w:pPr>
          </w:p>
        </w:tc>
        <w:tc>
          <w:tcPr>
            <w:tcW w:w="7501" w:type="dxa"/>
            <w:shd w:val="clear" w:color="auto" w:fill="auto"/>
            <w:tcMar>
              <w:left w:w="0" w:type="dxa"/>
            </w:tcMar>
          </w:tcPr>
          <w:p w:rsidR="006B179D" w:rsidRPr="00412F61" w:rsidRDefault="006B179D" w:rsidP="002A4FB0">
            <w:pPr>
              <w:rPr>
                <w:lang w:val="en-GB"/>
              </w:rPr>
            </w:pPr>
            <w:r w:rsidRPr="00412F61">
              <w:rPr>
                <w:lang w:val="en-GB"/>
              </w:rPr>
              <w:t xml:space="preserve">Manufacturing dominated the development of the gross value added in 2017, followed by the services sector supported by the growth of the domestic consumption. Nevertheless, the year-on-year GVA growth markedly slowed down to 2.8% in manufacturing in Q2 2018 (7.0% in Q1) and the addition to the total GVA also shrank (0.8 p.p., the least since Q3 2016). Total contribution of services </w:t>
            </w:r>
            <w:r w:rsidRPr="00412F61">
              <w:rPr>
                <w:lang w:val="en-GB"/>
              </w:rPr>
              <w:lastRenderedPageBreak/>
              <w:t xml:space="preserve">attained 1.5 p.p. in Q2. </w:t>
            </w:r>
            <w:r w:rsidRPr="00412F61">
              <w:rPr>
                <w:rFonts w:cs="Arial"/>
                <w:szCs w:val="20"/>
                <w:lang w:val="en-GB"/>
              </w:rPr>
              <w:t>Trade, transportation, accommodation and food service</w:t>
            </w:r>
            <w:r w:rsidRPr="00412F61">
              <w:rPr>
                <w:lang w:val="en-GB"/>
              </w:rPr>
              <w:t xml:space="preserve"> added the most (0.7 p.p.), with the GVA growing by 3.4% (however it slowed down compared to Q1). Lower level of the year-on-year growth was common to the majority of the services branches. Information and communication (4.6%, addition 0.2 p.p.) maintained a fast growth pace. Professional, scientific, technical and administrative activities (GVA growth 2.9%) and branches with the predominance of public sector (here the GVA growth slightly increased to 1.6%) accomplished the same addition to the GVA growth. In contrast to the rest of the economy, the GVA growth did not slacken much in construction (5.0%), which was also illustrated by the addition in the amount of 0.3 p.p. </w:t>
            </w:r>
          </w:p>
        </w:tc>
      </w:tr>
    </w:tbl>
    <w:p w:rsidR="00A50D73" w:rsidRPr="00412F61" w:rsidRDefault="00A50D73" w:rsidP="00583DCF">
      <w:pPr>
        <w:pStyle w:val="Nadpis11"/>
        <w:rPr>
          <w:sz w:val="2"/>
          <w:szCs w:val="2"/>
          <w:lang w:val="en-GB"/>
        </w:rPr>
      </w:pPr>
    </w:p>
    <w:sectPr w:rsidR="00A50D73" w:rsidRPr="00412F61" w:rsidSect="00583DCF">
      <w:headerReference w:type="even" r:id="rId13"/>
      <w:headerReference w:type="default" r:id="rId14"/>
      <w:footerReference w:type="even" r:id="rId15"/>
      <w:footerReference w:type="default" r:id="rId16"/>
      <w:pgSz w:w="11906" w:h="16838" w:code="9"/>
      <w:pgMar w:top="1134" w:right="1134" w:bottom="1418" w:left="1134" w:header="680" w:footer="737"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27B" w:rsidRDefault="0083327B" w:rsidP="00E71A58">
      <w:r>
        <w:separator/>
      </w:r>
    </w:p>
  </w:endnote>
  <w:endnote w:type="continuationSeparator" w:id="0">
    <w:p w:rsidR="0083327B" w:rsidRDefault="0083327B"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F5" w:rsidRPr="00932443" w:rsidRDefault="00BC49F5"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3175" b="1905"/>
          <wp:wrapNone/>
          <wp:docPr id="15"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00A627F4" w:rsidRPr="00932443">
      <w:rPr>
        <w:szCs w:val="16"/>
      </w:rPr>
      <w:fldChar w:fldCharType="begin"/>
    </w:r>
    <w:r w:rsidRPr="00932443">
      <w:rPr>
        <w:szCs w:val="16"/>
      </w:rPr>
      <w:instrText>PAGE   \* MERGEFORMAT</w:instrText>
    </w:r>
    <w:r w:rsidR="00A627F4" w:rsidRPr="00932443">
      <w:rPr>
        <w:szCs w:val="16"/>
      </w:rPr>
      <w:fldChar w:fldCharType="separate"/>
    </w:r>
    <w:r w:rsidR="00583DCF">
      <w:rPr>
        <w:szCs w:val="16"/>
      </w:rPr>
      <w:t>8</w:t>
    </w:r>
    <w:r w:rsidR="00A627F4" w:rsidRPr="00932443">
      <w:rPr>
        <w:szCs w:val="16"/>
      </w:rPr>
      <w:fldChar w:fldCharType="end"/>
    </w:r>
    <w:r w:rsidRPr="00932443">
      <w:rPr>
        <w:szCs w:val="16"/>
      </w:rPr>
      <w:tab/>
    </w:r>
    <w:r>
      <w:t>1</w:t>
    </w:r>
    <w:r w:rsidRPr="009F6558">
      <w:rPr>
        <w:vertAlign w:val="superscript"/>
      </w:rPr>
      <w:t>st</w:t>
    </w:r>
    <w:r>
      <w:t xml:space="preserve"> Half of 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F5" w:rsidRPr="00932443" w:rsidRDefault="00D208E7" w:rsidP="00A418BC">
    <w:pPr>
      <w:pStyle w:val="Zpat"/>
      <w:rPr>
        <w:szCs w:val="16"/>
      </w:rPr>
    </w:pPr>
    <w:r w:rsidRPr="00D208E7">
      <w:rPr>
        <w:szCs w:val="16"/>
        <w:lang w:eastAsia="cs-CZ"/>
      </w:rPr>
      <w:drawing>
        <wp:anchor distT="0" distB="0" distL="114300" distR="114300" simplePos="0" relativeHeight="251660288" behindDoc="0" locked="0" layoutInCell="1" allowOverlap="1">
          <wp:simplePos x="0" y="0"/>
          <wp:positionH relativeFrom="column">
            <wp:posOffset>118262</wp:posOffset>
          </wp:positionH>
          <wp:positionV relativeFrom="paragraph">
            <wp:posOffset>-70841</wp:posOffset>
          </wp:positionV>
          <wp:extent cx="690525" cy="204826"/>
          <wp:effectExtent l="19050" t="0" r="0" b="0"/>
          <wp:wrapNone/>
          <wp:docPr id="4"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90525" cy="204826"/>
                  </a:xfrm>
                  <a:prstGeom prst="rect">
                    <a:avLst/>
                  </a:prstGeom>
                  <a:noFill/>
                  <a:ln w="9525">
                    <a:noFill/>
                    <a:miter lim="800000"/>
                    <a:headEnd/>
                    <a:tailEnd/>
                  </a:ln>
                </pic:spPr>
              </pic:pic>
            </a:graphicData>
          </a:graphic>
        </wp:anchor>
      </w:drawing>
    </w:r>
    <w:r w:rsidR="00BC49F5" w:rsidRPr="00932443">
      <w:rPr>
        <w:szCs w:val="16"/>
      </w:rPr>
      <w:tab/>
    </w:r>
    <w:r w:rsidR="00BC49F5">
      <w:t>1</w:t>
    </w:r>
    <w:r w:rsidR="00BC49F5" w:rsidRPr="006C6E76">
      <w:rPr>
        <w:vertAlign w:val="superscript"/>
      </w:rPr>
      <w:t>st</w:t>
    </w:r>
    <w:r w:rsidR="00BC49F5">
      <w:t xml:space="preserve"> Half of 2018</w:t>
    </w:r>
    <w:r w:rsidR="00BC49F5" w:rsidRPr="00932443">
      <w:rPr>
        <w:szCs w:val="16"/>
      </w:rPr>
      <w:tab/>
    </w:r>
    <w:r w:rsidR="00A627F4" w:rsidRPr="00932443">
      <w:rPr>
        <w:rStyle w:val="ZpatChar"/>
        <w:szCs w:val="16"/>
      </w:rPr>
      <w:fldChar w:fldCharType="begin"/>
    </w:r>
    <w:r w:rsidR="00BC49F5" w:rsidRPr="00932443">
      <w:rPr>
        <w:rStyle w:val="ZpatChar"/>
        <w:szCs w:val="16"/>
      </w:rPr>
      <w:instrText>PAGE   \* MERGEFORMAT</w:instrText>
    </w:r>
    <w:r w:rsidR="00A627F4" w:rsidRPr="00932443">
      <w:rPr>
        <w:rStyle w:val="ZpatChar"/>
        <w:szCs w:val="16"/>
      </w:rPr>
      <w:fldChar w:fldCharType="separate"/>
    </w:r>
    <w:r w:rsidR="00583DCF">
      <w:rPr>
        <w:rStyle w:val="ZpatChar"/>
        <w:szCs w:val="16"/>
      </w:rPr>
      <w:t>9</w:t>
    </w:r>
    <w:r w:rsidR="00A627F4" w:rsidRPr="00932443">
      <w:rPr>
        <w:rStyle w:val="ZpatChar"/>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27B" w:rsidRDefault="0083327B" w:rsidP="00E71A58">
      <w:r>
        <w:separator/>
      </w:r>
    </w:p>
  </w:footnote>
  <w:footnote w:type="continuationSeparator" w:id="0">
    <w:p w:rsidR="0083327B" w:rsidRDefault="0083327B" w:rsidP="00E71A58">
      <w:r>
        <w:continuationSeparator/>
      </w:r>
    </w:p>
  </w:footnote>
  <w:footnote w:id="1">
    <w:p w:rsidR="00BC49F5" w:rsidRPr="00583DCF" w:rsidRDefault="00BC49F5" w:rsidP="00583DCF">
      <w:pPr>
        <w:pStyle w:val="Textpoznpodarou"/>
        <w:jc w:val="both"/>
        <w:rPr>
          <w:sz w:val="16"/>
          <w:szCs w:val="16"/>
          <w:lang w:val="en-GB"/>
        </w:rPr>
      </w:pPr>
      <w:r w:rsidRPr="00EF1EE3">
        <w:rPr>
          <w:rStyle w:val="Znakapoznpodarou"/>
          <w:sz w:val="16"/>
          <w:szCs w:val="16"/>
        </w:rPr>
        <w:footnoteRef/>
      </w:r>
      <w:r w:rsidRPr="00526A54">
        <w:rPr>
          <w:sz w:val="16"/>
          <w:szCs w:val="16"/>
          <w:lang w:val="en-GB"/>
        </w:rPr>
        <w:t xml:space="preserve">The development of the GDP, gross value added and their components is expressed with the help of the volume indices (i.e. adjusted for changes in prices) and adjusted for seasonal and calendar effects. Data were published on </w:t>
      </w:r>
      <w:r>
        <w:rPr>
          <w:sz w:val="16"/>
          <w:szCs w:val="16"/>
          <w:lang w:val="en-GB"/>
        </w:rPr>
        <w:t>31</w:t>
      </w:r>
      <w:r w:rsidRPr="00526A54">
        <w:rPr>
          <w:sz w:val="16"/>
          <w:szCs w:val="16"/>
          <w:lang w:val="en-GB"/>
        </w:rPr>
        <w:t>.</w:t>
      </w:r>
      <w:r>
        <w:rPr>
          <w:sz w:val="16"/>
          <w:szCs w:val="16"/>
          <w:lang w:val="en-GB"/>
        </w:rPr>
        <w:t>8</w:t>
      </w:r>
      <w:r w:rsidRPr="00526A54">
        <w:rPr>
          <w:sz w:val="16"/>
          <w:szCs w:val="16"/>
          <w:lang w:val="en-GB"/>
        </w:rPr>
        <w:t xml:space="preserve">.2018 and the revised data will be published on </w:t>
      </w:r>
      <w:r>
        <w:rPr>
          <w:sz w:val="16"/>
          <w:szCs w:val="16"/>
          <w:lang w:val="en-GB"/>
        </w:rPr>
        <w:t>2</w:t>
      </w:r>
      <w:r w:rsidRPr="00526A54">
        <w:rPr>
          <w:sz w:val="16"/>
          <w:szCs w:val="16"/>
          <w:lang w:val="en-GB"/>
        </w:rPr>
        <w:t>.</w:t>
      </w:r>
      <w:r>
        <w:rPr>
          <w:sz w:val="16"/>
          <w:szCs w:val="16"/>
          <w:lang w:val="en-GB"/>
        </w:rPr>
        <w:t xml:space="preserve"> 10</w:t>
      </w:r>
      <w:r w:rsidRPr="00526A54">
        <w:rPr>
          <w:sz w:val="16"/>
          <w:szCs w:val="16"/>
          <w:lang w:val="en-GB"/>
        </w:rPr>
        <w:t>.</w:t>
      </w:r>
      <w:r>
        <w:rPr>
          <w:sz w:val="16"/>
          <w:szCs w:val="16"/>
          <w:lang w:val="en-GB"/>
        </w:rPr>
        <w:t xml:space="preserve"> </w:t>
      </w:r>
      <w:r w:rsidRPr="00526A54">
        <w:rPr>
          <w:sz w:val="16"/>
          <w:szCs w:val="16"/>
          <w:lang w:val="en-GB"/>
        </w:rPr>
        <w:t xml:space="preserve">2018. </w:t>
      </w:r>
    </w:p>
  </w:footnote>
  <w:footnote w:id="2">
    <w:p w:rsidR="00BC49F5" w:rsidRPr="00BB319F" w:rsidRDefault="00BC49F5" w:rsidP="00E71D50">
      <w:pPr>
        <w:pStyle w:val="Textpoznpodarou"/>
        <w:jc w:val="both"/>
        <w:rPr>
          <w:sz w:val="16"/>
          <w:szCs w:val="16"/>
        </w:rPr>
      </w:pPr>
      <w:r w:rsidRPr="00AF6B7C">
        <w:rPr>
          <w:rStyle w:val="Znakapoznpodarou"/>
          <w:sz w:val="16"/>
          <w:szCs w:val="16"/>
        </w:rPr>
        <w:footnoteRef/>
      </w:r>
      <w:r>
        <w:rPr>
          <w:sz w:val="16"/>
          <w:szCs w:val="16"/>
          <w:lang w:val="en-GB"/>
        </w:rPr>
        <w:t xml:space="preserve"> </w:t>
      </w:r>
      <w:proofErr w:type="gramStart"/>
      <w:r w:rsidRPr="000B5746">
        <w:rPr>
          <w:sz w:val="16"/>
          <w:szCs w:val="16"/>
          <w:lang w:val="en-GB"/>
        </w:rPr>
        <w:t>Data for Ireland and Luxembourg not available.</w:t>
      </w:r>
      <w:proofErr w:type="gramEnd"/>
      <w:r w:rsidRPr="000B5746">
        <w:rPr>
          <w:sz w:val="16"/>
          <w:szCs w:val="16"/>
          <w:lang w:val="en-GB"/>
        </w:rPr>
        <w:t xml:space="preserve"> Slovakian data are not adjusted for calendar effects.</w:t>
      </w:r>
    </w:p>
  </w:footnote>
  <w:footnote w:id="3">
    <w:p w:rsidR="00BC49F5" w:rsidRPr="00F83297" w:rsidRDefault="00BC49F5" w:rsidP="00F83297">
      <w:pPr>
        <w:pStyle w:val="Textpoznpodarou"/>
        <w:jc w:val="both"/>
        <w:rPr>
          <w:sz w:val="16"/>
          <w:szCs w:val="16"/>
          <w:lang w:val="en-GB"/>
        </w:rPr>
      </w:pPr>
      <w:r w:rsidRPr="009C6EA8">
        <w:rPr>
          <w:rStyle w:val="Znakapoznpodarou"/>
          <w:sz w:val="16"/>
          <w:szCs w:val="16"/>
        </w:rPr>
        <w:footnoteRef/>
      </w:r>
      <w:r w:rsidRPr="009C6EA8">
        <w:rPr>
          <w:sz w:val="16"/>
          <w:szCs w:val="16"/>
        </w:rPr>
        <w:t xml:space="preserve"> </w:t>
      </w:r>
      <w:r w:rsidRPr="00F83297">
        <w:rPr>
          <w:sz w:val="16"/>
          <w:szCs w:val="16"/>
          <w:lang w:val="en-GB"/>
        </w:rPr>
        <w:t xml:space="preserve">Additions to the GDP change after exclusion of imports for final use. </w:t>
      </w:r>
    </w:p>
  </w:footnote>
  <w:footnote w:id="4">
    <w:p w:rsidR="00BC49F5" w:rsidRPr="00F83297" w:rsidRDefault="00BC49F5" w:rsidP="00F83297">
      <w:pPr>
        <w:pStyle w:val="Textpoznpodarou"/>
        <w:jc w:val="both"/>
        <w:rPr>
          <w:sz w:val="16"/>
          <w:szCs w:val="16"/>
          <w:lang w:val="en-GB"/>
        </w:rPr>
      </w:pPr>
      <w:r w:rsidRPr="00F83297">
        <w:rPr>
          <w:rStyle w:val="Znakapoznpodarou"/>
          <w:sz w:val="16"/>
          <w:szCs w:val="16"/>
          <w:lang w:val="en-GB"/>
        </w:rPr>
        <w:footnoteRef/>
      </w:r>
      <w:r w:rsidRPr="00F83297">
        <w:rPr>
          <w:sz w:val="16"/>
          <w:szCs w:val="16"/>
          <w:lang w:val="en-GB"/>
        </w:rPr>
        <w:t xml:space="preserve"> Data regarding the household consumption based on the durability of goods are not seasonally adjusted.</w:t>
      </w:r>
    </w:p>
  </w:footnote>
  <w:footnote w:id="5">
    <w:p w:rsidR="00BC49F5" w:rsidRPr="00F83297" w:rsidRDefault="00BC49F5" w:rsidP="00F83297">
      <w:pPr>
        <w:pStyle w:val="Textpoznpodarou"/>
        <w:jc w:val="both"/>
        <w:rPr>
          <w:sz w:val="16"/>
          <w:szCs w:val="16"/>
          <w:lang w:val="en-GB"/>
        </w:rPr>
      </w:pPr>
      <w:r w:rsidRPr="00F83297">
        <w:rPr>
          <w:rStyle w:val="Znakapoznpodarou"/>
          <w:sz w:val="16"/>
          <w:szCs w:val="16"/>
          <w:lang w:val="en-GB"/>
        </w:rPr>
        <w:footnoteRef/>
      </w:r>
      <w:r w:rsidRPr="00F83297">
        <w:rPr>
          <w:sz w:val="16"/>
          <w:szCs w:val="16"/>
          <w:lang w:val="en-GB"/>
        </w:rPr>
        <w:t xml:space="preserve"> </w:t>
      </w:r>
      <w:proofErr w:type="gramStart"/>
      <w:r w:rsidRPr="00F83297">
        <w:rPr>
          <w:sz w:val="16"/>
          <w:szCs w:val="16"/>
          <w:lang w:val="en-GB"/>
        </w:rPr>
        <w:t>Converted into the real expression using the deflator of final consumption expenditure of households.</w:t>
      </w:r>
      <w:proofErr w:type="gramEnd"/>
    </w:p>
  </w:footnote>
  <w:footnote w:id="6">
    <w:p w:rsidR="00BC49F5" w:rsidRPr="00F83297" w:rsidRDefault="00BC49F5" w:rsidP="00F83297">
      <w:pPr>
        <w:pStyle w:val="Textpoznpodarou"/>
        <w:jc w:val="both"/>
        <w:rPr>
          <w:lang w:val="en-GB"/>
        </w:rPr>
      </w:pPr>
      <w:r w:rsidRPr="00F83297">
        <w:rPr>
          <w:rStyle w:val="Znakapoznpodarou"/>
          <w:sz w:val="16"/>
          <w:szCs w:val="16"/>
          <w:lang w:val="en-GB"/>
        </w:rPr>
        <w:footnoteRef/>
      </w:r>
      <w:r w:rsidRPr="00F83297">
        <w:rPr>
          <w:sz w:val="16"/>
          <w:szCs w:val="16"/>
          <w:lang w:val="en-GB"/>
        </w:rPr>
        <w:t xml:space="preserve"> In the national accounts conception, seasonally adjusted. </w:t>
      </w:r>
    </w:p>
  </w:footnote>
  <w:footnote w:id="7">
    <w:p w:rsidR="00BC49F5" w:rsidRPr="00F83297" w:rsidRDefault="00BC49F5" w:rsidP="00F83297">
      <w:pPr>
        <w:pStyle w:val="Textpoznpodarou"/>
        <w:jc w:val="both"/>
        <w:rPr>
          <w:sz w:val="16"/>
          <w:szCs w:val="16"/>
          <w:lang w:val="en-GB"/>
        </w:rPr>
      </w:pPr>
      <w:r w:rsidRPr="00F83297">
        <w:rPr>
          <w:rStyle w:val="Znakapoznpodarou"/>
          <w:sz w:val="16"/>
          <w:szCs w:val="16"/>
          <w:lang w:val="en-GB"/>
        </w:rPr>
        <w:footnoteRef/>
      </w:r>
      <w:r w:rsidRPr="00F83297">
        <w:rPr>
          <w:sz w:val="16"/>
          <w:szCs w:val="16"/>
          <w:lang w:val="en-GB"/>
        </w:rPr>
        <w:t xml:space="preserve"> </w:t>
      </w:r>
      <w:proofErr w:type="gramStart"/>
      <w:r w:rsidRPr="00F83297">
        <w:rPr>
          <w:sz w:val="16"/>
          <w:szCs w:val="16"/>
          <w:lang w:val="en-GB"/>
        </w:rPr>
        <w:t>Public administration and defence, education, health and social care.</w:t>
      </w:r>
      <w:proofErr w:type="gramEnd"/>
    </w:p>
  </w:footnote>
  <w:footnote w:id="8">
    <w:p w:rsidR="00BC49F5" w:rsidRPr="00FA0250" w:rsidRDefault="00BC49F5" w:rsidP="00FA0250">
      <w:pPr>
        <w:pStyle w:val="Textpoznpodarou"/>
        <w:jc w:val="both"/>
        <w:rPr>
          <w:sz w:val="16"/>
          <w:szCs w:val="16"/>
          <w:lang w:val="en-GB"/>
        </w:rPr>
      </w:pPr>
      <w:r w:rsidRPr="0021552C">
        <w:rPr>
          <w:rStyle w:val="Znakapoznpodarou"/>
          <w:sz w:val="16"/>
          <w:szCs w:val="16"/>
        </w:rPr>
        <w:footnoteRef/>
      </w:r>
      <w:r w:rsidRPr="0021552C">
        <w:rPr>
          <w:sz w:val="16"/>
          <w:szCs w:val="16"/>
        </w:rPr>
        <w:t xml:space="preserve"> </w:t>
      </w:r>
      <w:r w:rsidRPr="00BF7E4B">
        <w:rPr>
          <w:rFonts w:cs="Arial"/>
          <w:sz w:val="16"/>
          <w:szCs w:val="16"/>
        </w:rPr>
        <w:t xml:space="preserve">Data </w:t>
      </w:r>
      <w:r w:rsidRPr="00FA0250">
        <w:rPr>
          <w:rFonts w:cs="Arial"/>
          <w:sz w:val="16"/>
          <w:szCs w:val="16"/>
          <w:lang w:val="en-GB"/>
        </w:rPr>
        <w:t xml:space="preserve">regarding the type classification of gross fixed capital formation are not seasonally adjusted. </w:t>
      </w:r>
    </w:p>
  </w:footnote>
  <w:footnote w:id="9">
    <w:p w:rsidR="00BC49F5" w:rsidRPr="00FA0250" w:rsidRDefault="00BC49F5" w:rsidP="00FA0250">
      <w:pPr>
        <w:pStyle w:val="Textpoznpodarou"/>
        <w:jc w:val="both"/>
        <w:rPr>
          <w:sz w:val="16"/>
          <w:szCs w:val="16"/>
          <w:lang w:val="en-GB"/>
        </w:rPr>
      </w:pPr>
      <w:r w:rsidRPr="00FA0250">
        <w:rPr>
          <w:rStyle w:val="Znakapoznpodarou"/>
          <w:sz w:val="16"/>
          <w:szCs w:val="16"/>
          <w:lang w:val="en-GB"/>
        </w:rPr>
        <w:footnoteRef/>
      </w:r>
      <w:r w:rsidRPr="00FA0250">
        <w:rPr>
          <w:sz w:val="16"/>
          <w:szCs w:val="16"/>
          <w:lang w:val="en-GB"/>
        </w:rPr>
        <w:t xml:space="preserve"> </w:t>
      </w:r>
      <w:proofErr w:type="gramStart"/>
      <w:r w:rsidRPr="00FA0250">
        <w:rPr>
          <w:sz w:val="16"/>
          <w:szCs w:val="16"/>
          <w:lang w:val="en-GB"/>
        </w:rPr>
        <w:t>According to the methodology of quarterly national accounts (import and export in CIF/FOB prices).</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F5" w:rsidRPr="00C156C9" w:rsidRDefault="00BC49F5" w:rsidP="00937AE2">
    <w:pPr>
      <w:pStyle w:val="Zhlav"/>
      <w:rPr>
        <w:lang w:val="en-GB"/>
      </w:rPr>
    </w:pPr>
    <w:r w:rsidRPr="00C156C9">
      <w:rPr>
        <w:lang w:val="en-GB"/>
      </w:rPr>
      <w:t xml:space="preserve">The Czech Economy Development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F5" w:rsidRPr="00C156C9" w:rsidRDefault="00BC49F5" w:rsidP="00937AE2">
    <w:pPr>
      <w:pStyle w:val="Zhlav"/>
      <w:rPr>
        <w:lang w:val="en-GB"/>
      </w:rPr>
    </w:pPr>
    <w:r>
      <w:rPr>
        <w:lang w:val="en-GB"/>
      </w:rPr>
      <w:t xml:space="preserve">The </w:t>
    </w:r>
    <w:r w:rsidRPr="00C156C9">
      <w:rPr>
        <w:lang w:val="en-GB"/>
      </w:rPr>
      <w:t xml:space="preserve">Czech Economy Development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2">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21"/>
  </w:num>
  <w:num w:numId="14">
    <w:abstractNumId w:val="11"/>
  </w:num>
  <w:num w:numId="15">
    <w:abstractNumId w:val="17"/>
  </w:num>
  <w:num w:numId="16">
    <w:abstractNumId w:val="13"/>
  </w:num>
  <w:num w:numId="17">
    <w:abstractNumId w:val="22"/>
  </w:num>
  <w:num w:numId="18">
    <w:abstractNumId w:val="18"/>
  </w:num>
  <w:num w:numId="19">
    <w:abstractNumId w:val="23"/>
  </w:num>
  <w:num w:numId="20">
    <w:abstractNumId w:val="24"/>
  </w:num>
  <w:num w:numId="21">
    <w:abstractNumId w:val="20"/>
  </w:num>
  <w:num w:numId="22">
    <w:abstractNumId w:val="16"/>
  </w:num>
  <w:num w:numId="23">
    <w:abstractNumId w:val="14"/>
  </w:num>
  <w:num w:numId="24">
    <w:abstractNumId w:val="15"/>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1001"/>
  <w:stylePaneSortMethod w:val="0004"/>
  <w:defaultTabStop w:val="708"/>
  <w:hyphenationZone w:val="425"/>
  <w:evenAndOddHeaders/>
  <w:drawingGridHorizontalSpacing w:val="100"/>
  <w:displayHorizontalDrawingGridEvery w:val="2"/>
  <w:characterSpacingControl w:val="doNotCompress"/>
  <w:hdrShapeDefaults>
    <o:shapedefaults v:ext="edit" spidmax="10242">
      <o:colormru v:ext="edit" colors="#ecf4dd,#eaecee,#fcec0a,#fcecdb,#f1daf5"/>
    </o:shapedefaults>
  </w:hdrShapeDefaults>
  <w:footnotePr>
    <w:footnote w:id="-1"/>
    <w:footnote w:id="0"/>
  </w:footnotePr>
  <w:endnotePr>
    <w:endnote w:id="-1"/>
    <w:endnote w:id="0"/>
  </w:endnotePr>
  <w:compat/>
  <w:rsids>
    <w:rsidRoot w:val="00C62828"/>
    <w:rsid w:val="000005AF"/>
    <w:rsid w:val="000012A5"/>
    <w:rsid w:val="0000209D"/>
    <w:rsid w:val="0000240D"/>
    <w:rsid w:val="000025CD"/>
    <w:rsid w:val="00002B56"/>
    <w:rsid w:val="00003A69"/>
    <w:rsid w:val="00003B28"/>
    <w:rsid w:val="00003B7A"/>
    <w:rsid w:val="00003F5C"/>
    <w:rsid w:val="00004D5A"/>
    <w:rsid w:val="000056D5"/>
    <w:rsid w:val="000056DC"/>
    <w:rsid w:val="00006190"/>
    <w:rsid w:val="000063D5"/>
    <w:rsid w:val="00006ABD"/>
    <w:rsid w:val="0000767A"/>
    <w:rsid w:val="00010002"/>
    <w:rsid w:val="00010256"/>
    <w:rsid w:val="000106D4"/>
    <w:rsid w:val="00010702"/>
    <w:rsid w:val="0001128E"/>
    <w:rsid w:val="00011912"/>
    <w:rsid w:val="00013A7A"/>
    <w:rsid w:val="00015EEC"/>
    <w:rsid w:val="00016420"/>
    <w:rsid w:val="00017B01"/>
    <w:rsid w:val="00020F22"/>
    <w:rsid w:val="0002195D"/>
    <w:rsid w:val="000225D8"/>
    <w:rsid w:val="000233D1"/>
    <w:rsid w:val="000234D6"/>
    <w:rsid w:val="00023D29"/>
    <w:rsid w:val="00025903"/>
    <w:rsid w:val="00026389"/>
    <w:rsid w:val="00031AE0"/>
    <w:rsid w:val="000322EF"/>
    <w:rsid w:val="00033B83"/>
    <w:rsid w:val="00033C1D"/>
    <w:rsid w:val="00033FCD"/>
    <w:rsid w:val="00034DF7"/>
    <w:rsid w:val="00034E68"/>
    <w:rsid w:val="00035021"/>
    <w:rsid w:val="00035106"/>
    <w:rsid w:val="00036195"/>
    <w:rsid w:val="000376C0"/>
    <w:rsid w:val="000403A7"/>
    <w:rsid w:val="00040632"/>
    <w:rsid w:val="00041CEC"/>
    <w:rsid w:val="000438DF"/>
    <w:rsid w:val="00044183"/>
    <w:rsid w:val="00046535"/>
    <w:rsid w:val="0004694F"/>
    <w:rsid w:val="00047AC4"/>
    <w:rsid w:val="00047D54"/>
    <w:rsid w:val="00047E74"/>
    <w:rsid w:val="00050B7F"/>
    <w:rsid w:val="00051ADB"/>
    <w:rsid w:val="00051E0D"/>
    <w:rsid w:val="000522E4"/>
    <w:rsid w:val="00052679"/>
    <w:rsid w:val="00053713"/>
    <w:rsid w:val="0005434E"/>
    <w:rsid w:val="00055CB6"/>
    <w:rsid w:val="000572DD"/>
    <w:rsid w:val="00057450"/>
    <w:rsid w:val="00057B1E"/>
    <w:rsid w:val="000610E1"/>
    <w:rsid w:val="00062EC5"/>
    <w:rsid w:val="00062F22"/>
    <w:rsid w:val="00063975"/>
    <w:rsid w:val="00063F01"/>
    <w:rsid w:val="000645FC"/>
    <w:rsid w:val="0006533F"/>
    <w:rsid w:val="00065348"/>
    <w:rsid w:val="00065A75"/>
    <w:rsid w:val="000666C1"/>
    <w:rsid w:val="00070A87"/>
    <w:rsid w:val="000712B3"/>
    <w:rsid w:val="00072CDE"/>
    <w:rsid w:val="00072F86"/>
    <w:rsid w:val="0007474E"/>
    <w:rsid w:val="00076193"/>
    <w:rsid w:val="00077059"/>
    <w:rsid w:val="00077FF0"/>
    <w:rsid w:val="00081A55"/>
    <w:rsid w:val="00081AEA"/>
    <w:rsid w:val="0008263E"/>
    <w:rsid w:val="00082C19"/>
    <w:rsid w:val="000837CD"/>
    <w:rsid w:val="00084BFF"/>
    <w:rsid w:val="00085395"/>
    <w:rsid w:val="00086AC1"/>
    <w:rsid w:val="000871C2"/>
    <w:rsid w:val="00087634"/>
    <w:rsid w:val="00087F2B"/>
    <w:rsid w:val="0009045D"/>
    <w:rsid w:val="00090694"/>
    <w:rsid w:val="000913B1"/>
    <w:rsid w:val="00094A84"/>
    <w:rsid w:val="00095025"/>
    <w:rsid w:val="00095135"/>
    <w:rsid w:val="00095A00"/>
    <w:rsid w:val="00097191"/>
    <w:rsid w:val="000974D1"/>
    <w:rsid w:val="0009799E"/>
    <w:rsid w:val="000A0D16"/>
    <w:rsid w:val="000A1183"/>
    <w:rsid w:val="000A256D"/>
    <w:rsid w:val="000A32FC"/>
    <w:rsid w:val="000A3A2C"/>
    <w:rsid w:val="000A41A2"/>
    <w:rsid w:val="000A4A54"/>
    <w:rsid w:val="000A6691"/>
    <w:rsid w:val="000A7377"/>
    <w:rsid w:val="000B03CC"/>
    <w:rsid w:val="000B4212"/>
    <w:rsid w:val="000B5381"/>
    <w:rsid w:val="000B59DD"/>
    <w:rsid w:val="000C0CF7"/>
    <w:rsid w:val="000C0EA8"/>
    <w:rsid w:val="000C1039"/>
    <w:rsid w:val="000C13A2"/>
    <w:rsid w:val="000C1EA3"/>
    <w:rsid w:val="000C3408"/>
    <w:rsid w:val="000C35AB"/>
    <w:rsid w:val="000C6AFD"/>
    <w:rsid w:val="000C6FC6"/>
    <w:rsid w:val="000D0B63"/>
    <w:rsid w:val="000D2E6A"/>
    <w:rsid w:val="000D3058"/>
    <w:rsid w:val="000D310A"/>
    <w:rsid w:val="000D5637"/>
    <w:rsid w:val="000D60CA"/>
    <w:rsid w:val="000D6898"/>
    <w:rsid w:val="000E0E96"/>
    <w:rsid w:val="000E23C1"/>
    <w:rsid w:val="000E2C7D"/>
    <w:rsid w:val="000E2D5A"/>
    <w:rsid w:val="000E4AC5"/>
    <w:rsid w:val="000E52F0"/>
    <w:rsid w:val="000E5DD6"/>
    <w:rsid w:val="000E6253"/>
    <w:rsid w:val="000E6875"/>
    <w:rsid w:val="000E6E8D"/>
    <w:rsid w:val="000E6FBD"/>
    <w:rsid w:val="000F1639"/>
    <w:rsid w:val="000F1863"/>
    <w:rsid w:val="000F3190"/>
    <w:rsid w:val="000F54F2"/>
    <w:rsid w:val="000F7775"/>
    <w:rsid w:val="00100F5C"/>
    <w:rsid w:val="00101CDA"/>
    <w:rsid w:val="00102037"/>
    <w:rsid w:val="00103907"/>
    <w:rsid w:val="00103DCB"/>
    <w:rsid w:val="00104442"/>
    <w:rsid w:val="00104C4C"/>
    <w:rsid w:val="001057C2"/>
    <w:rsid w:val="00110725"/>
    <w:rsid w:val="00110940"/>
    <w:rsid w:val="00110BF9"/>
    <w:rsid w:val="00110C91"/>
    <w:rsid w:val="00112CAB"/>
    <w:rsid w:val="00114ED6"/>
    <w:rsid w:val="00117623"/>
    <w:rsid w:val="00117E7B"/>
    <w:rsid w:val="00120D64"/>
    <w:rsid w:val="0012192F"/>
    <w:rsid w:val="00122994"/>
    <w:rsid w:val="00124B46"/>
    <w:rsid w:val="00125D69"/>
    <w:rsid w:val="00126FA0"/>
    <w:rsid w:val="0012799C"/>
    <w:rsid w:val="00130ADC"/>
    <w:rsid w:val="00130D9F"/>
    <w:rsid w:val="00131F7A"/>
    <w:rsid w:val="00132145"/>
    <w:rsid w:val="0013284D"/>
    <w:rsid w:val="00132C4D"/>
    <w:rsid w:val="00132D2D"/>
    <w:rsid w:val="00133FC1"/>
    <w:rsid w:val="001405FA"/>
    <w:rsid w:val="0014170D"/>
    <w:rsid w:val="0014203B"/>
    <w:rsid w:val="001425C3"/>
    <w:rsid w:val="0014262D"/>
    <w:rsid w:val="00143E9A"/>
    <w:rsid w:val="001459BC"/>
    <w:rsid w:val="00152503"/>
    <w:rsid w:val="001540E7"/>
    <w:rsid w:val="00154B61"/>
    <w:rsid w:val="001554C2"/>
    <w:rsid w:val="001571C0"/>
    <w:rsid w:val="0015753D"/>
    <w:rsid w:val="001612F4"/>
    <w:rsid w:val="00161553"/>
    <w:rsid w:val="0016256B"/>
    <w:rsid w:val="00163793"/>
    <w:rsid w:val="00167193"/>
    <w:rsid w:val="00167CB9"/>
    <w:rsid w:val="001705AD"/>
    <w:rsid w:val="001706D6"/>
    <w:rsid w:val="001714F2"/>
    <w:rsid w:val="00171FEA"/>
    <w:rsid w:val="00172BE8"/>
    <w:rsid w:val="00173E0F"/>
    <w:rsid w:val="001744C7"/>
    <w:rsid w:val="00175B9F"/>
    <w:rsid w:val="001762F4"/>
    <w:rsid w:val="00177026"/>
    <w:rsid w:val="00181BBC"/>
    <w:rsid w:val="0018385F"/>
    <w:rsid w:val="00184017"/>
    <w:rsid w:val="00184B08"/>
    <w:rsid w:val="00185010"/>
    <w:rsid w:val="00185484"/>
    <w:rsid w:val="00187026"/>
    <w:rsid w:val="0019036A"/>
    <w:rsid w:val="00192E51"/>
    <w:rsid w:val="00192F05"/>
    <w:rsid w:val="001944B7"/>
    <w:rsid w:val="00194729"/>
    <w:rsid w:val="00195234"/>
    <w:rsid w:val="00195DB8"/>
    <w:rsid w:val="00197A70"/>
    <w:rsid w:val="00197C04"/>
    <w:rsid w:val="00197C0F"/>
    <w:rsid w:val="001A0487"/>
    <w:rsid w:val="001A3555"/>
    <w:rsid w:val="001A4191"/>
    <w:rsid w:val="001A552F"/>
    <w:rsid w:val="001A67E6"/>
    <w:rsid w:val="001A6F88"/>
    <w:rsid w:val="001B1FF7"/>
    <w:rsid w:val="001B2CA9"/>
    <w:rsid w:val="001B3110"/>
    <w:rsid w:val="001B35DD"/>
    <w:rsid w:val="001B3E38"/>
    <w:rsid w:val="001B3EF1"/>
    <w:rsid w:val="001B4729"/>
    <w:rsid w:val="001B4B0D"/>
    <w:rsid w:val="001B4F0E"/>
    <w:rsid w:val="001B6310"/>
    <w:rsid w:val="001B6C09"/>
    <w:rsid w:val="001C05CD"/>
    <w:rsid w:val="001C0F17"/>
    <w:rsid w:val="001C199C"/>
    <w:rsid w:val="001C1B66"/>
    <w:rsid w:val="001C31A2"/>
    <w:rsid w:val="001C4905"/>
    <w:rsid w:val="001C6A0F"/>
    <w:rsid w:val="001D22C2"/>
    <w:rsid w:val="001D2AFF"/>
    <w:rsid w:val="001D3DDA"/>
    <w:rsid w:val="001D54C1"/>
    <w:rsid w:val="001D556E"/>
    <w:rsid w:val="001D5DF2"/>
    <w:rsid w:val="001D68B2"/>
    <w:rsid w:val="001D6BF1"/>
    <w:rsid w:val="001D7F60"/>
    <w:rsid w:val="001E0ECB"/>
    <w:rsid w:val="001E1A0E"/>
    <w:rsid w:val="001E2D8C"/>
    <w:rsid w:val="001E4A87"/>
    <w:rsid w:val="001E504C"/>
    <w:rsid w:val="001E5A17"/>
    <w:rsid w:val="001F0598"/>
    <w:rsid w:val="001F1769"/>
    <w:rsid w:val="001F1F0D"/>
    <w:rsid w:val="001F336D"/>
    <w:rsid w:val="001F4597"/>
    <w:rsid w:val="001F5777"/>
    <w:rsid w:val="001F6C7C"/>
    <w:rsid w:val="00200085"/>
    <w:rsid w:val="00203332"/>
    <w:rsid w:val="00203CD5"/>
    <w:rsid w:val="00203D8F"/>
    <w:rsid w:val="00203DA4"/>
    <w:rsid w:val="00204EBA"/>
    <w:rsid w:val="00205C64"/>
    <w:rsid w:val="002071D5"/>
    <w:rsid w:val="00207942"/>
    <w:rsid w:val="00207C95"/>
    <w:rsid w:val="002118B9"/>
    <w:rsid w:val="00211D49"/>
    <w:rsid w:val="00212741"/>
    <w:rsid w:val="002136EC"/>
    <w:rsid w:val="002142C0"/>
    <w:rsid w:val="00214B75"/>
    <w:rsid w:val="00214FC7"/>
    <w:rsid w:val="00217C5B"/>
    <w:rsid w:val="00220A43"/>
    <w:rsid w:val="0022139E"/>
    <w:rsid w:val="00222017"/>
    <w:rsid w:val="00222729"/>
    <w:rsid w:val="00223344"/>
    <w:rsid w:val="0022441D"/>
    <w:rsid w:val="0022468F"/>
    <w:rsid w:val="002252E0"/>
    <w:rsid w:val="002255F6"/>
    <w:rsid w:val="00227605"/>
    <w:rsid w:val="00227850"/>
    <w:rsid w:val="00227A53"/>
    <w:rsid w:val="00227ADF"/>
    <w:rsid w:val="00227E2E"/>
    <w:rsid w:val="00230C6E"/>
    <w:rsid w:val="002318F2"/>
    <w:rsid w:val="00232C2B"/>
    <w:rsid w:val="00232C53"/>
    <w:rsid w:val="00233603"/>
    <w:rsid w:val="00235033"/>
    <w:rsid w:val="00235456"/>
    <w:rsid w:val="00235B5D"/>
    <w:rsid w:val="00236443"/>
    <w:rsid w:val="002372E9"/>
    <w:rsid w:val="00240F80"/>
    <w:rsid w:val="00241B06"/>
    <w:rsid w:val="00242166"/>
    <w:rsid w:val="002436BA"/>
    <w:rsid w:val="00244A15"/>
    <w:rsid w:val="002452D9"/>
    <w:rsid w:val="002458A9"/>
    <w:rsid w:val="00247319"/>
    <w:rsid w:val="0024799E"/>
    <w:rsid w:val="00247E60"/>
    <w:rsid w:val="00250C08"/>
    <w:rsid w:val="002517C1"/>
    <w:rsid w:val="00252AB9"/>
    <w:rsid w:val="00252E4A"/>
    <w:rsid w:val="002530A2"/>
    <w:rsid w:val="00253C0F"/>
    <w:rsid w:val="002558C1"/>
    <w:rsid w:val="00256207"/>
    <w:rsid w:val="002603E1"/>
    <w:rsid w:val="00260A6C"/>
    <w:rsid w:val="0026291D"/>
    <w:rsid w:val="00264889"/>
    <w:rsid w:val="0026676C"/>
    <w:rsid w:val="002675F3"/>
    <w:rsid w:val="00267B49"/>
    <w:rsid w:val="0027025F"/>
    <w:rsid w:val="00271022"/>
    <w:rsid w:val="00271465"/>
    <w:rsid w:val="00272DF4"/>
    <w:rsid w:val="00275004"/>
    <w:rsid w:val="0027583D"/>
    <w:rsid w:val="00275DEF"/>
    <w:rsid w:val="00276494"/>
    <w:rsid w:val="00276B33"/>
    <w:rsid w:val="002812E3"/>
    <w:rsid w:val="002837AE"/>
    <w:rsid w:val="002844CE"/>
    <w:rsid w:val="002853FA"/>
    <w:rsid w:val="00285412"/>
    <w:rsid w:val="002854F5"/>
    <w:rsid w:val="0028777E"/>
    <w:rsid w:val="002901C9"/>
    <w:rsid w:val="00291640"/>
    <w:rsid w:val="0029237E"/>
    <w:rsid w:val="00292997"/>
    <w:rsid w:val="00293C34"/>
    <w:rsid w:val="0029588F"/>
    <w:rsid w:val="00296684"/>
    <w:rsid w:val="00296E19"/>
    <w:rsid w:val="00297256"/>
    <w:rsid w:val="00297D51"/>
    <w:rsid w:val="002A0122"/>
    <w:rsid w:val="002A016B"/>
    <w:rsid w:val="002A16D4"/>
    <w:rsid w:val="002A1E4F"/>
    <w:rsid w:val="002A230C"/>
    <w:rsid w:val="002A268C"/>
    <w:rsid w:val="002A2AF7"/>
    <w:rsid w:val="002A3EA2"/>
    <w:rsid w:val="002A4FB0"/>
    <w:rsid w:val="002A5218"/>
    <w:rsid w:val="002A532A"/>
    <w:rsid w:val="002A5846"/>
    <w:rsid w:val="002A58A8"/>
    <w:rsid w:val="002A5D97"/>
    <w:rsid w:val="002A5DB7"/>
    <w:rsid w:val="002A69B3"/>
    <w:rsid w:val="002B4845"/>
    <w:rsid w:val="002C27A6"/>
    <w:rsid w:val="002C2EE3"/>
    <w:rsid w:val="002C43BD"/>
    <w:rsid w:val="002C62EC"/>
    <w:rsid w:val="002C6BB4"/>
    <w:rsid w:val="002C6DDE"/>
    <w:rsid w:val="002D0E59"/>
    <w:rsid w:val="002D19CC"/>
    <w:rsid w:val="002D1CE9"/>
    <w:rsid w:val="002E02A1"/>
    <w:rsid w:val="002E0989"/>
    <w:rsid w:val="002E196A"/>
    <w:rsid w:val="002E20C7"/>
    <w:rsid w:val="002E222E"/>
    <w:rsid w:val="002E37D1"/>
    <w:rsid w:val="002E3BEE"/>
    <w:rsid w:val="002E4E4C"/>
    <w:rsid w:val="002E4EA7"/>
    <w:rsid w:val="002E5846"/>
    <w:rsid w:val="002F0EF0"/>
    <w:rsid w:val="002F2C35"/>
    <w:rsid w:val="002F333D"/>
    <w:rsid w:val="002F498A"/>
    <w:rsid w:val="002F4AD8"/>
    <w:rsid w:val="002F54AD"/>
    <w:rsid w:val="002F5820"/>
    <w:rsid w:val="002F624E"/>
    <w:rsid w:val="00301565"/>
    <w:rsid w:val="00301CCA"/>
    <w:rsid w:val="00301CDB"/>
    <w:rsid w:val="00304771"/>
    <w:rsid w:val="00304E73"/>
    <w:rsid w:val="003052D4"/>
    <w:rsid w:val="00306C5B"/>
    <w:rsid w:val="00307DB3"/>
    <w:rsid w:val="00307ED2"/>
    <w:rsid w:val="0031076D"/>
    <w:rsid w:val="00311AA6"/>
    <w:rsid w:val="00311C4D"/>
    <w:rsid w:val="003121AB"/>
    <w:rsid w:val="00312CD2"/>
    <w:rsid w:val="003153C8"/>
    <w:rsid w:val="00315524"/>
    <w:rsid w:val="003209B6"/>
    <w:rsid w:val="003209D6"/>
    <w:rsid w:val="003217B9"/>
    <w:rsid w:val="00321924"/>
    <w:rsid w:val="00321EB6"/>
    <w:rsid w:val="003220A5"/>
    <w:rsid w:val="00323EF6"/>
    <w:rsid w:val="0032656E"/>
    <w:rsid w:val="003309E4"/>
    <w:rsid w:val="00330C03"/>
    <w:rsid w:val="00331404"/>
    <w:rsid w:val="00332190"/>
    <w:rsid w:val="003327F1"/>
    <w:rsid w:val="00333CD0"/>
    <w:rsid w:val="0033599C"/>
    <w:rsid w:val="00336EC0"/>
    <w:rsid w:val="003370C5"/>
    <w:rsid w:val="0033750D"/>
    <w:rsid w:val="00341F05"/>
    <w:rsid w:val="00342AD7"/>
    <w:rsid w:val="0034335E"/>
    <w:rsid w:val="003441C3"/>
    <w:rsid w:val="00344668"/>
    <w:rsid w:val="003462D9"/>
    <w:rsid w:val="00350FB3"/>
    <w:rsid w:val="0035259F"/>
    <w:rsid w:val="00352C28"/>
    <w:rsid w:val="0035341A"/>
    <w:rsid w:val="00356D48"/>
    <w:rsid w:val="0036077F"/>
    <w:rsid w:val="00360C86"/>
    <w:rsid w:val="00360FA1"/>
    <w:rsid w:val="00360FBC"/>
    <w:rsid w:val="00361537"/>
    <w:rsid w:val="0036242A"/>
    <w:rsid w:val="00362E90"/>
    <w:rsid w:val="00364FA0"/>
    <w:rsid w:val="0036534A"/>
    <w:rsid w:val="003657F3"/>
    <w:rsid w:val="00367F84"/>
    <w:rsid w:val="003704D6"/>
    <w:rsid w:val="00372DD2"/>
    <w:rsid w:val="003738BD"/>
    <w:rsid w:val="0037431C"/>
    <w:rsid w:val="00374A20"/>
    <w:rsid w:val="00374E21"/>
    <w:rsid w:val="00374E37"/>
    <w:rsid w:val="00375EEC"/>
    <w:rsid w:val="003766E6"/>
    <w:rsid w:val="003770EA"/>
    <w:rsid w:val="0038040F"/>
    <w:rsid w:val="003818DC"/>
    <w:rsid w:val="00383388"/>
    <w:rsid w:val="003834F8"/>
    <w:rsid w:val="003838D0"/>
    <w:rsid w:val="00384327"/>
    <w:rsid w:val="00385D98"/>
    <w:rsid w:val="003908A6"/>
    <w:rsid w:val="00391230"/>
    <w:rsid w:val="003927F6"/>
    <w:rsid w:val="00393122"/>
    <w:rsid w:val="00394DBD"/>
    <w:rsid w:val="003976F8"/>
    <w:rsid w:val="00397852"/>
    <w:rsid w:val="003A04F6"/>
    <w:rsid w:val="003A2B4D"/>
    <w:rsid w:val="003A2D12"/>
    <w:rsid w:val="003A45E3"/>
    <w:rsid w:val="003A478C"/>
    <w:rsid w:val="003A5525"/>
    <w:rsid w:val="003A6B38"/>
    <w:rsid w:val="003A6B83"/>
    <w:rsid w:val="003A722F"/>
    <w:rsid w:val="003B0DF4"/>
    <w:rsid w:val="003B1F9D"/>
    <w:rsid w:val="003B3E56"/>
    <w:rsid w:val="003B461F"/>
    <w:rsid w:val="003B4938"/>
    <w:rsid w:val="003B4998"/>
    <w:rsid w:val="003B59F5"/>
    <w:rsid w:val="003B5A32"/>
    <w:rsid w:val="003B65E5"/>
    <w:rsid w:val="003B6955"/>
    <w:rsid w:val="003B75EA"/>
    <w:rsid w:val="003B7F3C"/>
    <w:rsid w:val="003C26DF"/>
    <w:rsid w:val="003C2D85"/>
    <w:rsid w:val="003C30AC"/>
    <w:rsid w:val="003C3490"/>
    <w:rsid w:val="003C42C1"/>
    <w:rsid w:val="003C4489"/>
    <w:rsid w:val="003C6221"/>
    <w:rsid w:val="003C7E62"/>
    <w:rsid w:val="003D18C3"/>
    <w:rsid w:val="003D242B"/>
    <w:rsid w:val="003D2492"/>
    <w:rsid w:val="003D2A99"/>
    <w:rsid w:val="003D33D6"/>
    <w:rsid w:val="003D4B53"/>
    <w:rsid w:val="003D6042"/>
    <w:rsid w:val="003D6527"/>
    <w:rsid w:val="003D6920"/>
    <w:rsid w:val="003E4337"/>
    <w:rsid w:val="003E4C22"/>
    <w:rsid w:val="003E4C91"/>
    <w:rsid w:val="003E52D8"/>
    <w:rsid w:val="003E6753"/>
    <w:rsid w:val="003E6B4D"/>
    <w:rsid w:val="003F0F94"/>
    <w:rsid w:val="003F313C"/>
    <w:rsid w:val="003F37FC"/>
    <w:rsid w:val="003F46B6"/>
    <w:rsid w:val="003F4B2C"/>
    <w:rsid w:val="003F4C71"/>
    <w:rsid w:val="003F551C"/>
    <w:rsid w:val="003F72ED"/>
    <w:rsid w:val="003F7D23"/>
    <w:rsid w:val="003F7DC1"/>
    <w:rsid w:val="00400050"/>
    <w:rsid w:val="00400468"/>
    <w:rsid w:val="0040099D"/>
    <w:rsid w:val="00402ADB"/>
    <w:rsid w:val="004059D2"/>
    <w:rsid w:val="00405F95"/>
    <w:rsid w:val="00406C2E"/>
    <w:rsid w:val="00406EB0"/>
    <w:rsid w:val="00407C13"/>
    <w:rsid w:val="00410638"/>
    <w:rsid w:val="004119D5"/>
    <w:rsid w:val="00412511"/>
    <w:rsid w:val="004125C2"/>
    <w:rsid w:val="00412F61"/>
    <w:rsid w:val="00413465"/>
    <w:rsid w:val="004135B2"/>
    <w:rsid w:val="0041501E"/>
    <w:rsid w:val="0041506A"/>
    <w:rsid w:val="004159C3"/>
    <w:rsid w:val="00415A05"/>
    <w:rsid w:val="00415D75"/>
    <w:rsid w:val="00415DE5"/>
    <w:rsid w:val="00416D6D"/>
    <w:rsid w:val="00416DAC"/>
    <w:rsid w:val="00416EF1"/>
    <w:rsid w:val="004171C0"/>
    <w:rsid w:val="0042006A"/>
    <w:rsid w:val="00420880"/>
    <w:rsid w:val="0042115C"/>
    <w:rsid w:val="00422433"/>
    <w:rsid w:val="00423F6F"/>
    <w:rsid w:val="004307ED"/>
    <w:rsid w:val="00430A4F"/>
    <w:rsid w:val="00432A58"/>
    <w:rsid w:val="004331A0"/>
    <w:rsid w:val="004331C3"/>
    <w:rsid w:val="00434537"/>
    <w:rsid w:val="00434617"/>
    <w:rsid w:val="00434BFC"/>
    <w:rsid w:val="00435051"/>
    <w:rsid w:val="00435C69"/>
    <w:rsid w:val="00436346"/>
    <w:rsid w:val="00437CED"/>
    <w:rsid w:val="0044082A"/>
    <w:rsid w:val="00440900"/>
    <w:rsid w:val="0044121D"/>
    <w:rsid w:val="00441BF6"/>
    <w:rsid w:val="00441F3F"/>
    <w:rsid w:val="004427D3"/>
    <w:rsid w:val="004439A2"/>
    <w:rsid w:val="004441A0"/>
    <w:rsid w:val="00445827"/>
    <w:rsid w:val="00446865"/>
    <w:rsid w:val="00446D44"/>
    <w:rsid w:val="0045078A"/>
    <w:rsid w:val="0045086D"/>
    <w:rsid w:val="00451EF1"/>
    <w:rsid w:val="00452637"/>
    <w:rsid w:val="00457189"/>
    <w:rsid w:val="00457953"/>
    <w:rsid w:val="00457EA6"/>
    <w:rsid w:val="00460FB3"/>
    <w:rsid w:val="00464241"/>
    <w:rsid w:val="00464851"/>
    <w:rsid w:val="00467B14"/>
    <w:rsid w:val="00470369"/>
    <w:rsid w:val="004707FE"/>
    <w:rsid w:val="0047276D"/>
    <w:rsid w:val="00472AF6"/>
    <w:rsid w:val="00473B54"/>
    <w:rsid w:val="00474A04"/>
    <w:rsid w:val="00474E1D"/>
    <w:rsid w:val="00476240"/>
    <w:rsid w:val="00476439"/>
    <w:rsid w:val="0047735C"/>
    <w:rsid w:val="004776BC"/>
    <w:rsid w:val="00477820"/>
    <w:rsid w:val="00477B96"/>
    <w:rsid w:val="0048139F"/>
    <w:rsid w:val="00481E40"/>
    <w:rsid w:val="00482405"/>
    <w:rsid w:val="004826A7"/>
    <w:rsid w:val="0048368C"/>
    <w:rsid w:val="00484ECE"/>
    <w:rsid w:val="004852D8"/>
    <w:rsid w:val="00485919"/>
    <w:rsid w:val="00485CC8"/>
    <w:rsid w:val="004863CE"/>
    <w:rsid w:val="00486A4D"/>
    <w:rsid w:val="004900C3"/>
    <w:rsid w:val="004915CB"/>
    <w:rsid w:val="004924DC"/>
    <w:rsid w:val="00492819"/>
    <w:rsid w:val="00492879"/>
    <w:rsid w:val="00492A96"/>
    <w:rsid w:val="00493399"/>
    <w:rsid w:val="00495893"/>
    <w:rsid w:val="004A14E4"/>
    <w:rsid w:val="004A27F0"/>
    <w:rsid w:val="004A3212"/>
    <w:rsid w:val="004A40D9"/>
    <w:rsid w:val="004A4F8A"/>
    <w:rsid w:val="004A5494"/>
    <w:rsid w:val="004A61C5"/>
    <w:rsid w:val="004A62A0"/>
    <w:rsid w:val="004A6867"/>
    <w:rsid w:val="004A77DF"/>
    <w:rsid w:val="004B11E0"/>
    <w:rsid w:val="004B1417"/>
    <w:rsid w:val="004B339A"/>
    <w:rsid w:val="004B3991"/>
    <w:rsid w:val="004B55B7"/>
    <w:rsid w:val="004B57D5"/>
    <w:rsid w:val="004B6468"/>
    <w:rsid w:val="004B6EF8"/>
    <w:rsid w:val="004B7125"/>
    <w:rsid w:val="004B756A"/>
    <w:rsid w:val="004B7DB8"/>
    <w:rsid w:val="004B7FB1"/>
    <w:rsid w:val="004C384C"/>
    <w:rsid w:val="004C3867"/>
    <w:rsid w:val="004C3DB0"/>
    <w:rsid w:val="004C4720"/>
    <w:rsid w:val="004C4CD0"/>
    <w:rsid w:val="004C5165"/>
    <w:rsid w:val="004C5649"/>
    <w:rsid w:val="004C6E0E"/>
    <w:rsid w:val="004C70DC"/>
    <w:rsid w:val="004D0211"/>
    <w:rsid w:val="004D0794"/>
    <w:rsid w:val="004D1B48"/>
    <w:rsid w:val="004D2EFC"/>
    <w:rsid w:val="004D3C90"/>
    <w:rsid w:val="004D426F"/>
    <w:rsid w:val="004D5D2F"/>
    <w:rsid w:val="004E0CAF"/>
    <w:rsid w:val="004E1A40"/>
    <w:rsid w:val="004E200A"/>
    <w:rsid w:val="004E23FC"/>
    <w:rsid w:val="004E6DE6"/>
    <w:rsid w:val="004E765E"/>
    <w:rsid w:val="004E77FE"/>
    <w:rsid w:val="004F06F5"/>
    <w:rsid w:val="004F12A4"/>
    <w:rsid w:val="004F1E20"/>
    <w:rsid w:val="004F253F"/>
    <w:rsid w:val="004F2E6F"/>
    <w:rsid w:val="004F33A0"/>
    <w:rsid w:val="004F3BD2"/>
    <w:rsid w:val="00501893"/>
    <w:rsid w:val="005024D5"/>
    <w:rsid w:val="0050277C"/>
    <w:rsid w:val="00502795"/>
    <w:rsid w:val="00504FF8"/>
    <w:rsid w:val="0050689D"/>
    <w:rsid w:val="00510210"/>
    <w:rsid w:val="005108C0"/>
    <w:rsid w:val="0051094F"/>
    <w:rsid w:val="0051139D"/>
    <w:rsid w:val="00511873"/>
    <w:rsid w:val="00512461"/>
    <w:rsid w:val="00512A2F"/>
    <w:rsid w:val="00513B7E"/>
    <w:rsid w:val="0051413D"/>
    <w:rsid w:val="0051475D"/>
    <w:rsid w:val="00514B11"/>
    <w:rsid w:val="005152D1"/>
    <w:rsid w:val="00515BE9"/>
    <w:rsid w:val="00515C74"/>
    <w:rsid w:val="005160B8"/>
    <w:rsid w:val="00517113"/>
    <w:rsid w:val="005177AA"/>
    <w:rsid w:val="0052007E"/>
    <w:rsid w:val="00522A51"/>
    <w:rsid w:val="00522E01"/>
    <w:rsid w:val="0052337A"/>
    <w:rsid w:val="00523B40"/>
    <w:rsid w:val="00524578"/>
    <w:rsid w:val="005245F9"/>
    <w:rsid w:val="005246BE"/>
    <w:rsid w:val="00525137"/>
    <w:rsid w:val="005251DD"/>
    <w:rsid w:val="00525E7F"/>
    <w:rsid w:val="00526F36"/>
    <w:rsid w:val="005277AE"/>
    <w:rsid w:val="00527C4D"/>
    <w:rsid w:val="00530A68"/>
    <w:rsid w:val="00532CE7"/>
    <w:rsid w:val="00532D8B"/>
    <w:rsid w:val="0053324C"/>
    <w:rsid w:val="00534515"/>
    <w:rsid w:val="00534A28"/>
    <w:rsid w:val="00535018"/>
    <w:rsid w:val="00536E4C"/>
    <w:rsid w:val="00537571"/>
    <w:rsid w:val="00541508"/>
    <w:rsid w:val="00541AE3"/>
    <w:rsid w:val="00543498"/>
    <w:rsid w:val="00544BE5"/>
    <w:rsid w:val="00545668"/>
    <w:rsid w:val="00550160"/>
    <w:rsid w:val="00552F2C"/>
    <w:rsid w:val="005547EB"/>
    <w:rsid w:val="00555684"/>
    <w:rsid w:val="0055599F"/>
    <w:rsid w:val="005564B8"/>
    <w:rsid w:val="0055696D"/>
    <w:rsid w:val="00556D68"/>
    <w:rsid w:val="005570D6"/>
    <w:rsid w:val="00560AF1"/>
    <w:rsid w:val="005612B9"/>
    <w:rsid w:val="00563EB8"/>
    <w:rsid w:val="005647BF"/>
    <w:rsid w:val="00564AF1"/>
    <w:rsid w:val="00564C07"/>
    <w:rsid w:val="005655DB"/>
    <w:rsid w:val="005679CD"/>
    <w:rsid w:val="00570BC3"/>
    <w:rsid w:val="0057182A"/>
    <w:rsid w:val="00571D1A"/>
    <w:rsid w:val="00572079"/>
    <w:rsid w:val="00572A10"/>
    <w:rsid w:val="00573602"/>
    <w:rsid w:val="0057364B"/>
    <w:rsid w:val="00574773"/>
    <w:rsid w:val="00577C07"/>
    <w:rsid w:val="00577DB1"/>
    <w:rsid w:val="00580DE7"/>
    <w:rsid w:val="005825E6"/>
    <w:rsid w:val="00582B4B"/>
    <w:rsid w:val="00583DCF"/>
    <w:rsid w:val="00583E52"/>
    <w:rsid w:val="00583FFD"/>
    <w:rsid w:val="0058519A"/>
    <w:rsid w:val="00585552"/>
    <w:rsid w:val="005856BD"/>
    <w:rsid w:val="00590B28"/>
    <w:rsid w:val="005911BE"/>
    <w:rsid w:val="00591273"/>
    <w:rsid w:val="005927A4"/>
    <w:rsid w:val="00592938"/>
    <w:rsid w:val="00592F83"/>
    <w:rsid w:val="00593152"/>
    <w:rsid w:val="005956A3"/>
    <w:rsid w:val="00595CAB"/>
    <w:rsid w:val="00597BBF"/>
    <w:rsid w:val="005A03AD"/>
    <w:rsid w:val="005A10F2"/>
    <w:rsid w:val="005A1476"/>
    <w:rsid w:val="005A21E0"/>
    <w:rsid w:val="005A28FF"/>
    <w:rsid w:val="005A2C09"/>
    <w:rsid w:val="005A3778"/>
    <w:rsid w:val="005A3DD8"/>
    <w:rsid w:val="005A3DF8"/>
    <w:rsid w:val="005A48DE"/>
    <w:rsid w:val="005A5549"/>
    <w:rsid w:val="005B000D"/>
    <w:rsid w:val="005B121D"/>
    <w:rsid w:val="005B2020"/>
    <w:rsid w:val="005B2F08"/>
    <w:rsid w:val="005B4853"/>
    <w:rsid w:val="005B6CA1"/>
    <w:rsid w:val="005B770C"/>
    <w:rsid w:val="005C06ED"/>
    <w:rsid w:val="005C11B8"/>
    <w:rsid w:val="005C2609"/>
    <w:rsid w:val="005C45DD"/>
    <w:rsid w:val="005D2F0B"/>
    <w:rsid w:val="005D3F06"/>
    <w:rsid w:val="005D4B73"/>
    <w:rsid w:val="005D4DC1"/>
    <w:rsid w:val="005D5802"/>
    <w:rsid w:val="005D5AA9"/>
    <w:rsid w:val="005D66E6"/>
    <w:rsid w:val="005D6D59"/>
    <w:rsid w:val="005D7119"/>
    <w:rsid w:val="005D76C8"/>
    <w:rsid w:val="005D7890"/>
    <w:rsid w:val="005E19C1"/>
    <w:rsid w:val="005E2194"/>
    <w:rsid w:val="005E24F0"/>
    <w:rsid w:val="005E38C0"/>
    <w:rsid w:val="005E3D00"/>
    <w:rsid w:val="005E490F"/>
    <w:rsid w:val="005E4BC9"/>
    <w:rsid w:val="005E5314"/>
    <w:rsid w:val="005E7C78"/>
    <w:rsid w:val="005F04A7"/>
    <w:rsid w:val="005F114F"/>
    <w:rsid w:val="005F18C5"/>
    <w:rsid w:val="005F1ED3"/>
    <w:rsid w:val="005F1F86"/>
    <w:rsid w:val="005F2A08"/>
    <w:rsid w:val="005F36CC"/>
    <w:rsid w:val="005F3EB1"/>
    <w:rsid w:val="005F466B"/>
    <w:rsid w:val="005F46D8"/>
    <w:rsid w:val="005F5469"/>
    <w:rsid w:val="005F63F3"/>
    <w:rsid w:val="005F6961"/>
    <w:rsid w:val="005F6D7F"/>
    <w:rsid w:val="005F6FCF"/>
    <w:rsid w:val="00603525"/>
    <w:rsid w:val="00604307"/>
    <w:rsid w:val="0060487F"/>
    <w:rsid w:val="00604EAD"/>
    <w:rsid w:val="006102D5"/>
    <w:rsid w:val="006104FB"/>
    <w:rsid w:val="00610E6D"/>
    <w:rsid w:val="00611D01"/>
    <w:rsid w:val="00611E90"/>
    <w:rsid w:val="00612A2F"/>
    <w:rsid w:val="00612AAE"/>
    <w:rsid w:val="00613CAD"/>
    <w:rsid w:val="006156B4"/>
    <w:rsid w:val="0061652B"/>
    <w:rsid w:val="00616E05"/>
    <w:rsid w:val="00617985"/>
    <w:rsid w:val="00623490"/>
    <w:rsid w:val="00624093"/>
    <w:rsid w:val="00624345"/>
    <w:rsid w:val="0063044E"/>
    <w:rsid w:val="00630604"/>
    <w:rsid w:val="00631365"/>
    <w:rsid w:val="00631698"/>
    <w:rsid w:val="00631BCB"/>
    <w:rsid w:val="00631E44"/>
    <w:rsid w:val="00633582"/>
    <w:rsid w:val="00634C57"/>
    <w:rsid w:val="00634CE7"/>
    <w:rsid w:val="006350D5"/>
    <w:rsid w:val="0063642C"/>
    <w:rsid w:val="006373C7"/>
    <w:rsid w:val="00637858"/>
    <w:rsid w:val="006404A7"/>
    <w:rsid w:val="00640A38"/>
    <w:rsid w:val="0064369D"/>
    <w:rsid w:val="00644137"/>
    <w:rsid w:val="00644B91"/>
    <w:rsid w:val="006451E4"/>
    <w:rsid w:val="00645B33"/>
    <w:rsid w:val="00647301"/>
    <w:rsid w:val="006516CB"/>
    <w:rsid w:val="00653E0B"/>
    <w:rsid w:val="00654110"/>
    <w:rsid w:val="00655D2D"/>
    <w:rsid w:val="00656CFB"/>
    <w:rsid w:val="00657E87"/>
    <w:rsid w:val="00661FB0"/>
    <w:rsid w:val="00662469"/>
    <w:rsid w:val="006630EA"/>
    <w:rsid w:val="0066460C"/>
    <w:rsid w:val="00664647"/>
    <w:rsid w:val="00664803"/>
    <w:rsid w:val="00665BA4"/>
    <w:rsid w:val="00665E49"/>
    <w:rsid w:val="00667A81"/>
    <w:rsid w:val="00667AF2"/>
    <w:rsid w:val="006710C9"/>
    <w:rsid w:val="00672E56"/>
    <w:rsid w:val="006741CD"/>
    <w:rsid w:val="00674D29"/>
    <w:rsid w:val="00674D89"/>
    <w:rsid w:val="00675038"/>
    <w:rsid w:val="00675E37"/>
    <w:rsid w:val="00676736"/>
    <w:rsid w:val="00676D76"/>
    <w:rsid w:val="00676F9F"/>
    <w:rsid w:val="00677591"/>
    <w:rsid w:val="00677594"/>
    <w:rsid w:val="0068032F"/>
    <w:rsid w:val="00680D37"/>
    <w:rsid w:val="0068174E"/>
    <w:rsid w:val="00681DCE"/>
    <w:rsid w:val="0068260E"/>
    <w:rsid w:val="006832DD"/>
    <w:rsid w:val="006846B3"/>
    <w:rsid w:val="00684BE4"/>
    <w:rsid w:val="00684D59"/>
    <w:rsid w:val="00684E25"/>
    <w:rsid w:val="00685734"/>
    <w:rsid w:val="006858A4"/>
    <w:rsid w:val="00686718"/>
    <w:rsid w:val="00686BFA"/>
    <w:rsid w:val="00686DED"/>
    <w:rsid w:val="006875A0"/>
    <w:rsid w:val="00687D27"/>
    <w:rsid w:val="006909FE"/>
    <w:rsid w:val="00694B2C"/>
    <w:rsid w:val="00694CB5"/>
    <w:rsid w:val="00695065"/>
    <w:rsid w:val="00695BEF"/>
    <w:rsid w:val="006968C1"/>
    <w:rsid w:val="006977F6"/>
    <w:rsid w:val="00697836"/>
    <w:rsid w:val="00697A13"/>
    <w:rsid w:val="006A109C"/>
    <w:rsid w:val="006A6565"/>
    <w:rsid w:val="006A7691"/>
    <w:rsid w:val="006A7EE2"/>
    <w:rsid w:val="006B0514"/>
    <w:rsid w:val="006B0F92"/>
    <w:rsid w:val="006B179D"/>
    <w:rsid w:val="006B2604"/>
    <w:rsid w:val="006B2622"/>
    <w:rsid w:val="006B2785"/>
    <w:rsid w:val="006B344A"/>
    <w:rsid w:val="006B4A07"/>
    <w:rsid w:val="006B58C9"/>
    <w:rsid w:val="006B74AC"/>
    <w:rsid w:val="006B78D8"/>
    <w:rsid w:val="006C113F"/>
    <w:rsid w:val="006C123E"/>
    <w:rsid w:val="006C15A1"/>
    <w:rsid w:val="006C1752"/>
    <w:rsid w:val="006C1C86"/>
    <w:rsid w:val="006C28CA"/>
    <w:rsid w:val="006C4355"/>
    <w:rsid w:val="006C469D"/>
    <w:rsid w:val="006C52EC"/>
    <w:rsid w:val="006C56D4"/>
    <w:rsid w:val="006C6681"/>
    <w:rsid w:val="006C6924"/>
    <w:rsid w:val="006C6E76"/>
    <w:rsid w:val="006C7CA6"/>
    <w:rsid w:val="006D18B3"/>
    <w:rsid w:val="006D190B"/>
    <w:rsid w:val="006D2A33"/>
    <w:rsid w:val="006D3E8A"/>
    <w:rsid w:val="006D4194"/>
    <w:rsid w:val="006D4F88"/>
    <w:rsid w:val="006D61F6"/>
    <w:rsid w:val="006D6893"/>
    <w:rsid w:val="006D7436"/>
    <w:rsid w:val="006E1332"/>
    <w:rsid w:val="006E279A"/>
    <w:rsid w:val="006E294F"/>
    <w:rsid w:val="006E313B"/>
    <w:rsid w:val="006E3937"/>
    <w:rsid w:val="006E4BB1"/>
    <w:rsid w:val="006E5151"/>
    <w:rsid w:val="006E61C5"/>
    <w:rsid w:val="006E7227"/>
    <w:rsid w:val="006F0741"/>
    <w:rsid w:val="006F1C27"/>
    <w:rsid w:val="006F42BB"/>
    <w:rsid w:val="006F438E"/>
    <w:rsid w:val="006F440B"/>
    <w:rsid w:val="006F4803"/>
    <w:rsid w:val="006F4D90"/>
    <w:rsid w:val="006F5416"/>
    <w:rsid w:val="006F624B"/>
    <w:rsid w:val="006F7566"/>
    <w:rsid w:val="00701397"/>
    <w:rsid w:val="007017EB"/>
    <w:rsid w:val="0070398A"/>
    <w:rsid w:val="00704B56"/>
    <w:rsid w:val="00705242"/>
    <w:rsid w:val="0070592A"/>
    <w:rsid w:val="007065C5"/>
    <w:rsid w:val="00706AD4"/>
    <w:rsid w:val="00707150"/>
    <w:rsid w:val="00712077"/>
    <w:rsid w:val="00713549"/>
    <w:rsid w:val="007140BE"/>
    <w:rsid w:val="00715E4D"/>
    <w:rsid w:val="00716F48"/>
    <w:rsid w:val="00717114"/>
    <w:rsid w:val="0071779F"/>
    <w:rsid w:val="007211F5"/>
    <w:rsid w:val="00723295"/>
    <w:rsid w:val="007240E2"/>
    <w:rsid w:val="0072504F"/>
    <w:rsid w:val="0072583E"/>
    <w:rsid w:val="00725BB5"/>
    <w:rsid w:val="00727D92"/>
    <w:rsid w:val="00730715"/>
    <w:rsid w:val="00730AE8"/>
    <w:rsid w:val="00730F1B"/>
    <w:rsid w:val="0073186D"/>
    <w:rsid w:val="00732013"/>
    <w:rsid w:val="007343D9"/>
    <w:rsid w:val="00737E3C"/>
    <w:rsid w:val="00741493"/>
    <w:rsid w:val="00741E38"/>
    <w:rsid w:val="007434E5"/>
    <w:rsid w:val="00743593"/>
    <w:rsid w:val="007465D8"/>
    <w:rsid w:val="00746FF6"/>
    <w:rsid w:val="007511C3"/>
    <w:rsid w:val="00751434"/>
    <w:rsid w:val="00752180"/>
    <w:rsid w:val="00752323"/>
    <w:rsid w:val="007532B7"/>
    <w:rsid w:val="00753CAB"/>
    <w:rsid w:val="00754A70"/>
    <w:rsid w:val="00754CAA"/>
    <w:rsid w:val="00754E74"/>
    <w:rsid w:val="00755202"/>
    <w:rsid w:val="00755C51"/>
    <w:rsid w:val="00755D3A"/>
    <w:rsid w:val="00755F50"/>
    <w:rsid w:val="0075751D"/>
    <w:rsid w:val="007578D3"/>
    <w:rsid w:val="00760391"/>
    <w:rsid w:val="007609C6"/>
    <w:rsid w:val="007615F3"/>
    <w:rsid w:val="0076175D"/>
    <w:rsid w:val="007638BD"/>
    <w:rsid w:val="00763B85"/>
    <w:rsid w:val="00764974"/>
    <w:rsid w:val="007651A4"/>
    <w:rsid w:val="0076521E"/>
    <w:rsid w:val="00765DD1"/>
    <w:rsid w:val="007661E9"/>
    <w:rsid w:val="00767062"/>
    <w:rsid w:val="00767450"/>
    <w:rsid w:val="00771972"/>
    <w:rsid w:val="00774A86"/>
    <w:rsid w:val="00774D2C"/>
    <w:rsid w:val="00776169"/>
    <w:rsid w:val="00776527"/>
    <w:rsid w:val="00777040"/>
    <w:rsid w:val="00780EF1"/>
    <w:rsid w:val="007826FD"/>
    <w:rsid w:val="007839A2"/>
    <w:rsid w:val="00784AF5"/>
    <w:rsid w:val="00786C87"/>
    <w:rsid w:val="007877C9"/>
    <w:rsid w:val="00790764"/>
    <w:rsid w:val="0079085F"/>
    <w:rsid w:val="00790BC5"/>
    <w:rsid w:val="00793D78"/>
    <w:rsid w:val="0079453C"/>
    <w:rsid w:val="00794677"/>
    <w:rsid w:val="0079524F"/>
    <w:rsid w:val="007959B2"/>
    <w:rsid w:val="00795EF4"/>
    <w:rsid w:val="007A0E23"/>
    <w:rsid w:val="007A177D"/>
    <w:rsid w:val="007A1CB7"/>
    <w:rsid w:val="007A33E2"/>
    <w:rsid w:val="007A3CAF"/>
    <w:rsid w:val="007A4DD0"/>
    <w:rsid w:val="007A516D"/>
    <w:rsid w:val="007A5E65"/>
    <w:rsid w:val="007A5EAA"/>
    <w:rsid w:val="007A6AEB"/>
    <w:rsid w:val="007A775D"/>
    <w:rsid w:val="007B0834"/>
    <w:rsid w:val="007B0E83"/>
    <w:rsid w:val="007B0F89"/>
    <w:rsid w:val="007B11FA"/>
    <w:rsid w:val="007B1396"/>
    <w:rsid w:val="007B2011"/>
    <w:rsid w:val="007B2810"/>
    <w:rsid w:val="007B2CFE"/>
    <w:rsid w:val="007B3196"/>
    <w:rsid w:val="007B3DCB"/>
    <w:rsid w:val="007B4B76"/>
    <w:rsid w:val="007B6689"/>
    <w:rsid w:val="007B6A80"/>
    <w:rsid w:val="007B6F72"/>
    <w:rsid w:val="007C096B"/>
    <w:rsid w:val="007C0BD4"/>
    <w:rsid w:val="007C1654"/>
    <w:rsid w:val="007C1FFB"/>
    <w:rsid w:val="007C2D94"/>
    <w:rsid w:val="007C4EAA"/>
    <w:rsid w:val="007C5F92"/>
    <w:rsid w:val="007C6227"/>
    <w:rsid w:val="007C62CA"/>
    <w:rsid w:val="007C66A5"/>
    <w:rsid w:val="007C6BBD"/>
    <w:rsid w:val="007C7EE7"/>
    <w:rsid w:val="007D0382"/>
    <w:rsid w:val="007D0439"/>
    <w:rsid w:val="007D0493"/>
    <w:rsid w:val="007D1A1F"/>
    <w:rsid w:val="007D40DF"/>
    <w:rsid w:val="007D4458"/>
    <w:rsid w:val="007E03B3"/>
    <w:rsid w:val="007E0D4A"/>
    <w:rsid w:val="007E1788"/>
    <w:rsid w:val="007E289C"/>
    <w:rsid w:val="007E29B4"/>
    <w:rsid w:val="007E36DC"/>
    <w:rsid w:val="007E435A"/>
    <w:rsid w:val="007E451A"/>
    <w:rsid w:val="007E49F7"/>
    <w:rsid w:val="007E4C70"/>
    <w:rsid w:val="007E600F"/>
    <w:rsid w:val="007E7E61"/>
    <w:rsid w:val="007F068E"/>
    <w:rsid w:val="007F0845"/>
    <w:rsid w:val="007F20F3"/>
    <w:rsid w:val="007F234C"/>
    <w:rsid w:val="007F2390"/>
    <w:rsid w:val="007F414D"/>
    <w:rsid w:val="007F4E6B"/>
    <w:rsid w:val="007F708D"/>
    <w:rsid w:val="007F78CC"/>
    <w:rsid w:val="00801187"/>
    <w:rsid w:val="00801E13"/>
    <w:rsid w:val="00802266"/>
    <w:rsid w:val="00803069"/>
    <w:rsid w:val="00803242"/>
    <w:rsid w:val="0080734C"/>
    <w:rsid w:val="00807C82"/>
    <w:rsid w:val="008117CC"/>
    <w:rsid w:val="00813781"/>
    <w:rsid w:val="00813876"/>
    <w:rsid w:val="00813D63"/>
    <w:rsid w:val="00813DCA"/>
    <w:rsid w:val="00815C95"/>
    <w:rsid w:val="008161A6"/>
    <w:rsid w:val="00816905"/>
    <w:rsid w:val="00817914"/>
    <w:rsid w:val="00817A17"/>
    <w:rsid w:val="00817EC1"/>
    <w:rsid w:val="0082112D"/>
    <w:rsid w:val="00821DEB"/>
    <w:rsid w:val="00821FF6"/>
    <w:rsid w:val="00822446"/>
    <w:rsid w:val="00822574"/>
    <w:rsid w:val="00822925"/>
    <w:rsid w:val="0082320C"/>
    <w:rsid w:val="0082418C"/>
    <w:rsid w:val="00825C4D"/>
    <w:rsid w:val="00827186"/>
    <w:rsid w:val="00827C8E"/>
    <w:rsid w:val="00830AEA"/>
    <w:rsid w:val="00830E86"/>
    <w:rsid w:val="0083143E"/>
    <w:rsid w:val="008315D5"/>
    <w:rsid w:val="00831CDE"/>
    <w:rsid w:val="0083327B"/>
    <w:rsid w:val="00833B71"/>
    <w:rsid w:val="00834304"/>
    <w:rsid w:val="00834FAA"/>
    <w:rsid w:val="008354FB"/>
    <w:rsid w:val="00836086"/>
    <w:rsid w:val="00836446"/>
    <w:rsid w:val="00836A06"/>
    <w:rsid w:val="00836D42"/>
    <w:rsid w:val="008374BC"/>
    <w:rsid w:val="00840293"/>
    <w:rsid w:val="00840AF3"/>
    <w:rsid w:val="00840F26"/>
    <w:rsid w:val="008417B5"/>
    <w:rsid w:val="00841901"/>
    <w:rsid w:val="00844C58"/>
    <w:rsid w:val="00844CD2"/>
    <w:rsid w:val="00845638"/>
    <w:rsid w:val="0084610D"/>
    <w:rsid w:val="00846121"/>
    <w:rsid w:val="008466C6"/>
    <w:rsid w:val="00846D34"/>
    <w:rsid w:val="0084708F"/>
    <w:rsid w:val="008477C8"/>
    <w:rsid w:val="00850D25"/>
    <w:rsid w:val="0085114D"/>
    <w:rsid w:val="00851F9A"/>
    <w:rsid w:val="008520A8"/>
    <w:rsid w:val="00852217"/>
    <w:rsid w:val="00852D4D"/>
    <w:rsid w:val="00852DE1"/>
    <w:rsid w:val="008536FF"/>
    <w:rsid w:val="00855408"/>
    <w:rsid w:val="00855F8B"/>
    <w:rsid w:val="00856D65"/>
    <w:rsid w:val="00861B41"/>
    <w:rsid w:val="00861B9F"/>
    <w:rsid w:val="00861BE3"/>
    <w:rsid w:val="008625D3"/>
    <w:rsid w:val="00862F36"/>
    <w:rsid w:val="00863434"/>
    <w:rsid w:val="00863D64"/>
    <w:rsid w:val="00865E4C"/>
    <w:rsid w:val="0086792D"/>
    <w:rsid w:val="00867DAB"/>
    <w:rsid w:val="008701E4"/>
    <w:rsid w:val="00872A3A"/>
    <w:rsid w:val="00872B96"/>
    <w:rsid w:val="008734E7"/>
    <w:rsid w:val="0087368D"/>
    <w:rsid w:val="00873DDD"/>
    <w:rsid w:val="00874960"/>
    <w:rsid w:val="00874BBC"/>
    <w:rsid w:val="00874FE8"/>
    <w:rsid w:val="00875A32"/>
    <w:rsid w:val="00876086"/>
    <w:rsid w:val="00876E83"/>
    <w:rsid w:val="008772BC"/>
    <w:rsid w:val="00880C76"/>
    <w:rsid w:val="008820DF"/>
    <w:rsid w:val="00882911"/>
    <w:rsid w:val="00883648"/>
    <w:rsid w:val="00883897"/>
    <w:rsid w:val="00885577"/>
    <w:rsid w:val="00885D40"/>
    <w:rsid w:val="00886048"/>
    <w:rsid w:val="008873D4"/>
    <w:rsid w:val="00887BA7"/>
    <w:rsid w:val="00891EDF"/>
    <w:rsid w:val="00892872"/>
    <w:rsid w:val="0089296D"/>
    <w:rsid w:val="00893E85"/>
    <w:rsid w:val="00894031"/>
    <w:rsid w:val="00894C5D"/>
    <w:rsid w:val="00895508"/>
    <w:rsid w:val="008964F5"/>
    <w:rsid w:val="00896606"/>
    <w:rsid w:val="00897086"/>
    <w:rsid w:val="008972D2"/>
    <w:rsid w:val="00897791"/>
    <w:rsid w:val="00897D51"/>
    <w:rsid w:val="00897F81"/>
    <w:rsid w:val="008A0ADD"/>
    <w:rsid w:val="008A388E"/>
    <w:rsid w:val="008A3CBA"/>
    <w:rsid w:val="008A4B59"/>
    <w:rsid w:val="008A587F"/>
    <w:rsid w:val="008A7A8F"/>
    <w:rsid w:val="008B02A3"/>
    <w:rsid w:val="008B1560"/>
    <w:rsid w:val="008B1EAF"/>
    <w:rsid w:val="008B39E6"/>
    <w:rsid w:val="008B3F7B"/>
    <w:rsid w:val="008B540D"/>
    <w:rsid w:val="008B6106"/>
    <w:rsid w:val="008B7C02"/>
    <w:rsid w:val="008B7D2B"/>
    <w:rsid w:val="008B7EF9"/>
    <w:rsid w:val="008C0049"/>
    <w:rsid w:val="008C0E88"/>
    <w:rsid w:val="008C1114"/>
    <w:rsid w:val="008C17AF"/>
    <w:rsid w:val="008C2313"/>
    <w:rsid w:val="008C4B01"/>
    <w:rsid w:val="008C4B50"/>
    <w:rsid w:val="008C52BC"/>
    <w:rsid w:val="008C6836"/>
    <w:rsid w:val="008C7569"/>
    <w:rsid w:val="008C7F30"/>
    <w:rsid w:val="008D0DBD"/>
    <w:rsid w:val="008D127E"/>
    <w:rsid w:val="008D1E6A"/>
    <w:rsid w:val="008D2A16"/>
    <w:rsid w:val="008D33F5"/>
    <w:rsid w:val="008D35E4"/>
    <w:rsid w:val="008D48F2"/>
    <w:rsid w:val="008D76A0"/>
    <w:rsid w:val="008E292B"/>
    <w:rsid w:val="008E2C57"/>
    <w:rsid w:val="008E31FF"/>
    <w:rsid w:val="008E5E00"/>
    <w:rsid w:val="008E6BA9"/>
    <w:rsid w:val="008E6C9C"/>
    <w:rsid w:val="008E6DCB"/>
    <w:rsid w:val="008E6F06"/>
    <w:rsid w:val="008E7B8E"/>
    <w:rsid w:val="008E7FC9"/>
    <w:rsid w:val="008F029B"/>
    <w:rsid w:val="008F053B"/>
    <w:rsid w:val="008F068B"/>
    <w:rsid w:val="008F1781"/>
    <w:rsid w:val="008F2A5D"/>
    <w:rsid w:val="008F3636"/>
    <w:rsid w:val="008F3FC9"/>
    <w:rsid w:val="008F420A"/>
    <w:rsid w:val="008F4E83"/>
    <w:rsid w:val="008F585B"/>
    <w:rsid w:val="008F5C15"/>
    <w:rsid w:val="008F61FE"/>
    <w:rsid w:val="009003A8"/>
    <w:rsid w:val="0090092B"/>
    <w:rsid w:val="009021DA"/>
    <w:rsid w:val="00902500"/>
    <w:rsid w:val="00902EFF"/>
    <w:rsid w:val="0090432C"/>
    <w:rsid w:val="00904F96"/>
    <w:rsid w:val="009052A3"/>
    <w:rsid w:val="009056D7"/>
    <w:rsid w:val="00905B8D"/>
    <w:rsid w:val="00906401"/>
    <w:rsid w:val="009065A0"/>
    <w:rsid w:val="00906682"/>
    <w:rsid w:val="0090786F"/>
    <w:rsid w:val="00910196"/>
    <w:rsid w:val="009110F7"/>
    <w:rsid w:val="0091155E"/>
    <w:rsid w:val="009127EA"/>
    <w:rsid w:val="00912A92"/>
    <w:rsid w:val="00912DF2"/>
    <w:rsid w:val="00914D2E"/>
    <w:rsid w:val="00915D07"/>
    <w:rsid w:val="009160B0"/>
    <w:rsid w:val="009162AE"/>
    <w:rsid w:val="00916E6C"/>
    <w:rsid w:val="00917251"/>
    <w:rsid w:val="0091728D"/>
    <w:rsid w:val="00920EC4"/>
    <w:rsid w:val="0092180B"/>
    <w:rsid w:val="00921F14"/>
    <w:rsid w:val="00923CB0"/>
    <w:rsid w:val="0092468E"/>
    <w:rsid w:val="00924871"/>
    <w:rsid w:val="00924AC8"/>
    <w:rsid w:val="00925429"/>
    <w:rsid w:val="0092597A"/>
    <w:rsid w:val="00926520"/>
    <w:rsid w:val="00926D2D"/>
    <w:rsid w:val="0093033E"/>
    <w:rsid w:val="009305FC"/>
    <w:rsid w:val="00930FB1"/>
    <w:rsid w:val="0093139F"/>
    <w:rsid w:val="00931579"/>
    <w:rsid w:val="00932443"/>
    <w:rsid w:val="009326BA"/>
    <w:rsid w:val="0093277A"/>
    <w:rsid w:val="00933114"/>
    <w:rsid w:val="00933F4A"/>
    <w:rsid w:val="00935BD4"/>
    <w:rsid w:val="00936CC8"/>
    <w:rsid w:val="009373B2"/>
    <w:rsid w:val="00937AE2"/>
    <w:rsid w:val="0094416B"/>
    <w:rsid w:val="0094427A"/>
    <w:rsid w:val="00944C7C"/>
    <w:rsid w:val="00945157"/>
    <w:rsid w:val="00945245"/>
    <w:rsid w:val="00951239"/>
    <w:rsid w:val="00952759"/>
    <w:rsid w:val="00953503"/>
    <w:rsid w:val="00953F29"/>
    <w:rsid w:val="0095403F"/>
    <w:rsid w:val="00954D06"/>
    <w:rsid w:val="009568DC"/>
    <w:rsid w:val="009569EB"/>
    <w:rsid w:val="0095759C"/>
    <w:rsid w:val="009618EE"/>
    <w:rsid w:val="009624D2"/>
    <w:rsid w:val="009628D9"/>
    <w:rsid w:val="00962BA4"/>
    <w:rsid w:val="0096365F"/>
    <w:rsid w:val="009637AE"/>
    <w:rsid w:val="00964776"/>
    <w:rsid w:val="00964A4E"/>
    <w:rsid w:val="00964B35"/>
    <w:rsid w:val="009650CD"/>
    <w:rsid w:val="009651C7"/>
    <w:rsid w:val="00965797"/>
    <w:rsid w:val="00965A10"/>
    <w:rsid w:val="009670A3"/>
    <w:rsid w:val="009674BE"/>
    <w:rsid w:val="00972FCD"/>
    <w:rsid w:val="00973878"/>
    <w:rsid w:val="00973CCC"/>
    <w:rsid w:val="009741FC"/>
    <w:rsid w:val="00974923"/>
    <w:rsid w:val="00975B23"/>
    <w:rsid w:val="00977C3D"/>
    <w:rsid w:val="009802D4"/>
    <w:rsid w:val="00980C49"/>
    <w:rsid w:val="00980D3D"/>
    <w:rsid w:val="00983101"/>
    <w:rsid w:val="00983E41"/>
    <w:rsid w:val="00984FA7"/>
    <w:rsid w:val="00987A30"/>
    <w:rsid w:val="00990A91"/>
    <w:rsid w:val="0099182E"/>
    <w:rsid w:val="00992242"/>
    <w:rsid w:val="00992314"/>
    <w:rsid w:val="00992CF3"/>
    <w:rsid w:val="00994355"/>
    <w:rsid w:val="00994385"/>
    <w:rsid w:val="00994868"/>
    <w:rsid w:val="009963AA"/>
    <w:rsid w:val="00996676"/>
    <w:rsid w:val="009968D6"/>
    <w:rsid w:val="009A084E"/>
    <w:rsid w:val="009A10A0"/>
    <w:rsid w:val="009A1A93"/>
    <w:rsid w:val="009A1CAB"/>
    <w:rsid w:val="009A2359"/>
    <w:rsid w:val="009A24E4"/>
    <w:rsid w:val="009A2DBC"/>
    <w:rsid w:val="009A4B71"/>
    <w:rsid w:val="009A4D57"/>
    <w:rsid w:val="009A5811"/>
    <w:rsid w:val="009A60D1"/>
    <w:rsid w:val="009B05B3"/>
    <w:rsid w:val="009B13B3"/>
    <w:rsid w:val="009B18B6"/>
    <w:rsid w:val="009B21C8"/>
    <w:rsid w:val="009B29AF"/>
    <w:rsid w:val="009B2F02"/>
    <w:rsid w:val="009B3764"/>
    <w:rsid w:val="009B3FD9"/>
    <w:rsid w:val="009B45E0"/>
    <w:rsid w:val="009B5BD9"/>
    <w:rsid w:val="009B6347"/>
    <w:rsid w:val="009B65F5"/>
    <w:rsid w:val="009B66CE"/>
    <w:rsid w:val="009B6FD3"/>
    <w:rsid w:val="009C1750"/>
    <w:rsid w:val="009C24E4"/>
    <w:rsid w:val="009C2E29"/>
    <w:rsid w:val="009C3E8F"/>
    <w:rsid w:val="009C4C38"/>
    <w:rsid w:val="009C554B"/>
    <w:rsid w:val="009C64C9"/>
    <w:rsid w:val="009C719E"/>
    <w:rsid w:val="009C7799"/>
    <w:rsid w:val="009D0199"/>
    <w:rsid w:val="009D0670"/>
    <w:rsid w:val="009D07A9"/>
    <w:rsid w:val="009D17C6"/>
    <w:rsid w:val="009D3ACD"/>
    <w:rsid w:val="009D3C10"/>
    <w:rsid w:val="009D406F"/>
    <w:rsid w:val="009D459E"/>
    <w:rsid w:val="009D4626"/>
    <w:rsid w:val="009D7731"/>
    <w:rsid w:val="009E1922"/>
    <w:rsid w:val="009E3BDA"/>
    <w:rsid w:val="009E4715"/>
    <w:rsid w:val="009E5273"/>
    <w:rsid w:val="009E58E4"/>
    <w:rsid w:val="009E5DDB"/>
    <w:rsid w:val="009E72C3"/>
    <w:rsid w:val="009F4982"/>
    <w:rsid w:val="009F4CA7"/>
    <w:rsid w:val="009F6558"/>
    <w:rsid w:val="009F7D36"/>
    <w:rsid w:val="00A00E71"/>
    <w:rsid w:val="00A015AD"/>
    <w:rsid w:val="00A026F4"/>
    <w:rsid w:val="00A02852"/>
    <w:rsid w:val="00A03B10"/>
    <w:rsid w:val="00A04616"/>
    <w:rsid w:val="00A04717"/>
    <w:rsid w:val="00A05E0D"/>
    <w:rsid w:val="00A05EE4"/>
    <w:rsid w:val="00A10D66"/>
    <w:rsid w:val="00A12D1B"/>
    <w:rsid w:val="00A13B8B"/>
    <w:rsid w:val="00A14114"/>
    <w:rsid w:val="00A16413"/>
    <w:rsid w:val="00A16545"/>
    <w:rsid w:val="00A16AED"/>
    <w:rsid w:val="00A16E1D"/>
    <w:rsid w:val="00A17A15"/>
    <w:rsid w:val="00A17D5B"/>
    <w:rsid w:val="00A212E9"/>
    <w:rsid w:val="00A23459"/>
    <w:rsid w:val="00A23E43"/>
    <w:rsid w:val="00A2428B"/>
    <w:rsid w:val="00A2451B"/>
    <w:rsid w:val="00A24ED9"/>
    <w:rsid w:val="00A25216"/>
    <w:rsid w:val="00A261D9"/>
    <w:rsid w:val="00A2623A"/>
    <w:rsid w:val="00A2628E"/>
    <w:rsid w:val="00A2731E"/>
    <w:rsid w:val="00A309AC"/>
    <w:rsid w:val="00A30F65"/>
    <w:rsid w:val="00A3279E"/>
    <w:rsid w:val="00A34190"/>
    <w:rsid w:val="00A35900"/>
    <w:rsid w:val="00A366AA"/>
    <w:rsid w:val="00A36969"/>
    <w:rsid w:val="00A369A9"/>
    <w:rsid w:val="00A36CDB"/>
    <w:rsid w:val="00A40EAC"/>
    <w:rsid w:val="00A4113D"/>
    <w:rsid w:val="00A418BC"/>
    <w:rsid w:val="00A434FC"/>
    <w:rsid w:val="00A43CF8"/>
    <w:rsid w:val="00A43DF2"/>
    <w:rsid w:val="00A445A8"/>
    <w:rsid w:val="00A44B0D"/>
    <w:rsid w:val="00A45087"/>
    <w:rsid w:val="00A450EA"/>
    <w:rsid w:val="00A45489"/>
    <w:rsid w:val="00A46DE0"/>
    <w:rsid w:val="00A50D73"/>
    <w:rsid w:val="00A51C25"/>
    <w:rsid w:val="00A523B8"/>
    <w:rsid w:val="00A52CAD"/>
    <w:rsid w:val="00A53FC7"/>
    <w:rsid w:val="00A574F8"/>
    <w:rsid w:val="00A61382"/>
    <w:rsid w:val="00A626FF"/>
    <w:rsid w:val="00A627F4"/>
    <w:rsid w:val="00A62CE1"/>
    <w:rsid w:val="00A655D3"/>
    <w:rsid w:val="00A66B1F"/>
    <w:rsid w:val="00A6741E"/>
    <w:rsid w:val="00A67A55"/>
    <w:rsid w:val="00A7016A"/>
    <w:rsid w:val="00A7018D"/>
    <w:rsid w:val="00A722F9"/>
    <w:rsid w:val="00A72437"/>
    <w:rsid w:val="00A72A13"/>
    <w:rsid w:val="00A72D42"/>
    <w:rsid w:val="00A75E40"/>
    <w:rsid w:val="00A76B89"/>
    <w:rsid w:val="00A7792E"/>
    <w:rsid w:val="00A77A0F"/>
    <w:rsid w:val="00A77AF6"/>
    <w:rsid w:val="00A77B06"/>
    <w:rsid w:val="00A77D1D"/>
    <w:rsid w:val="00A80036"/>
    <w:rsid w:val="00A81652"/>
    <w:rsid w:val="00A81B71"/>
    <w:rsid w:val="00A83150"/>
    <w:rsid w:val="00A83398"/>
    <w:rsid w:val="00A83D62"/>
    <w:rsid w:val="00A857C0"/>
    <w:rsid w:val="00A8591D"/>
    <w:rsid w:val="00A85CE2"/>
    <w:rsid w:val="00A86834"/>
    <w:rsid w:val="00A86F9E"/>
    <w:rsid w:val="00A870FD"/>
    <w:rsid w:val="00A876EF"/>
    <w:rsid w:val="00A901FB"/>
    <w:rsid w:val="00A90FED"/>
    <w:rsid w:val="00A9189D"/>
    <w:rsid w:val="00A91E71"/>
    <w:rsid w:val="00A93407"/>
    <w:rsid w:val="00A96116"/>
    <w:rsid w:val="00A9614E"/>
    <w:rsid w:val="00A96C0F"/>
    <w:rsid w:val="00AA212F"/>
    <w:rsid w:val="00AA2996"/>
    <w:rsid w:val="00AA2AF4"/>
    <w:rsid w:val="00AA3786"/>
    <w:rsid w:val="00AA3872"/>
    <w:rsid w:val="00AA38E9"/>
    <w:rsid w:val="00AA52BF"/>
    <w:rsid w:val="00AA559A"/>
    <w:rsid w:val="00AA6C31"/>
    <w:rsid w:val="00AA7CE8"/>
    <w:rsid w:val="00AB2A8D"/>
    <w:rsid w:val="00AB2AF1"/>
    <w:rsid w:val="00AB34A5"/>
    <w:rsid w:val="00AB5527"/>
    <w:rsid w:val="00AB5A64"/>
    <w:rsid w:val="00AB6456"/>
    <w:rsid w:val="00AC044E"/>
    <w:rsid w:val="00AC2395"/>
    <w:rsid w:val="00AC2960"/>
    <w:rsid w:val="00AC2AC4"/>
    <w:rsid w:val="00AC4284"/>
    <w:rsid w:val="00AC45BD"/>
    <w:rsid w:val="00AC45BF"/>
    <w:rsid w:val="00AD0BF8"/>
    <w:rsid w:val="00AD0EE7"/>
    <w:rsid w:val="00AD168E"/>
    <w:rsid w:val="00AD1C31"/>
    <w:rsid w:val="00AD2AF0"/>
    <w:rsid w:val="00AD306C"/>
    <w:rsid w:val="00AD3621"/>
    <w:rsid w:val="00AD3FC3"/>
    <w:rsid w:val="00AD42D3"/>
    <w:rsid w:val="00AD4E2D"/>
    <w:rsid w:val="00AD5AD2"/>
    <w:rsid w:val="00AD6462"/>
    <w:rsid w:val="00AD68C4"/>
    <w:rsid w:val="00AD71F9"/>
    <w:rsid w:val="00AE09B3"/>
    <w:rsid w:val="00AE1A83"/>
    <w:rsid w:val="00AE3180"/>
    <w:rsid w:val="00AE3814"/>
    <w:rsid w:val="00AE56B4"/>
    <w:rsid w:val="00AE6DB7"/>
    <w:rsid w:val="00AE7CE7"/>
    <w:rsid w:val="00AE7FAB"/>
    <w:rsid w:val="00AF17F8"/>
    <w:rsid w:val="00AF1893"/>
    <w:rsid w:val="00AF1E87"/>
    <w:rsid w:val="00AF3C66"/>
    <w:rsid w:val="00AF436B"/>
    <w:rsid w:val="00AF5179"/>
    <w:rsid w:val="00AF560F"/>
    <w:rsid w:val="00AF5CC2"/>
    <w:rsid w:val="00AF6F98"/>
    <w:rsid w:val="00B002B7"/>
    <w:rsid w:val="00B00913"/>
    <w:rsid w:val="00B01593"/>
    <w:rsid w:val="00B016D3"/>
    <w:rsid w:val="00B01AB8"/>
    <w:rsid w:val="00B01FAD"/>
    <w:rsid w:val="00B01FF9"/>
    <w:rsid w:val="00B023F2"/>
    <w:rsid w:val="00B047D8"/>
    <w:rsid w:val="00B0517E"/>
    <w:rsid w:val="00B06DB4"/>
    <w:rsid w:val="00B07217"/>
    <w:rsid w:val="00B07E66"/>
    <w:rsid w:val="00B10A4D"/>
    <w:rsid w:val="00B10C90"/>
    <w:rsid w:val="00B11002"/>
    <w:rsid w:val="00B11655"/>
    <w:rsid w:val="00B121B2"/>
    <w:rsid w:val="00B14BC1"/>
    <w:rsid w:val="00B15175"/>
    <w:rsid w:val="00B154DB"/>
    <w:rsid w:val="00B169AC"/>
    <w:rsid w:val="00B16EB8"/>
    <w:rsid w:val="00B17E71"/>
    <w:rsid w:val="00B17FDE"/>
    <w:rsid w:val="00B20632"/>
    <w:rsid w:val="00B210D1"/>
    <w:rsid w:val="00B22920"/>
    <w:rsid w:val="00B2379C"/>
    <w:rsid w:val="00B23D5D"/>
    <w:rsid w:val="00B256B6"/>
    <w:rsid w:val="00B2687D"/>
    <w:rsid w:val="00B323A7"/>
    <w:rsid w:val="00B32DDB"/>
    <w:rsid w:val="00B32F57"/>
    <w:rsid w:val="00B3345C"/>
    <w:rsid w:val="00B34528"/>
    <w:rsid w:val="00B34CC9"/>
    <w:rsid w:val="00B3563B"/>
    <w:rsid w:val="00B40106"/>
    <w:rsid w:val="00B402FC"/>
    <w:rsid w:val="00B422E2"/>
    <w:rsid w:val="00B439DA"/>
    <w:rsid w:val="00B4411A"/>
    <w:rsid w:val="00B46604"/>
    <w:rsid w:val="00B46C88"/>
    <w:rsid w:val="00B46D04"/>
    <w:rsid w:val="00B47089"/>
    <w:rsid w:val="00B52151"/>
    <w:rsid w:val="00B529DD"/>
    <w:rsid w:val="00B530CD"/>
    <w:rsid w:val="00B553B0"/>
    <w:rsid w:val="00B55F5E"/>
    <w:rsid w:val="00B563B3"/>
    <w:rsid w:val="00B56B6F"/>
    <w:rsid w:val="00B5752E"/>
    <w:rsid w:val="00B61479"/>
    <w:rsid w:val="00B62316"/>
    <w:rsid w:val="00B6258B"/>
    <w:rsid w:val="00B63A11"/>
    <w:rsid w:val="00B641BE"/>
    <w:rsid w:val="00B64425"/>
    <w:rsid w:val="00B64C24"/>
    <w:rsid w:val="00B65CEF"/>
    <w:rsid w:val="00B6608F"/>
    <w:rsid w:val="00B679FB"/>
    <w:rsid w:val="00B71A2C"/>
    <w:rsid w:val="00B7220B"/>
    <w:rsid w:val="00B726A5"/>
    <w:rsid w:val="00B76D1D"/>
    <w:rsid w:val="00B76D1E"/>
    <w:rsid w:val="00B77543"/>
    <w:rsid w:val="00B80EC6"/>
    <w:rsid w:val="00B80F7E"/>
    <w:rsid w:val="00B81D70"/>
    <w:rsid w:val="00B83E07"/>
    <w:rsid w:val="00B84144"/>
    <w:rsid w:val="00B8470F"/>
    <w:rsid w:val="00B84CF6"/>
    <w:rsid w:val="00B85016"/>
    <w:rsid w:val="00B854EC"/>
    <w:rsid w:val="00B8561A"/>
    <w:rsid w:val="00B90484"/>
    <w:rsid w:val="00B9248B"/>
    <w:rsid w:val="00B92D1D"/>
    <w:rsid w:val="00B92F4E"/>
    <w:rsid w:val="00B938C5"/>
    <w:rsid w:val="00B94C62"/>
    <w:rsid w:val="00B9544E"/>
    <w:rsid w:val="00B95940"/>
    <w:rsid w:val="00B95ACA"/>
    <w:rsid w:val="00B96F2C"/>
    <w:rsid w:val="00B97ACC"/>
    <w:rsid w:val="00B97DEB"/>
    <w:rsid w:val="00BA21A9"/>
    <w:rsid w:val="00BA3787"/>
    <w:rsid w:val="00BA46E8"/>
    <w:rsid w:val="00BA51CD"/>
    <w:rsid w:val="00BA6C2B"/>
    <w:rsid w:val="00BA7B64"/>
    <w:rsid w:val="00BB0351"/>
    <w:rsid w:val="00BB15C3"/>
    <w:rsid w:val="00BB1AF4"/>
    <w:rsid w:val="00BB2475"/>
    <w:rsid w:val="00BB3F82"/>
    <w:rsid w:val="00BB46F3"/>
    <w:rsid w:val="00BB4CB1"/>
    <w:rsid w:val="00BB4F87"/>
    <w:rsid w:val="00BB4F98"/>
    <w:rsid w:val="00BB5ABF"/>
    <w:rsid w:val="00BB6194"/>
    <w:rsid w:val="00BB6EA2"/>
    <w:rsid w:val="00BB7B27"/>
    <w:rsid w:val="00BB7B5B"/>
    <w:rsid w:val="00BC003F"/>
    <w:rsid w:val="00BC327F"/>
    <w:rsid w:val="00BC44DD"/>
    <w:rsid w:val="00BC49F5"/>
    <w:rsid w:val="00BC5332"/>
    <w:rsid w:val="00BC5C12"/>
    <w:rsid w:val="00BC7154"/>
    <w:rsid w:val="00BC731E"/>
    <w:rsid w:val="00BC7614"/>
    <w:rsid w:val="00BD0F72"/>
    <w:rsid w:val="00BD25BB"/>
    <w:rsid w:val="00BD2AF8"/>
    <w:rsid w:val="00BD366B"/>
    <w:rsid w:val="00BD3C0D"/>
    <w:rsid w:val="00BD514B"/>
    <w:rsid w:val="00BD6D50"/>
    <w:rsid w:val="00BE0AD1"/>
    <w:rsid w:val="00BE0EF9"/>
    <w:rsid w:val="00BE18B9"/>
    <w:rsid w:val="00BE2495"/>
    <w:rsid w:val="00BE33E5"/>
    <w:rsid w:val="00BE6124"/>
    <w:rsid w:val="00BE62E5"/>
    <w:rsid w:val="00BF02C8"/>
    <w:rsid w:val="00BF09B2"/>
    <w:rsid w:val="00BF1578"/>
    <w:rsid w:val="00BF1D12"/>
    <w:rsid w:val="00BF1D3A"/>
    <w:rsid w:val="00BF214F"/>
    <w:rsid w:val="00BF4A96"/>
    <w:rsid w:val="00BF4E43"/>
    <w:rsid w:val="00BF5C30"/>
    <w:rsid w:val="00BF5C4C"/>
    <w:rsid w:val="00BF7E4B"/>
    <w:rsid w:val="00C01410"/>
    <w:rsid w:val="00C034DC"/>
    <w:rsid w:val="00C04DF1"/>
    <w:rsid w:val="00C052AA"/>
    <w:rsid w:val="00C06EE3"/>
    <w:rsid w:val="00C07749"/>
    <w:rsid w:val="00C0782C"/>
    <w:rsid w:val="00C11D48"/>
    <w:rsid w:val="00C11E05"/>
    <w:rsid w:val="00C156C9"/>
    <w:rsid w:val="00C15BDE"/>
    <w:rsid w:val="00C21430"/>
    <w:rsid w:val="00C21E61"/>
    <w:rsid w:val="00C21F94"/>
    <w:rsid w:val="00C23127"/>
    <w:rsid w:val="00C237DA"/>
    <w:rsid w:val="00C245AC"/>
    <w:rsid w:val="00C24930"/>
    <w:rsid w:val="00C2590D"/>
    <w:rsid w:val="00C261C2"/>
    <w:rsid w:val="00C2645D"/>
    <w:rsid w:val="00C26A2B"/>
    <w:rsid w:val="00C27913"/>
    <w:rsid w:val="00C30797"/>
    <w:rsid w:val="00C30DE4"/>
    <w:rsid w:val="00C31357"/>
    <w:rsid w:val="00C318AA"/>
    <w:rsid w:val="00C324DE"/>
    <w:rsid w:val="00C3372B"/>
    <w:rsid w:val="00C33B68"/>
    <w:rsid w:val="00C3409C"/>
    <w:rsid w:val="00C3471E"/>
    <w:rsid w:val="00C35570"/>
    <w:rsid w:val="00C36A79"/>
    <w:rsid w:val="00C37133"/>
    <w:rsid w:val="00C3724B"/>
    <w:rsid w:val="00C401D2"/>
    <w:rsid w:val="00C4031A"/>
    <w:rsid w:val="00C405D4"/>
    <w:rsid w:val="00C419D5"/>
    <w:rsid w:val="00C41BBD"/>
    <w:rsid w:val="00C429AE"/>
    <w:rsid w:val="00C42EA5"/>
    <w:rsid w:val="00C4513B"/>
    <w:rsid w:val="00C45488"/>
    <w:rsid w:val="00C46C1B"/>
    <w:rsid w:val="00C507AE"/>
    <w:rsid w:val="00C5147D"/>
    <w:rsid w:val="00C53372"/>
    <w:rsid w:val="00C5390B"/>
    <w:rsid w:val="00C54697"/>
    <w:rsid w:val="00C55027"/>
    <w:rsid w:val="00C553A5"/>
    <w:rsid w:val="00C55402"/>
    <w:rsid w:val="00C5603B"/>
    <w:rsid w:val="00C56E9C"/>
    <w:rsid w:val="00C61F47"/>
    <w:rsid w:val="00C621D6"/>
    <w:rsid w:val="00C62828"/>
    <w:rsid w:val="00C62E08"/>
    <w:rsid w:val="00C64998"/>
    <w:rsid w:val="00C667B3"/>
    <w:rsid w:val="00C71BC3"/>
    <w:rsid w:val="00C71D2F"/>
    <w:rsid w:val="00C725B7"/>
    <w:rsid w:val="00C72984"/>
    <w:rsid w:val="00C734DC"/>
    <w:rsid w:val="00C73885"/>
    <w:rsid w:val="00C73C93"/>
    <w:rsid w:val="00C73EAC"/>
    <w:rsid w:val="00C7435A"/>
    <w:rsid w:val="00C7446C"/>
    <w:rsid w:val="00C747B1"/>
    <w:rsid w:val="00C76229"/>
    <w:rsid w:val="00C7747F"/>
    <w:rsid w:val="00C777A6"/>
    <w:rsid w:val="00C82191"/>
    <w:rsid w:val="00C823CA"/>
    <w:rsid w:val="00C83134"/>
    <w:rsid w:val="00C832F3"/>
    <w:rsid w:val="00C85545"/>
    <w:rsid w:val="00C855B5"/>
    <w:rsid w:val="00C85F0E"/>
    <w:rsid w:val="00C90CF4"/>
    <w:rsid w:val="00C91CC2"/>
    <w:rsid w:val="00C922DE"/>
    <w:rsid w:val="00C92843"/>
    <w:rsid w:val="00C92EB6"/>
    <w:rsid w:val="00C93216"/>
    <w:rsid w:val="00C93389"/>
    <w:rsid w:val="00C95CCD"/>
    <w:rsid w:val="00C96AEE"/>
    <w:rsid w:val="00CA0346"/>
    <w:rsid w:val="00CA37FF"/>
    <w:rsid w:val="00CA4C36"/>
    <w:rsid w:val="00CA507F"/>
    <w:rsid w:val="00CA5BD5"/>
    <w:rsid w:val="00CA5D0F"/>
    <w:rsid w:val="00CA6AB4"/>
    <w:rsid w:val="00CB0AED"/>
    <w:rsid w:val="00CB2351"/>
    <w:rsid w:val="00CB2949"/>
    <w:rsid w:val="00CB4537"/>
    <w:rsid w:val="00CB4930"/>
    <w:rsid w:val="00CB497F"/>
    <w:rsid w:val="00CB5618"/>
    <w:rsid w:val="00CB5E10"/>
    <w:rsid w:val="00CB6A89"/>
    <w:rsid w:val="00CB792B"/>
    <w:rsid w:val="00CC0834"/>
    <w:rsid w:val="00CC09FD"/>
    <w:rsid w:val="00CC20FE"/>
    <w:rsid w:val="00CC2E7D"/>
    <w:rsid w:val="00CC4726"/>
    <w:rsid w:val="00CC4856"/>
    <w:rsid w:val="00CC655F"/>
    <w:rsid w:val="00CC6C34"/>
    <w:rsid w:val="00CC76BD"/>
    <w:rsid w:val="00CD10A5"/>
    <w:rsid w:val="00CD1129"/>
    <w:rsid w:val="00CD203A"/>
    <w:rsid w:val="00CD2076"/>
    <w:rsid w:val="00CD24CE"/>
    <w:rsid w:val="00CD29B5"/>
    <w:rsid w:val="00CD2B78"/>
    <w:rsid w:val="00CD5C3E"/>
    <w:rsid w:val="00CD5CAB"/>
    <w:rsid w:val="00CD6331"/>
    <w:rsid w:val="00CD6B63"/>
    <w:rsid w:val="00CE0CA9"/>
    <w:rsid w:val="00CE62FA"/>
    <w:rsid w:val="00CE670B"/>
    <w:rsid w:val="00CE70EE"/>
    <w:rsid w:val="00CF19D8"/>
    <w:rsid w:val="00CF4908"/>
    <w:rsid w:val="00CF51EC"/>
    <w:rsid w:val="00CF545D"/>
    <w:rsid w:val="00CF546A"/>
    <w:rsid w:val="00CF5873"/>
    <w:rsid w:val="00CF6222"/>
    <w:rsid w:val="00CF73AE"/>
    <w:rsid w:val="00D010D1"/>
    <w:rsid w:val="00D01418"/>
    <w:rsid w:val="00D01A32"/>
    <w:rsid w:val="00D03A72"/>
    <w:rsid w:val="00D040DD"/>
    <w:rsid w:val="00D041F9"/>
    <w:rsid w:val="00D046FA"/>
    <w:rsid w:val="00D05C65"/>
    <w:rsid w:val="00D06D68"/>
    <w:rsid w:val="00D06FAB"/>
    <w:rsid w:val="00D075BE"/>
    <w:rsid w:val="00D07FCA"/>
    <w:rsid w:val="00D104A5"/>
    <w:rsid w:val="00D10652"/>
    <w:rsid w:val="00D11C2D"/>
    <w:rsid w:val="00D124E1"/>
    <w:rsid w:val="00D1291A"/>
    <w:rsid w:val="00D12C25"/>
    <w:rsid w:val="00D133B4"/>
    <w:rsid w:val="00D13986"/>
    <w:rsid w:val="00D14C5B"/>
    <w:rsid w:val="00D15FED"/>
    <w:rsid w:val="00D17C3D"/>
    <w:rsid w:val="00D208E7"/>
    <w:rsid w:val="00D214EF"/>
    <w:rsid w:val="00D21D6D"/>
    <w:rsid w:val="00D21D83"/>
    <w:rsid w:val="00D235B7"/>
    <w:rsid w:val="00D25F28"/>
    <w:rsid w:val="00D26071"/>
    <w:rsid w:val="00D27973"/>
    <w:rsid w:val="00D31E1E"/>
    <w:rsid w:val="00D334E2"/>
    <w:rsid w:val="00D35BBB"/>
    <w:rsid w:val="00D35E1A"/>
    <w:rsid w:val="00D36C04"/>
    <w:rsid w:val="00D36DFB"/>
    <w:rsid w:val="00D36E1C"/>
    <w:rsid w:val="00D37342"/>
    <w:rsid w:val="00D373AF"/>
    <w:rsid w:val="00D40556"/>
    <w:rsid w:val="00D41F74"/>
    <w:rsid w:val="00D4284D"/>
    <w:rsid w:val="00D43348"/>
    <w:rsid w:val="00D43ED2"/>
    <w:rsid w:val="00D44B89"/>
    <w:rsid w:val="00D47481"/>
    <w:rsid w:val="00D50F46"/>
    <w:rsid w:val="00D52814"/>
    <w:rsid w:val="00D53528"/>
    <w:rsid w:val="00D544E7"/>
    <w:rsid w:val="00D54FDE"/>
    <w:rsid w:val="00D55B51"/>
    <w:rsid w:val="00D56D73"/>
    <w:rsid w:val="00D56FBF"/>
    <w:rsid w:val="00D57677"/>
    <w:rsid w:val="00D57A24"/>
    <w:rsid w:val="00D60415"/>
    <w:rsid w:val="00D60903"/>
    <w:rsid w:val="00D62DA6"/>
    <w:rsid w:val="00D62E59"/>
    <w:rsid w:val="00D63BE5"/>
    <w:rsid w:val="00D63D69"/>
    <w:rsid w:val="00D64E8F"/>
    <w:rsid w:val="00D66223"/>
    <w:rsid w:val="00D66630"/>
    <w:rsid w:val="00D70229"/>
    <w:rsid w:val="00D70822"/>
    <w:rsid w:val="00D70B9A"/>
    <w:rsid w:val="00D70D26"/>
    <w:rsid w:val="00D71FCB"/>
    <w:rsid w:val="00D72076"/>
    <w:rsid w:val="00D730BF"/>
    <w:rsid w:val="00D743E0"/>
    <w:rsid w:val="00D748BE"/>
    <w:rsid w:val="00D77252"/>
    <w:rsid w:val="00D77B7E"/>
    <w:rsid w:val="00D8084C"/>
    <w:rsid w:val="00D82EF1"/>
    <w:rsid w:val="00D82FE8"/>
    <w:rsid w:val="00D84C89"/>
    <w:rsid w:val="00D84F43"/>
    <w:rsid w:val="00D85821"/>
    <w:rsid w:val="00D8598C"/>
    <w:rsid w:val="00D878AC"/>
    <w:rsid w:val="00D87C06"/>
    <w:rsid w:val="00D9115F"/>
    <w:rsid w:val="00D915EA"/>
    <w:rsid w:val="00D918D2"/>
    <w:rsid w:val="00D928BE"/>
    <w:rsid w:val="00D931CB"/>
    <w:rsid w:val="00D947E0"/>
    <w:rsid w:val="00D95C5D"/>
    <w:rsid w:val="00D9793F"/>
    <w:rsid w:val="00D97C81"/>
    <w:rsid w:val="00D97D00"/>
    <w:rsid w:val="00DA096C"/>
    <w:rsid w:val="00DA1AB6"/>
    <w:rsid w:val="00DA439F"/>
    <w:rsid w:val="00DA467C"/>
    <w:rsid w:val="00DA47EA"/>
    <w:rsid w:val="00DA6364"/>
    <w:rsid w:val="00DA6428"/>
    <w:rsid w:val="00DA694D"/>
    <w:rsid w:val="00DA7114"/>
    <w:rsid w:val="00DA7A18"/>
    <w:rsid w:val="00DA7C0C"/>
    <w:rsid w:val="00DB08A9"/>
    <w:rsid w:val="00DB2DFA"/>
    <w:rsid w:val="00DB2EC8"/>
    <w:rsid w:val="00DB3CD3"/>
    <w:rsid w:val="00DB4532"/>
    <w:rsid w:val="00DC17D0"/>
    <w:rsid w:val="00DC1D3B"/>
    <w:rsid w:val="00DC2B41"/>
    <w:rsid w:val="00DC435B"/>
    <w:rsid w:val="00DC56FE"/>
    <w:rsid w:val="00DC5B3B"/>
    <w:rsid w:val="00DC6C2D"/>
    <w:rsid w:val="00DC7B1A"/>
    <w:rsid w:val="00DD001B"/>
    <w:rsid w:val="00DD02B4"/>
    <w:rsid w:val="00DD0C3A"/>
    <w:rsid w:val="00DD129F"/>
    <w:rsid w:val="00DD1892"/>
    <w:rsid w:val="00DD2222"/>
    <w:rsid w:val="00DD32DD"/>
    <w:rsid w:val="00DD3365"/>
    <w:rsid w:val="00DD358B"/>
    <w:rsid w:val="00DD5C92"/>
    <w:rsid w:val="00DD649D"/>
    <w:rsid w:val="00DE0D8B"/>
    <w:rsid w:val="00DE2D19"/>
    <w:rsid w:val="00DE6995"/>
    <w:rsid w:val="00DE76D5"/>
    <w:rsid w:val="00DF05EE"/>
    <w:rsid w:val="00DF1AE5"/>
    <w:rsid w:val="00DF2BD4"/>
    <w:rsid w:val="00DF3643"/>
    <w:rsid w:val="00DF42FF"/>
    <w:rsid w:val="00DF5D1E"/>
    <w:rsid w:val="00DF74E3"/>
    <w:rsid w:val="00E01C0E"/>
    <w:rsid w:val="00E026EA"/>
    <w:rsid w:val="00E02A11"/>
    <w:rsid w:val="00E03477"/>
    <w:rsid w:val="00E0368F"/>
    <w:rsid w:val="00E03D73"/>
    <w:rsid w:val="00E03F9A"/>
    <w:rsid w:val="00E04694"/>
    <w:rsid w:val="00E06CDC"/>
    <w:rsid w:val="00E06ED3"/>
    <w:rsid w:val="00E129E7"/>
    <w:rsid w:val="00E12ABE"/>
    <w:rsid w:val="00E12B1E"/>
    <w:rsid w:val="00E1444C"/>
    <w:rsid w:val="00E15860"/>
    <w:rsid w:val="00E15C16"/>
    <w:rsid w:val="00E17262"/>
    <w:rsid w:val="00E1790A"/>
    <w:rsid w:val="00E20016"/>
    <w:rsid w:val="00E2009B"/>
    <w:rsid w:val="00E21D4C"/>
    <w:rsid w:val="00E2251C"/>
    <w:rsid w:val="00E2363D"/>
    <w:rsid w:val="00E253A2"/>
    <w:rsid w:val="00E25D19"/>
    <w:rsid w:val="00E27127"/>
    <w:rsid w:val="00E27233"/>
    <w:rsid w:val="00E30205"/>
    <w:rsid w:val="00E31771"/>
    <w:rsid w:val="00E32080"/>
    <w:rsid w:val="00E3309D"/>
    <w:rsid w:val="00E37146"/>
    <w:rsid w:val="00E37446"/>
    <w:rsid w:val="00E37ED2"/>
    <w:rsid w:val="00E40573"/>
    <w:rsid w:val="00E417BE"/>
    <w:rsid w:val="00E41CD5"/>
    <w:rsid w:val="00E43A9E"/>
    <w:rsid w:val="00E44C70"/>
    <w:rsid w:val="00E453F9"/>
    <w:rsid w:val="00E45D7D"/>
    <w:rsid w:val="00E47854"/>
    <w:rsid w:val="00E47EBA"/>
    <w:rsid w:val="00E50156"/>
    <w:rsid w:val="00E5076C"/>
    <w:rsid w:val="00E50D53"/>
    <w:rsid w:val="00E51151"/>
    <w:rsid w:val="00E51B88"/>
    <w:rsid w:val="00E53470"/>
    <w:rsid w:val="00E539F6"/>
    <w:rsid w:val="00E55791"/>
    <w:rsid w:val="00E564DD"/>
    <w:rsid w:val="00E56587"/>
    <w:rsid w:val="00E578A2"/>
    <w:rsid w:val="00E61740"/>
    <w:rsid w:val="00E61EB5"/>
    <w:rsid w:val="00E6519D"/>
    <w:rsid w:val="00E67305"/>
    <w:rsid w:val="00E67696"/>
    <w:rsid w:val="00E704B5"/>
    <w:rsid w:val="00E7152C"/>
    <w:rsid w:val="00E71A58"/>
    <w:rsid w:val="00E71D50"/>
    <w:rsid w:val="00E72A26"/>
    <w:rsid w:val="00E72A7A"/>
    <w:rsid w:val="00E735CE"/>
    <w:rsid w:val="00E747DC"/>
    <w:rsid w:val="00E75C94"/>
    <w:rsid w:val="00E76B9B"/>
    <w:rsid w:val="00E76E61"/>
    <w:rsid w:val="00E80CA3"/>
    <w:rsid w:val="00E82618"/>
    <w:rsid w:val="00E83099"/>
    <w:rsid w:val="00E92543"/>
    <w:rsid w:val="00E930A1"/>
    <w:rsid w:val="00E93820"/>
    <w:rsid w:val="00E94A86"/>
    <w:rsid w:val="00E96143"/>
    <w:rsid w:val="00E96833"/>
    <w:rsid w:val="00EA0C68"/>
    <w:rsid w:val="00EA2261"/>
    <w:rsid w:val="00EA32BC"/>
    <w:rsid w:val="00EA35A7"/>
    <w:rsid w:val="00EA4402"/>
    <w:rsid w:val="00EA513E"/>
    <w:rsid w:val="00EA7B9D"/>
    <w:rsid w:val="00EB0C26"/>
    <w:rsid w:val="00EB0E32"/>
    <w:rsid w:val="00EB2510"/>
    <w:rsid w:val="00EB3543"/>
    <w:rsid w:val="00EB3E07"/>
    <w:rsid w:val="00EB4511"/>
    <w:rsid w:val="00EB4A8E"/>
    <w:rsid w:val="00EB5BF7"/>
    <w:rsid w:val="00EB5CBE"/>
    <w:rsid w:val="00EB5E79"/>
    <w:rsid w:val="00EB6FAC"/>
    <w:rsid w:val="00EC03D7"/>
    <w:rsid w:val="00EC13A7"/>
    <w:rsid w:val="00EC26AA"/>
    <w:rsid w:val="00EC4C77"/>
    <w:rsid w:val="00EC6EB1"/>
    <w:rsid w:val="00ED0EF0"/>
    <w:rsid w:val="00ED12B9"/>
    <w:rsid w:val="00ED16B8"/>
    <w:rsid w:val="00ED19BA"/>
    <w:rsid w:val="00ED2B77"/>
    <w:rsid w:val="00ED2EA1"/>
    <w:rsid w:val="00ED45F2"/>
    <w:rsid w:val="00ED4D04"/>
    <w:rsid w:val="00ED62C6"/>
    <w:rsid w:val="00ED64C1"/>
    <w:rsid w:val="00ED794B"/>
    <w:rsid w:val="00EE22E9"/>
    <w:rsid w:val="00EE3446"/>
    <w:rsid w:val="00EE3E78"/>
    <w:rsid w:val="00EE4B1B"/>
    <w:rsid w:val="00EF07BE"/>
    <w:rsid w:val="00EF07E2"/>
    <w:rsid w:val="00EF0F6B"/>
    <w:rsid w:val="00EF150D"/>
    <w:rsid w:val="00EF19A8"/>
    <w:rsid w:val="00EF1F5A"/>
    <w:rsid w:val="00EF22EA"/>
    <w:rsid w:val="00EF2DCB"/>
    <w:rsid w:val="00EF4782"/>
    <w:rsid w:val="00EF47BF"/>
    <w:rsid w:val="00EF55D6"/>
    <w:rsid w:val="00EF5A13"/>
    <w:rsid w:val="00EF5FF9"/>
    <w:rsid w:val="00EF6866"/>
    <w:rsid w:val="00F0056A"/>
    <w:rsid w:val="00F0160B"/>
    <w:rsid w:val="00F02EA2"/>
    <w:rsid w:val="00F03F8D"/>
    <w:rsid w:val="00F04811"/>
    <w:rsid w:val="00F0488C"/>
    <w:rsid w:val="00F04D7F"/>
    <w:rsid w:val="00F05DAA"/>
    <w:rsid w:val="00F073ED"/>
    <w:rsid w:val="00F07C4C"/>
    <w:rsid w:val="00F10A85"/>
    <w:rsid w:val="00F10F11"/>
    <w:rsid w:val="00F12CFB"/>
    <w:rsid w:val="00F150FC"/>
    <w:rsid w:val="00F15AAA"/>
    <w:rsid w:val="00F15BEF"/>
    <w:rsid w:val="00F15D99"/>
    <w:rsid w:val="00F17898"/>
    <w:rsid w:val="00F207C2"/>
    <w:rsid w:val="00F219A1"/>
    <w:rsid w:val="00F23E20"/>
    <w:rsid w:val="00F24407"/>
    <w:rsid w:val="00F24FAA"/>
    <w:rsid w:val="00F25040"/>
    <w:rsid w:val="00F256C9"/>
    <w:rsid w:val="00F26B41"/>
    <w:rsid w:val="00F27331"/>
    <w:rsid w:val="00F30852"/>
    <w:rsid w:val="00F30C65"/>
    <w:rsid w:val="00F31B1A"/>
    <w:rsid w:val="00F3364D"/>
    <w:rsid w:val="00F33751"/>
    <w:rsid w:val="00F347FE"/>
    <w:rsid w:val="00F349BF"/>
    <w:rsid w:val="00F34C7D"/>
    <w:rsid w:val="00F3720E"/>
    <w:rsid w:val="00F41A03"/>
    <w:rsid w:val="00F425F8"/>
    <w:rsid w:val="00F42755"/>
    <w:rsid w:val="00F42C11"/>
    <w:rsid w:val="00F437CC"/>
    <w:rsid w:val="00F44537"/>
    <w:rsid w:val="00F44D78"/>
    <w:rsid w:val="00F44F83"/>
    <w:rsid w:val="00F46185"/>
    <w:rsid w:val="00F46423"/>
    <w:rsid w:val="00F46561"/>
    <w:rsid w:val="00F465F4"/>
    <w:rsid w:val="00F4696A"/>
    <w:rsid w:val="00F46C86"/>
    <w:rsid w:val="00F47067"/>
    <w:rsid w:val="00F47413"/>
    <w:rsid w:val="00F524C4"/>
    <w:rsid w:val="00F525EB"/>
    <w:rsid w:val="00F53324"/>
    <w:rsid w:val="00F555DE"/>
    <w:rsid w:val="00F56432"/>
    <w:rsid w:val="00F60EE8"/>
    <w:rsid w:val="00F61111"/>
    <w:rsid w:val="00F6160D"/>
    <w:rsid w:val="00F63AAE"/>
    <w:rsid w:val="00F63DDE"/>
    <w:rsid w:val="00F63FB7"/>
    <w:rsid w:val="00F6421B"/>
    <w:rsid w:val="00F649D2"/>
    <w:rsid w:val="00F658CA"/>
    <w:rsid w:val="00F6602B"/>
    <w:rsid w:val="00F7150B"/>
    <w:rsid w:val="00F72D2E"/>
    <w:rsid w:val="00F73A0C"/>
    <w:rsid w:val="00F74563"/>
    <w:rsid w:val="00F756DB"/>
    <w:rsid w:val="00F767A8"/>
    <w:rsid w:val="00F80764"/>
    <w:rsid w:val="00F81380"/>
    <w:rsid w:val="00F83297"/>
    <w:rsid w:val="00F8416A"/>
    <w:rsid w:val="00F8469E"/>
    <w:rsid w:val="00F84E7D"/>
    <w:rsid w:val="00F85066"/>
    <w:rsid w:val="00F87A4D"/>
    <w:rsid w:val="00F90C60"/>
    <w:rsid w:val="00F93688"/>
    <w:rsid w:val="00F939F3"/>
    <w:rsid w:val="00F9481E"/>
    <w:rsid w:val="00F94EA6"/>
    <w:rsid w:val="00F95139"/>
    <w:rsid w:val="00F95167"/>
    <w:rsid w:val="00F952EE"/>
    <w:rsid w:val="00F9539D"/>
    <w:rsid w:val="00F95717"/>
    <w:rsid w:val="00F9672C"/>
    <w:rsid w:val="00F96BFA"/>
    <w:rsid w:val="00F97CDD"/>
    <w:rsid w:val="00FA0250"/>
    <w:rsid w:val="00FA03BB"/>
    <w:rsid w:val="00FA04BB"/>
    <w:rsid w:val="00FA05A0"/>
    <w:rsid w:val="00FA17CC"/>
    <w:rsid w:val="00FA1F01"/>
    <w:rsid w:val="00FA36BC"/>
    <w:rsid w:val="00FA456C"/>
    <w:rsid w:val="00FA4FEB"/>
    <w:rsid w:val="00FA5112"/>
    <w:rsid w:val="00FA5526"/>
    <w:rsid w:val="00FA5D4D"/>
    <w:rsid w:val="00FA6549"/>
    <w:rsid w:val="00FA70D3"/>
    <w:rsid w:val="00FA7D28"/>
    <w:rsid w:val="00FB0EE2"/>
    <w:rsid w:val="00FB1A79"/>
    <w:rsid w:val="00FB208B"/>
    <w:rsid w:val="00FB2B2D"/>
    <w:rsid w:val="00FB542E"/>
    <w:rsid w:val="00FB6F10"/>
    <w:rsid w:val="00FC05F8"/>
    <w:rsid w:val="00FC0696"/>
    <w:rsid w:val="00FC0E5F"/>
    <w:rsid w:val="00FC13E6"/>
    <w:rsid w:val="00FC1A95"/>
    <w:rsid w:val="00FC1F20"/>
    <w:rsid w:val="00FC3BEC"/>
    <w:rsid w:val="00FC440B"/>
    <w:rsid w:val="00FC56DE"/>
    <w:rsid w:val="00FC64DE"/>
    <w:rsid w:val="00FC684B"/>
    <w:rsid w:val="00FC7179"/>
    <w:rsid w:val="00FC7723"/>
    <w:rsid w:val="00FC7D98"/>
    <w:rsid w:val="00FD1135"/>
    <w:rsid w:val="00FD3265"/>
    <w:rsid w:val="00FD34FA"/>
    <w:rsid w:val="00FD3CF7"/>
    <w:rsid w:val="00FD4916"/>
    <w:rsid w:val="00FD4D12"/>
    <w:rsid w:val="00FD69FC"/>
    <w:rsid w:val="00FD7CD9"/>
    <w:rsid w:val="00FE05D3"/>
    <w:rsid w:val="00FE1837"/>
    <w:rsid w:val="00FE27C7"/>
    <w:rsid w:val="00FE2C7E"/>
    <w:rsid w:val="00FE2F78"/>
    <w:rsid w:val="00FE3137"/>
    <w:rsid w:val="00FE48E4"/>
    <w:rsid w:val="00FE50A9"/>
    <w:rsid w:val="00FE5BDA"/>
    <w:rsid w:val="00FE634C"/>
    <w:rsid w:val="00FE790C"/>
    <w:rsid w:val="00FF01C3"/>
    <w:rsid w:val="00FF3C76"/>
    <w:rsid w:val="00FF580E"/>
    <w:rsid w:val="00FF7427"/>
    <w:rsid w:val="00FF7B96"/>
    <w:rsid w:val="00FF7F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titul">
    <w:name w:val="Subtitle"/>
    <w:link w:val="Podtitul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titulChar">
    <w:name w:val="Podtitul Char"/>
    <w:link w:val="Podtitul"/>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vraznn">
    <w:name w:val="Emphasis"/>
    <w:basedOn w:val="Standardnpsmoodstavce"/>
    <w:uiPriority w:val="20"/>
    <w:qFormat/>
    <w:rsid w:val="00965797"/>
    <w:rPr>
      <w:i/>
      <w:iCs/>
    </w:rPr>
  </w:style>
  <w:style w:type="paragraph" w:styleId="Rozvrendokumentu">
    <w:name w:val="Document Map"/>
    <w:basedOn w:val="Normln"/>
    <w:link w:val="RozvrendokumentuChar"/>
    <w:uiPriority w:val="99"/>
    <w:semiHidden/>
    <w:rsid w:val="00AD5AD2"/>
    <w:pPr>
      <w:spacing w:after="0" w:line="288" w:lineRule="auto"/>
      <w:jc w:val="left"/>
    </w:pPr>
    <w:rPr>
      <w:rFonts w:ascii="Tahoma" w:eastAsia="Calibri" w:hAnsi="Tahoma" w:cs="Tahoma"/>
      <w:sz w:val="16"/>
      <w:szCs w:val="16"/>
    </w:rPr>
  </w:style>
  <w:style w:type="character" w:customStyle="1" w:styleId="RozvrendokumentuChar">
    <w:name w:val="Rozvržení dokumentu Char"/>
    <w:basedOn w:val="Standardnpsmoodstavce"/>
    <w:link w:val="Rozvr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titul">
    <w:name w:val="Subtitle"/>
    <w:link w:val="Podtitul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titulChar">
    <w:name w:val="Podtitul Char"/>
    <w:link w:val="Podtitul"/>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v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y\Anal&#253;za\Q\2018Q2\Makroanal&#253;za%20grafy_e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y\Anal&#253;za\Q\2018Q2\Makroanal&#253;za%20grafy_e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kumenty\Anal&#253;za\Q\2018Q2\Makroanal&#253;za%20grafy_e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kumenty\Anal&#253;za\Q\2018Q2\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2240163796014252E-2"/>
          <c:y val="2.3046636085626956E-2"/>
          <c:w val="0.93617042384329663"/>
          <c:h val="0.74192840256671189"/>
        </c:manualLayout>
      </c:layout>
      <c:barChart>
        <c:barDir val="col"/>
        <c:grouping val="clustered"/>
        <c:ser>
          <c:idx val="0"/>
          <c:order val="0"/>
          <c:tx>
            <c:strRef>
              <c:f>'souhrnná výkonnost 1'!$C$4</c:f>
              <c:strCache>
                <c:ptCount val="1"/>
                <c:pt idx="0">
                  <c:v>CR year-on-year change</c:v>
                </c:pt>
              </c:strCache>
            </c:strRef>
          </c:tx>
          <c:spPr>
            <a:solidFill>
              <a:schemeClr val="bg1">
                <a:lumMod val="65000"/>
              </a:schemeClr>
            </a:solidFill>
            <a:ln>
              <a:noFill/>
            </a:ln>
          </c:spPr>
          <c:cat>
            <c:multiLvlStrRef>
              <c:f>'souhrnná výkonnost 1'!$A$9:$B$30</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2013</c:v>
                  </c:pt>
                  <c:pt idx="4">
                    <c:v>2014</c:v>
                  </c:pt>
                  <c:pt idx="8">
                    <c:v>2015</c:v>
                  </c:pt>
                  <c:pt idx="12">
                    <c:v>2016</c:v>
                  </c:pt>
                  <c:pt idx="16">
                    <c:v>2017</c:v>
                  </c:pt>
                  <c:pt idx="20">
                    <c:v>2018</c:v>
                  </c:pt>
                </c:lvl>
              </c:multiLvlStrCache>
            </c:multiLvlStrRef>
          </c:cat>
          <c:val>
            <c:numRef>
              <c:f>'souhrnná výkonnost 1'!$C$9:$C$30</c:f>
              <c:numCache>
                <c:formatCode>#,##0.0</c:formatCode>
                <c:ptCount val="22"/>
                <c:pt idx="0">
                  <c:v>-1.8</c:v>
                </c:pt>
                <c:pt idx="1">
                  <c:v>-1.1000000000000001</c:v>
                </c:pt>
                <c:pt idx="2">
                  <c:v>-0.30000000000000032</c:v>
                </c:pt>
                <c:pt idx="3">
                  <c:v>1.3</c:v>
                </c:pt>
                <c:pt idx="4">
                  <c:v>1.599692644421808</c:v>
                </c:pt>
                <c:pt idx="5">
                  <c:v>2.4019552100365473</c:v>
                </c:pt>
                <c:pt idx="6">
                  <c:v>3.4030564515715742</c:v>
                </c:pt>
                <c:pt idx="7">
                  <c:v>3.4380052076485867</c:v>
                </c:pt>
                <c:pt idx="8">
                  <c:v>5.2550726107844694</c:v>
                </c:pt>
                <c:pt idx="9">
                  <c:v>5.7987847820089087</c:v>
                </c:pt>
                <c:pt idx="10">
                  <c:v>5.5707669225332479</c:v>
                </c:pt>
                <c:pt idx="11">
                  <c:v>4.9148252973919888</c:v>
                </c:pt>
                <c:pt idx="12">
                  <c:v>3.5623906099722142</c:v>
                </c:pt>
                <c:pt idx="13">
                  <c:v>2.4146777549828045</c:v>
                </c:pt>
                <c:pt idx="14">
                  <c:v>1.6940486553423995</c:v>
                </c:pt>
                <c:pt idx="15">
                  <c:v>1.8037525372218279</c:v>
                </c:pt>
                <c:pt idx="16">
                  <c:v>2.8712499788678176</c:v>
                </c:pt>
                <c:pt idx="17">
                  <c:v>4.9310728663161996</c:v>
                </c:pt>
                <c:pt idx="18">
                  <c:v>5.0995207171135633</c:v>
                </c:pt>
                <c:pt idx="19">
                  <c:v>4.9881960614611103</c:v>
                </c:pt>
                <c:pt idx="20">
                  <c:v>4.1057179162215096</c:v>
                </c:pt>
                <c:pt idx="21" formatCode="General">
                  <c:v>2.4213773126889482</c:v>
                </c:pt>
              </c:numCache>
            </c:numRef>
          </c:val>
        </c:ser>
        <c:ser>
          <c:idx val="1"/>
          <c:order val="1"/>
          <c:tx>
            <c:strRef>
              <c:f>'souhrnná výkonnost 1'!$D$4</c:f>
              <c:strCache>
                <c:ptCount val="1"/>
                <c:pt idx="0">
                  <c:v>EU28 year-on-year change</c:v>
                </c:pt>
              </c:strCache>
            </c:strRef>
          </c:tx>
          <c:spPr>
            <a:solidFill>
              <a:schemeClr val="bg1">
                <a:lumMod val="50000"/>
              </a:schemeClr>
            </a:solidFill>
            <a:ln>
              <a:noFill/>
            </a:ln>
          </c:spPr>
          <c:cat>
            <c:multiLvlStrRef>
              <c:f>'souhrnná výkonnost 1'!$A$9:$B$30</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2013</c:v>
                  </c:pt>
                  <c:pt idx="4">
                    <c:v>2014</c:v>
                  </c:pt>
                  <c:pt idx="8">
                    <c:v>2015</c:v>
                  </c:pt>
                  <c:pt idx="12">
                    <c:v>2016</c:v>
                  </c:pt>
                  <c:pt idx="16">
                    <c:v>2017</c:v>
                  </c:pt>
                  <c:pt idx="20">
                    <c:v>2018</c:v>
                  </c:pt>
                </c:lvl>
              </c:multiLvlStrCache>
            </c:multiLvlStrRef>
          </c:cat>
          <c:val>
            <c:numRef>
              <c:f>'souhrnná výkonnost 1'!$D$9:$D$30</c:f>
              <c:numCache>
                <c:formatCode>#,##0.0</c:formatCode>
                <c:ptCount val="22"/>
                <c:pt idx="0">
                  <c:v>-0.60000000000000064</c:v>
                </c:pt>
                <c:pt idx="1">
                  <c:v>0.1</c:v>
                </c:pt>
                <c:pt idx="2">
                  <c:v>0.5</c:v>
                </c:pt>
                <c:pt idx="3">
                  <c:v>1.2</c:v>
                </c:pt>
                <c:pt idx="4">
                  <c:v>1.8</c:v>
                </c:pt>
                <c:pt idx="5">
                  <c:v>1.6</c:v>
                </c:pt>
                <c:pt idx="6">
                  <c:v>1.7000000000000002</c:v>
                </c:pt>
                <c:pt idx="7">
                  <c:v>1.9000000000000001</c:v>
                </c:pt>
                <c:pt idx="8">
                  <c:v>2.2000000000000002</c:v>
                </c:pt>
                <c:pt idx="9">
                  <c:v>2.2999999999999998</c:v>
                </c:pt>
                <c:pt idx="10">
                  <c:v>2.2000000000000002</c:v>
                </c:pt>
                <c:pt idx="11">
                  <c:v>2.2000000000000002</c:v>
                </c:pt>
                <c:pt idx="12">
                  <c:v>2</c:v>
                </c:pt>
                <c:pt idx="13">
                  <c:v>1.9000000000000001</c:v>
                </c:pt>
                <c:pt idx="14">
                  <c:v>1.8</c:v>
                </c:pt>
                <c:pt idx="15">
                  <c:v>2.1</c:v>
                </c:pt>
                <c:pt idx="16">
                  <c:v>2.2000000000000002</c:v>
                </c:pt>
                <c:pt idx="17">
                  <c:v>2.5</c:v>
                </c:pt>
                <c:pt idx="18">
                  <c:v>2.8</c:v>
                </c:pt>
                <c:pt idx="19">
                  <c:v>2.6</c:v>
                </c:pt>
                <c:pt idx="20">
                  <c:v>2.4</c:v>
                </c:pt>
                <c:pt idx="21">
                  <c:v>2.1</c:v>
                </c:pt>
              </c:numCache>
            </c:numRef>
          </c:val>
        </c:ser>
        <c:gapWidth val="100"/>
        <c:axId val="86647552"/>
        <c:axId val="86649088"/>
      </c:barChart>
      <c:lineChart>
        <c:grouping val="standard"/>
        <c:ser>
          <c:idx val="2"/>
          <c:order val="2"/>
          <c:tx>
            <c:strRef>
              <c:f>'souhrnná výkonnost 1'!$E$4</c:f>
              <c:strCache>
                <c:ptCount val="1"/>
                <c:pt idx="0">
                  <c:v>ČR quarter-on-quarter change</c:v>
                </c:pt>
              </c:strCache>
            </c:strRef>
          </c:tx>
          <c:spPr>
            <a:ln w="19050">
              <a:noFill/>
            </a:ln>
          </c:spPr>
          <c:marker>
            <c:symbol val="dash"/>
            <c:size val="8"/>
            <c:spPr>
              <a:solidFill>
                <a:schemeClr val="accent1"/>
              </a:solidFill>
              <a:ln>
                <a:noFill/>
              </a:ln>
            </c:spPr>
          </c:marker>
          <c:cat>
            <c:multiLvlStrRef>
              <c:f>'souhrnná výkonnost 1'!$A$9:$B$30</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2013</c:v>
                  </c:pt>
                  <c:pt idx="4">
                    <c:v>2014</c:v>
                  </c:pt>
                  <c:pt idx="8">
                    <c:v>2015</c:v>
                  </c:pt>
                  <c:pt idx="12">
                    <c:v>2016</c:v>
                  </c:pt>
                  <c:pt idx="16">
                    <c:v>2017</c:v>
                  </c:pt>
                  <c:pt idx="20">
                    <c:v>2018</c:v>
                  </c:pt>
                </c:lvl>
              </c:multiLvlStrCache>
            </c:multiLvlStrRef>
          </c:cat>
          <c:val>
            <c:numRef>
              <c:f>'souhrnná výkonnost 1'!$E$9:$E$30</c:f>
              <c:numCache>
                <c:formatCode>#,##0.0</c:formatCode>
                <c:ptCount val="22"/>
                <c:pt idx="0">
                  <c:v>-0.5</c:v>
                </c:pt>
                <c:pt idx="1">
                  <c:v>0.2</c:v>
                </c:pt>
                <c:pt idx="2">
                  <c:v>0.30000000000000032</c:v>
                </c:pt>
                <c:pt idx="3">
                  <c:v>1.3</c:v>
                </c:pt>
                <c:pt idx="4">
                  <c:v>-0.15199361076162227</c:v>
                </c:pt>
                <c:pt idx="5">
                  <c:v>0.94354943170505123</c:v>
                </c:pt>
                <c:pt idx="6">
                  <c:v>1.3008267106148816</c:v>
                </c:pt>
                <c:pt idx="7">
                  <c:v>1.3092680104703618</c:v>
                </c:pt>
                <c:pt idx="8">
                  <c:v>1.6020092561128079</c:v>
                </c:pt>
                <c:pt idx="9">
                  <c:v>1.4649897297471739</c:v>
                </c:pt>
                <c:pt idx="10">
                  <c:v>1.0825028639160656</c:v>
                </c:pt>
                <c:pt idx="11">
                  <c:v>0.67980430723308705</c:v>
                </c:pt>
                <c:pt idx="12">
                  <c:v>0.29227937532607551</c:v>
                </c:pt>
                <c:pt idx="13">
                  <c:v>0.34052096885528838</c:v>
                </c:pt>
                <c:pt idx="14">
                  <c:v>0.37124745966146122</c:v>
                </c:pt>
                <c:pt idx="15">
                  <c:v>0.78841405879090443</c:v>
                </c:pt>
                <c:pt idx="16">
                  <c:v>1.3439277574509105</c:v>
                </c:pt>
                <c:pt idx="17">
                  <c:v>2.3496702858179792</c:v>
                </c:pt>
                <c:pt idx="18">
                  <c:v>0.53237533584331231</c:v>
                </c:pt>
                <c:pt idx="19">
                  <c:v>0.68165586034911241</c:v>
                </c:pt>
                <c:pt idx="20">
                  <c:v>0.49208150469375828</c:v>
                </c:pt>
                <c:pt idx="21" formatCode="General">
                  <c:v>0.69374101631037255</c:v>
                </c:pt>
              </c:numCache>
            </c:numRef>
          </c:val>
        </c:ser>
        <c:ser>
          <c:idx val="3"/>
          <c:order val="3"/>
          <c:tx>
            <c:strRef>
              <c:f>'souhrnná výkonnost 1'!$F$4</c:f>
              <c:strCache>
                <c:ptCount val="1"/>
                <c:pt idx="0">
                  <c:v>EU28 quarter-on-quarter change</c:v>
                </c:pt>
              </c:strCache>
            </c:strRef>
          </c:tx>
          <c:spPr>
            <a:ln w="19050">
              <a:noFill/>
            </a:ln>
          </c:spPr>
          <c:marker>
            <c:symbol val="dash"/>
            <c:size val="8"/>
            <c:spPr>
              <a:solidFill>
                <a:schemeClr val="accent2"/>
              </a:solidFill>
              <a:ln>
                <a:noFill/>
              </a:ln>
            </c:spPr>
          </c:marker>
          <c:cat>
            <c:multiLvlStrRef>
              <c:f>'souhrnná výkonnost 1'!$A$9:$B$30</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2013</c:v>
                  </c:pt>
                  <c:pt idx="4">
                    <c:v>2014</c:v>
                  </c:pt>
                  <c:pt idx="8">
                    <c:v>2015</c:v>
                  </c:pt>
                  <c:pt idx="12">
                    <c:v>2016</c:v>
                  </c:pt>
                  <c:pt idx="16">
                    <c:v>2017</c:v>
                  </c:pt>
                  <c:pt idx="20">
                    <c:v>2018</c:v>
                  </c:pt>
                </c:lvl>
              </c:multiLvlStrCache>
            </c:multiLvlStrRef>
          </c:cat>
          <c:val>
            <c:numRef>
              <c:f>'souhrnná výkonnost 1'!$F$9:$F$30</c:f>
              <c:numCache>
                <c:formatCode>#,##0.0</c:formatCode>
                <c:ptCount val="22"/>
                <c:pt idx="0">
                  <c:v>-0.1</c:v>
                </c:pt>
                <c:pt idx="1">
                  <c:v>0.5</c:v>
                </c:pt>
                <c:pt idx="2">
                  <c:v>0.5</c:v>
                </c:pt>
                <c:pt idx="3">
                  <c:v>0.30000000000000032</c:v>
                </c:pt>
                <c:pt idx="4">
                  <c:v>0.5</c:v>
                </c:pt>
                <c:pt idx="5">
                  <c:v>0.30000000000000032</c:v>
                </c:pt>
                <c:pt idx="6">
                  <c:v>0.5</c:v>
                </c:pt>
                <c:pt idx="7">
                  <c:v>0.5</c:v>
                </c:pt>
                <c:pt idx="8">
                  <c:v>0.8</c:v>
                </c:pt>
                <c:pt idx="9">
                  <c:v>0.4</c:v>
                </c:pt>
                <c:pt idx="10">
                  <c:v>0.5</c:v>
                </c:pt>
                <c:pt idx="11">
                  <c:v>0.5</c:v>
                </c:pt>
                <c:pt idx="12">
                  <c:v>0.5</c:v>
                </c:pt>
                <c:pt idx="13">
                  <c:v>0.30000000000000032</c:v>
                </c:pt>
                <c:pt idx="14">
                  <c:v>0.4</c:v>
                </c:pt>
                <c:pt idx="15">
                  <c:v>0.8</c:v>
                </c:pt>
                <c:pt idx="16">
                  <c:v>0.60000000000000064</c:v>
                </c:pt>
                <c:pt idx="17">
                  <c:v>0.60000000000000064</c:v>
                </c:pt>
                <c:pt idx="18">
                  <c:v>0.70000000000000062</c:v>
                </c:pt>
                <c:pt idx="19">
                  <c:v>0.60000000000000064</c:v>
                </c:pt>
                <c:pt idx="20">
                  <c:v>0.4</c:v>
                </c:pt>
                <c:pt idx="21">
                  <c:v>0.4</c:v>
                </c:pt>
              </c:numCache>
            </c:numRef>
          </c:val>
        </c:ser>
        <c:marker val="1"/>
        <c:axId val="86647552"/>
        <c:axId val="86649088"/>
      </c:lineChart>
      <c:catAx>
        <c:axId val="86647552"/>
        <c:scaling>
          <c:orientation val="minMax"/>
        </c:scaling>
        <c:axPos val="b"/>
        <c:tickLblPos val="low"/>
        <c:spPr>
          <a:ln>
            <a:solidFill>
              <a:schemeClr val="tx1"/>
            </a:solidFill>
          </a:ln>
        </c:spPr>
        <c:txPr>
          <a:bodyPr rot="0" vert="horz"/>
          <a:lstStyle/>
          <a:p>
            <a:pPr>
              <a:defRPr/>
            </a:pPr>
            <a:endParaRPr lang="cs-CZ"/>
          </a:p>
        </c:txPr>
        <c:crossAx val="86649088"/>
        <c:crosses val="autoZero"/>
        <c:auto val="1"/>
        <c:lblAlgn val="ctr"/>
        <c:lblOffset val="100"/>
      </c:catAx>
      <c:valAx>
        <c:axId val="86649088"/>
        <c:scaling>
          <c:orientation val="minMax"/>
          <c:max val="6"/>
        </c:scaling>
        <c:axPos val="l"/>
        <c:majorGridlines>
          <c:spPr>
            <a:ln w="6350">
              <a:solidFill>
                <a:schemeClr val="bg1">
                  <a:lumMod val="75000"/>
                </a:schemeClr>
              </a:solidFill>
            </a:ln>
          </c:spPr>
        </c:majorGridlines>
        <c:numFmt formatCode="0" sourceLinked="0"/>
        <c:tickLblPos val="nextTo"/>
        <c:spPr>
          <a:ln>
            <a:solidFill>
              <a:schemeClr val="tx1"/>
            </a:solidFill>
          </a:ln>
        </c:spPr>
        <c:crossAx val="86647552"/>
        <c:crosses val="autoZero"/>
        <c:crossBetween val="between"/>
      </c:valAx>
      <c:spPr>
        <a:ln>
          <a:solidFill>
            <a:schemeClr val="tx1"/>
          </a:solidFill>
        </a:ln>
      </c:spPr>
    </c:plotArea>
    <c:legend>
      <c:legendPos val="b"/>
      <c:layout>
        <c:manualLayout>
          <c:xMode val="edge"/>
          <c:yMode val="edge"/>
          <c:x val="3.9667131036811895E-2"/>
          <c:y val="0.89437255125718007"/>
          <c:w val="0.93714918946301962"/>
          <c:h val="9.0301755758791014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6.3724701079031984E-2"/>
          <c:y val="2.6970778117567502E-2"/>
          <c:w val="0.87770649039241111"/>
          <c:h val="0.76009512552065761"/>
        </c:manualLayout>
      </c:layout>
      <c:barChart>
        <c:barDir val="col"/>
        <c:grouping val="clustered"/>
        <c:ser>
          <c:idx val="0"/>
          <c:order val="0"/>
          <c:tx>
            <c:strRef>
              <c:f>'souhrnná výkonnost 2'!$C$5</c:f>
              <c:strCache>
                <c:ptCount val="1"/>
                <c:pt idx="0">
                  <c:v>GDP (right axis)</c:v>
                </c:pt>
              </c:strCache>
            </c:strRef>
          </c:tx>
          <c:spPr>
            <a:solidFill>
              <a:schemeClr val="bg1">
                <a:lumMod val="65000"/>
              </a:schemeClr>
            </a:solidFill>
            <a:ln>
              <a:noFill/>
            </a:ln>
          </c:spPr>
          <c:val>
            <c:numRef>
              <c:f>'souhrnná výkonnost 2'!$C$18:$C$83</c:f>
              <c:numCache>
                <c:formatCode>0.0</c:formatCode>
                <c:ptCount val="66"/>
                <c:pt idx="0">
                  <c:v>-1.8</c:v>
                </c:pt>
                <c:pt idx="1">
                  <c:v>-1.8</c:v>
                </c:pt>
                <c:pt idx="2">
                  <c:v>-1.8</c:v>
                </c:pt>
                <c:pt idx="3">
                  <c:v>-1.1000000000000001</c:v>
                </c:pt>
                <c:pt idx="4">
                  <c:v>-1.1000000000000001</c:v>
                </c:pt>
                <c:pt idx="5">
                  <c:v>-1.1000000000000001</c:v>
                </c:pt>
                <c:pt idx="6">
                  <c:v>-0.30000000000000032</c:v>
                </c:pt>
                <c:pt idx="7">
                  <c:v>-0.30000000000000032</c:v>
                </c:pt>
                <c:pt idx="8">
                  <c:v>-0.30000000000000032</c:v>
                </c:pt>
                <c:pt idx="9">
                  <c:v>1.3</c:v>
                </c:pt>
                <c:pt idx="10">
                  <c:v>1.3</c:v>
                </c:pt>
                <c:pt idx="11">
                  <c:v>1.3</c:v>
                </c:pt>
                <c:pt idx="12">
                  <c:v>1.6</c:v>
                </c:pt>
                <c:pt idx="13">
                  <c:v>1.6</c:v>
                </c:pt>
                <c:pt idx="14">
                  <c:v>1.6</c:v>
                </c:pt>
                <c:pt idx="15">
                  <c:v>2.4</c:v>
                </c:pt>
                <c:pt idx="16">
                  <c:v>2.4</c:v>
                </c:pt>
                <c:pt idx="17">
                  <c:v>2.4</c:v>
                </c:pt>
                <c:pt idx="18">
                  <c:v>3.4</c:v>
                </c:pt>
                <c:pt idx="19">
                  <c:v>3.4</c:v>
                </c:pt>
                <c:pt idx="20">
                  <c:v>3.4</c:v>
                </c:pt>
                <c:pt idx="21">
                  <c:v>3.4</c:v>
                </c:pt>
                <c:pt idx="22">
                  <c:v>3.4</c:v>
                </c:pt>
                <c:pt idx="23">
                  <c:v>3.4</c:v>
                </c:pt>
                <c:pt idx="24">
                  <c:v>5.3</c:v>
                </c:pt>
                <c:pt idx="25">
                  <c:v>5.3</c:v>
                </c:pt>
                <c:pt idx="26">
                  <c:v>5.3</c:v>
                </c:pt>
                <c:pt idx="27">
                  <c:v>5.8</c:v>
                </c:pt>
                <c:pt idx="28">
                  <c:v>5.8</c:v>
                </c:pt>
                <c:pt idx="29">
                  <c:v>5.8</c:v>
                </c:pt>
                <c:pt idx="30">
                  <c:v>5.6</c:v>
                </c:pt>
                <c:pt idx="31">
                  <c:v>5.6</c:v>
                </c:pt>
                <c:pt idx="32">
                  <c:v>5.6</c:v>
                </c:pt>
                <c:pt idx="33">
                  <c:v>4.9000000000000004</c:v>
                </c:pt>
                <c:pt idx="34">
                  <c:v>4.9000000000000004</c:v>
                </c:pt>
                <c:pt idx="35">
                  <c:v>4.9000000000000004</c:v>
                </c:pt>
                <c:pt idx="36">
                  <c:v>3.6</c:v>
                </c:pt>
                <c:pt idx="37">
                  <c:v>3.6</c:v>
                </c:pt>
                <c:pt idx="38">
                  <c:v>3.6</c:v>
                </c:pt>
                <c:pt idx="39">
                  <c:v>2.4</c:v>
                </c:pt>
                <c:pt idx="40">
                  <c:v>2.4</c:v>
                </c:pt>
                <c:pt idx="41" formatCode="General">
                  <c:v>2.4</c:v>
                </c:pt>
                <c:pt idx="42" formatCode="General">
                  <c:v>1.7</c:v>
                </c:pt>
                <c:pt idx="43" formatCode="General">
                  <c:v>1.7</c:v>
                </c:pt>
                <c:pt idx="44" formatCode="General">
                  <c:v>1.7</c:v>
                </c:pt>
                <c:pt idx="45" formatCode="General">
                  <c:v>1.8</c:v>
                </c:pt>
                <c:pt idx="46" formatCode="General">
                  <c:v>1.8</c:v>
                </c:pt>
                <c:pt idx="47" formatCode="General">
                  <c:v>1.8</c:v>
                </c:pt>
                <c:pt idx="48" formatCode="General">
                  <c:v>2.9</c:v>
                </c:pt>
                <c:pt idx="49" formatCode="General">
                  <c:v>2.9</c:v>
                </c:pt>
                <c:pt idx="50" formatCode="General">
                  <c:v>2.9</c:v>
                </c:pt>
                <c:pt idx="51" formatCode="General">
                  <c:v>4.9000000000000004</c:v>
                </c:pt>
                <c:pt idx="52" formatCode="General">
                  <c:v>4.9000000000000004</c:v>
                </c:pt>
                <c:pt idx="53" formatCode="General">
                  <c:v>4.9000000000000004</c:v>
                </c:pt>
                <c:pt idx="54" formatCode="General">
                  <c:v>5.0999999999999996</c:v>
                </c:pt>
                <c:pt idx="55" formatCode="General">
                  <c:v>5.0999999999999996</c:v>
                </c:pt>
                <c:pt idx="56" formatCode="General">
                  <c:v>5.0999999999999996</c:v>
                </c:pt>
                <c:pt idx="57" formatCode="General">
                  <c:v>5</c:v>
                </c:pt>
                <c:pt idx="58" formatCode="General">
                  <c:v>5</c:v>
                </c:pt>
                <c:pt idx="59" formatCode="General">
                  <c:v>5</c:v>
                </c:pt>
                <c:pt idx="60" formatCode="General">
                  <c:v>4.0999999999999996</c:v>
                </c:pt>
                <c:pt idx="61" formatCode="General">
                  <c:v>4.0999999999999996</c:v>
                </c:pt>
                <c:pt idx="62" formatCode="General">
                  <c:v>4.0999999999999996</c:v>
                </c:pt>
                <c:pt idx="63" formatCode="General">
                  <c:v>2.4</c:v>
                </c:pt>
                <c:pt idx="64" formatCode="General">
                  <c:v>2.4</c:v>
                </c:pt>
                <c:pt idx="65" formatCode="General">
                  <c:v>2.4</c:v>
                </c:pt>
              </c:numCache>
            </c:numRef>
          </c:val>
        </c:ser>
        <c:gapWidth val="30"/>
        <c:axId val="105906560"/>
        <c:axId val="86702720"/>
      </c:barChart>
      <c:lineChart>
        <c:grouping val="standard"/>
        <c:ser>
          <c:idx val="3"/>
          <c:order val="1"/>
          <c:tx>
            <c:strRef>
              <c:f>'souhrnná výkonnost 2'!$D$5</c:f>
              <c:strCache>
                <c:ptCount val="1"/>
                <c:pt idx="0">
                  <c:v>Entrepreneur confidence</c:v>
                </c:pt>
              </c:strCache>
            </c:strRef>
          </c:tx>
          <c:spPr>
            <a:ln w="19050">
              <a:solidFill>
                <a:srgbClr val="0071BC"/>
              </a:solidFill>
            </a:ln>
          </c:spPr>
          <c:marker>
            <c:symbol val="none"/>
          </c:marker>
          <c:cat>
            <c:multiLvlStrRef>
              <c:f>'souhrnná výkonnost 2'!$A$18:$B$83</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2013</c:v>
                  </c:pt>
                  <c:pt idx="12">
                    <c:v>2014</c:v>
                  </c:pt>
                  <c:pt idx="24">
                    <c:v>2015</c:v>
                  </c:pt>
                  <c:pt idx="36">
                    <c:v>2016</c:v>
                  </c:pt>
                  <c:pt idx="48">
                    <c:v>2017</c:v>
                  </c:pt>
                  <c:pt idx="60">
                    <c:v>2018</c:v>
                  </c:pt>
                </c:lvl>
              </c:multiLvlStrCache>
            </c:multiLvlStrRef>
          </c:cat>
          <c:val>
            <c:numRef>
              <c:f>'souhrnná výkonnost 2'!$D$18:$D$83</c:f>
              <c:numCache>
                <c:formatCode>###,###,##0.0</c:formatCode>
                <c:ptCount val="66"/>
                <c:pt idx="0">
                  <c:v>84.6</c:v>
                </c:pt>
                <c:pt idx="1">
                  <c:v>85.2</c:v>
                </c:pt>
                <c:pt idx="2" formatCode="###,###,##0">
                  <c:v>85</c:v>
                </c:pt>
                <c:pt idx="3">
                  <c:v>82.7</c:v>
                </c:pt>
                <c:pt idx="4">
                  <c:v>83.6</c:v>
                </c:pt>
                <c:pt idx="5" formatCode="###,###,##0">
                  <c:v>84</c:v>
                </c:pt>
                <c:pt idx="6" formatCode="###,###,##0">
                  <c:v>84</c:v>
                </c:pt>
                <c:pt idx="7">
                  <c:v>84.8</c:v>
                </c:pt>
                <c:pt idx="8">
                  <c:v>87.5</c:v>
                </c:pt>
                <c:pt idx="9" formatCode="###,###,##0">
                  <c:v>89</c:v>
                </c:pt>
                <c:pt idx="10">
                  <c:v>89.9</c:v>
                </c:pt>
                <c:pt idx="11">
                  <c:v>90.9</c:v>
                </c:pt>
                <c:pt idx="12">
                  <c:v>90.1</c:v>
                </c:pt>
                <c:pt idx="13">
                  <c:v>90.9</c:v>
                </c:pt>
                <c:pt idx="14">
                  <c:v>91.6</c:v>
                </c:pt>
                <c:pt idx="15">
                  <c:v>91.5</c:v>
                </c:pt>
                <c:pt idx="16">
                  <c:v>91.5</c:v>
                </c:pt>
                <c:pt idx="17">
                  <c:v>92.5</c:v>
                </c:pt>
                <c:pt idx="18">
                  <c:v>91.6</c:v>
                </c:pt>
                <c:pt idx="19">
                  <c:v>92.5</c:v>
                </c:pt>
                <c:pt idx="20">
                  <c:v>93.2</c:v>
                </c:pt>
                <c:pt idx="21">
                  <c:v>92.8</c:v>
                </c:pt>
                <c:pt idx="22">
                  <c:v>93.5</c:v>
                </c:pt>
                <c:pt idx="23">
                  <c:v>94.8</c:v>
                </c:pt>
                <c:pt idx="24">
                  <c:v>94.3</c:v>
                </c:pt>
                <c:pt idx="25">
                  <c:v>93.4</c:v>
                </c:pt>
                <c:pt idx="26">
                  <c:v>92.9</c:v>
                </c:pt>
                <c:pt idx="27">
                  <c:v>93.2</c:v>
                </c:pt>
                <c:pt idx="28">
                  <c:v>93.8</c:v>
                </c:pt>
                <c:pt idx="29">
                  <c:v>95.5</c:v>
                </c:pt>
                <c:pt idx="30">
                  <c:v>94.6</c:v>
                </c:pt>
                <c:pt idx="31">
                  <c:v>94.2</c:v>
                </c:pt>
                <c:pt idx="32">
                  <c:v>94.4</c:v>
                </c:pt>
                <c:pt idx="33">
                  <c:v>93.2</c:v>
                </c:pt>
                <c:pt idx="34">
                  <c:v>94.2</c:v>
                </c:pt>
                <c:pt idx="35">
                  <c:v>94.3</c:v>
                </c:pt>
                <c:pt idx="36" formatCode="0.0">
                  <c:v>96</c:v>
                </c:pt>
                <c:pt idx="37" formatCode="0.0">
                  <c:v>95.3</c:v>
                </c:pt>
                <c:pt idx="38" formatCode="0.0">
                  <c:v>95.1</c:v>
                </c:pt>
                <c:pt idx="39" formatCode="0.0">
                  <c:v>93.8</c:v>
                </c:pt>
                <c:pt idx="40" formatCode="0.0">
                  <c:v>94.3</c:v>
                </c:pt>
                <c:pt idx="41" formatCode="0.0">
                  <c:v>93.5</c:v>
                </c:pt>
                <c:pt idx="42" formatCode="0.0">
                  <c:v>94</c:v>
                </c:pt>
                <c:pt idx="43" formatCode="0.0">
                  <c:v>95.3</c:v>
                </c:pt>
                <c:pt idx="44" formatCode="0.0">
                  <c:v>95.2</c:v>
                </c:pt>
                <c:pt idx="45" formatCode="0.0">
                  <c:v>95.2</c:v>
                </c:pt>
                <c:pt idx="46" formatCode="0.0">
                  <c:v>97.5</c:v>
                </c:pt>
                <c:pt idx="47" formatCode="0.0">
                  <c:v>97.1</c:v>
                </c:pt>
                <c:pt idx="48" formatCode="0.0">
                  <c:v>97</c:v>
                </c:pt>
                <c:pt idx="49" formatCode="0.0">
                  <c:v>95.9</c:v>
                </c:pt>
                <c:pt idx="50" formatCode="0.0">
                  <c:v>94.1</c:v>
                </c:pt>
                <c:pt idx="51" formatCode="0.0">
                  <c:v>95.1</c:v>
                </c:pt>
                <c:pt idx="52" formatCode="0.0">
                  <c:v>94.9</c:v>
                </c:pt>
                <c:pt idx="53" formatCode="0.0">
                  <c:v>95.2</c:v>
                </c:pt>
                <c:pt idx="54" formatCode="0.0">
                  <c:v>96.1</c:v>
                </c:pt>
                <c:pt idx="55" formatCode="0.0">
                  <c:v>96.8</c:v>
                </c:pt>
                <c:pt idx="56" formatCode="0.0">
                  <c:v>97</c:v>
                </c:pt>
                <c:pt idx="57" formatCode="0.0">
                  <c:v>97.4</c:v>
                </c:pt>
                <c:pt idx="58" formatCode="0.0">
                  <c:v>96.7</c:v>
                </c:pt>
                <c:pt idx="59" formatCode="0.0">
                  <c:v>97.5</c:v>
                </c:pt>
                <c:pt idx="60" formatCode="0.0">
                  <c:v>96.9</c:v>
                </c:pt>
                <c:pt idx="61" formatCode="0.0">
                  <c:v>97.5</c:v>
                </c:pt>
                <c:pt idx="62" formatCode="0.0">
                  <c:v>97</c:v>
                </c:pt>
                <c:pt idx="63" formatCode="0.0">
                  <c:v>97.6</c:v>
                </c:pt>
                <c:pt idx="64" formatCode="0.0">
                  <c:v>96.2</c:v>
                </c:pt>
                <c:pt idx="65" formatCode="0.0">
                  <c:v>97.4</c:v>
                </c:pt>
              </c:numCache>
            </c:numRef>
          </c:val>
        </c:ser>
        <c:ser>
          <c:idx val="2"/>
          <c:order val="2"/>
          <c:tx>
            <c:strRef>
              <c:f>'souhrnná výkonnost 2'!$E$5</c:f>
              <c:strCache>
                <c:ptCount val="1"/>
                <c:pt idx="0">
                  <c:v>Consumer confidence</c:v>
                </c:pt>
              </c:strCache>
            </c:strRef>
          </c:tx>
          <c:spPr>
            <a:ln w="19050">
              <a:solidFill>
                <a:srgbClr val="BD1B21"/>
              </a:solidFill>
            </a:ln>
          </c:spPr>
          <c:marker>
            <c:symbol val="none"/>
          </c:marker>
          <c:cat>
            <c:multiLvlStrRef>
              <c:f>'souhrnná výkonnost 2'!$A$18:$B$83</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2013</c:v>
                  </c:pt>
                  <c:pt idx="12">
                    <c:v>2014</c:v>
                  </c:pt>
                  <c:pt idx="24">
                    <c:v>2015</c:v>
                  </c:pt>
                  <c:pt idx="36">
                    <c:v>2016</c:v>
                  </c:pt>
                  <c:pt idx="48">
                    <c:v>2017</c:v>
                  </c:pt>
                  <c:pt idx="60">
                    <c:v>2018</c:v>
                  </c:pt>
                </c:lvl>
              </c:multiLvlStrCache>
            </c:multiLvlStrRef>
          </c:cat>
          <c:val>
            <c:numRef>
              <c:f>'souhrnná výkonnost 2'!$E$18:$E$83</c:f>
              <c:numCache>
                <c:formatCode>###,###,##0.0</c:formatCode>
                <c:ptCount val="66"/>
                <c:pt idx="0">
                  <c:v>73.8</c:v>
                </c:pt>
                <c:pt idx="1">
                  <c:v>79.5</c:v>
                </c:pt>
                <c:pt idx="2" formatCode="###,###,##0">
                  <c:v>81</c:v>
                </c:pt>
                <c:pt idx="3">
                  <c:v>77.900000000000006</c:v>
                </c:pt>
                <c:pt idx="4" formatCode="###,###,##0">
                  <c:v>82</c:v>
                </c:pt>
                <c:pt idx="5">
                  <c:v>82.8</c:v>
                </c:pt>
                <c:pt idx="6">
                  <c:v>81.3</c:v>
                </c:pt>
                <c:pt idx="7">
                  <c:v>84.9</c:v>
                </c:pt>
                <c:pt idx="8">
                  <c:v>87.7</c:v>
                </c:pt>
                <c:pt idx="9">
                  <c:v>88.5</c:v>
                </c:pt>
                <c:pt idx="10">
                  <c:v>92.8</c:v>
                </c:pt>
                <c:pt idx="11">
                  <c:v>92.6</c:v>
                </c:pt>
                <c:pt idx="12">
                  <c:v>96.9</c:v>
                </c:pt>
                <c:pt idx="13">
                  <c:v>93.1</c:v>
                </c:pt>
                <c:pt idx="14">
                  <c:v>96.7</c:v>
                </c:pt>
                <c:pt idx="15">
                  <c:v>98.4</c:v>
                </c:pt>
                <c:pt idx="16">
                  <c:v>98.2</c:v>
                </c:pt>
                <c:pt idx="17">
                  <c:v>99.4</c:v>
                </c:pt>
                <c:pt idx="18">
                  <c:v>99.9</c:v>
                </c:pt>
                <c:pt idx="19">
                  <c:v>97.9</c:v>
                </c:pt>
                <c:pt idx="20">
                  <c:v>96.3</c:v>
                </c:pt>
                <c:pt idx="21">
                  <c:v>100.2</c:v>
                </c:pt>
                <c:pt idx="22">
                  <c:v>103.6</c:v>
                </c:pt>
                <c:pt idx="23">
                  <c:v>105.1</c:v>
                </c:pt>
                <c:pt idx="24">
                  <c:v>106.7</c:v>
                </c:pt>
                <c:pt idx="25">
                  <c:v>105.7</c:v>
                </c:pt>
                <c:pt idx="26">
                  <c:v>105.7</c:v>
                </c:pt>
                <c:pt idx="27">
                  <c:v>104.3</c:v>
                </c:pt>
                <c:pt idx="28">
                  <c:v>103.6</c:v>
                </c:pt>
                <c:pt idx="29">
                  <c:v>104.3</c:v>
                </c:pt>
                <c:pt idx="30">
                  <c:v>103.6</c:v>
                </c:pt>
                <c:pt idx="31">
                  <c:v>103.6</c:v>
                </c:pt>
                <c:pt idx="32">
                  <c:v>103.3</c:v>
                </c:pt>
                <c:pt idx="33">
                  <c:v>104.8</c:v>
                </c:pt>
                <c:pt idx="34">
                  <c:v>105.3</c:v>
                </c:pt>
                <c:pt idx="35">
                  <c:v>107.4</c:v>
                </c:pt>
                <c:pt idx="36" formatCode="0.0">
                  <c:v>110</c:v>
                </c:pt>
                <c:pt idx="37" formatCode="0.0">
                  <c:v>106.2</c:v>
                </c:pt>
                <c:pt idx="38" formatCode="0.0">
                  <c:v>104.8</c:v>
                </c:pt>
                <c:pt idx="39" formatCode="0.0">
                  <c:v>104.3</c:v>
                </c:pt>
                <c:pt idx="40" formatCode="0.0">
                  <c:v>104.3</c:v>
                </c:pt>
                <c:pt idx="41" formatCode="0.0">
                  <c:v>103.8</c:v>
                </c:pt>
                <c:pt idx="42" formatCode="0.0">
                  <c:v>102.3</c:v>
                </c:pt>
                <c:pt idx="43" formatCode="0.0">
                  <c:v>104.3</c:v>
                </c:pt>
                <c:pt idx="44" formatCode="0.0">
                  <c:v>106.4</c:v>
                </c:pt>
                <c:pt idx="45" formatCode="0.0">
                  <c:v>108.9</c:v>
                </c:pt>
                <c:pt idx="46" formatCode="0.0">
                  <c:v>107.9</c:v>
                </c:pt>
                <c:pt idx="47" formatCode="0.0">
                  <c:v>108.7</c:v>
                </c:pt>
                <c:pt idx="48" formatCode="0.0">
                  <c:v>110</c:v>
                </c:pt>
                <c:pt idx="49" formatCode="0.0">
                  <c:v>108.2</c:v>
                </c:pt>
                <c:pt idx="50" formatCode="0.0">
                  <c:v>108.7</c:v>
                </c:pt>
                <c:pt idx="51" formatCode="0.0">
                  <c:v>108.4</c:v>
                </c:pt>
                <c:pt idx="52" formatCode="0.0">
                  <c:v>108.4</c:v>
                </c:pt>
                <c:pt idx="53" formatCode="0.0">
                  <c:v>106.2</c:v>
                </c:pt>
                <c:pt idx="54" formatCode="0.0">
                  <c:v>105.7</c:v>
                </c:pt>
                <c:pt idx="55" formatCode="0.0">
                  <c:v>107.9</c:v>
                </c:pt>
                <c:pt idx="56" formatCode="0.0">
                  <c:v>109.2</c:v>
                </c:pt>
                <c:pt idx="57" formatCode="0.0">
                  <c:v>108.7</c:v>
                </c:pt>
                <c:pt idx="58" formatCode="0.0">
                  <c:v>110.3</c:v>
                </c:pt>
                <c:pt idx="59" formatCode="0.0">
                  <c:v>110</c:v>
                </c:pt>
                <c:pt idx="60" formatCode="0.0">
                  <c:v>112.3</c:v>
                </c:pt>
                <c:pt idx="61" formatCode="0.0">
                  <c:v>112</c:v>
                </c:pt>
                <c:pt idx="62" formatCode="0.0">
                  <c:v>112.8</c:v>
                </c:pt>
                <c:pt idx="63" formatCode="0.0">
                  <c:v>112.5</c:v>
                </c:pt>
                <c:pt idx="64" formatCode="0.0">
                  <c:v>113.8</c:v>
                </c:pt>
                <c:pt idx="65" formatCode="0.0">
                  <c:v>113</c:v>
                </c:pt>
              </c:numCache>
            </c:numRef>
          </c:val>
        </c:ser>
        <c:ser>
          <c:idx val="1"/>
          <c:order val="3"/>
          <c:tx>
            <c:strRef>
              <c:f>'souhrnná výkonnost 2'!$F$5</c:f>
              <c:strCache>
                <c:ptCount val="1"/>
                <c:pt idx="0">
                  <c:v>Total indicator</c:v>
                </c:pt>
              </c:strCache>
            </c:strRef>
          </c:tx>
          <c:spPr>
            <a:ln w="19050">
              <a:solidFill>
                <a:schemeClr val="tx1"/>
              </a:solidFill>
            </a:ln>
          </c:spPr>
          <c:marker>
            <c:symbol val="none"/>
          </c:marker>
          <c:cat>
            <c:multiLvlStrRef>
              <c:f>'souhrnná výkonnost 2'!$A$18:$B$83</c:f>
              <c:multiLvlStrCache>
                <c:ptCount val="6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pt idx="64">
                    <c:v>5</c:v>
                  </c:pt>
                  <c:pt idx="65">
                    <c:v>6</c:v>
                  </c:pt>
                </c:lvl>
                <c:lvl>
                  <c:pt idx="0">
                    <c:v>2013</c:v>
                  </c:pt>
                  <c:pt idx="12">
                    <c:v>2014</c:v>
                  </c:pt>
                  <c:pt idx="24">
                    <c:v>2015</c:v>
                  </c:pt>
                  <c:pt idx="36">
                    <c:v>2016</c:v>
                  </c:pt>
                  <c:pt idx="48">
                    <c:v>2017</c:v>
                  </c:pt>
                  <c:pt idx="60">
                    <c:v>2018</c:v>
                  </c:pt>
                </c:lvl>
              </c:multiLvlStrCache>
            </c:multiLvlStrRef>
          </c:cat>
          <c:val>
            <c:numRef>
              <c:f>'souhrnná výkonnost 2'!$F$18:$F$83</c:f>
              <c:numCache>
                <c:formatCode>###,###,##0.0</c:formatCode>
                <c:ptCount val="66"/>
                <c:pt idx="0">
                  <c:v>82.8</c:v>
                </c:pt>
                <c:pt idx="1">
                  <c:v>84.2</c:v>
                </c:pt>
                <c:pt idx="2">
                  <c:v>84.4</c:v>
                </c:pt>
                <c:pt idx="3">
                  <c:v>81.900000000000006</c:v>
                </c:pt>
                <c:pt idx="4">
                  <c:v>83.3</c:v>
                </c:pt>
                <c:pt idx="5">
                  <c:v>83.8</c:v>
                </c:pt>
                <c:pt idx="6">
                  <c:v>83.6</c:v>
                </c:pt>
                <c:pt idx="7">
                  <c:v>84.8</c:v>
                </c:pt>
                <c:pt idx="8">
                  <c:v>87.5</c:v>
                </c:pt>
                <c:pt idx="9">
                  <c:v>88.9</c:v>
                </c:pt>
                <c:pt idx="10">
                  <c:v>90.4</c:v>
                </c:pt>
                <c:pt idx="11">
                  <c:v>91.2</c:v>
                </c:pt>
                <c:pt idx="12">
                  <c:v>91.3</c:v>
                </c:pt>
                <c:pt idx="13">
                  <c:v>91.2</c:v>
                </c:pt>
                <c:pt idx="14">
                  <c:v>92.4</c:v>
                </c:pt>
                <c:pt idx="15">
                  <c:v>92.6</c:v>
                </c:pt>
                <c:pt idx="16">
                  <c:v>92.6</c:v>
                </c:pt>
                <c:pt idx="17">
                  <c:v>93.6</c:v>
                </c:pt>
                <c:pt idx="18" formatCode="###,###,##0">
                  <c:v>93</c:v>
                </c:pt>
                <c:pt idx="19">
                  <c:v>93.4</c:v>
                </c:pt>
                <c:pt idx="20">
                  <c:v>93.7</c:v>
                </c:pt>
                <c:pt idx="21">
                  <c:v>94.1</c:v>
                </c:pt>
                <c:pt idx="22">
                  <c:v>95.2</c:v>
                </c:pt>
                <c:pt idx="23">
                  <c:v>96.5</c:v>
                </c:pt>
                <c:pt idx="24">
                  <c:v>96.4</c:v>
                </c:pt>
                <c:pt idx="25">
                  <c:v>95.5</c:v>
                </c:pt>
                <c:pt idx="26">
                  <c:v>95.1</c:v>
                </c:pt>
                <c:pt idx="27">
                  <c:v>95.1</c:v>
                </c:pt>
                <c:pt idx="28">
                  <c:v>95.5</c:v>
                </c:pt>
                <c:pt idx="29" formatCode="###,###,##0">
                  <c:v>97</c:v>
                </c:pt>
                <c:pt idx="30">
                  <c:v>96.1</c:v>
                </c:pt>
                <c:pt idx="31">
                  <c:v>95.7</c:v>
                </c:pt>
                <c:pt idx="32">
                  <c:v>95.9</c:v>
                </c:pt>
                <c:pt idx="33">
                  <c:v>95.1</c:v>
                </c:pt>
                <c:pt idx="34" formatCode="###,###,##0">
                  <c:v>96</c:v>
                </c:pt>
                <c:pt idx="35">
                  <c:v>96.5</c:v>
                </c:pt>
                <c:pt idx="36" formatCode="0.0">
                  <c:v>98.4</c:v>
                </c:pt>
                <c:pt idx="37" formatCode="0.0">
                  <c:v>97.1</c:v>
                </c:pt>
                <c:pt idx="38" formatCode="0.0">
                  <c:v>96.7</c:v>
                </c:pt>
                <c:pt idx="39" formatCode="0.0">
                  <c:v>95.6</c:v>
                </c:pt>
                <c:pt idx="40" formatCode="0.0">
                  <c:v>96</c:v>
                </c:pt>
                <c:pt idx="41" formatCode="0.0">
                  <c:v>95.3</c:v>
                </c:pt>
                <c:pt idx="42" formatCode="0.0">
                  <c:v>95.4</c:v>
                </c:pt>
                <c:pt idx="43" formatCode="0.0">
                  <c:v>96.8</c:v>
                </c:pt>
                <c:pt idx="44" formatCode="0.0">
                  <c:v>97.1</c:v>
                </c:pt>
                <c:pt idx="45" formatCode="0.0">
                  <c:v>97.5</c:v>
                </c:pt>
                <c:pt idx="46" formatCode="0.0">
                  <c:v>99.3</c:v>
                </c:pt>
                <c:pt idx="47" formatCode="0.0">
                  <c:v>99.1</c:v>
                </c:pt>
                <c:pt idx="48" formatCode="0.0">
                  <c:v>99.2</c:v>
                </c:pt>
                <c:pt idx="49" formatCode="0.0">
                  <c:v>98</c:v>
                </c:pt>
                <c:pt idx="50" formatCode="0.0">
                  <c:v>96.6</c:v>
                </c:pt>
                <c:pt idx="51" formatCode="0.0">
                  <c:v>97.4</c:v>
                </c:pt>
                <c:pt idx="52" formatCode="0.0">
                  <c:v>97.2</c:v>
                </c:pt>
                <c:pt idx="53" formatCode="0.0">
                  <c:v>97.1</c:v>
                </c:pt>
                <c:pt idx="54" formatCode="0.0">
                  <c:v>97.7</c:v>
                </c:pt>
                <c:pt idx="55" formatCode="0.0">
                  <c:v>98.7</c:v>
                </c:pt>
                <c:pt idx="56" formatCode="0.0">
                  <c:v>99.1</c:v>
                </c:pt>
                <c:pt idx="57" formatCode="0.0">
                  <c:v>99.3</c:v>
                </c:pt>
                <c:pt idx="58" formatCode="0.0">
                  <c:v>99</c:v>
                </c:pt>
                <c:pt idx="59" formatCode="0.0">
                  <c:v>99.6</c:v>
                </c:pt>
                <c:pt idx="60" formatCode="0.0">
                  <c:v>99.5</c:v>
                </c:pt>
                <c:pt idx="61" formatCode="0.0">
                  <c:v>99.9</c:v>
                </c:pt>
                <c:pt idx="62" formatCode="0.0">
                  <c:v>99.7</c:v>
                </c:pt>
                <c:pt idx="63" formatCode="0.0">
                  <c:v>100.1</c:v>
                </c:pt>
                <c:pt idx="64" formatCode="0.0">
                  <c:v>99.2</c:v>
                </c:pt>
                <c:pt idx="65" formatCode="0.0">
                  <c:v>100</c:v>
                </c:pt>
              </c:numCache>
            </c:numRef>
          </c:val>
        </c:ser>
        <c:marker val="1"/>
        <c:axId val="86691200"/>
        <c:axId val="86701184"/>
      </c:lineChart>
      <c:catAx>
        <c:axId val="86691200"/>
        <c:scaling>
          <c:orientation val="minMax"/>
        </c:scaling>
        <c:axPos val="b"/>
        <c:tickLblPos val="low"/>
        <c:spPr>
          <a:ln>
            <a:solidFill>
              <a:schemeClr val="tx1"/>
            </a:solidFill>
          </a:ln>
        </c:spPr>
        <c:crossAx val="86701184"/>
        <c:crossesAt val="100"/>
        <c:auto val="1"/>
        <c:lblAlgn val="ctr"/>
        <c:lblOffset val="100"/>
      </c:catAx>
      <c:valAx>
        <c:axId val="86701184"/>
        <c:scaling>
          <c:orientation val="minMax"/>
          <c:max val="130"/>
          <c:min val="70"/>
        </c:scaling>
        <c:axPos val="l"/>
        <c:majorGridlines>
          <c:spPr>
            <a:ln w="6350">
              <a:solidFill>
                <a:schemeClr val="bg1">
                  <a:lumMod val="75000"/>
                </a:schemeClr>
              </a:solidFill>
            </a:ln>
          </c:spPr>
        </c:majorGridlines>
        <c:numFmt formatCode="#,##0" sourceLinked="0"/>
        <c:tickLblPos val="nextTo"/>
        <c:spPr>
          <a:ln>
            <a:solidFill>
              <a:schemeClr val="tx1"/>
            </a:solidFill>
          </a:ln>
        </c:spPr>
        <c:crossAx val="86691200"/>
        <c:crosses val="autoZero"/>
        <c:crossBetween val="between"/>
        <c:majorUnit val="5"/>
      </c:valAx>
      <c:valAx>
        <c:axId val="86702720"/>
        <c:scaling>
          <c:orientation val="minMax"/>
          <c:max val="6"/>
          <c:min val="-6"/>
        </c:scaling>
        <c:axPos val="r"/>
        <c:numFmt formatCode="0" sourceLinked="0"/>
        <c:tickLblPos val="nextTo"/>
        <c:spPr>
          <a:ln>
            <a:solidFill>
              <a:schemeClr val="tx1"/>
            </a:solidFill>
          </a:ln>
        </c:spPr>
        <c:crossAx val="105906560"/>
        <c:crosses val="max"/>
        <c:crossBetween val="between"/>
        <c:majorUnit val="1"/>
      </c:valAx>
      <c:catAx>
        <c:axId val="105906560"/>
        <c:scaling>
          <c:orientation val="minMax"/>
        </c:scaling>
        <c:delete val="1"/>
        <c:axPos val="b"/>
        <c:tickLblPos val="none"/>
        <c:crossAx val="86702720"/>
        <c:crossesAt val="0"/>
        <c:auto val="1"/>
        <c:lblAlgn val="ctr"/>
        <c:lblOffset val="100"/>
      </c:catAx>
      <c:spPr>
        <a:ln>
          <a:solidFill>
            <a:schemeClr val="tx1"/>
          </a:solidFill>
        </a:ln>
      </c:spPr>
    </c:plotArea>
    <c:legend>
      <c:legendPos val="b"/>
      <c:layout>
        <c:manualLayout>
          <c:xMode val="edge"/>
          <c:yMode val="edge"/>
          <c:x val="6.2295583422442583E-2"/>
          <c:y val="0.90228835978835387"/>
          <c:w val="0.88075331324325201"/>
          <c:h val="8.2645784081954179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4.6948352704928246E-2"/>
          <c:y val="2.8458510079622041E-2"/>
          <c:w val="0.93956464282120356"/>
          <c:h val="0.6497469886299676"/>
        </c:manualLayout>
      </c:layout>
      <c:barChart>
        <c:barDir val="col"/>
        <c:grouping val="stacked"/>
        <c:ser>
          <c:idx val="5"/>
          <c:order val="1"/>
          <c:tx>
            <c:strRef>
              <c:f>'souhrnná výkonnost 3'!$D$5</c:f>
              <c:strCache>
                <c:ptCount val="1"/>
                <c:pt idx="0">
                  <c:v>Final consumption expenditure of households (inc. non-profit inst.)</c:v>
                </c:pt>
              </c:strCache>
            </c:strRef>
          </c:tx>
          <c:spPr>
            <a:solidFill>
              <a:srgbClr val="0071BC"/>
            </a:solidFill>
            <a:ln>
              <a:noFill/>
            </a:ln>
          </c:spPr>
          <c:val>
            <c:numRef>
              <c:f>'souhrnná výkonnost 3'!$D$10:$D$31</c:f>
              <c:numCache>
                <c:formatCode>#,##0.0</c:formatCode>
                <c:ptCount val="22"/>
                <c:pt idx="0">
                  <c:v>0.40597446298276807</c:v>
                </c:pt>
                <c:pt idx="1">
                  <c:v>0.39628462481417676</c:v>
                </c:pt>
                <c:pt idx="2">
                  <c:v>0.10072438430113149</c:v>
                </c:pt>
                <c:pt idx="3">
                  <c:v>-0.14406158457489276</c:v>
                </c:pt>
                <c:pt idx="4">
                  <c:v>-0.3463406609173969</c:v>
                </c:pt>
                <c:pt idx="5">
                  <c:v>1.9385986465040451E-2</c:v>
                </c:pt>
                <c:pt idx="6">
                  <c:v>0.64097595815751718</c:v>
                </c:pt>
                <c:pt idx="7">
                  <c:v>1.1222751214521594</c:v>
                </c:pt>
                <c:pt idx="8">
                  <c:v>0.95324800193997661</c:v>
                </c:pt>
                <c:pt idx="9">
                  <c:v>0.87834008534043184</c:v>
                </c:pt>
                <c:pt idx="10">
                  <c:v>0.98282233736482061</c:v>
                </c:pt>
                <c:pt idx="11">
                  <c:v>1.2011732247886713</c:v>
                </c:pt>
                <c:pt idx="12">
                  <c:v>0.93830506590305751</c:v>
                </c:pt>
                <c:pt idx="13">
                  <c:v>1.0153624426824184</c:v>
                </c:pt>
                <c:pt idx="14">
                  <c:v>1.2128070502408639</c:v>
                </c:pt>
                <c:pt idx="15">
                  <c:v>1.1229514324692931</c:v>
                </c:pt>
                <c:pt idx="16">
                  <c:v>1.9644091733618605</c:v>
                </c:pt>
                <c:pt idx="17">
                  <c:v>2.2808753275662172</c:v>
                </c:pt>
                <c:pt idx="18">
                  <c:v>2.0963173740963614</c:v>
                </c:pt>
                <c:pt idx="19">
                  <c:v>1.9706056528499598</c:v>
                </c:pt>
                <c:pt idx="20">
                  <c:v>1.5467704262498141</c:v>
                </c:pt>
                <c:pt idx="21">
                  <c:v>1.2786531644191661</c:v>
                </c:pt>
              </c:numCache>
            </c:numRef>
          </c:val>
        </c:ser>
        <c:ser>
          <c:idx val="4"/>
          <c:order val="2"/>
          <c:tx>
            <c:strRef>
              <c:f>'souhrnná výkonnost 3'!$E$5</c:f>
              <c:strCache>
                <c:ptCount val="1"/>
                <c:pt idx="0">
                  <c:v>Final consumption expenditure of government institutions</c:v>
                </c:pt>
              </c:strCache>
            </c:strRef>
          </c:tx>
          <c:spPr>
            <a:solidFill>
              <a:srgbClr val="A6CDE8"/>
            </a:solidFill>
            <a:ln>
              <a:noFill/>
            </a:ln>
          </c:spPr>
          <c:val>
            <c:numRef>
              <c:f>'souhrnná výkonnost 3'!$E$10:$E$31</c:f>
              <c:numCache>
                <c:formatCode>#,##0.0</c:formatCode>
                <c:ptCount val="22"/>
                <c:pt idx="0">
                  <c:v>0.29182349651824113</c:v>
                </c:pt>
                <c:pt idx="1">
                  <c:v>0.39883827436684977</c:v>
                </c:pt>
                <c:pt idx="2">
                  <c:v>0.61835595894915063</c:v>
                </c:pt>
                <c:pt idx="3">
                  <c:v>0.49997414143888352</c:v>
                </c:pt>
                <c:pt idx="4">
                  <c:v>0.16476504522662691</c:v>
                </c:pt>
                <c:pt idx="5">
                  <c:v>0.35920558983442358</c:v>
                </c:pt>
                <c:pt idx="6">
                  <c:v>3.3755330706183801E-3</c:v>
                </c:pt>
                <c:pt idx="7">
                  <c:v>0.43296248055129682</c:v>
                </c:pt>
                <c:pt idx="8">
                  <c:v>0.38860653049012461</c:v>
                </c:pt>
                <c:pt idx="9">
                  <c:v>0.42050971602096782</c:v>
                </c:pt>
                <c:pt idx="10">
                  <c:v>0.6826406447636606</c:v>
                </c:pt>
                <c:pt idx="11">
                  <c:v>0.45173706288891075</c:v>
                </c:pt>
                <c:pt idx="12">
                  <c:v>0.43519225643702975</c:v>
                </c:pt>
                <c:pt idx="13">
                  <c:v>0.57425071934076943</c:v>
                </c:pt>
                <c:pt idx="14">
                  <c:v>0.47033661242885438</c:v>
                </c:pt>
                <c:pt idx="15">
                  <c:v>0.4456685296104968</c:v>
                </c:pt>
                <c:pt idx="16">
                  <c:v>0.34455668934879907</c:v>
                </c:pt>
                <c:pt idx="17">
                  <c:v>0.24693575632416107</c:v>
                </c:pt>
                <c:pt idx="18">
                  <c:v>0.15049357563703941</c:v>
                </c:pt>
                <c:pt idx="19">
                  <c:v>0.22124454315529077</c:v>
                </c:pt>
                <c:pt idx="20">
                  <c:v>0.61074519363868907</c:v>
                </c:pt>
                <c:pt idx="21">
                  <c:v>0.47084156864110499</c:v>
                </c:pt>
              </c:numCache>
            </c:numRef>
          </c:val>
        </c:ser>
        <c:ser>
          <c:idx val="3"/>
          <c:order val="3"/>
          <c:tx>
            <c:strRef>
              <c:f>'souhrnná výkonnost 3'!$J$5</c:f>
              <c:strCache>
                <c:ptCount val="1"/>
                <c:pt idx="0">
                  <c:v>Gross capital formation</c:v>
                </c:pt>
              </c:strCache>
            </c:strRef>
          </c:tx>
          <c:spPr>
            <a:solidFill>
              <a:srgbClr val="BD1B21"/>
            </a:solidFill>
            <a:ln>
              <a:noFill/>
            </a:ln>
          </c:spPr>
          <c:val>
            <c:numRef>
              <c:f>'souhrnná výkonnost 3'!$J$10:$J$31</c:f>
              <c:numCache>
                <c:formatCode>#,##0.0</c:formatCode>
                <c:ptCount val="22"/>
                <c:pt idx="0">
                  <c:v>-1.5397561288070221</c:v>
                </c:pt>
                <c:pt idx="1">
                  <c:v>-2.8196114680342035</c:v>
                </c:pt>
                <c:pt idx="2">
                  <c:v>0.14424204081739131</c:v>
                </c:pt>
                <c:pt idx="3">
                  <c:v>0.30085195313780505</c:v>
                </c:pt>
                <c:pt idx="4">
                  <c:v>3.1093775840910125E-3</c:v>
                </c:pt>
                <c:pt idx="5">
                  <c:v>1.7228402322588214</c:v>
                </c:pt>
                <c:pt idx="6">
                  <c:v>1.2740748429655091</c:v>
                </c:pt>
                <c:pt idx="7">
                  <c:v>0.34209608794035945</c:v>
                </c:pt>
                <c:pt idx="8">
                  <c:v>3.0940088082175001</c:v>
                </c:pt>
                <c:pt idx="9">
                  <c:v>3.9603163536228352</c:v>
                </c:pt>
                <c:pt idx="10">
                  <c:v>2.4230101905838617</c:v>
                </c:pt>
                <c:pt idx="11">
                  <c:v>1.1383788063935332</c:v>
                </c:pt>
                <c:pt idx="12">
                  <c:v>0.69863508777302163</c:v>
                </c:pt>
                <c:pt idx="13">
                  <c:v>-1.3723494139423089</c:v>
                </c:pt>
                <c:pt idx="14">
                  <c:v>-0.97881672565525457</c:v>
                </c:pt>
                <c:pt idx="15">
                  <c:v>-0.6177271288056575</c:v>
                </c:pt>
                <c:pt idx="16">
                  <c:v>-0.95987523832581534</c:v>
                </c:pt>
                <c:pt idx="17">
                  <c:v>0.35501288090591443</c:v>
                </c:pt>
                <c:pt idx="18">
                  <c:v>1.6689373554815841</c:v>
                </c:pt>
                <c:pt idx="19">
                  <c:v>1.9760464231090213</c:v>
                </c:pt>
                <c:pt idx="20">
                  <c:v>1.2736426319223497</c:v>
                </c:pt>
                <c:pt idx="21">
                  <c:v>0.12144873969598258</c:v>
                </c:pt>
              </c:numCache>
            </c:numRef>
          </c:val>
        </c:ser>
        <c:ser>
          <c:idx val="1"/>
          <c:order val="4"/>
          <c:tx>
            <c:strRef>
              <c:f>'souhrnná výkonnost 3'!$H$5</c:f>
              <c:strCache>
                <c:ptCount val="1"/>
                <c:pt idx="0">
                  <c:v>Foreign trade balance</c:v>
                </c:pt>
              </c:strCache>
            </c:strRef>
          </c:tx>
          <c:spPr>
            <a:solidFill>
              <a:srgbClr val="7DBB2D"/>
            </a:solidFill>
            <a:ln>
              <a:noFill/>
            </a:ln>
          </c:spPr>
          <c:val>
            <c:numRef>
              <c:f>'souhrnná výkonnost 3'!$H$10:$H$31</c:f>
              <c:numCache>
                <c:formatCode>#,##0.0</c:formatCode>
                <c:ptCount val="22"/>
                <c:pt idx="0">
                  <c:v>-1.1212539863066813</c:v>
                </c:pt>
                <c:pt idx="1">
                  <c:v>0.92540979141000812</c:v>
                </c:pt>
                <c:pt idx="2">
                  <c:v>-1.0354498395259251</c:v>
                </c:pt>
                <c:pt idx="3">
                  <c:v>0.55721289260918061</c:v>
                </c:pt>
                <c:pt idx="4">
                  <c:v>1.7889130945120968</c:v>
                </c:pt>
                <c:pt idx="5">
                  <c:v>0.28187217433750467</c:v>
                </c:pt>
                <c:pt idx="6">
                  <c:v>1.4439285779814013</c:v>
                </c:pt>
                <c:pt idx="7">
                  <c:v>1.4927511797532711</c:v>
                </c:pt>
                <c:pt idx="8">
                  <c:v>0.84168612845165458</c:v>
                </c:pt>
                <c:pt idx="9">
                  <c:v>0.57781958996686511</c:v>
                </c:pt>
                <c:pt idx="10">
                  <c:v>1.5186993594783778</c:v>
                </c:pt>
                <c:pt idx="11">
                  <c:v>2.1434487917698908</c:v>
                </c:pt>
                <c:pt idx="12">
                  <c:v>1.4573635285701179</c:v>
                </c:pt>
                <c:pt idx="13">
                  <c:v>2.1300532057503894</c:v>
                </c:pt>
                <c:pt idx="14">
                  <c:v>0.94178716932770357</c:v>
                </c:pt>
                <c:pt idx="15">
                  <c:v>0.81646850922716385</c:v>
                </c:pt>
                <c:pt idx="16">
                  <c:v>1.4722186892988733</c:v>
                </c:pt>
                <c:pt idx="17">
                  <c:v>2.0042798438347247</c:v>
                </c:pt>
                <c:pt idx="18">
                  <c:v>1.1585684363011113</c:v>
                </c:pt>
                <c:pt idx="19">
                  <c:v>0.81868827817724454</c:v>
                </c:pt>
                <c:pt idx="20">
                  <c:v>0.65656874354414363</c:v>
                </c:pt>
                <c:pt idx="21">
                  <c:v>0.52812781706209</c:v>
                </c:pt>
              </c:numCache>
            </c:numRef>
          </c:val>
        </c:ser>
        <c:gapWidth val="40"/>
        <c:overlap val="100"/>
        <c:axId val="114631808"/>
        <c:axId val="114633344"/>
      </c:barChart>
      <c:lineChart>
        <c:grouping val="standard"/>
        <c:ser>
          <c:idx val="0"/>
          <c:order val="0"/>
          <c:tx>
            <c:strRef>
              <c:f>'souhrnná výkonnost 3'!$C$5</c:f>
              <c:strCache>
                <c:ptCount val="1"/>
                <c:pt idx="0">
                  <c:v>GDP</c:v>
                </c:pt>
              </c:strCache>
            </c:strRef>
          </c:tx>
          <c:spPr>
            <a:ln>
              <a:solidFill>
                <a:prstClr val="black"/>
              </a:solidFill>
            </a:ln>
          </c:spPr>
          <c:marker>
            <c:symbol val="none"/>
          </c:marker>
          <c:cat>
            <c:multiLvlStrRef>
              <c:f>'souhrnná výkonnost 3'!$A$10:$B$31</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2013</c:v>
                  </c:pt>
                  <c:pt idx="4">
                    <c:v>2014</c:v>
                  </c:pt>
                  <c:pt idx="8">
                    <c:v>2015</c:v>
                  </c:pt>
                  <c:pt idx="12">
                    <c:v>2016</c:v>
                  </c:pt>
                  <c:pt idx="16">
                    <c:v>2017</c:v>
                  </c:pt>
                  <c:pt idx="20">
                    <c:v>2018</c:v>
                  </c:pt>
                </c:lvl>
              </c:multiLvlStrCache>
            </c:multiLvlStrRef>
          </c:cat>
          <c:val>
            <c:numRef>
              <c:f>'souhrnná výkonnost 3'!$C$10:$C$31</c:f>
              <c:numCache>
                <c:formatCode>#,##0.0</c:formatCode>
                <c:ptCount val="22"/>
                <c:pt idx="0">
                  <c:v>-1.7511683134985219</c:v>
                </c:pt>
                <c:pt idx="1">
                  <c:v>-1.1225511599608582</c:v>
                </c:pt>
                <c:pt idx="2">
                  <c:v>-0.3518733567189688</c:v>
                </c:pt>
                <c:pt idx="3">
                  <c:v>1.3064560933108733</c:v>
                </c:pt>
                <c:pt idx="4">
                  <c:v>1.599692644421784</c:v>
                </c:pt>
                <c:pt idx="5">
                  <c:v>2.4019552100365238</c:v>
                </c:pt>
                <c:pt idx="6">
                  <c:v>3.4030564515715609</c:v>
                </c:pt>
                <c:pt idx="7">
                  <c:v>3.4380052076485548</c:v>
                </c:pt>
                <c:pt idx="8">
                  <c:v>5.2550726107844561</c:v>
                </c:pt>
                <c:pt idx="9">
                  <c:v>5.7987847820088794</c:v>
                </c:pt>
                <c:pt idx="10">
                  <c:v>5.5707669225332488</c:v>
                </c:pt>
                <c:pt idx="11">
                  <c:v>4.9148252973919915</c:v>
                </c:pt>
                <c:pt idx="12">
                  <c:v>3.5623906099722102</c:v>
                </c:pt>
                <c:pt idx="13">
                  <c:v>2.4146777549828156</c:v>
                </c:pt>
                <c:pt idx="14">
                  <c:v>1.6940486553423915</c:v>
                </c:pt>
                <c:pt idx="15">
                  <c:v>1.8037525372218248</c:v>
                </c:pt>
                <c:pt idx="16">
                  <c:v>2.8712499788678416</c:v>
                </c:pt>
                <c:pt idx="17">
                  <c:v>4.9310728663161978</c:v>
                </c:pt>
                <c:pt idx="18">
                  <c:v>5.0995207171135899</c:v>
                </c:pt>
                <c:pt idx="19">
                  <c:v>4.9881960614611174</c:v>
                </c:pt>
                <c:pt idx="20">
                  <c:v>4.1057179162215034</c:v>
                </c:pt>
                <c:pt idx="21">
                  <c:v>2.4213773126889642</c:v>
                </c:pt>
              </c:numCache>
            </c:numRef>
          </c:val>
        </c:ser>
        <c:marker val="1"/>
        <c:axId val="114631808"/>
        <c:axId val="114633344"/>
      </c:lineChart>
      <c:catAx>
        <c:axId val="114631808"/>
        <c:scaling>
          <c:orientation val="minMax"/>
        </c:scaling>
        <c:axPos val="b"/>
        <c:tickLblPos val="low"/>
        <c:spPr>
          <a:ln>
            <a:solidFill>
              <a:schemeClr val="tx1"/>
            </a:solidFill>
          </a:ln>
        </c:spPr>
        <c:txPr>
          <a:bodyPr rot="0" vert="horz"/>
          <a:lstStyle/>
          <a:p>
            <a:pPr>
              <a:defRPr/>
            </a:pPr>
            <a:endParaRPr lang="cs-CZ"/>
          </a:p>
        </c:txPr>
        <c:crossAx val="114633344"/>
        <c:crosses val="autoZero"/>
        <c:auto val="1"/>
        <c:lblAlgn val="ctr"/>
        <c:lblOffset val="100"/>
      </c:catAx>
      <c:valAx>
        <c:axId val="114633344"/>
        <c:scaling>
          <c:orientation val="minMax"/>
          <c:max val="6"/>
          <c:min val="-4"/>
        </c:scaling>
        <c:axPos val="l"/>
        <c:majorGridlines>
          <c:spPr>
            <a:ln w="6350">
              <a:solidFill>
                <a:schemeClr val="bg1">
                  <a:lumMod val="75000"/>
                </a:schemeClr>
              </a:solidFill>
            </a:ln>
          </c:spPr>
        </c:majorGridlines>
        <c:numFmt formatCode="#,##0" sourceLinked="0"/>
        <c:tickLblPos val="nextTo"/>
        <c:spPr>
          <a:ln>
            <a:solidFill>
              <a:schemeClr val="tx1"/>
            </a:solidFill>
          </a:ln>
        </c:spPr>
        <c:crossAx val="114631808"/>
        <c:crosses val="autoZero"/>
        <c:crossBetween val="between"/>
        <c:majorUnit val="1"/>
      </c:valAx>
      <c:spPr>
        <a:ln>
          <a:solidFill>
            <a:schemeClr val="tx1"/>
          </a:solidFill>
        </a:ln>
      </c:spPr>
    </c:plotArea>
    <c:legend>
      <c:legendPos val="b"/>
      <c:layout>
        <c:manualLayout>
          <c:xMode val="edge"/>
          <c:yMode val="edge"/>
          <c:x val="4.4891184424094004E-2"/>
          <c:y val="0.79301446583361457"/>
          <c:w val="0.94049666651103803"/>
          <c:h val="0.19014325115388939"/>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4.4404035346808896E-2"/>
          <c:y val="3.7154479717354444E-2"/>
          <c:w val="0.93674937195830488"/>
          <c:h val="0.63445260610154264"/>
        </c:manualLayout>
      </c:layout>
      <c:barChart>
        <c:barDir val="col"/>
        <c:grouping val="stacked"/>
        <c:ser>
          <c:idx val="4"/>
          <c:order val="0"/>
          <c:tx>
            <c:strRef>
              <c:f>'souhrnná výkonnost 4'!$C$5</c:f>
              <c:strCache>
                <c:ptCount val="1"/>
                <c:pt idx="0">
                  <c:v>Agriculture, forestry and fishing</c:v>
                </c:pt>
              </c:strCache>
            </c:strRef>
          </c:tx>
          <c:spPr>
            <a:solidFill>
              <a:srgbClr val="0071BC"/>
            </a:solidFill>
            <a:ln>
              <a:noFill/>
            </a:ln>
          </c:spPr>
          <c:val>
            <c:numRef>
              <c:f>'souhrnná výkonnost 4'!$C$10:$C$31</c:f>
              <c:numCache>
                <c:formatCode>#,##0.0</c:formatCode>
                <c:ptCount val="22"/>
                <c:pt idx="0">
                  <c:v>-4.7206269934129526E-2</c:v>
                </c:pt>
                <c:pt idx="1">
                  <c:v>-0.11971862255115</c:v>
                </c:pt>
                <c:pt idx="2">
                  <c:v>-8.9582831798117532E-2</c:v>
                </c:pt>
                <c:pt idx="3">
                  <c:v>1.1154895629322244E-3</c:v>
                </c:pt>
                <c:pt idx="4">
                  <c:v>0.10484022899366492</c:v>
                </c:pt>
                <c:pt idx="5">
                  <c:v>0.23303189360207821</c:v>
                </c:pt>
                <c:pt idx="6">
                  <c:v>0.28109723711472034</c:v>
                </c:pt>
                <c:pt idx="7">
                  <c:v>0.24717682951386638</c:v>
                </c:pt>
                <c:pt idx="8">
                  <c:v>0.26823173927838573</c:v>
                </c:pt>
                <c:pt idx="9">
                  <c:v>0.14948544343377151</c:v>
                </c:pt>
                <c:pt idx="10">
                  <c:v>9.4306850455799576E-2</c:v>
                </c:pt>
                <c:pt idx="11">
                  <c:v>9.4063144035634733E-2</c:v>
                </c:pt>
                <c:pt idx="12">
                  <c:v>1.5298427987703244E-2</c:v>
                </c:pt>
                <c:pt idx="13">
                  <c:v>0.12019796922604382</c:v>
                </c:pt>
                <c:pt idx="14">
                  <c:v>0.11238136571352401</c:v>
                </c:pt>
                <c:pt idx="15">
                  <c:v>8.4281943656207142E-2</c:v>
                </c:pt>
                <c:pt idx="16">
                  <c:v>1.5223476963877543E-2</c:v>
                </c:pt>
                <c:pt idx="17">
                  <c:v>-7.5339263027045494E-2</c:v>
                </c:pt>
                <c:pt idx="18">
                  <c:v>-0.11205756022716185</c:v>
                </c:pt>
                <c:pt idx="19">
                  <c:v>-0.10204082016621127</c:v>
                </c:pt>
                <c:pt idx="20">
                  <c:v>-0.10517880120125712</c:v>
                </c:pt>
                <c:pt idx="21">
                  <c:v>-7.9386382715623607E-2</c:v>
                </c:pt>
              </c:numCache>
            </c:numRef>
          </c:val>
        </c:ser>
        <c:ser>
          <c:idx val="3"/>
          <c:order val="1"/>
          <c:tx>
            <c:strRef>
              <c:f>'souhrnná výkonnost 4'!$D$5</c:f>
              <c:strCache>
                <c:ptCount val="1"/>
                <c:pt idx="0">
                  <c:v>Manufacturing (CZ-NACE C)</c:v>
                </c:pt>
              </c:strCache>
            </c:strRef>
          </c:tx>
          <c:spPr>
            <a:solidFill>
              <a:srgbClr val="A6CDE8"/>
            </a:solidFill>
            <a:ln>
              <a:noFill/>
            </a:ln>
          </c:spPr>
          <c:val>
            <c:numRef>
              <c:f>'souhrnná výkonnost 4'!$D$10:$D$31</c:f>
              <c:numCache>
                <c:formatCode>#,##0.0</c:formatCode>
                <c:ptCount val="22"/>
                <c:pt idx="0">
                  <c:v>-0.82108999780391001</c:v>
                </c:pt>
                <c:pt idx="1">
                  <c:v>-0.62795053182774518</c:v>
                </c:pt>
                <c:pt idx="2">
                  <c:v>-0.63177475521928694</c:v>
                </c:pt>
                <c:pt idx="3">
                  <c:v>-0.60159903153105165</c:v>
                </c:pt>
                <c:pt idx="4">
                  <c:v>0.42074322312377183</c:v>
                </c:pt>
                <c:pt idx="5">
                  <c:v>1.1868852285094129</c:v>
                </c:pt>
                <c:pt idx="6">
                  <c:v>1.9567554935777931</c:v>
                </c:pt>
                <c:pt idx="7">
                  <c:v>2.5583690194642443</c:v>
                </c:pt>
                <c:pt idx="8">
                  <c:v>2.0456114828451182</c:v>
                </c:pt>
                <c:pt idx="9">
                  <c:v>1.6702996907805558</c:v>
                </c:pt>
                <c:pt idx="10">
                  <c:v>1.3766545744913412</c:v>
                </c:pt>
                <c:pt idx="11">
                  <c:v>0.74581262523505754</c:v>
                </c:pt>
                <c:pt idx="12">
                  <c:v>1.0172208499984978</c:v>
                </c:pt>
                <c:pt idx="13">
                  <c:v>0.54073292742156021</c:v>
                </c:pt>
                <c:pt idx="14">
                  <c:v>0.74515782437277966</c:v>
                </c:pt>
                <c:pt idx="15">
                  <c:v>1.1608262664011106</c:v>
                </c:pt>
                <c:pt idx="16">
                  <c:v>1.9849859092156008</c:v>
                </c:pt>
                <c:pt idx="17">
                  <c:v>3.3765527579830188</c:v>
                </c:pt>
                <c:pt idx="18">
                  <c:v>3.5064603037509317</c:v>
                </c:pt>
                <c:pt idx="19">
                  <c:v>3.0770501049484777</c:v>
                </c:pt>
                <c:pt idx="20">
                  <c:v>1.8483722597320753</c:v>
                </c:pt>
                <c:pt idx="21">
                  <c:v>0.75663242011461462</c:v>
                </c:pt>
              </c:numCache>
            </c:numRef>
          </c:val>
        </c:ser>
        <c:ser>
          <c:idx val="2"/>
          <c:order val="2"/>
          <c:tx>
            <c:strRef>
              <c:f>'souhrnná výkonnost 4'!$E$5</c:f>
              <c:strCache>
                <c:ptCount val="1"/>
                <c:pt idx="0">
                  <c:v>Other industrial branches (CZ-NACE B,D,E)</c:v>
                </c:pt>
              </c:strCache>
            </c:strRef>
          </c:tx>
          <c:spPr>
            <a:solidFill>
              <a:srgbClr val="BD1B21"/>
            </a:solidFill>
            <a:ln>
              <a:noFill/>
            </a:ln>
          </c:spPr>
          <c:val>
            <c:numRef>
              <c:f>'souhrnná výkonnost 4'!$E$10:$E$31</c:f>
              <c:numCache>
                <c:formatCode>#,##0.0</c:formatCode>
                <c:ptCount val="22"/>
                <c:pt idx="0">
                  <c:v>-0.98505210312746638</c:v>
                </c:pt>
                <c:pt idx="1">
                  <c:v>-1.0097047828852665</c:v>
                </c:pt>
                <c:pt idx="2">
                  <c:v>-0.65192200514203069</c:v>
                </c:pt>
                <c:pt idx="3">
                  <c:v>-0.22723397016880276</c:v>
                </c:pt>
                <c:pt idx="4">
                  <c:v>0.37424666108654842</c:v>
                </c:pt>
                <c:pt idx="5">
                  <c:v>0.10237488857645771</c:v>
                </c:pt>
                <c:pt idx="6">
                  <c:v>-0.10556119406722513</c:v>
                </c:pt>
                <c:pt idx="7">
                  <c:v>-0.15961919422518533</c:v>
                </c:pt>
                <c:pt idx="8">
                  <c:v>-0.12486694839002821</c:v>
                </c:pt>
                <c:pt idx="9">
                  <c:v>9.7685740381325825E-3</c:v>
                </c:pt>
                <c:pt idx="10">
                  <c:v>1.8886282982711888E-2</c:v>
                </c:pt>
                <c:pt idx="11">
                  <c:v>-0.11860623658777802</c:v>
                </c:pt>
                <c:pt idx="12">
                  <c:v>-0.46095331826814501</c:v>
                </c:pt>
                <c:pt idx="13">
                  <c:v>-0.29612577965425646</c:v>
                </c:pt>
                <c:pt idx="14">
                  <c:v>-0.38011145584839146</c:v>
                </c:pt>
                <c:pt idx="15">
                  <c:v>-0.15646644139843247</c:v>
                </c:pt>
                <c:pt idx="16">
                  <c:v>5.7825501486436413E-2</c:v>
                </c:pt>
                <c:pt idx="17">
                  <c:v>-3.0534120793344055E-2</c:v>
                </c:pt>
                <c:pt idx="18">
                  <c:v>0.13762248236176974</c:v>
                </c:pt>
                <c:pt idx="19">
                  <c:v>-3.9145621781268236E-2</c:v>
                </c:pt>
                <c:pt idx="20">
                  <c:v>-0.14909318551531564</c:v>
                </c:pt>
                <c:pt idx="21">
                  <c:v>-5.5343574999038511E-3</c:v>
                </c:pt>
              </c:numCache>
            </c:numRef>
          </c:val>
        </c:ser>
        <c:ser>
          <c:idx val="1"/>
          <c:order val="3"/>
          <c:tx>
            <c:strRef>
              <c:f>'souhrnná výkonnost 4'!$F$5</c:f>
              <c:strCache>
                <c:ptCount val="1"/>
                <c:pt idx="0">
                  <c:v>Construction</c:v>
                </c:pt>
              </c:strCache>
            </c:strRef>
          </c:tx>
          <c:spPr>
            <a:solidFill>
              <a:srgbClr val="E8AFB2"/>
            </a:solidFill>
            <a:ln>
              <a:noFill/>
            </a:ln>
          </c:spPr>
          <c:val>
            <c:numRef>
              <c:f>'souhrnná výkonnost 4'!$F$10:$F$31</c:f>
              <c:numCache>
                <c:formatCode>#,##0.0</c:formatCode>
                <c:ptCount val="22"/>
                <c:pt idx="0">
                  <c:v>-9.3325688188071881E-2</c:v>
                </c:pt>
                <c:pt idx="1">
                  <c:v>6.91426169795267E-2</c:v>
                </c:pt>
                <c:pt idx="2">
                  <c:v>0.13786913343723792</c:v>
                </c:pt>
                <c:pt idx="3">
                  <c:v>0.16383091405829647</c:v>
                </c:pt>
                <c:pt idx="4">
                  <c:v>0.20523242964120889</c:v>
                </c:pt>
                <c:pt idx="5">
                  <c:v>8.047665950390763E-2</c:v>
                </c:pt>
                <c:pt idx="6">
                  <c:v>3.4966330205502577E-2</c:v>
                </c:pt>
                <c:pt idx="7">
                  <c:v>0.13500830058584157</c:v>
                </c:pt>
                <c:pt idx="8">
                  <c:v>0.12988031583912321</c:v>
                </c:pt>
                <c:pt idx="9">
                  <c:v>0.27364277251097802</c:v>
                </c:pt>
                <c:pt idx="10">
                  <c:v>0.3426017497695073</c:v>
                </c:pt>
                <c:pt idx="11">
                  <c:v>0.14326265942419544</c:v>
                </c:pt>
                <c:pt idx="12">
                  <c:v>-2.8321751396452346E-2</c:v>
                </c:pt>
                <c:pt idx="13">
                  <c:v>-0.226654907620887</c:v>
                </c:pt>
                <c:pt idx="14">
                  <c:v>-0.33919566041548832</c:v>
                </c:pt>
                <c:pt idx="15">
                  <c:v>-0.26185884641425061</c:v>
                </c:pt>
                <c:pt idx="16">
                  <c:v>-0.30278072098079356</c:v>
                </c:pt>
                <c:pt idx="17">
                  <c:v>-0.13114221691073388</c:v>
                </c:pt>
                <c:pt idx="18">
                  <c:v>-6.3560541353128594E-2</c:v>
                </c:pt>
                <c:pt idx="19">
                  <c:v>-4.4360012559824358E-2</c:v>
                </c:pt>
                <c:pt idx="20">
                  <c:v>0.30639135957268032</c:v>
                </c:pt>
                <c:pt idx="21">
                  <c:v>0.2648303660102998</c:v>
                </c:pt>
              </c:numCache>
            </c:numRef>
          </c:val>
        </c:ser>
        <c:ser>
          <c:idx val="0"/>
          <c:order val="4"/>
          <c:tx>
            <c:strRef>
              <c:f>'souhrnná výkonnost 4'!$G$5</c:f>
              <c:strCache>
                <c:ptCount val="1"/>
                <c:pt idx="0">
                  <c:v>Services (CZ-NACE G to U)</c:v>
                </c:pt>
              </c:strCache>
            </c:strRef>
          </c:tx>
          <c:spPr>
            <a:solidFill>
              <a:srgbClr val="7DBB2D"/>
            </a:solidFill>
            <a:ln>
              <a:noFill/>
            </a:ln>
          </c:spPr>
          <c:val>
            <c:numRef>
              <c:f>'souhrnná výkonnost 4'!$G$10:$G$31</c:f>
              <c:numCache>
                <c:formatCode>#,##0.0</c:formatCode>
                <c:ptCount val="22"/>
                <c:pt idx="0">
                  <c:v>0.33531387573904664</c:v>
                </c:pt>
                <c:pt idx="1">
                  <c:v>0.82602965393402938</c:v>
                </c:pt>
                <c:pt idx="2">
                  <c:v>1.0647317258626734</c:v>
                </c:pt>
                <c:pt idx="3">
                  <c:v>1.3526094152015899</c:v>
                </c:pt>
                <c:pt idx="4">
                  <c:v>1.2015462411733078</c:v>
                </c:pt>
                <c:pt idx="5">
                  <c:v>1.3618962066899436</c:v>
                </c:pt>
                <c:pt idx="6">
                  <c:v>1.6305753628128847</c:v>
                </c:pt>
                <c:pt idx="7">
                  <c:v>1.7371534802280579</c:v>
                </c:pt>
                <c:pt idx="8">
                  <c:v>2.3293944432592837</c:v>
                </c:pt>
                <c:pt idx="9">
                  <c:v>2.9607261994462397</c:v>
                </c:pt>
                <c:pt idx="10">
                  <c:v>3.3104809685977732</c:v>
                </c:pt>
                <c:pt idx="11">
                  <c:v>3.5102997095503552</c:v>
                </c:pt>
                <c:pt idx="12">
                  <c:v>2.8263627195651635</c:v>
                </c:pt>
                <c:pt idx="13">
                  <c:v>2.1630843086592892</c:v>
                </c:pt>
                <c:pt idx="14">
                  <c:v>1.4107617066750808</c:v>
                </c:pt>
                <c:pt idx="15">
                  <c:v>1.1370846005544919</c:v>
                </c:pt>
                <c:pt idx="16">
                  <c:v>1.0783547622951872</c:v>
                </c:pt>
                <c:pt idx="17">
                  <c:v>1.7517053491354078</c:v>
                </c:pt>
                <c:pt idx="18">
                  <c:v>1.5916101463720922</c:v>
                </c:pt>
                <c:pt idx="19">
                  <c:v>1.919300620304905</c:v>
                </c:pt>
                <c:pt idx="20">
                  <c:v>2.2058560031831767</c:v>
                </c:pt>
                <c:pt idx="21">
                  <c:v>1.4566128586726033</c:v>
                </c:pt>
              </c:numCache>
            </c:numRef>
          </c:val>
        </c:ser>
        <c:gapWidth val="70"/>
        <c:overlap val="100"/>
        <c:axId val="114670208"/>
        <c:axId val="114680192"/>
      </c:barChart>
      <c:lineChart>
        <c:grouping val="standard"/>
        <c:ser>
          <c:idx val="5"/>
          <c:order val="5"/>
          <c:tx>
            <c:strRef>
              <c:f>'souhrnná výkonnost 4'!$H$5</c:f>
              <c:strCache>
                <c:ptCount val="1"/>
                <c:pt idx="0">
                  <c:v>Total gross value added</c:v>
                </c:pt>
              </c:strCache>
            </c:strRef>
          </c:tx>
          <c:spPr>
            <a:ln w="19050">
              <a:solidFill>
                <a:prstClr val="black"/>
              </a:solidFill>
            </a:ln>
          </c:spPr>
          <c:marker>
            <c:symbol val="none"/>
          </c:marker>
          <c:cat>
            <c:multiLvlStrRef>
              <c:f>'souhrnná výkonnost 4'!$A$10:$B$31</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2013</c:v>
                  </c:pt>
                  <c:pt idx="4">
                    <c:v>2014</c:v>
                  </c:pt>
                  <c:pt idx="8">
                    <c:v>2015</c:v>
                  </c:pt>
                  <c:pt idx="12">
                    <c:v>2016</c:v>
                  </c:pt>
                  <c:pt idx="16">
                    <c:v>2017</c:v>
                  </c:pt>
                  <c:pt idx="20">
                    <c:v>2018</c:v>
                  </c:pt>
                </c:lvl>
              </c:multiLvlStrCache>
            </c:multiLvlStrRef>
          </c:cat>
          <c:val>
            <c:numRef>
              <c:f>'souhrnná výkonnost 4'!$H$10:$H$31</c:f>
              <c:numCache>
                <c:formatCode>#,##0.0</c:formatCode>
                <c:ptCount val="22"/>
                <c:pt idx="0">
                  <c:v>-1.6029638849506325</c:v>
                </c:pt>
                <c:pt idx="1">
                  <c:v>-0.85391471561866972</c:v>
                </c:pt>
                <c:pt idx="2">
                  <c:v>-0.17856994731182468</c:v>
                </c:pt>
                <c:pt idx="3">
                  <c:v>0.6797899535954387</c:v>
                </c:pt>
                <c:pt idx="4">
                  <c:v>2.3247275605985616</c:v>
                </c:pt>
                <c:pt idx="5">
                  <c:v>2.9677793446742413</c:v>
                </c:pt>
                <c:pt idx="6">
                  <c:v>3.7862627849497223</c:v>
                </c:pt>
                <c:pt idx="7">
                  <c:v>4.5085738953991834</c:v>
                </c:pt>
                <c:pt idx="8">
                  <c:v>4.6449632769543951</c:v>
                </c:pt>
                <c:pt idx="9">
                  <c:v>5.0617095222013724</c:v>
                </c:pt>
                <c:pt idx="10">
                  <c:v>5.1392793226927393</c:v>
                </c:pt>
                <c:pt idx="11">
                  <c:v>4.3837812230315505</c:v>
                </c:pt>
                <c:pt idx="12">
                  <c:v>3.3693001484089842</c:v>
                </c:pt>
                <c:pt idx="13">
                  <c:v>2.3056178950667725</c:v>
                </c:pt>
                <c:pt idx="14">
                  <c:v>1.549925767434374</c:v>
                </c:pt>
                <c:pt idx="15">
                  <c:v>1.9589295741354551</c:v>
                </c:pt>
                <c:pt idx="16">
                  <c:v>2.8499573664514282</c:v>
                </c:pt>
                <c:pt idx="17">
                  <c:v>4.8940758215988245</c:v>
                </c:pt>
                <c:pt idx="18">
                  <c:v>5.0549371235464209</c:v>
                </c:pt>
                <c:pt idx="19">
                  <c:v>4.7970012594389937</c:v>
                </c:pt>
                <c:pt idx="20">
                  <c:v>4.1608980771981745</c:v>
                </c:pt>
                <c:pt idx="21">
                  <c:v>2.4015245212064795</c:v>
                </c:pt>
              </c:numCache>
            </c:numRef>
          </c:val>
        </c:ser>
        <c:marker val="1"/>
        <c:axId val="114670208"/>
        <c:axId val="114680192"/>
      </c:lineChart>
      <c:catAx>
        <c:axId val="114670208"/>
        <c:scaling>
          <c:orientation val="minMax"/>
        </c:scaling>
        <c:axPos val="b"/>
        <c:tickLblPos val="low"/>
        <c:spPr>
          <a:ln>
            <a:solidFill>
              <a:schemeClr val="tx1"/>
            </a:solidFill>
          </a:ln>
        </c:spPr>
        <c:txPr>
          <a:bodyPr rot="0" vert="horz"/>
          <a:lstStyle/>
          <a:p>
            <a:pPr>
              <a:defRPr/>
            </a:pPr>
            <a:endParaRPr lang="cs-CZ"/>
          </a:p>
        </c:txPr>
        <c:crossAx val="114680192"/>
        <c:crosses val="autoZero"/>
        <c:auto val="1"/>
        <c:lblAlgn val="ctr"/>
        <c:lblOffset val="100"/>
      </c:catAx>
      <c:valAx>
        <c:axId val="114680192"/>
        <c:scaling>
          <c:orientation val="minMax"/>
          <c:max val="6"/>
          <c:min val="-3"/>
        </c:scaling>
        <c:axPos val="l"/>
        <c:majorGridlines>
          <c:spPr>
            <a:ln w="6350">
              <a:solidFill>
                <a:schemeClr val="bg1">
                  <a:lumMod val="75000"/>
                </a:schemeClr>
              </a:solidFill>
            </a:ln>
          </c:spPr>
        </c:majorGridlines>
        <c:numFmt formatCode="0" sourceLinked="0"/>
        <c:tickLblPos val="nextTo"/>
        <c:spPr>
          <a:ln>
            <a:solidFill>
              <a:schemeClr val="tx1"/>
            </a:solidFill>
          </a:ln>
        </c:spPr>
        <c:crossAx val="114670208"/>
        <c:crosses val="autoZero"/>
        <c:crossBetween val="between"/>
        <c:majorUnit val="1"/>
      </c:valAx>
      <c:spPr>
        <a:ln>
          <a:solidFill>
            <a:schemeClr val="tx1"/>
          </a:solidFill>
        </a:ln>
      </c:spPr>
    </c:plotArea>
    <c:legend>
      <c:legendPos val="b"/>
      <c:layout>
        <c:manualLayout>
          <c:xMode val="edge"/>
          <c:yMode val="edge"/>
          <c:x val="4.8782884397989404E-2"/>
          <c:y val="0.79016604750647301"/>
          <c:w val="0.92922619274506457"/>
          <c:h val="0.19462484520995008"/>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25E81-1017-4006-998C-FE9694453373}">
  <ds:schemaRefs>
    <ds:schemaRef ds:uri="http://schemas.openxmlformats.org/officeDocument/2006/bibliography"/>
  </ds:schemaRefs>
</ds:datastoreItem>
</file>

<file path=customXml/itemProps2.xml><?xml version="1.0" encoding="utf-8"?>
<ds:datastoreItem xmlns:ds="http://schemas.openxmlformats.org/officeDocument/2006/customXml" ds:itemID="{5E2328C2-E49D-4D01-9D68-9EEE3BB0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3</TotalTime>
  <Pages>5</Pages>
  <Words>1351</Words>
  <Characters>7971</Characters>
  <Application>Microsoft Office Word</Application>
  <DocSecurity>0</DocSecurity>
  <Lines>66</Lines>
  <Paragraphs>18</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9304</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Karolína Súkupová</dc:creator>
  <cp:lastModifiedBy>Mgr. Karolína Súkupová</cp:lastModifiedBy>
  <cp:revision>3</cp:revision>
  <cp:lastPrinted>2014-07-17T14:07:00Z</cp:lastPrinted>
  <dcterms:created xsi:type="dcterms:W3CDTF">2018-10-19T12:00:00Z</dcterms:created>
  <dcterms:modified xsi:type="dcterms:W3CDTF">2018-10-19T12:06:00Z</dcterms:modified>
</cp:coreProperties>
</file>