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6D" w:rsidRPr="006E4CC9" w:rsidRDefault="00D7626D" w:rsidP="006E4CC9">
      <w:pPr>
        <w:pStyle w:val="Nadpis1"/>
        <w:rPr>
          <w:szCs w:val="24"/>
        </w:rPr>
      </w:pPr>
      <w:bookmarkStart w:id="0" w:name="_Toc451166917"/>
      <w:bookmarkStart w:id="1" w:name="_Toc451166933"/>
      <w:bookmarkStart w:id="2" w:name="_Toc451175106"/>
      <w:bookmarkStart w:id="3" w:name="_Toc451180162"/>
      <w:bookmarkStart w:id="4" w:name="_Toc483227188"/>
      <w:r w:rsidRPr="006E4CC9">
        <w:t>3. Závěr</w:t>
      </w:r>
      <w:bookmarkEnd w:id="0"/>
      <w:bookmarkEnd w:id="1"/>
      <w:bookmarkEnd w:id="2"/>
      <w:bookmarkEnd w:id="3"/>
      <w:bookmarkEnd w:id="4"/>
    </w:p>
    <w:p w:rsidR="00B405D1" w:rsidRPr="00B405D1" w:rsidRDefault="00B405D1" w:rsidP="00EC42F4">
      <w:pPr>
        <w:jc w:val="both"/>
      </w:pPr>
      <w:r w:rsidRPr="00B405D1">
        <w:t xml:space="preserve">Nutno dodat, že ač se kulturní účet za období roku </w:t>
      </w:r>
      <w:bookmarkStart w:id="5" w:name="_GoBack"/>
      <w:bookmarkEnd w:id="5"/>
      <w:r w:rsidRPr="00B405D1">
        <w:t>2015 zpracovává již po sedmé, lze považo</w:t>
      </w:r>
      <w:r w:rsidRPr="00B405D1">
        <w:softHyphen/>
        <w:t>vat ověření metodických přístupů za téměř stejně významné jako hledání věcných výsledků. S ohledem na rozšíření sektoru kultury, jeho úplnějšího postižení statistickým zjišťováním i částečné uplatnění pozměněných metodických přístupů, jsme stále v období zdokonalování časové řady kulturního účtu, což ovlivňuje věrohodnost porovnávání a hodnocení dynamiky vývoje jednotlivých ukazatelů. Bez ohledu na tuto skutečnost však i toto zpracování kulturního účtu ukázalo, že některé významné poznatky o kulturním sektoru se každo</w:t>
      </w:r>
      <w:r w:rsidRPr="00B405D1">
        <w:softHyphen/>
        <w:t xml:space="preserve">ročně v zásadě potvrzují (např. ekonomické postavení jednotlivých oblastí v rámci sektoru, počty zaměstnanců, úroveň investic atd.). </w:t>
      </w:r>
    </w:p>
    <w:p w:rsidR="00B405D1" w:rsidRPr="00B405D1" w:rsidRDefault="00B405D1" w:rsidP="00EC42F4">
      <w:pPr>
        <w:jc w:val="both"/>
      </w:pPr>
      <w:r w:rsidRPr="00B405D1">
        <w:t>Základní otázkou, na kterou by měl dát účet kultury odpověď, je původ, rozsah a užití finančních zdrojů v sektoru kultury. Z administrativních dat bylo zjištěno, že veřejný sektor se podílí na příjmech kulturních institucí částkou 34,3 mld. Kč (tj. 15,1 %) s tím, že tyto prostředky plynou zejména do oblasti kulturního dědictví, živé umělecké tvorby a do uměleckého vzdělávání. Podle šetření v domácnostech dosáhly výdaje směřující z rodinných rozpočtů do kultury, zejména do oblasti médií a živé tvorby, 44,9 mld. Kč (tj. 19,8 % celkových zdrojů). Oproti poklesu veřejných zdrojů a výdajů domácností na kulturu se zdroje vytvořené v podnicích (141,1 mld. Kč, tj. 62,3 % z celkových zdrojů), neziskových institucích (3,5 mld. Kč) a  zdroje pocházející ze zahraničí (2,7 mld. Kč) v porovnání s rokem 2014 zvýšily. Celkové finanční zdroje uplatněné v kulturních institucích tak celkově o 0,4 % (o 0,8 mld. Kč) meziročně vzrostly. Přízni</w:t>
      </w:r>
      <w:r w:rsidRPr="00B405D1">
        <w:softHyphen/>
        <w:t>vější hospodářské podmínky let 2014 – 2015 v porovnání s předcházejícím obdobím rokem přispěly k nárůstu disponibilních finančních zdrojů (provozního i investičního charakteru) v </w:t>
      </w:r>
      <w:r w:rsidR="00EC42F4" w:rsidRPr="00B405D1">
        <w:t>kulturním</w:t>
      </w:r>
      <w:r w:rsidRPr="00B405D1">
        <w:t xml:space="preserve"> sektoru celkově o 7,3 mld. Kč (tj. o více než 3,3 %). Skutečností však je, že v porovnání s rokem 2014 </w:t>
      </w:r>
      <w:proofErr w:type="gramStart"/>
      <w:r w:rsidRPr="00B405D1">
        <w:t>se  v roce</w:t>
      </w:r>
      <w:proofErr w:type="gramEnd"/>
      <w:r w:rsidRPr="00B405D1">
        <w:t xml:space="preserve"> 2015 tempo růstu finančních zdrojů snížilo. </w:t>
      </w:r>
    </w:p>
    <w:p w:rsidR="00B405D1" w:rsidRPr="00B405D1" w:rsidRDefault="00B405D1" w:rsidP="00EC42F4">
      <w:pPr>
        <w:jc w:val="both"/>
      </w:pPr>
      <w:r w:rsidRPr="00B405D1">
        <w:t xml:space="preserve">Dále se potvrzuje, že se jednotlivé kulturní oblasti významně liší stupněm uplatnění tržních principů a v této souvislosti také úrovní hospodaření, s tím související výší průměrných mezd, investiční aktivitou atd. Případné prohlubování této diferenciace bude zřejmě záviset na technickém rozvoji na straně jedné a rozsahem podpory neziskových aktivit (kulturní dědictví a část živé tvorby) z veřejných zdrojů na straně druhé. </w:t>
      </w:r>
    </w:p>
    <w:p w:rsidR="00B405D1" w:rsidRPr="00B405D1" w:rsidRDefault="00B405D1" w:rsidP="00EC42F4">
      <w:pPr>
        <w:jc w:val="both"/>
      </w:pPr>
      <w:r w:rsidRPr="00B405D1">
        <w:t>Problematické ekonomické výsledky výše jmenovaných kulturních oblastí by bylo možné přisuzovat i omezeným mož</w:t>
      </w:r>
      <w:r w:rsidRPr="00B405D1">
        <w:softHyphen/>
        <w:t>nostem finančních ukazatelů pro vyjádření rozsahu a kvality výkonu některých činností (např. péče o kulturní dědictví, vzdě</w:t>
      </w:r>
      <w:r w:rsidRPr="00B405D1">
        <w:softHyphen/>
        <w:t xml:space="preserve">lávací činnost kulturních institucí, působení kultury a jejích hodnot na jedince i společnost). V této souvislosti je proto na místě doplnit ekonomické ukazatele naturálními, z nichž se jako </w:t>
      </w:r>
      <w:proofErr w:type="gramStart"/>
      <w:r w:rsidRPr="00B405D1">
        <w:t>nejvhodnější  pro</w:t>
      </w:r>
      <w:proofErr w:type="gramEnd"/>
      <w:r w:rsidRPr="00B405D1">
        <w:t xml:space="preserve"> svou komplexnost jeví ukazatel počtu návštěv</w:t>
      </w:r>
      <w:r w:rsidRPr="00B405D1">
        <w:softHyphen/>
        <w:t>ník</w:t>
      </w:r>
      <w:proofErr w:type="spellStart"/>
      <w:r w:rsidRPr="00B405D1">
        <w:t>ů</w:t>
      </w:r>
      <w:proofErr w:type="spellEnd"/>
      <w:r w:rsidRPr="00B405D1">
        <w:t xml:space="preserve">. Nutno dodat, že celková návštěvnost kulturních institucí se v porovnání s rokem 2014 zvýšila o 2,6 % (viz tab. </w:t>
      </w:r>
      <w:proofErr w:type="gramStart"/>
      <w:r w:rsidRPr="00B405D1">
        <w:t>č.</w:t>
      </w:r>
      <w:proofErr w:type="gramEnd"/>
      <w:r w:rsidRPr="00B405D1">
        <w:t xml:space="preserve"> 13). Zvýšení návštěvnosti se týkalo většiny významných poskytovatelů služeb tradiční kultury. </w:t>
      </w:r>
    </w:p>
    <w:p w:rsidR="00B405D1" w:rsidRPr="00B405D1" w:rsidRDefault="00B405D1" w:rsidP="00EC42F4">
      <w:pPr>
        <w:jc w:val="both"/>
      </w:pPr>
      <w:r w:rsidRPr="00B405D1">
        <w:t xml:space="preserve">Lepší hospodářské výsledky v porovnání s předcházejícím rokem dokládá vyšší tvorba zisku (zvýšení ze 14,7 mld. Kč na 16,6 mld. Kč (o 13 %) a ziskové marže (z 6,9 % na 8,4 %, tj. o 1,5 </w:t>
      </w:r>
      <w:proofErr w:type="spellStart"/>
      <w:r w:rsidRPr="00B405D1">
        <w:t>proc</w:t>
      </w:r>
      <w:proofErr w:type="spellEnd"/>
      <w:r w:rsidRPr="00B405D1">
        <w:t xml:space="preserve">. </w:t>
      </w:r>
      <w:proofErr w:type="gramStart"/>
      <w:r w:rsidRPr="00B405D1">
        <w:t>bodu</w:t>
      </w:r>
      <w:proofErr w:type="gramEnd"/>
      <w:r w:rsidRPr="00B405D1">
        <w:t xml:space="preserve"> – viz </w:t>
      </w:r>
      <w:proofErr w:type="spellStart"/>
      <w:r w:rsidRPr="00B405D1">
        <w:t>tab.č</w:t>
      </w:r>
      <w:proofErr w:type="spellEnd"/>
      <w:r w:rsidRPr="00B405D1">
        <w:t xml:space="preserve">. 3 a  10). Také meziroční tempo růstu těchto ukazatelů bylo o poznání nižší než v roce 2014. </w:t>
      </w:r>
    </w:p>
    <w:p w:rsidR="00B405D1" w:rsidRPr="00B405D1" w:rsidRDefault="00B405D1" w:rsidP="00EC42F4">
      <w:pPr>
        <w:jc w:val="both"/>
      </w:pPr>
      <w:r w:rsidRPr="00B405D1">
        <w:t>V </w:t>
      </w:r>
      <w:proofErr w:type="spellStart"/>
      <w:r w:rsidRPr="00B405D1">
        <w:t>makroukazatelích</w:t>
      </w:r>
      <w:proofErr w:type="spellEnd"/>
      <w:r w:rsidRPr="00B405D1">
        <w:t xml:space="preserve"> se porovnání se zpřesněnými údaji za rok 2014 jeví také příznivě. Při rychlejším růstu produkce (o 4,2 %) se mírněji zvýšila </w:t>
      </w:r>
      <w:proofErr w:type="spellStart"/>
      <w:r w:rsidRPr="00B405D1">
        <w:t>mezispotřeba</w:t>
      </w:r>
      <w:proofErr w:type="spellEnd"/>
      <w:r w:rsidRPr="00B405D1">
        <w:t xml:space="preserve"> (o 2,6</w:t>
      </w:r>
      <w:r w:rsidR="00B86977">
        <w:t xml:space="preserve"> </w:t>
      </w:r>
      <w:r w:rsidRPr="00B405D1">
        <w:t>%) a hrubá při</w:t>
      </w:r>
      <w:r w:rsidRPr="00B405D1">
        <w:softHyphen/>
        <w:t>daná hodnota tak vzrostla o 6,6</w:t>
      </w:r>
      <w:r w:rsidR="00B86977">
        <w:t xml:space="preserve"> </w:t>
      </w:r>
      <w:r w:rsidRPr="00B405D1">
        <w:t xml:space="preserve">%. Ještě vyšší byl meziroční přírůstek HDP (viz tab. </w:t>
      </w:r>
      <w:proofErr w:type="gramStart"/>
      <w:r w:rsidRPr="00B405D1">
        <w:t>č.</w:t>
      </w:r>
      <w:proofErr w:type="gramEnd"/>
      <w:r w:rsidRPr="00B405D1">
        <w:t xml:space="preserve"> 11). </w:t>
      </w:r>
    </w:p>
    <w:p w:rsidR="00B405D1" w:rsidRPr="00B405D1" w:rsidRDefault="00B405D1" w:rsidP="00EC42F4">
      <w:pPr>
        <w:jc w:val="both"/>
      </w:pPr>
      <w:r w:rsidRPr="00B405D1">
        <w:t>Jak se ukazuje, váha či podíl sektoru kultury na ekonomice jako celku v několika významných ukazatelích osciluje (v poměr</w:t>
      </w:r>
      <w:r w:rsidRPr="00B405D1">
        <w:softHyphen/>
        <w:t xml:space="preserve">ně širokém rozmezí) od 1,4 do 4,4 %. </w:t>
      </w:r>
    </w:p>
    <w:p w:rsidR="00B405D1" w:rsidRPr="00B405D1" w:rsidRDefault="00B405D1" w:rsidP="00EC42F4">
      <w:pPr>
        <w:jc w:val="both"/>
      </w:pPr>
      <w:r w:rsidRPr="00B405D1">
        <w:lastRenderedPageBreak/>
        <w:t>Veřejné zdroje věnované kultuře představují 1,93 % celkových konsolidovaných výdajů veřejných rozpočtů a</w:t>
      </w:r>
      <w:r w:rsidR="00B86977">
        <w:t> </w:t>
      </w:r>
      <w:r w:rsidRPr="00B405D1">
        <w:t xml:space="preserve">podíl výdajů domácností na kulturu k celkovým výdajům domácností dosahuje 3,2 %. Rozsah vynaložené živé práce v kultuře lze uvažovat v rozmezí od 2,2 % (měřeno mzdovými náklady) až po 4,4 % (měřeno počtem všech osob pracujících v kulturních institucích a činnostech). Konečně předběžně odhadovaný podíl hrubé přidané hodnoty a produkce v kultuře mírně přesahuje dvouprocentní úroveň (2,13 % a 2,01 %), zatímco podíl odhadované úrovně hrubého domácího produktu kultury svou výší tuto úroveň nedosahuje (1,44 % celostátního ukazatele). Jak je zřejmé z porovnání podílu kultury na ukazatelích vstupů (rozsahu živé práce) a výstupů (HPH a HDP), tento sektor v úrovni produktivity za ostatními odvětvími zaostává. </w:t>
      </w:r>
    </w:p>
    <w:p w:rsidR="00D7626D" w:rsidRPr="00DB6382" w:rsidRDefault="00B405D1" w:rsidP="00EC42F4">
      <w:pPr>
        <w:jc w:val="both"/>
      </w:pPr>
      <w:r w:rsidRPr="00B405D1">
        <w:t>Pokud bychom však přidali na pomyslnou misku vah neměřitelnou část výkonů a společenského dosahu sektoru kultury, byl by jeho podíl jistě mnohem vyšší. To, co nelze finančně vyjádřit je však mimo naše možnosti. Je třeba se zabývat tím, co doká</w:t>
      </w:r>
      <w:r w:rsidRPr="00B405D1">
        <w:softHyphen/>
        <w:t>žeme ovlivnit a provádět žádoucí změny - zejména v oblasti statistických zjišťování – která nám umožní postupně zvyšovat rozsah kulturních aktivit zahrnutých do satelitního kulturního účtu a naopak snižovat stupeň jeho nepřesnosti.</w:t>
      </w:r>
    </w:p>
    <w:p w:rsidR="00D83178" w:rsidRPr="004F69CE" w:rsidRDefault="00D83178" w:rsidP="00627466">
      <w:pPr>
        <w:pStyle w:val="Nadpis1"/>
        <w:spacing w:after="240"/>
      </w:pPr>
      <w:bookmarkStart w:id="6" w:name="page17"/>
      <w:bookmarkEnd w:id="6"/>
    </w:p>
    <w:sectPr w:rsidR="00D83178" w:rsidRPr="004F69CE" w:rsidSect="0062746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387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6B" w:rsidRDefault="006A586B" w:rsidP="00E71A58">
      <w:r>
        <w:separator/>
      </w:r>
    </w:p>
  </w:endnote>
  <w:endnote w:type="continuationSeparator" w:id="0">
    <w:p w:rsidR="006A586B" w:rsidRDefault="006A586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6877E3" w:rsidP="002405CB">
    <w:pPr>
      <w:pStyle w:val="Zpat"/>
      <w:tabs>
        <w:tab w:val="clear" w:pos="9639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04.95pt;margin-top:-5.1pt;width:33.75pt;height:15.85pt;z-index:2;mso-position-horizontal:right">
          <v:imagedata r:id="rId1" o:title="CSU RGB CZ logo-01"/>
        </v:shape>
      </w:pict>
    </w:r>
    <w:r w:rsidRPr="00932443">
      <w:rPr>
        <w:szCs w:val="16"/>
      </w:rPr>
      <w:fldChar w:fldCharType="begin"/>
    </w:r>
    <w:r w:rsidR="00C73D1B"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27466">
      <w:rPr>
        <w:szCs w:val="16"/>
      </w:rPr>
      <w:t>14</w:t>
    </w:r>
    <w:r w:rsidRPr="00932443">
      <w:rPr>
        <w:szCs w:val="16"/>
      </w:rPr>
      <w:fldChar w:fldCharType="end"/>
    </w:r>
    <w:r w:rsidR="00C73D1B" w:rsidRPr="00932443">
      <w:rPr>
        <w:szCs w:val="16"/>
      </w:rPr>
      <w:tab/>
    </w:r>
    <w:r w:rsidR="00C73D1B">
      <w:rPr>
        <w:szCs w:val="16"/>
      </w:rPr>
      <w:t>2015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932443" w:rsidRDefault="006877E3" w:rsidP="002405CB">
    <w:pPr>
      <w:pStyle w:val="Zpat"/>
      <w:tabs>
        <w:tab w:val="clear" w:pos="4820"/>
        <w:tab w:val="clear" w:pos="9639"/>
        <w:tab w:val="left" w:pos="4253"/>
        <w:tab w:val="left" w:pos="4536"/>
        <w:tab w:val="left" w:pos="9356"/>
        <w:tab w:val="left" w:pos="13750"/>
      </w:tabs>
      <w:rPr>
        <w:szCs w:val="16"/>
      </w:rPr>
    </w:pPr>
    <w:r>
      <w:rPr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2pt;height:21.45pt;z-index:1;mso-position-horizontal:left">
          <v:imagedata r:id="rId1" o:title="CSU RGB CZ logo-02"/>
        </v:shape>
      </w:pict>
    </w:r>
    <w:r w:rsidR="00C73D1B" w:rsidRPr="00932443">
      <w:rPr>
        <w:szCs w:val="16"/>
      </w:rPr>
      <w:tab/>
    </w:r>
    <w:r w:rsidR="00C73D1B">
      <w:rPr>
        <w:szCs w:val="16"/>
      </w:rPr>
      <w:tab/>
    </w:r>
    <w:r w:rsidR="00C73D1B">
      <w:rPr>
        <w:rStyle w:val="ZpatChar"/>
        <w:szCs w:val="16"/>
      </w:rPr>
      <w:t>2015</w:t>
    </w:r>
    <w:r w:rsidR="00C73D1B"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="00C73D1B"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27466">
      <w:rPr>
        <w:rStyle w:val="ZpatChar"/>
        <w:szCs w:val="16"/>
      </w:rPr>
      <w:t>15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6B" w:rsidRPr="00311229" w:rsidRDefault="006A586B" w:rsidP="00311229">
      <w:pPr>
        <w:pStyle w:val="Zpat"/>
      </w:pPr>
    </w:p>
  </w:footnote>
  <w:footnote w:type="continuationSeparator" w:id="0">
    <w:p w:rsidR="006A586B" w:rsidRPr="00311229" w:rsidRDefault="006A586B" w:rsidP="00311229">
      <w:pPr>
        <w:pStyle w:val="Zpa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1B" w:rsidRPr="006F5416" w:rsidRDefault="00C73D1B" w:rsidP="00CE08A5">
    <w:pPr>
      <w:pStyle w:val="Zhlav"/>
    </w:pPr>
    <w:r>
      <w:t>Satelitní účet kultury</w:t>
    </w:r>
  </w:p>
  <w:p w:rsidR="00C73D1B" w:rsidRDefault="00C73D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5pt;height:11.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149A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61545646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CD6"/>
    <w:multiLevelType w:val="hybridMultilevel"/>
    <w:tmpl w:val="000072AE"/>
    <w:lvl w:ilvl="0" w:tplc="0000695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836952"/>
    <w:multiLevelType w:val="hybridMultilevel"/>
    <w:tmpl w:val="7BF86E04"/>
    <w:lvl w:ilvl="0" w:tplc="2A80F076">
      <w:start w:val="1"/>
      <w:numFmt w:val="decimal"/>
      <w:lvlText w:val="%1)"/>
      <w:lvlJc w:val="left"/>
      <w:pPr>
        <w:ind w:left="-349" w:hanging="360"/>
      </w:pPr>
      <w:rPr>
        <w:rFonts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0C53742F"/>
    <w:multiLevelType w:val="hybridMultilevel"/>
    <w:tmpl w:val="E668DF54"/>
    <w:lvl w:ilvl="0" w:tplc="164A6B68">
      <w:start w:val="1"/>
      <w:numFmt w:val="decimal"/>
      <w:lvlText w:val="%1)"/>
      <w:lvlJc w:val="left"/>
      <w:pPr>
        <w:ind w:left="11" w:hanging="360"/>
      </w:pPr>
      <w:rPr>
        <w:rFonts w:cs="Arial" w:hint="default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16B14236"/>
    <w:multiLevelType w:val="hybridMultilevel"/>
    <w:tmpl w:val="12E2E4EA"/>
    <w:lvl w:ilvl="0" w:tplc="02E21B48">
      <w:start w:val="2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740A2"/>
    <w:multiLevelType w:val="hybridMultilevel"/>
    <w:tmpl w:val="B09E4A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044EEC"/>
    <w:multiLevelType w:val="hybridMultilevel"/>
    <w:tmpl w:val="8B3E32C4"/>
    <w:lvl w:ilvl="0" w:tplc="C2862074">
      <w:start w:val="1"/>
      <w:numFmt w:val="decimal"/>
      <w:lvlText w:val="%1)"/>
      <w:lvlJc w:val="left"/>
      <w:pPr>
        <w:ind w:left="21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932" w:hanging="360"/>
      </w:pPr>
    </w:lvl>
    <w:lvl w:ilvl="2" w:tplc="0405001B" w:tentative="1">
      <w:start w:val="1"/>
      <w:numFmt w:val="lowerRoman"/>
      <w:lvlText w:val="%3."/>
      <w:lvlJc w:val="right"/>
      <w:pPr>
        <w:ind w:left="1652" w:hanging="180"/>
      </w:pPr>
    </w:lvl>
    <w:lvl w:ilvl="3" w:tplc="0405000F" w:tentative="1">
      <w:start w:val="1"/>
      <w:numFmt w:val="decimal"/>
      <w:lvlText w:val="%4."/>
      <w:lvlJc w:val="left"/>
      <w:pPr>
        <w:ind w:left="2372" w:hanging="360"/>
      </w:pPr>
    </w:lvl>
    <w:lvl w:ilvl="4" w:tplc="04050019" w:tentative="1">
      <w:start w:val="1"/>
      <w:numFmt w:val="lowerLetter"/>
      <w:lvlText w:val="%5."/>
      <w:lvlJc w:val="left"/>
      <w:pPr>
        <w:ind w:left="3092" w:hanging="360"/>
      </w:pPr>
    </w:lvl>
    <w:lvl w:ilvl="5" w:tplc="0405001B" w:tentative="1">
      <w:start w:val="1"/>
      <w:numFmt w:val="lowerRoman"/>
      <w:lvlText w:val="%6."/>
      <w:lvlJc w:val="right"/>
      <w:pPr>
        <w:ind w:left="3812" w:hanging="180"/>
      </w:pPr>
    </w:lvl>
    <w:lvl w:ilvl="6" w:tplc="0405000F" w:tentative="1">
      <w:start w:val="1"/>
      <w:numFmt w:val="decimal"/>
      <w:lvlText w:val="%7."/>
      <w:lvlJc w:val="left"/>
      <w:pPr>
        <w:ind w:left="4532" w:hanging="360"/>
      </w:pPr>
    </w:lvl>
    <w:lvl w:ilvl="7" w:tplc="04050019" w:tentative="1">
      <w:start w:val="1"/>
      <w:numFmt w:val="lowerLetter"/>
      <w:lvlText w:val="%8."/>
      <w:lvlJc w:val="left"/>
      <w:pPr>
        <w:ind w:left="5252" w:hanging="360"/>
      </w:pPr>
    </w:lvl>
    <w:lvl w:ilvl="8" w:tplc="0405001B" w:tentative="1">
      <w:start w:val="1"/>
      <w:numFmt w:val="lowerRoman"/>
      <w:lvlText w:val="%9."/>
      <w:lvlJc w:val="right"/>
      <w:pPr>
        <w:ind w:left="5972" w:hanging="180"/>
      </w:pPr>
    </w:lvl>
  </w:abstractNum>
  <w:abstractNum w:abstractNumId="19">
    <w:nsid w:val="428E0569"/>
    <w:multiLevelType w:val="hybridMultilevel"/>
    <w:tmpl w:val="94449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632FB"/>
    <w:multiLevelType w:val="hybridMultilevel"/>
    <w:tmpl w:val="CA3AB02C"/>
    <w:lvl w:ilvl="0" w:tplc="28F81C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CE7A50"/>
    <w:multiLevelType w:val="hybridMultilevel"/>
    <w:tmpl w:val="707A9686"/>
    <w:lvl w:ilvl="0" w:tplc="2A0A20F6">
      <w:start w:val="1"/>
      <w:numFmt w:val="decimal"/>
      <w:lvlText w:val="%1)"/>
      <w:lvlJc w:val="left"/>
      <w:pPr>
        <w:ind w:left="-207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21"/>
  </w:num>
  <w:num w:numId="14">
    <w:abstractNumId w:val="10"/>
  </w:num>
  <w:num w:numId="15">
    <w:abstractNumId w:val="12"/>
  </w:num>
  <w:num w:numId="16">
    <w:abstractNumId w:val="11"/>
  </w:num>
  <w:num w:numId="17">
    <w:abstractNumId w:val="17"/>
  </w:num>
  <w:num w:numId="18">
    <w:abstractNumId w:val="19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14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8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382"/>
    <w:rsid w:val="0000209D"/>
    <w:rsid w:val="00004721"/>
    <w:rsid w:val="00004D5A"/>
    <w:rsid w:val="000056D5"/>
    <w:rsid w:val="0000767A"/>
    <w:rsid w:val="00010702"/>
    <w:rsid w:val="000234D6"/>
    <w:rsid w:val="00023D29"/>
    <w:rsid w:val="00026389"/>
    <w:rsid w:val="00031AE0"/>
    <w:rsid w:val="000322EF"/>
    <w:rsid w:val="00033FCD"/>
    <w:rsid w:val="00041CEC"/>
    <w:rsid w:val="00044667"/>
    <w:rsid w:val="0004694F"/>
    <w:rsid w:val="000522E4"/>
    <w:rsid w:val="000610E1"/>
    <w:rsid w:val="00062EC5"/>
    <w:rsid w:val="00062F22"/>
    <w:rsid w:val="00064869"/>
    <w:rsid w:val="000712B3"/>
    <w:rsid w:val="0008263E"/>
    <w:rsid w:val="00082C19"/>
    <w:rsid w:val="00085395"/>
    <w:rsid w:val="00087569"/>
    <w:rsid w:val="00087634"/>
    <w:rsid w:val="00087F2B"/>
    <w:rsid w:val="000974D1"/>
    <w:rsid w:val="0009799E"/>
    <w:rsid w:val="000A1183"/>
    <w:rsid w:val="000A256D"/>
    <w:rsid w:val="000A3A2C"/>
    <w:rsid w:val="000C3408"/>
    <w:rsid w:val="000C6AFD"/>
    <w:rsid w:val="000C7FDC"/>
    <w:rsid w:val="000D418C"/>
    <w:rsid w:val="000D5637"/>
    <w:rsid w:val="000E48B4"/>
    <w:rsid w:val="000E6FBD"/>
    <w:rsid w:val="00100F5C"/>
    <w:rsid w:val="00104C4C"/>
    <w:rsid w:val="00107E8D"/>
    <w:rsid w:val="001205D8"/>
    <w:rsid w:val="0012192F"/>
    <w:rsid w:val="00125D69"/>
    <w:rsid w:val="001405FA"/>
    <w:rsid w:val="001425C3"/>
    <w:rsid w:val="0016169F"/>
    <w:rsid w:val="0016256B"/>
    <w:rsid w:val="00163793"/>
    <w:rsid w:val="001669D2"/>
    <w:rsid w:val="001706D6"/>
    <w:rsid w:val="001714F2"/>
    <w:rsid w:val="0017712F"/>
    <w:rsid w:val="00184B08"/>
    <w:rsid w:val="00185010"/>
    <w:rsid w:val="00186071"/>
    <w:rsid w:val="001A552F"/>
    <w:rsid w:val="001B2CA9"/>
    <w:rsid w:val="001B3110"/>
    <w:rsid w:val="001B4729"/>
    <w:rsid w:val="001B6C09"/>
    <w:rsid w:val="001C05CD"/>
    <w:rsid w:val="001C795A"/>
    <w:rsid w:val="001D68B2"/>
    <w:rsid w:val="001F4597"/>
    <w:rsid w:val="00207D23"/>
    <w:rsid w:val="002118B9"/>
    <w:rsid w:val="00216B43"/>
    <w:rsid w:val="00217C5B"/>
    <w:rsid w:val="0022139E"/>
    <w:rsid w:val="00224971"/>
    <w:rsid w:val="002252E0"/>
    <w:rsid w:val="002255F6"/>
    <w:rsid w:val="002269AB"/>
    <w:rsid w:val="00227850"/>
    <w:rsid w:val="00227A53"/>
    <w:rsid w:val="00230C6E"/>
    <w:rsid w:val="002315E3"/>
    <w:rsid w:val="00236443"/>
    <w:rsid w:val="002405CB"/>
    <w:rsid w:val="002436BA"/>
    <w:rsid w:val="00244A15"/>
    <w:rsid w:val="00247319"/>
    <w:rsid w:val="0024799E"/>
    <w:rsid w:val="00253C0F"/>
    <w:rsid w:val="00271465"/>
    <w:rsid w:val="00275A70"/>
    <w:rsid w:val="00285412"/>
    <w:rsid w:val="0028655A"/>
    <w:rsid w:val="002A00BE"/>
    <w:rsid w:val="002A16D4"/>
    <w:rsid w:val="002A230C"/>
    <w:rsid w:val="002C43BD"/>
    <w:rsid w:val="002D0E59"/>
    <w:rsid w:val="002E02A1"/>
    <w:rsid w:val="002E4E4C"/>
    <w:rsid w:val="002E6C5B"/>
    <w:rsid w:val="00304771"/>
    <w:rsid w:val="003052D4"/>
    <w:rsid w:val="00306C5B"/>
    <w:rsid w:val="00311229"/>
    <w:rsid w:val="003209D6"/>
    <w:rsid w:val="00321924"/>
    <w:rsid w:val="0032656E"/>
    <w:rsid w:val="00332190"/>
    <w:rsid w:val="00344668"/>
    <w:rsid w:val="003462D9"/>
    <w:rsid w:val="00360C86"/>
    <w:rsid w:val="003657F3"/>
    <w:rsid w:val="003818DC"/>
    <w:rsid w:val="0038246B"/>
    <w:rsid w:val="00384327"/>
    <w:rsid w:val="00385D98"/>
    <w:rsid w:val="003A2B4D"/>
    <w:rsid w:val="003A3673"/>
    <w:rsid w:val="003A478C"/>
    <w:rsid w:val="003A5525"/>
    <w:rsid w:val="003A6B38"/>
    <w:rsid w:val="003B4B72"/>
    <w:rsid w:val="003B5A32"/>
    <w:rsid w:val="003C3490"/>
    <w:rsid w:val="003D6920"/>
    <w:rsid w:val="003E4C91"/>
    <w:rsid w:val="003F313C"/>
    <w:rsid w:val="003F4B2C"/>
    <w:rsid w:val="003F551C"/>
    <w:rsid w:val="003F7D23"/>
    <w:rsid w:val="0040293A"/>
    <w:rsid w:val="00407C13"/>
    <w:rsid w:val="00410638"/>
    <w:rsid w:val="00432A58"/>
    <w:rsid w:val="00434617"/>
    <w:rsid w:val="00435C42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B6594"/>
    <w:rsid w:val="004C0490"/>
    <w:rsid w:val="004C384C"/>
    <w:rsid w:val="004C3867"/>
    <w:rsid w:val="004C4CD0"/>
    <w:rsid w:val="004C70DC"/>
    <w:rsid w:val="004D0211"/>
    <w:rsid w:val="004D0794"/>
    <w:rsid w:val="004D7B74"/>
    <w:rsid w:val="004F06F5"/>
    <w:rsid w:val="004F33A0"/>
    <w:rsid w:val="004F69CE"/>
    <w:rsid w:val="00500A8A"/>
    <w:rsid w:val="00503E39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4C52"/>
    <w:rsid w:val="0055599F"/>
    <w:rsid w:val="00556D68"/>
    <w:rsid w:val="00557456"/>
    <w:rsid w:val="005647BF"/>
    <w:rsid w:val="0057364B"/>
    <w:rsid w:val="00574773"/>
    <w:rsid w:val="00583FFD"/>
    <w:rsid w:val="00584309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38C8"/>
    <w:rsid w:val="005D5802"/>
    <w:rsid w:val="005D7890"/>
    <w:rsid w:val="005E7C78"/>
    <w:rsid w:val="005F1BB0"/>
    <w:rsid w:val="005F3EB1"/>
    <w:rsid w:val="005F5469"/>
    <w:rsid w:val="005F5FA2"/>
    <w:rsid w:val="00600392"/>
    <w:rsid w:val="00604307"/>
    <w:rsid w:val="0060487F"/>
    <w:rsid w:val="00604EAD"/>
    <w:rsid w:val="006104FB"/>
    <w:rsid w:val="00612A2F"/>
    <w:rsid w:val="00616E05"/>
    <w:rsid w:val="006214EF"/>
    <w:rsid w:val="00624093"/>
    <w:rsid w:val="00627466"/>
    <w:rsid w:val="006404A7"/>
    <w:rsid w:val="006451E4"/>
    <w:rsid w:val="00645B33"/>
    <w:rsid w:val="00646A76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877E3"/>
    <w:rsid w:val="00695BEF"/>
    <w:rsid w:val="006977F6"/>
    <w:rsid w:val="00697A13"/>
    <w:rsid w:val="006A109C"/>
    <w:rsid w:val="006A586B"/>
    <w:rsid w:val="006B344A"/>
    <w:rsid w:val="006B78D8"/>
    <w:rsid w:val="006B7B66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E4CC9"/>
    <w:rsid w:val="006F41CA"/>
    <w:rsid w:val="006F5416"/>
    <w:rsid w:val="006F7137"/>
    <w:rsid w:val="00706AD4"/>
    <w:rsid w:val="007140BE"/>
    <w:rsid w:val="00715C9D"/>
    <w:rsid w:val="007211F5"/>
    <w:rsid w:val="00722C25"/>
    <w:rsid w:val="00725BB5"/>
    <w:rsid w:val="00730AE8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94C02"/>
    <w:rsid w:val="007A0F41"/>
    <w:rsid w:val="007A6D49"/>
    <w:rsid w:val="007B6689"/>
    <w:rsid w:val="007B7C7D"/>
    <w:rsid w:val="007D40DF"/>
    <w:rsid w:val="007E667A"/>
    <w:rsid w:val="007E7E61"/>
    <w:rsid w:val="007F0845"/>
    <w:rsid w:val="007F4399"/>
    <w:rsid w:val="007F4532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2FF9"/>
    <w:rsid w:val="008873D4"/>
    <w:rsid w:val="00893E85"/>
    <w:rsid w:val="00894031"/>
    <w:rsid w:val="008B7C02"/>
    <w:rsid w:val="008B7D2B"/>
    <w:rsid w:val="008C0049"/>
    <w:rsid w:val="008C0E88"/>
    <w:rsid w:val="008C684C"/>
    <w:rsid w:val="008D1E6A"/>
    <w:rsid w:val="008D2A16"/>
    <w:rsid w:val="008E2C57"/>
    <w:rsid w:val="008E31FF"/>
    <w:rsid w:val="008E6F06"/>
    <w:rsid w:val="008F029B"/>
    <w:rsid w:val="008F3FC9"/>
    <w:rsid w:val="008F585B"/>
    <w:rsid w:val="008F7AD4"/>
    <w:rsid w:val="009003A8"/>
    <w:rsid w:val="00901FF2"/>
    <w:rsid w:val="00902500"/>
    <w:rsid w:val="00902EFF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4A3B"/>
    <w:rsid w:val="00947A2C"/>
    <w:rsid w:val="00954DD8"/>
    <w:rsid w:val="00963C66"/>
    <w:rsid w:val="00974923"/>
    <w:rsid w:val="0097636A"/>
    <w:rsid w:val="00980D3D"/>
    <w:rsid w:val="00987A30"/>
    <w:rsid w:val="00992CF3"/>
    <w:rsid w:val="009968D6"/>
    <w:rsid w:val="009A1CAB"/>
    <w:rsid w:val="009A60D1"/>
    <w:rsid w:val="009B0DDB"/>
    <w:rsid w:val="009B6FD3"/>
    <w:rsid w:val="009C1750"/>
    <w:rsid w:val="009C2E29"/>
    <w:rsid w:val="009C554B"/>
    <w:rsid w:val="009C719E"/>
    <w:rsid w:val="009D3ACD"/>
    <w:rsid w:val="009E5273"/>
    <w:rsid w:val="009E5DDB"/>
    <w:rsid w:val="009F4CA7"/>
    <w:rsid w:val="00A0370B"/>
    <w:rsid w:val="00A10D66"/>
    <w:rsid w:val="00A12C6B"/>
    <w:rsid w:val="00A14114"/>
    <w:rsid w:val="00A16413"/>
    <w:rsid w:val="00A23E43"/>
    <w:rsid w:val="00A30F65"/>
    <w:rsid w:val="00A344E4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EFA"/>
    <w:rsid w:val="00AA2996"/>
    <w:rsid w:val="00AA52BF"/>
    <w:rsid w:val="00AA559A"/>
    <w:rsid w:val="00AB2AF1"/>
    <w:rsid w:val="00AD306C"/>
    <w:rsid w:val="00AE09B3"/>
    <w:rsid w:val="00AE1A83"/>
    <w:rsid w:val="00AE1CDC"/>
    <w:rsid w:val="00AE670B"/>
    <w:rsid w:val="00AF6470"/>
    <w:rsid w:val="00B00913"/>
    <w:rsid w:val="00B01593"/>
    <w:rsid w:val="00B0245A"/>
    <w:rsid w:val="00B10A4D"/>
    <w:rsid w:val="00B1159B"/>
    <w:rsid w:val="00B1557F"/>
    <w:rsid w:val="00B15659"/>
    <w:rsid w:val="00B17E71"/>
    <w:rsid w:val="00B17FDE"/>
    <w:rsid w:val="00B21295"/>
    <w:rsid w:val="00B2379C"/>
    <w:rsid w:val="00B261B7"/>
    <w:rsid w:val="00B2687D"/>
    <w:rsid w:val="00B32DDB"/>
    <w:rsid w:val="00B34528"/>
    <w:rsid w:val="00B402FC"/>
    <w:rsid w:val="00B405D1"/>
    <w:rsid w:val="00B41E17"/>
    <w:rsid w:val="00B46604"/>
    <w:rsid w:val="00B530CD"/>
    <w:rsid w:val="00B55F5E"/>
    <w:rsid w:val="00B5752E"/>
    <w:rsid w:val="00B63A11"/>
    <w:rsid w:val="00B64C24"/>
    <w:rsid w:val="00B6608F"/>
    <w:rsid w:val="00B66950"/>
    <w:rsid w:val="00B679FB"/>
    <w:rsid w:val="00B76D1E"/>
    <w:rsid w:val="00B80EC6"/>
    <w:rsid w:val="00B8513E"/>
    <w:rsid w:val="00B86977"/>
    <w:rsid w:val="00B91411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7698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3D1B"/>
    <w:rsid w:val="00C747B1"/>
    <w:rsid w:val="00C82191"/>
    <w:rsid w:val="00C8600F"/>
    <w:rsid w:val="00C90CF4"/>
    <w:rsid w:val="00C92EB6"/>
    <w:rsid w:val="00C93389"/>
    <w:rsid w:val="00CA1BEC"/>
    <w:rsid w:val="00CB3041"/>
    <w:rsid w:val="00CB4930"/>
    <w:rsid w:val="00CC2E7D"/>
    <w:rsid w:val="00CD10A5"/>
    <w:rsid w:val="00CD2076"/>
    <w:rsid w:val="00CD3593"/>
    <w:rsid w:val="00CD67B6"/>
    <w:rsid w:val="00CE08A5"/>
    <w:rsid w:val="00CE670B"/>
    <w:rsid w:val="00CF51EC"/>
    <w:rsid w:val="00CF73AE"/>
    <w:rsid w:val="00D040DD"/>
    <w:rsid w:val="00D13986"/>
    <w:rsid w:val="00D14FA7"/>
    <w:rsid w:val="00D157AD"/>
    <w:rsid w:val="00D16837"/>
    <w:rsid w:val="00D22DB3"/>
    <w:rsid w:val="00D235B7"/>
    <w:rsid w:val="00D25F28"/>
    <w:rsid w:val="00D27973"/>
    <w:rsid w:val="00D50F46"/>
    <w:rsid w:val="00D66223"/>
    <w:rsid w:val="00D7626D"/>
    <w:rsid w:val="00D8084C"/>
    <w:rsid w:val="00D83178"/>
    <w:rsid w:val="00D8415C"/>
    <w:rsid w:val="00D90076"/>
    <w:rsid w:val="00D9786F"/>
    <w:rsid w:val="00DA7C0C"/>
    <w:rsid w:val="00DB2EC8"/>
    <w:rsid w:val="00DB6382"/>
    <w:rsid w:val="00DC5B3B"/>
    <w:rsid w:val="00DD129F"/>
    <w:rsid w:val="00DF42FF"/>
    <w:rsid w:val="00DF5C19"/>
    <w:rsid w:val="00E01C0E"/>
    <w:rsid w:val="00E03F9A"/>
    <w:rsid w:val="00E04694"/>
    <w:rsid w:val="00E12B1E"/>
    <w:rsid w:val="00E16AE6"/>
    <w:rsid w:val="00E17262"/>
    <w:rsid w:val="00E253A2"/>
    <w:rsid w:val="00E3309D"/>
    <w:rsid w:val="00E450D9"/>
    <w:rsid w:val="00E50156"/>
    <w:rsid w:val="00E506B2"/>
    <w:rsid w:val="00E53470"/>
    <w:rsid w:val="00E539F6"/>
    <w:rsid w:val="00E6519D"/>
    <w:rsid w:val="00E67696"/>
    <w:rsid w:val="00E71A58"/>
    <w:rsid w:val="00E72A7A"/>
    <w:rsid w:val="00E75C94"/>
    <w:rsid w:val="00E77FDD"/>
    <w:rsid w:val="00E8591F"/>
    <w:rsid w:val="00E90EA6"/>
    <w:rsid w:val="00E93820"/>
    <w:rsid w:val="00EA0C68"/>
    <w:rsid w:val="00EA2D0C"/>
    <w:rsid w:val="00EA32BC"/>
    <w:rsid w:val="00EB4511"/>
    <w:rsid w:val="00EC03D7"/>
    <w:rsid w:val="00EC42F4"/>
    <w:rsid w:val="00ED62C6"/>
    <w:rsid w:val="00ED64C1"/>
    <w:rsid w:val="00EE3446"/>
    <w:rsid w:val="00EE3E78"/>
    <w:rsid w:val="00EE4B1B"/>
    <w:rsid w:val="00EE6FF8"/>
    <w:rsid w:val="00EF150D"/>
    <w:rsid w:val="00EF1710"/>
    <w:rsid w:val="00EF1F5A"/>
    <w:rsid w:val="00EF47BF"/>
    <w:rsid w:val="00F04811"/>
    <w:rsid w:val="00F0488C"/>
    <w:rsid w:val="00F05F5E"/>
    <w:rsid w:val="00F10F11"/>
    <w:rsid w:val="00F1429D"/>
    <w:rsid w:val="00F15AAA"/>
    <w:rsid w:val="00F15BEF"/>
    <w:rsid w:val="00F17074"/>
    <w:rsid w:val="00F24407"/>
    <w:rsid w:val="00F24FAA"/>
    <w:rsid w:val="00F3364D"/>
    <w:rsid w:val="00F40D51"/>
    <w:rsid w:val="00F437CC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5066"/>
    <w:rsid w:val="00F9539D"/>
    <w:rsid w:val="00FA5D25"/>
    <w:rsid w:val="00FA5D4D"/>
    <w:rsid w:val="00FB0EE2"/>
    <w:rsid w:val="00FB2021"/>
    <w:rsid w:val="00FB542E"/>
    <w:rsid w:val="00FC0E5F"/>
    <w:rsid w:val="00FC1A95"/>
    <w:rsid w:val="00FC2440"/>
    <w:rsid w:val="00FC56DE"/>
    <w:rsid w:val="00FC684B"/>
    <w:rsid w:val="00FC73E3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544C52"/>
    <w:pPr>
      <w:keepNext/>
      <w:keepLines/>
      <w:spacing w:before="240" w:after="24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544C52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9539D"/>
    <w:pPr>
      <w:spacing w:line="480" w:lineRule="auto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/>
      <w:b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/>
      <w:b/>
      <w:color w:val="BC091B"/>
      <w:sz w:val="28"/>
      <w:szCs w:val="24"/>
      <w:lang w:bidi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B6382"/>
    <w:pPr>
      <w:spacing w:before="480" w:after="0" w:line="276" w:lineRule="auto"/>
      <w:contextualSpacing w:val="0"/>
      <w:outlineLvl w:val="9"/>
    </w:pPr>
    <w:rPr>
      <w:rFonts w:ascii="Cambria" w:eastAsia="Times New Roman" w:hAnsi="Cambria"/>
      <w:color w:val="365F91"/>
      <w:sz w:val="28"/>
      <w:lang w:eastAsia="en-US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9539D"/>
    <w:pPr>
      <w:ind w:left="426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59"/>
    <w:rsid w:val="00EE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56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569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08756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1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229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229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29"/>
    <w:rPr>
      <w:b/>
      <w:bCs/>
    </w:rPr>
  </w:style>
  <w:style w:type="paragraph" w:customStyle="1" w:styleId="Default">
    <w:name w:val="Default"/>
    <w:rsid w:val="00D84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170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17074"/>
    <w:rPr>
      <w:rFonts w:ascii="Arial" w:eastAsia="Times New Roman" w:hAnsi="Arial"/>
      <w:szCs w:val="24"/>
    </w:rPr>
  </w:style>
  <w:style w:type="paragraph" w:styleId="Seznamsodrkami2">
    <w:name w:val="List Bullet 2"/>
    <w:basedOn w:val="Normln"/>
    <w:autoRedefine/>
    <w:uiPriority w:val="99"/>
    <w:unhideWhenUsed/>
    <w:rsid w:val="00F17074"/>
    <w:pPr>
      <w:spacing w:after="0" w:line="240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03-2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336F-B6B9-4D2E-AD98-B21EDAF4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spolecnost_2016-03-29</Template>
  <TotalTime>2</TotalTime>
  <Pages>2</Pages>
  <Words>753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Milan Dedera</cp:lastModifiedBy>
  <cp:revision>2</cp:revision>
  <cp:lastPrinted>2017-05-24T13:19:00Z</cp:lastPrinted>
  <dcterms:created xsi:type="dcterms:W3CDTF">2017-05-25T10:45:00Z</dcterms:created>
  <dcterms:modified xsi:type="dcterms:W3CDTF">2017-05-25T10:45:00Z</dcterms:modified>
</cp:coreProperties>
</file>