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4BAB" w14:textId="77777777" w:rsidR="00267C51" w:rsidRDefault="00267C51" w:rsidP="00267C51">
      <w:pPr>
        <w:pStyle w:val="Nadpis11"/>
      </w:pPr>
      <w:bookmarkStart w:id="0" w:name="_Toc66719934"/>
      <w:bookmarkStart w:id="1" w:name="_Toc50712132"/>
      <w:bookmarkStart w:id="2" w:name="_GoBack"/>
      <w:bookmarkEnd w:id="2"/>
      <w:r w:rsidRPr="00787441">
        <w:rPr>
          <w:szCs w:val="32"/>
        </w:rPr>
        <w:t>8</w:t>
      </w:r>
      <w:r>
        <w:t>. </w:t>
      </w:r>
      <w:r w:rsidRPr="009110F7">
        <w:t>Státní rozpočet</w:t>
      </w:r>
      <w:bookmarkEnd w:id="0"/>
    </w:p>
    <w:tbl>
      <w:tblPr>
        <w:tblW w:w="9669" w:type="dxa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2"/>
        <w:gridCol w:w="217"/>
        <w:gridCol w:w="7720"/>
      </w:tblGrid>
      <w:tr w:rsidR="00267C51" w:rsidRPr="003C07E6" w14:paraId="3B13443D" w14:textId="77777777" w:rsidTr="00D932B8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3FC793F2" w14:textId="77777777" w:rsidR="00267C51" w:rsidRDefault="00267C51" w:rsidP="00D932B8">
            <w:pPr>
              <w:pStyle w:val="Marginlie"/>
            </w:pPr>
            <w:r>
              <w:t>Výše loňského deficitu státního rozpočtu i jeho meziroční prohloubení byly v historii samostatné ČR rekordní.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668386ED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5EDC0E08" w14:textId="77777777" w:rsidR="00267C51" w:rsidRPr="00347DD9" w:rsidRDefault="00267C51" w:rsidP="00267C51">
            <w:pPr>
              <w:rPr>
                <w:spacing w:val="-4"/>
              </w:rPr>
            </w:pPr>
            <w:r>
              <w:rPr>
                <w:spacing w:val="-4"/>
              </w:rPr>
              <w:t xml:space="preserve">V roce 2020 skončilo hospodaření státního rozpočtu </w:t>
            </w:r>
            <w:r w:rsidRPr="00347DD9">
              <w:rPr>
                <w:spacing w:val="-4"/>
              </w:rPr>
              <w:t>(SR)</w:t>
            </w:r>
            <w:r w:rsidRPr="00347DD9">
              <w:rPr>
                <w:rStyle w:val="Znakapoznpodarou"/>
                <w:spacing w:val="-4"/>
              </w:rPr>
              <w:footnoteReference w:id="1"/>
            </w:r>
            <w:r>
              <w:rPr>
                <w:spacing w:val="-4"/>
              </w:rPr>
              <w:t xml:space="preserve"> se schodkem ve výši 367,4 mld. korun, jenž byl meziročně o bezmála 340 mld. hlubší. Jeho hodnota i meziroční navýšení neměly v historii samostatné ČR obdobu. Přestože deficitu bylo dosaženo ve všech loňských měsících, na jeho celkové výši se rozhodující měrou podílela protipandemická opatření, která během jarní i podzimní vlny</w:t>
            </w:r>
            <w:r>
              <w:rPr>
                <w:rStyle w:val="Znakapoznpodarou"/>
                <w:spacing w:val="-4"/>
              </w:rPr>
              <w:footnoteReference w:id="2"/>
            </w:r>
            <w:r>
              <w:rPr>
                <w:spacing w:val="-4"/>
              </w:rPr>
              <w:t xml:space="preserve"> zásadně omezila ekonomickou aktivitu zejména v oblasti tržních služeb. To spolu s úlevami </w:t>
            </w:r>
            <w:r w:rsidRPr="00EA32C7">
              <w:rPr>
                <w:spacing w:val="-4"/>
              </w:rPr>
              <w:t>podnikatelským subjektům</w:t>
            </w:r>
            <w:r>
              <w:rPr>
                <w:spacing w:val="-4"/>
              </w:rPr>
              <w:t xml:space="preserve"> vyústilo ve významný pokles daňového inkasa. Zároveň vyvstala akutní potřeba posílení výdajových transferů na podporu zasažených odvětví i samotných pracovníků, ale také na kompenzaci zvýšených nároků zejména v oblasti zdravotní péče.</w:t>
            </w:r>
          </w:p>
        </w:tc>
      </w:tr>
      <w:tr w:rsidR="00267C51" w:rsidRPr="003C07E6" w14:paraId="40269393" w14:textId="77777777" w:rsidTr="00D932B8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6D2DB13F" w14:textId="77777777" w:rsidR="00267C51" w:rsidRDefault="00267C51" w:rsidP="00D932B8">
            <w:pPr>
              <w:pStyle w:val="Marginlie"/>
            </w:pPr>
            <w:r>
              <w:t>Celostátní daňové inkaso se vlivem propadu ve 2. čtvrtletí za celý loňský rok snížilo o 5,7 %.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0CF5BCF8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4A5F2BF8" w14:textId="77777777" w:rsidR="00267C51" w:rsidRPr="00782CBF" w:rsidRDefault="00267C51" w:rsidP="00267C51">
            <w:pPr>
              <w:rPr>
                <w:spacing w:val="-4"/>
              </w:rPr>
            </w:pPr>
            <w:r w:rsidRPr="00782CBF">
              <w:rPr>
                <w:spacing w:val="-4"/>
              </w:rPr>
              <w:t>Po dvou letech silného růstu se v roce 2020 celkové příjmy SR meziročně snížily o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3,1</w:t>
            </w:r>
            <w:r>
              <w:rPr>
                <w:spacing w:val="-4"/>
              </w:rPr>
              <w:t> %</w:t>
            </w:r>
            <w:r w:rsidRPr="00782CBF">
              <w:rPr>
                <w:spacing w:val="-4"/>
              </w:rPr>
              <w:t>. Projevil se citelný výpadek celkových daňových příjmů (ve výši 46,5 mld. korun) i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výběru pojistného na sociální zabezpečení (–11,3</w:t>
            </w:r>
            <w:r>
              <w:rPr>
                <w:spacing w:val="-4"/>
              </w:rPr>
              <w:t> mld.</w:t>
            </w:r>
            <w:r w:rsidRPr="00782CBF">
              <w:rPr>
                <w:spacing w:val="-4"/>
              </w:rPr>
              <w:t>). Souhrnné celostátní inkaso daní (bez pojistného) na úrovni všech veřejných rozpočtů loni poprvé od roku 2009 meziročně kleslo o 5,7 %</w:t>
            </w:r>
            <w:r w:rsidRPr="00782CBF">
              <w:rPr>
                <w:rStyle w:val="Znakapoznpodarou"/>
                <w:spacing w:val="-4"/>
              </w:rPr>
              <w:footnoteReference w:id="3"/>
            </w:r>
            <w:r w:rsidRPr="00782CBF">
              <w:rPr>
                <w:spacing w:val="-4"/>
              </w:rPr>
              <w:t>. Zatímco v 1. čtvrtletí 2020 toto inkaso ještě rostlo (+4,6</w:t>
            </w:r>
            <w:r>
              <w:rPr>
                <w:spacing w:val="-4"/>
              </w:rPr>
              <w:t> %</w:t>
            </w:r>
            <w:r w:rsidRPr="00782CBF">
              <w:rPr>
                <w:spacing w:val="-4"/>
              </w:rPr>
              <w:t>), ve 2. čtvrtletí nastal propad (–12,6 %). V následujícím kvartálu došlo k určité stabilizaci (+1,3 %), která i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přes znovuzavedení protipandemických restrikcí ve zbývající části roku pokračovala (+0,3</w:t>
            </w:r>
            <w:r>
              <w:rPr>
                <w:spacing w:val="-4"/>
              </w:rPr>
              <w:t> %</w:t>
            </w:r>
            <w:r w:rsidRPr="00782CBF">
              <w:rPr>
                <w:spacing w:val="-4"/>
              </w:rPr>
              <w:t>). Příjmovou stránku SR podpořil loni, podobně jako v roce 2019, sílící příliv financí z rozpočtu EU a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převod prostředků z privatizačního účtu.</w:t>
            </w:r>
          </w:p>
        </w:tc>
      </w:tr>
      <w:tr w:rsidR="00267C51" w:rsidRPr="003C07E6" w14:paraId="7A01062C" w14:textId="77777777" w:rsidTr="00D932B8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22F83703" w14:textId="77777777" w:rsidR="00267C51" w:rsidRDefault="00267C51" w:rsidP="00D932B8">
            <w:pPr>
              <w:pStyle w:val="Marginlie"/>
            </w:pPr>
            <w:r>
              <w:t>Celostátní inkaso korporátní daně kleslo loni o osminu, nejvíce od roku 2009.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276321F1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2119E8B4" w14:textId="77777777" w:rsidR="00267C51" w:rsidRPr="00782CBF" w:rsidRDefault="00267C51" w:rsidP="00267C51">
            <w:pPr>
              <w:rPr>
                <w:spacing w:val="-4"/>
              </w:rPr>
            </w:pPr>
            <w:r w:rsidRPr="00782CBF">
              <w:rPr>
                <w:spacing w:val="-4"/>
              </w:rPr>
              <w:t>Na loňském poklesu celkových daňových příjmů SR se nejvíce podepsal propad výběru korporátní daně. Ten byl nižší o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15,1</w:t>
            </w:r>
            <w:r>
              <w:rPr>
                <w:spacing w:val="-4"/>
              </w:rPr>
              <w:t> mld.</w:t>
            </w:r>
            <w:r w:rsidRPr="00782CBF">
              <w:rPr>
                <w:spacing w:val="-4"/>
              </w:rPr>
              <w:t xml:space="preserve"> korun (za rok 2019 rostl o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6,0</w:t>
            </w:r>
            <w:r>
              <w:rPr>
                <w:spacing w:val="-4"/>
              </w:rPr>
              <w:t> mld.</w:t>
            </w:r>
            <w:r w:rsidRPr="00782CBF">
              <w:rPr>
                <w:spacing w:val="-4"/>
              </w:rPr>
              <w:t>). Projevilo se především prominutí červnové daňové zálohy i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možnost individuálního nastavení záloh daně (souhrnný vliv –20,3</w:t>
            </w:r>
            <w:r>
              <w:rPr>
                <w:spacing w:val="-4"/>
              </w:rPr>
              <w:t> mld.</w:t>
            </w:r>
            <w:r w:rsidRPr="00782CBF">
              <w:rPr>
                <w:spacing w:val="-4"/>
              </w:rPr>
              <w:t>). Celostátní inkaso korporátní daně se meziročně snížilo o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12,2</w:t>
            </w:r>
            <w:r>
              <w:rPr>
                <w:spacing w:val="-4"/>
              </w:rPr>
              <w:t> %</w:t>
            </w:r>
            <w:r w:rsidRPr="00782CBF">
              <w:rPr>
                <w:spacing w:val="-4"/>
              </w:rPr>
              <w:t>, tedy více než v roce 2013 (–5,7</w:t>
            </w:r>
            <w:r>
              <w:rPr>
                <w:spacing w:val="-4"/>
              </w:rPr>
              <w:t> %</w:t>
            </w:r>
            <w:r w:rsidRPr="00782CBF">
              <w:rPr>
                <w:spacing w:val="-4"/>
              </w:rPr>
              <w:t>), ale současně mnohem méně než v krizovém roce 2009 (–34,5</w:t>
            </w:r>
            <w:r>
              <w:rPr>
                <w:spacing w:val="-4"/>
              </w:rPr>
              <w:t> %</w:t>
            </w:r>
            <w:r w:rsidRPr="00782CBF">
              <w:rPr>
                <w:spacing w:val="-4"/>
              </w:rPr>
              <w:t>). Pozitivní bylo, že v samotném 4.</w:t>
            </w:r>
            <w:r>
              <w:rPr>
                <w:spacing w:val="-4"/>
              </w:rPr>
              <w:t> čtvrtlet</w:t>
            </w:r>
            <w:r w:rsidRPr="00782CBF">
              <w:rPr>
                <w:spacing w:val="-4"/>
              </w:rPr>
              <w:t>í 2020 vý</w:t>
            </w:r>
            <w:r>
              <w:rPr>
                <w:spacing w:val="-4"/>
              </w:rPr>
              <w:t>běr daně meziročně vzrostl (+16</w:t>
            </w:r>
            <w:r w:rsidRPr="00782CBF">
              <w:rPr>
                <w:spacing w:val="-4"/>
              </w:rPr>
              <w:t> %). To mohlo souviset s oživením průmyslu. Nepříznivé výsledky hospodaření podniků v odvětvích služeb nejvíce zasažených protipandemickými restrikcemi se v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inkasu korporátní daně zatím zdaleka plně neprojevily</w:t>
            </w:r>
            <w:r w:rsidRPr="00782CBF">
              <w:rPr>
                <w:rStyle w:val="Znakapoznpodarou"/>
                <w:spacing w:val="-4"/>
              </w:rPr>
              <w:footnoteReference w:id="4"/>
            </w:r>
            <w:r w:rsidRPr="00782CBF">
              <w:rPr>
                <w:spacing w:val="-4"/>
              </w:rPr>
              <w:t>.</w:t>
            </w:r>
          </w:p>
        </w:tc>
      </w:tr>
      <w:tr w:rsidR="00267C51" w:rsidRPr="003C07E6" w14:paraId="61CA4A11" w14:textId="77777777" w:rsidTr="00D932B8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1456BC73" w14:textId="77777777" w:rsidR="00267C51" w:rsidRDefault="00267C51" w:rsidP="00D932B8">
            <w:pPr>
              <w:pStyle w:val="Marginlie"/>
            </w:pPr>
            <w:r>
              <w:t>Výběr daně z příjmu fyzických osob byl v roce 2020 zásadně ovlivněn vyplacenými kompenzačními bonusy, resp. propadem ve 2. čtvrtletí. Ve 2. polovině roku daňové inkaso mírně rostlo.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5E8841FF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2C58B2A6" w14:textId="77777777" w:rsidR="00267C51" w:rsidRPr="00782CBF" w:rsidRDefault="00267C51" w:rsidP="00267C51">
            <w:pPr>
              <w:rPr>
                <w:spacing w:val="-4"/>
              </w:rPr>
            </w:pPr>
            <w:r w:rsidRPr="00782CBF">
              <w:rPr>
                <w:spacing w:val="-4"/>
              </w:rPr>
              <w:t>Na dani z příjmu fyzických osob (FO) placené plátci získal SR meziročně o 5,3 % (resp. 7,5 mld. korun) méně. Obdobným tempem se snižovalo i celostátní inkaso této daně, které tak kleslo poprvé za posledních jedenáct let</w:t>
            </w:r>
            <w:r w:rsidRPr="00782CBF">
              <w:rPr>
                <w:rStyle w:val="Znakapoznpodarou"/>
                <w:spacing w:val="-4"/>
              </w:rPr>
              <w:footnoteReference w:id="5"/>
            </w:r>
            <w:r w:rsidRPr="00782CBF">
              <w:rPr>
                <w:spacing w:val="-4"/>
              </w:rPr>
              <w:t>. Klíčovou roli zde sehrála přímá podpora formou vyplácení kompenzačních bonusů, zejména OSVČ (v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celkové výši 16,1 mld. korun), projevil se také vyšší počet osob pečujících o dítě v období uzavření škol, pokles zaměstnanosti i nižší dynamika růstu průměrných mezd v ekonomice. Celoroční inkaso bylo zásadně ovlivněno propadem ve 2.</w:t>
            </w:r>
            <w:r>
              <w:rPr>
                <w:spacing w:val="-4"/>
              </w:rPr>
              <w:t> čtvrtlet</w:t>
            </w:r>
            <w:r w:rsidRPr="00782CBF">
              <w:rPr>
                <w:spacing w:val="-4"/>
              </w:rPr>
              <w:t>í 2020, v následujících dvou kvartálech inkaso meziročně mírně rostlo (+4</w:t>
            </w:r>
            <w:r>
              <w:rPr>
                <w:spacing w:val="-4"/>
              </w:rPr>
              <w:t> %</w:t>
            </w:r>
            <w:r w:rsidRPr="00782CBF">
              <w:rPr>
                <w:spacing w:val="-4"/>
              </w:rPr>
              <w:t>). Příjem SR z ostatních daní od FO se v roce 2020 snížil o osminu. Inkaso daně z přiznání (placené poplatníky) bylo nejnižší za poslední čtyři roky (4,6</w:t>
            </w:r>
            <w:r>
              <w:rPr>
                <w:spacing w:val="-4"/>
              </w:rPr>
              <w:t> mld.</w:t>
            </w:r>
            <w:r w:rsidRPr="00782CBF">
              <w:rPr>
                <w:spacing w:val="-4"/>
              </w:rPr>
              <w:t xml:space="preserve"> korun), hlavně vlivem prominutí části záloh daně (popřípadě jejich snížení) a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také opětovným zvýšením výdajových paušálů. Naopak na příjmové dani FO vybírané srážkou získal SR meziročně o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3</w:t>
            </w:r>
            <w:r>
              <w:rPr>
                <w:spacing w:val="-4"/>
              </w:rPr>
              <w:t> %</w:t>
            </w:r>
            <w:r w:rsidRPr="00782CBF">
              <w:rPr>
                <w:spacing w:val="-4"/>
              </w:rPr>
              <w:t xml:space="preserve"> více</w:t>
            </w:r>
            <w:r w:rsidRPr="00782CBF">
              <w:rPr>
                <w:rStyle w:val="Znakapoznpodarou"/>
                <w:spacing w:val="-4"/>
              </w:rPr>
              <w:footnoteReference w:id="6"/>
            </w:r>
            <w:r w:rsidRPr="00782CBF">
              <w:rPr>
                <w:spacing w:val="-4"/>
              </w:rPr>
              <w:t>. Na výši této daně měl vliv počet zkrácených pracovních úvazků (dohod o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provedení práce) a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také celková výše úspor domácností a</w:t>
            </w:r>
            <w:r>
              <w:rPr>
                <w:spacing w:val="-4"/>
              </w:rPr>
              <w:t> </w:t>
            </w:r>
            <w:r w:rsidRPr="00782CBF">
              <w:rPr>
                <w:spacing w:val="-4"/>
              </w:rPr>
              <w:t>změna klientských úrokových sazeb.</w:t>
            </w:r>
          </w:p>
        </w:tc>
      </w:tr>
      <w:tr w:rsidR="00267C51" w:rsidRPr="003C07E6" w14:paraId="4CAF8FCB" w14:textId="77777777" w:rsidTr="00D932B8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28885E1F" w14:textId="77777777" w:rsidR="00267C51" w:rsidRDefault="00267C51" w:rsidP="00D932B8">
            <w:pPr>
              <w:pStyle w:val="Marginlie"/>
            </w:pPr>
            <w:r>
              <w:lastRenderedPageBreak/>
              <w:t>Celostátní inkaso DPH loni mírně kleslo, poprvé od roku 2009.</w:t>
            </w:r>
          </w:p>
          <w:p w14:paraId="128F8CFA" w14:textId="77777777" w:rsidR="00267C51" w:rsidRDefault="00267C51" w:rsidP="00D932B8">
            <w:pPr>
              <w:pStyle w:val="Marginlie"/>
            </w:pPr>
          </w:p>
          <w:p w14:paraId="282011C3" w14:textId="77777777" w:rsidR="00267C51" w:rsidRDefault="00267C51" w:rsidP="00D932B8">
            <w:pPr>
              <w:pStyle w:val="Marginlie"/>
            </w:pPr>
          </w:p>
          <w:p w14:paraId="71562F7E" w14:textId="77777777" w:rsidR="00267C51" w:rsidRDefault="00267C51" w:rsidP="00D932B8">
            <w:pPr>
              <w:pStyle w:val="Marginlie"/>
            </w:pPr>
          </w:p>
          <w:p w14:paraId="1268E3D2" w14:textId="77777777" w:rsidR="00267C51" w:rsidRDefault="00267C51" w:rsidP="00D932B8">
            <w:pPr>
              <w:pStyle w:val="Marginlie"/>
            </w:pPr>
          </w:p>
          <w:p w14:paraId="5CF8AA42" w14:textId="77777777" w:rsidR="00267C51" w:rsidRDefault="00267C51" w:rsidP="00D932B8">
            <w:pPr>
              <w:pStyle w:val="Marginlie"/>
            </w:pPr>
          </w:p>
          <w:p w14:paraId="4AA87DF1" w14:textId="77777777" w:rsidR="00267C51" w:rsidRDefault="00267C51" w:rsidP="00D932B8">
            <w:pPr>
              <w:pStyle w:val="Marginlie"/>
            </w:pPr>
          </w:p>
          <w:p w14:paraId="3CF469D5" w14:textId="77777777" w:rsidR="00267C51" w:rsidRDefault="00267C51" w:rsidP="00D932B8">
            <w:pPr>
              <w:pStyle w:val="Marginlie"/>
            </w:pPr>
          </w:p>
          <w:p w14:paraId="078CDDB5" w14:textId="77777777" w:rsidR="00267C51" w:rsidRDefault="00267C51" w:rsidP="00D932B8">
            <w:pPr>
              <w:pStyle w:val="Marginlie"/>
            </w:pPr>
            <w:r>
              <w:t>Za poklesem inkasa spotřební daně stály nižší přepravní výkony, útlum turistického ruchu i opakované uzavírky pohostinských zařízení.</w:t>
            </w:r>
          </w:p>
          <w:p w14:paraId="42222D9D" w14:textId="77777777" w:rsidR="00267C51" w:rsidRDefault="00267C51" w:rsidP="00D932B8">
            <w:pPr>
              <w:pStyle w:val="Marginlie"/>
            </w:pP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343CB71A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18493CD6" w14:textId="77777777" w:rsidR="00267C51" w:rsidRPr="00F033DA" w:rsidRDefault="00267C51" w:rsidP="00E97F14">
            <w:pPr>
              <w:spacing w:after="200"/>
              <w:rPr>
                <w:spacing w:val="-5"/>
              </w:rPr>
            </w:pPr>
            <w:r w:rsidRPr="00F033DA">
              <w:rPr>
                <w:spacing w:val="-5"/>
              </w:rPr>
              <w:t>Celkové příjmy SR byly v roce 2020 negativně ovlivněny i</w:t>
            </w:r>
            <w:r>
              <w:rPr>
                <w:spacing w:val="-5"/>
              </w:rPr>
              <w:t> </w:t>
            </w:r>
            <w:r w:rsidRPr="00F033DA">
              <w:rPr>
                <w:spacing w:val="-5"/>
              </w:rPr>
              <w:t>propadem výběru majetkových daní (vlivem zrušení daně z nabytí nemovitých věcí s dopadem –11</w:t>
            </w:r>
            <w:r>
              <w:rPr>
                <w:spacing w:val="-5"/>
              </w:rPr>
              <w:t> mld.</w:t>
            </w:r>
            <w:r w:rsidRPr="00F033DA">
              <w:rPr>
                <w:spacing w:val="-5"/>
              </w:rPr>
              <w:t xml:space="preserve"> korun). Naopak vliv </w:t>
            </w:r>
            <w:r w:rsidRPr="00F033DA">
              <w:rPr>
                <w:color w:val="0D0D0D" w:themeColor="text1" w:themeTint="F2"/>
                <w:spacing w:val="-5"/>
              </w:rPr>
              <w:t xml:space="preserve">nepřímých daní </w:t>
            </w:r>
            <w:r w:rsidRPr="00F033DA">
              <w:rPr>
                <w:spacing w:val="-5"/>
              </w:rPr>
              <w:t>byl loni menší. Z váhově dominantní daně – DPH – plynulo do SR meziročně o 1,2 % (resp. o 3,5 mld. korun) méně. K</w:t>
            </w:r>
            <w:r>
              <w:rPr>
                <w:spacing w:val="-5"/>
              </w:rPr>
              <w:t> </w:t>
            </w:r>
            <w:r w:rsidRPr="00F033DA">
              <w:rPr>
                <w:spacing w:val="-5"/>
              </w:rPr>
              <w:t>celoročnímu poklesu výběru daně (na úrovni všech veřejných rozpočtů) došlo naposledy v roce 2009. Loňské inkaso bylo kromě omezení provozoven ovlivněno i</w:t>
            </w:r>
            <w:r>
              <w:rPr>
                <w:spacing w:val="-5"/>
              </w:rPr>
              <w:t> </w:t>
            </w:r>
            <w:r w:rsidRPr="00F033DA">
              <w:rPr>
                <w:spacing w:val="-5"/>
              </w:rPr>
              <w:t>snížením sazeb daně u</w:t>
            </w:r>
            <w:r>
              <w:rPr>
                <w:spacing w:val="-5"/>
              </w:rPr>
              <w:t> </w:t>
            </w:r>
            <w:r w:rsidRPr="00F033DA">
              <w:rPr>
                <w:spacing w:val="-5"/>
              </w:rPr>
              <w:t>některých služeb (např. ve stravování). Maloobchodní tržby v běžných cenách oproti roku 2019 nepatrně rostly (+0,3</w:t>
            </w:r>
            <w:r>
              <w:rPr>
                <w:spacing w:val="-5"/>
              </w:rPr>
              <w:t> %</w:t>
            </w:r>
            <w:r w:rsidRPr="00F033DA">
              <w:rPr>
                <w:spacing w:val="-5"/>
              </w:rPr>
              <w:t xml:space="preserve">). Celkové loňské inkaso SR </w:t>
            </w:r>
            <w:r w:rsidRPr="00F033DA">
              <w:rPr>
                <w:color w:val="0D0D0D" w:themeColor="text1" w:themeTint="F2"/>
                <w:spacing w:val="-5"/>
              </w:rPr>
              <w:t>ze spotřebních daní se snížilo o 2,5 % (resp. o 4 mld. korun), a</w:t>
            </w:r>
            <w:r>
              <w:rPr>
                <w:color w:val="0D0D0D" w:themeColor="text1" w:themeTint="F2"/>
                <w:spacing w:val="-5"/>
              </w:rPr>
              <w:t> </w:t>
            </w:r>
            <w:r w:rsidRPr="00F033DA">
              <w:rPr>
                <w:color w:val="0D0D0D" w:themeColor="text1" w:themeTint="F2"/>
                <w:spacing w:val="-5"/>
              </w:rPr>
              <w:t>to vinou meziročního výpadku ve 2. i</w:t>
            </w:r>
            <w:r>
              <w:rPr>
                <w:color w:val="0D0D0D" w:themeColor="text1" w:themeTint="F2"/>
                <w:spacing w:val="-5"/>
              </w:rPr>
              <w:t> </w:t>
            </w:r>
            <w:r w:rsidRPr="00F033DA">
              <w:rPr>
                <w:color w:val="0D0D0D" w:themeColor="text1" w:themeTint="F2"/>
                <w:spacing w:val="-5"/>
              </w:rPr>
              <w:t>4.</w:t>
            </w:r>
            <w:r>
              <w:rPr>
                <w:color w:val="0D0D0D" w:themeColor="text1" w:themeTint="F2"/>
                <w:spacing w:val="-5"/>
              </w:rPr>
              <w:t> čtvrtlet</w:t>
            </w:r>
            <w:r w:rsidRPr="00F033DA">
              <w:rPr>
                <w:color w:val="0D0D0D" w:themeColor="text1" w:themeTint="F2"/>
                <w:spacing w:val="-5"/>
              </w:rPr>
              <w:t>í (o</w:t>
            </w:r>
            <w:r>
              <w:rPr>
                <w:color w:val="0D0D0D" w:themeColor="text1" w:themeTint="F2"/>
                <w:spacing w:val="-5"/>
              </w:rPr>
              <w:t> </w:t>
            </w:r>
            <w:r w:rsidRPr="00F033DA">
              <w:rPr>
                <w:color w:val="0D0D0D" w:themeColor="text1" w:themeTint="F2"/>
                <w:spacing w:val="-5"/>
              </w:rPr>
              <w:t>18,3</w:t>
            </w:r>
            <w:r>
              <w:rPr>
                <w:color w:val="0D0D0D" w:themeColor="text1" w:themeTint="F2"/>
                <w:spacing w:val="-5"/>
              </w:rPr>
              <w:t> %</w:t>
            </w:r>
            <w:r w:rsidRPr="00F033DA">
              <w:rPr>
                <w:color w:val="0D0D0D" w:themeColor="text1" w:themeTint="F2"/>
                <w:spacing w:val="-5"/>
              </w:rPr>
              <w:t>, resp. 3,2</w:t>
            </w:r>
            <w:r>
              <w:rPr>
                <w:color w:val="0D0D0D" w:themeColor="text1" w:themeTint="F2"/>
                <w:spacing w:val="-5"/>
              </w:rPr>
              <w:t> %</w:t>
            </w:r>
            <w:r w:rsidRPr="00F033DA">
              <w:rPr>
                <w:color w:val="0D0D0D" w:themeColor="text1" w:themeTint="F2"/>
                <w:spacing w:val="-5"/>
              </w:rPr>
              <w:t>).</w:t>
            </w:r>
            <w:r w:rsidRPr="00F033DA">
              <w:rPr>
                <w:spacing w:val="-5"/>
              </w:rPr>
              <w:t xml:space="preserve"> Citelná redukce přepravních výkonů (včetně tranzitní dopravy) se za celý rok 2020 odrazila v</w:t>
            </w:r>
            <w:r>
              <w:rPr>
                <w:spacing w:val="-5"/>
              </w:rPr>
              <w:t> </w:t>
            </w:r>
            <w:r w:rsidRPr="00F033DA">
              <w:rPr>
                <w:spacing w:val="-5"/>
              </w:rPr>
              <w:t>8,2% propadu inkasa daně z minerálních olejů. K poklesu výběru této daně došlo poprvé od roku 2013. Vloni klesl i</w:t>
            </w:r>
            <w:r>
              <w:rPr>
                <w:spacing w:val="-5"/>
              </w:rPr>
              <w:t> </w:t>
            </w:r>
            <w:r w:rsidRPr="00F033DA">
              <w:rPr>
                <w:spacing w:val="-5"/>
              </w:rPr>
              <w:t>výběr daně z lihu (–5,7</w:t>
            </w:r>
            <w:r>
              <w:rPr>
                <w:spacing w:val="-5"/>
              </w:rPr>
              <w:t> %</w:t>
            </w:r>
            <w:r w:rsidRPr="00F033DA">
              <w:rPr>
                <w:spacing w:val="-5"/>
              </w:rPr>
              <w:t>), a</w:t>
            </w:r>
            <w:r>
              <w:rPr>
                <w:spacing w:val="-5"/>
              </w:rPr>
              <w:t> </w:t>
            </w:r>
            <w:r w:rsidRPr="00F033DA">
              <w:rPr>
                <w:spacing w:val="-5"/>
              </w:rPr>
              <w:t>to navzdory zvýšení daňové sazby. Jako klíčová se totiž ukázala opakovaná uzavření pohostinských zařízení umocněná utlumeným příjezdovým cestovním ruchem po převažující část roku. Podobné faktory působily loni i</w:t>
            </w:r>
            <w:r>
              <w:rPr>
                <w:spacing w:val="-5"/>
              </w:rPr>
              <w:t> </w:t>
            </w:r>
            <w:r w:rsidRPr="00F033DA">
              <w:rPr>
                <w:spacing w:val="-5"/>
              </w:rPr>
              <w:t>na výběr daně z tabákových výrobků, který sice rostl (+6,4</w:t>
            </w:r>
            <w:r>
              <w:rPr>
                <w:spacing w:val="-5"/>
              </w:rPr>
              <w:t> %</w:t>
            </w:r>
            <w:r w:rsidRPr="00F033DA">
              <w:rPr>
                <w:spacing w:val="-5"/>
              </w:rPr>
              <w:t>), ale i</w:t>
            </w:r>
            <w:r>
              <w:rPr>
                <w:spacing w:val="-5"/>
              </w:rPr>
              <w:t> </w:t>
            </w:r>
            <w:r w:rsidRPr="00F033DA">
              <w:rPr>
                <w:spacing w:val="-5"/>
              </w:rPr>
              <w:t>tak původní rozpočtová očekávání nenaplnil.</w:t>
            </w:r>
          </w:p>
        </w:tc>
      </w:tr>
      <w:tr w:rsidR="00267C51" w:rsidRPr="00F704D2" w14:paraId="6427697B" w14:textId="77777777" w:rsidTr="00D932B8">
        <w:trPr>
          <w:trHeight w:val="170"/>
        </w:trPr>
        <w:tc>
          <w:tcPr>
            <w:tcW w:w="1732" w:type="dxa"/>
            <w:vMerge w:val="restart"/>
            <w:shd w:val="clear" w:color="auto" w:fill="auto"/>
            <w:tcMar>
              <w:left w:w="0" w:type="dxa"/>
            </w:tcMar>
          </w:tcPr>
          <w:p w14:paraId="062C457A" w14:textId="77777777" w:rsidR="00267C51" w:rsidRDefault="00267C51" w:rsidP="00D932B8">
            <w:pPr>
              <w:pStyle w:val="Marginlie"/>
            </w:pPr>
          </w:p>
        </w:tc>
        <w:tc>
          <w:tcPr>
            <w:tcW w:w="217" w:type="dxa"/>
            <w:vMerge w:val="restart"/>
            <w:shd w:val="clear" w:color="auto" w:fill="auto"/>
            <w:tcMar>
              <w:left w:w="0" w:type="dxa"/>
            </w:tcMar>
          </w:tcPr>
          <w:p w14:paraId="6B720DEB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118CDDD8" w14:textId="75882A47" w:rsidR="00267C51" w:rsidRPr="00B80CE9" w:rsidRDefault="00B026FE" w:rsidP="00D932B8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 č. 17</w:t>
            </w:r>
            <w:r w:rsidR="00267C51" w:rsidRPr="00B80CE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267C51">
              <w:rPr>
                <w:rFonts w:cs="Arial"/>
                <w:b/>
                <w:bCs/>
              </w:rPr>
              <w:t>Celostátní inkaso</w:t>
            </w:r>
            <w:r w:rsidR="00267C51" w:rsidRPr="00B80CE9">
              <w:rPr>
                <w:rFonts w:cs="Arial"/>
                <w:b/>
                <w:bCs/>
              </w:rPr>
              <w:t xml:space="preserve"> vybraných daňových příjmů </w:t>
            </w:r>
            <w:r w:rsidR="00267C51" w:rsidRPr="00B80CE9">
              <w:rPr>
                <w:rFonts w:cs="Arial"/>
                <w:bCs/>
              </w:rPr>
              <w:t>(</w:t>
            </w:r>
            <w:r w:rsidR="00267C51" w:rsidRPr="00B80CE9">
              <w:t>meziročně</w:t>
            </w:r>
            <w:r w:rsidR="00267C51" w:rsidRPr="00B80CE9">
              <w:rPr>
                <w:bCs/>
              </w:rPr>
              <w:t xml:space="preserve"> v %)</w:t>
            </w:r>
            <w:r w:rsidR="00267C51" w:rsidRPr="00B80CE9">
              <w:rPr>
                <w:bCs/>
              </w:rPr>
              <w:br/>
            </w:r>
            <w:r w:rsidR="00267C51" w:rsidRPr="00B80CE9">
              <w:rPr>
                <w:rFonts w:cs="Arial"/>
                <w:b/>
                <w:bCs/>
              </w:rPr>
              <w:t>a saldo státního rozpočtu</w:t>
            </w:r>
            <w:r w:rsidR="00267C51" w:rsidRPr="00B80CE9">
              <w:t xml:space="preserve"> </w:t>
            </w:r>
            <w:r w:rsidR="00267C51">
              <w:rPr>
                <w:rFonts w:cs="Arial"/>
                <w:bCs/>
              </w:rPr>
              <w:t>(v mld. korun, pravá osa</w:t>
            </w:r>
            <w:r w:rsidR="00267C51" w:rsidRPr="00B80CE9">
              <w:rPr>
                <w:rFonts w:cs="Arial"/>
                <w:bCs/>
              </w:rPr>
              <w:t>)</w:t>
            </w:r>
          </w:p>
        </w:tc>
      </w:tr>
      <w:tr w:rsidR="00267C51" w14:paraId="473021DA" w14:textId="77777777" w:rsidTr="00D932B8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732" w:type="dxa"/>
            <w:vMerge/>
            <w:shd w:val="clear" w:color="auto" w:fill="auto"/>
          </w:tcPr>
          <w:p w14:paraId="57066E7F" w14:textId="77777777" w:rsidR="00267C51" w:rsidRDefault="00267C51" w:rsidP="00D932B8">
            <w:pPr>
              <w:pStyle w:val="Marginlie"/>
            </w:pPr>
          </w:p>
        </w:tc>
        <w:tc>
          <w:tcPr>
            <w:tcW w:w="217" w:type="dxa"/>
            <w:vMerge/>
            <w:shd w:val="clear" w:color="auto" w:fill="auto"/>
          </w:tcPr>
          <w:p w14:paraId="2CC9DDAC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</w:tcPr>
          <w:p w14:paraId="5749D9AA" w14:textId="77777777" w:rsidR="00267C51" w:rsidRPr="0067514E" w:rsidRDefault="00267C51" w:rsidP="00E97F14">
            <w:pPr>
              <w:spacing w:after="0" w:line="240" w:lineRule="auto"/>
              <w:rPr>
                <w:spacing w:val="-6"/>
              </w:rPr>
            </w:pPr>
            <w:r>
              <w:rPr>
                <w:noProof/>
              </w:rPr>
              <w:drawing>
                <wp:inline distT="0" distB="0" distL="0" distR="0" wp14:anchorId="47E50677" wp14:editId="4D8D8893">
                  <wp:extent cx="4741545" cy="3163936"/>
                  <wp:effectExtent l="0" t="0" r="1905" b="0"/>
                  <wp:docPr id="4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267C51" w:rsidRPr="007B3A78" w14:paraId="020F4B67" w14:textId="77777777" w:rsidTr="00D932B8">
        <w:trPr>
          <w:trHeight w:val="170"/>
        </w:trPr>
        <w:tc>
          <w:tcPr>
            <w:tcW w:w="1732" w:type="dxa"/>
            <w:vMerge/>
            <w:shd w:val="clear" w:color="auto" w:fill="auto"/>
            <w:tcMar>
              <w:left w:w="0" w:type="dxa"/>
            </w:tcMar>
          </w:tcPr>
          <w:p w14:paraId="1C8F92E5" w14:textId="77777777" w:rsidR="00267C51" w:rsidRDefault="00267C51" w:rsidP="00D932B8">
            <w:pPr>
              <w:pStyle w:val="Marginlie"/>
            </w:pPr>
          </w:p>
        </w:tc>
        <w:tc>
          <w:tcPr>
            <w:tcW w:w="217" w:type="dxa"/>
            <w:vMerge/>
            <w:shd w:val="clear" w:color="auto" w:fill="auto"/>
            <w:tcMar>
              <w:left w:w="0" w:type="dxa"/>
            </w:tcMar>
          </w:tcPr>
          <w:p w14:paraId="4B0327D8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531C5C57" w14:textId="77777777" w:rsidR="00267C51" w:rsidRPr="00E52D45" w:rsidRDefault="00267C51" w:rsidP="00267C51">
            <w:pPr>
              <w:spacing w:line="240" w:lineRule="auto"/>
              <w:jc w:val="left"/>
              <w:rPr>
                <w:spacing w:val="-2"/>
                <w:sz w:val="14"/>
                <w:szCs w:val="14"/>
              </w:rPr>
            </w:pPr>
            <w:r w:rsidRPr="00E52D45">
              <w:rPr>
                <w:spacing w:val="-2"/>
                <w:sz w:val="14"/>
                <w:szCs w:val="14"/>
              </w:rPr>
              <w:t>*Saldo očištěné o prostředky na programy a projekty z rozpočtu EU (vč</w:t>
            </w:r>
            <w:r>
              <w:rPr>
                <w:spacing w:val="-2"/>
                <w:sz w:val="14"/>
                <w:szCs w:val="14"/>
              </w:rPr>
              <w:t xml:space="preserve">etně </w:t>
            </w:r>
            <w:r w:rsidRPr="00E52D45">
              <w:rPr>
                <w:spacing w:val="-2"/>
                <w:sz w:val="14"/>
                <w:szCs w:val="14"/>
              </w:rPr>
              <w:t xml:space="preserve">finančních mechanismů), které byly předfinancovány ze SR a následně jsou propláceny z rozpočtů EU a FM. </w:t>
            </w:r>
            <w:r>
              <w:rPr>
                <w:spacing w:val="-2"/>
                <w:sz w:val="14"/>
                <w:szCs w:val="14"/>
              </w:rPr>
              <w:t xml:space="preserve">                                                                  </w:t>
            </w:r>
            <w:r w:rsidRPr="00E52D45">
              <w:rPr>
                <w:spacing w:val="-2"/>
                <w:sz w:val="14"/>
                <w:szCs w:val="14"/>
              </w:rPr>
              <w:t>Zdroj: MF ČR</w:t>
            </w:r>
          </w:p>
        </w:tc>
      </w:tr>
      <w:tr w:rsidR="00267C51" w:rsidRPr="008266F0" w14:paraId="7363DA49" w14:textId="77777777" w:rsidTr="00D932B8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1FCC6112" w14:textId="77777777" w:rsidR="00267C51" w:rsidRDefault="00267C51" w:rsidP="00D932B8">
            <w:pPr>
              <w:pStyle w:val="Marginlie"/>
            </w:pPr>
            <w:r>
              <w:t>Tempo růstu výdajů SR loni akcelerovalo na rekordních 18,8 %.</w:t>
            </w:r>
          </w:p>
          <w:p w14:paraId="7EB4C149" w14:textId="77777777" w:rsidR="00267C51" w:rsidRDefault="00267C51" w:rsidP="00D932B8">
            <w:pPr>
              <w:pStyle w:val="Marginlie"/>
            </w:pPr>
          </w:p>
          <w:p w14:paraId="776804E1" w14:textId="77777777" w:rsidR="00267C51" w:rsidRDefault="00267C51" w:rsidP="00D932B8">
            <w:pPr>
              <w:pStyle w:val="Marginlie"/>
            </w:pPr>
          </w:p>
          <w:p w14:paraId="6C901336" w14:textId="77777777" w:rsidR="00267C51" w:rsidRDefault="00267C51" w:rsidP="00D932B8">
            <w:pPr>
              <w:pStyle w:val="Marginlie"/>
            </w:pPr>
          </w:p>
          <w:p w14:paraId="6E3DF8F9" w14:textId="77777777" w:rsidR="00267C51" w:rsidRDefault="00267C51" w:rsidP="00D932B8">
            <w:pPr>
              <w:pStyle w:val="Marginlie"/>
            </w:pPr>
            <w:r>
              <w:t>Více než polovina meziročního přírůstku běžných výdajů úzce souvisela s protipandemickými opatřeními.</w:t>
            </w:r>
          </w:p>
          <w:p w14:paraId="5A855A1F" w14:textId="77777777" w:rsidR="00267C51" w:rsidRDefault="00267C51" w:rsidP="00D932B8">
            <w:pPr>
              <w:pStyle w:val="Marginlie"/>
            </w:pPr>
            <w:r>
              <w:lastRenderedPageBreak/>
              <w:t>Svižně rostly i výdaje na platy, zejména v základním a středním školství. Projevilo se i jejich mimořádné posílení ve zdravotnictví.</w:t>
            </w:r>
          </w:p>
          <w:p w14:paraId="48DF463B" w14:textId="77777777" w:rsidR="00267C51" w:rsidRDefault="00267C51" w:rsidP="00D932B8">
            <w:pPr>
              <w:pStyle w:val="Marginlie"/>
            </w:pP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38961FA6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7248F174" w14:textId="77777777" w:rsidR="00267C51" w:rsidRPr="00456B08" w:rsidRDefault="00267C51" w:rsidP="00267C51">
            <w:pPr>
              <w:rPr>
                <w:spacing w:val="-5"/>
              </w:rPr>
            </w:pPr>
            <w:r w:rsidRPr="00456B08">
              <w:rPr>
                <w:spacing w:val="-5"/>
              </w:rPr>
              <w:t>Celkové výdaje SR meziročně vzrostly o 18,8 % (resp. 291 mld. korun), rekordním tempem v současném miléniu. Výdaje převýšily původní rozpočtová očekávání o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>225</w:t>
            </w:r>
            <w:r>
              <w:rPr>
                <w:spacing w:val="-5"/>
              </w:rPr>
              <w:t> mld.</w:t>
            </w:r>
            <w:r w:rsidRPr="00456B08">
              <w:rPr>
                <w:spacing w:val="-5"/>
              </w:rPr>
              <w:t xml:space="preserve"> Tempo výdajů sílilo čtvrtým rokem v řadě. K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>růstu loni přispěly hlavně běžné výdaje (+258 mld.). Více než polovina z jejich přírůstku šla na vrub výdajů spojených s kompenzačními opatřeními (podnikům, jednotlivcům i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>obcím) či podporou zatíženého zdravotního i sociálního systému</w:t>
            </w:r>
            <w:r w:rsidRPr="00456B08">
              <w:rPr>
                <w:rStyle w:val="Znakapoznpodarou"/>
                <w:spacing w:val="-5"/>
              </w:rPr>
              <w:footnoteReference w:id="7"/>
            </w:r>
            <w:r w:rsidRPr="00456B08">
              <w:rPr>
                <w:spacing w:val="-5"/>
              </w:rPr>
              <w:t>. Meziroční tempo růstu běžných výdajů v průběhu roku sílilo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 xml:space="preserve">– </w:t>
            </w:r>
            <w:r>
              <w:rPr>
                <w:spacing w:val="-5"/>
              </w:rPr>
              <w:t>z 12,4 % v 1. čtvrtletí na 24,5</w:t>
            </w:r>
            <w:r>
              <w:rPr>
                <w:spacing w:val="-4"/>
              </w:rPr>
              <w:t> </w:t>
            </w:r>
            <w:r w:rsidRPr="00456B08">
              <w:rPr>
                <w:spacing w:val="-5"/>
              </w:rPr>
              <w:t xml:space="preserve">% v poslední čtvrtině roku. Z běžných výdajů za celý rok 2020 </w:t>
            </w:r>
            <w:r>
              <w:rPr>
                <w:spacing w:val="-5"/>
              </w:rPr>
              <w:t>nejvíce vzrostl</w:t>
            </w:r>
            <w:r w:rsidRPr="00456B08">
              <w:rPr>
                <w:spacing w:val="-5"/>
              </w:rPr>
              <w:t xml:space="preserve">y </w:t>
            </w:r>
            <w:r w:rsidRPr="00456B08">
              <w:rPr>
                <w:color w:val="0D0D0D" w:themeColor="text1" w:themeTint="F2"/>
                <w:spacing w:val="-5"/>
              </w:rPr>
              <w:t>neinvestiční transfery podnikatelským subjektům (+</w:t>
            </w:r>
            <w:r w:rsidRPr="00456B08">
              <w:rPr>
                <w:spacing w:val="-5"/>
              </w:rPr>
              <w:t>84 %, resp. 49</w:t>
            </w:r>
            <w:r>
              <w:rPr>
                <w:spacing w:val="-5"/>
              </w:rPr>
              <w:t> mld.</w:t>
            </w:r>
            <w:r w:rsidRPr="00456B08">
              <w:rPr>
                <w:spacing w:val="-5"/>
              </w:rPr>
              <w:t xml:space="preserve"> korun), v nichž se soustřeďovala významná část protipandemických podpůrných opatření (náhrada části mezd zaměstnanců v rámci programu Antivirus, podpora firem v nejvíce zasažených odvětvích, mimořádný mzdový růst v soukromých nemocnicích). Vzrostly i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 xml:space="preserve">běžné transfery územním rozpočtům </w:t>
            </w:r>
            <w:r w:rsidRPr="00456B08">
              <w:rPr>
                <w:spacing w:val="-5"/>
              </w:rPr>
              <w:lastRenderedPageBreak/>
              <w:t>(+40</w:t>
            </w:r>
            <w:r>
              <w:rPr>
                <w:spacing w:val="-5"/>
              </w:rPr>
              <w:t> mld.</w:t>
            </w:r>
            <w:r w:rsidRPr="00456B08">
              <w:rPr>
                <w:spacing w:val="-5"/>
              </w:rPr>
              <w:t>)</w:t>
            </w:r>
            <w:r>
              <w:rPr>
                <w:spacing w:val="-5"/>
              </w:rPr>
              <w:t>,</w:t>
            </w:r>
            <w:r w:rsidRPr="00456B08">
              <w:rPr>
                <w:spacing w:val="-5"/>
              </w:rPr>
              <w:t xml:space="preserve"> primárně díky plánovanému navýšení výdajů na platy pracovníků základního a středního školství a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>též v oblasti sociální péče. Projevil</w:t>
            </w:r>
            <w:r>
              <w:rPr>
                <w:spacing w:val="-5"/>
              </w:rPr>
              <w:t>o</w:t>
            </w:r>
            <w:r w:rsidRPr="00456B08">
              <w:rPr>
                <w:spacing w:val="-5"/>
              </w:rPr>
              <w:t xml:space="preserve"> se ale i</w:t>
            </w:r>
            <w:r>
              <w:rPr>
                <w:spacing w:val="-5"/>
              </w:rPr>
              <w:t xml:space="preserve"> poskytování </w:t>
            </w:r>
            <w:r w:rsidRPr="00456B08">
              <w:rPr>
                <w:spacing w:val="-5"/>
              </w:rPr>
              <w:t>mimořád</w:t>
            </w:r>
            <w:r>
              <w:rPr>
                <w:spacing w:val="-5"/>
              </w:rPr>
              <w:t>ného příspěv</w:t>
            </w:r>
            <w:r w:rsidRPr="00456B08">
              <w:rPr>
                <w:spacing w:val="-5"/>
              </w:rPr>
              <w:t>k</w:t>
            </w:r>
            <w:r>
              <w:rPr>
                <w:spacing w:val="-5"/>
              </w:rPr>
              <w:t>u</w:t>
            </w:r>
            <w:r w:rsidRPr="00456B08">
              <w:rPr>
                <w:spacing w:val="-5"/>
              </w:rPr>
              <w:t xml:space="preserve"> obcím na zmírnění dopadů poklesu daňových příjmů. Do fondů</w:t>
            </w:r>
            <w:r>
              <w:rPr>
                <w:spacing w:val="-5"/>
              </w:rPr>
              <w:t xml:space="preserve"> sociálního a</w:t>
            </w:r>
            <w:r w:rsidRPr="00456B08">
              <w:rPr>
                <w:spacing w:val="-5"/>
              </w:rPr>
              <w:t> veřejného zdravotního pojištění putovalo meziročně o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>25</w:t>
            </w:r>
            <w:r>
              <w:rPr>
                <w:spacing w:val="-5"/>
              </w:rPr>
              <w:t> mld.</w:t>
            </w:r>
            <w:r w:rsidRPr="00456B08">
              <w:rPr>
                <w:spacing w:val="-5"/>
              </w:rPr>
              <w:t xml:space="preserve"> více, zejména zásluhou navýšení plateb za tzv. státní pojištěnce. Shodně o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>15</w:t>
            </w:r>
            <w:r>
              <w:rPr>
                <w:spacing w:val="-5"/>
              </w:rPr>
              <w:t> mld.</w:t>
            </w:r>
            <w:r w:rsidRPr="00456B08">
              <w:rPr>
                <w:spacing w:val="-5"/>
              </w:rPr>
              <w:t xml:space="preserve"> posílily běžné výdaje na státní fondy (především do dopravní infrastruktury a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>zemědělství) i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 xml:space="preserve">na příspěvkové organizace (oddlužení </w:t>
            </w:r>
            <w:r>
              <w:rPr>
                <w:spacing w:val="-5"/>
              </w:rPr>
              <w:t>vybraných nemocnic a také mimořádné navýšení</w:t>
            </w:r>
            <w:r w:rsidRPr="00456B08">
              <w:rPr>
                <w:spacing w:val="-5"/>
              </w:rPr>
              <w:t xml:space="preserve"> mzdových výdajů v lůžkové nemocniční péči). S protipandemickými opatřeními souvisely i</w:t>
            </w:r>
            <w:r>
              <w:rPr>
                <w:spacing w:val="-5"/>
              </w:rPr>
              <w:t> </w:t>
            </w:r>
            <w:r w:rsidRPr="00456B08">
              <w:rPr>
                <w:spacing w:val="-5"/>
              </w:rPr>
              <w:t>vyšší výdaje na neinvestiční nákupy</w:t>
            </w:r>
            <w:r w:rsidRPr="00456B08">
              <w:rPr>
                <w:rStyle w:val="Znakapoznpodarou"/>
                <w:spacing w:val="-5"/>
              </w:rPr>
              <w:footnoteReference w:id="8"/>
            </w:r>
            <w:r w:rsidRPr="00456B08">
              <w:rPr>
                <w:spacing w:val="-5"/>
              </w:rPr>
              <w:t xml:space="preserve"> (+11</w:t>
            </w:r>
            <w:r>
              <w:rPr>
                <w:spacing w:val="-5"/>
              </w:rPr>
              <w:t> mld.</w:t>
            </w:r>
            <w:r w:rsidRPr="00456B08">
              <w:rPr>
                <w:spacing w:val="-5"/>
              </w:rPr>
              <w:t>), primárně na pořízení ochranných pomůcek. Vyšší výdaje na platy v organizačních složkách státu (+6</w:t>
            </w:r>
            <w:r>
              <w:rPr>
                <w:spacing w:val="-5"/>
              </w:rPr>
              <w:t> mld.</w:t>
            </w:r>
            <w:r w:rsidRPr="00456B08">
              <w:rPr>
                <w:spacing w:val="-5"/>
              </w:rPr>
              <w:t xml:space="preserve">) zčásti souvisely </w:t>
            </w:r>
            <w:r>
              <w:rPr>
                <w:spacing w:val="-5"/>
              </w:rPr>
              <w:t>s </w:t>
            </w:r>
            <w:r w:rsidRPr="00456B08">
              <w:rPr>
                <w:spacing w:val="-5"/>
              </w:rPr>
              <w:t>vyššími pracovními výkony ve vybraných oblastech (policie, armáda, hygienické stanice). Více</w:t>
            </w:r>
            <w:r>
              <w:rPr>
                <w:spacing w:val="-5"/>
              </w:rPr>
              <w:t xml:space="preserve"> než o pětinu vzrostly odv</w:t>
            </w:r>
            <w:r w:rsidRPr="00456B08">
              <w:rPr>
                <w:spacing w:val="-5"/>
              </w:rPr>
              <w:t>ody vlastních zdrojů SR do rozpočtu EU (na 54</w:t>
            </w:r>
            <w:r>
              <w:rPr>
                <w:spacing w:val="-5"/>
              </w:rPr>
              <w:t> mld.</w:t>
            </w:r>
            <w:r w:rsidRPr="00456B08">
              <w:rPr>
                <w:spacing w:val="-5"/>
              </w:rPr>
              <w:t xml:space="preserve"> korun).</w:t>
            </w:r>
          </w:p>
        </w:tc>
      </w:tr>
      <w:tr w:rsidR="00267C51" w:rsidRPr="008266F0" w14:paraId="6F20FF62" w14:textId="77777777" w:rsidTr="00D932B8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58BA1921" w14:textId="77777777" w:rsidR="00267C51" w:rsidRDefault="00267C51" w:rsidP="00D932B8">
            <w:pPr>
              <w:pStyle w:val="Marginlie"/>
            </w:pPr>
            <w:r>
              <w:lastRenderedPageBreak/>
              <w:t>Tempo růstu výdajů na sociální dávky posílilo. Jejich podíl na všech výdajích SR ale klesl čtvrtým rokem v řadě.</w:t>
            </w:r>
          </w:p>
          <w:p w14:paraId="7662F581" w14:textId="77777777" w:rsidR="00267C51" w:rsidRDefault="00267C51" w:rsidP="00D932B8">
            <w:pPr>
              <w:pStyle w:val="Marginlie"/>
            </w:pPr>
          </w:p>
          <w:p w14:paraId="4D7152FE" w14:textId="77777777" w:rsidR="00267C51" w:rsidRDefault="00267C51" w:rsidP="00D932B8">
            <w:pPr>
              <w:pStyle w:val="Marginlie"/>
            </w:pPr>
          </w:p>
          <w:p w14:paraId="0F89C14E" w14:textId="77777777" w:rsidR="00267C51" w:rsidRDefault="00267C51" w:rsidP="00D932B8">
            <w:pPr>
              <w:pStyle w:val="Marginlie"/>
            </w:pPr>
          </w:p>
          <w:p w14:paraId="32C97772" w14:textId="77777777" w:rsidR="00267C51" w:rsidRDefault="00267C51" w:rsidP="00D932B8">
            <w:pPr>
              <w:pStyle w:val="Marginlie"/>
            </w:pPr>
          </w:p>
          <w:p w14:paraId="75F82D66" w14:textId="77777777" w:rsidR="00267C51" w:rsidRDefault="00267C51" w:rsidP="00D932B8">
            <w:pPr>
              <w:pStyle w:val="Marginlie"/>
            </w:pPr>
            <w:r>
              <w:t>Výdaje na důchody akcelerovaly, příjmy důchodového pojištění naopak klesly, poprvé od roku 2009.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4CF28BDA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0FEC1652" w14:textId="77777777" w:rsidR="00267C51" w:rsidRPr="00F273DB" w:rsidRDefault="00267C51" w:rsidP="00267C51">
            <w:pPr>
              <w:rPr>
                <w:spacing w:val="-5"/>
                <w:highlight w:val="yellow"/>
              </w:rPr>
            </w:pPr>
            <w:r w:rsidRPr="00F273DB">
              <w:rPr>
                <w:spacing w:val="-5"/>
              </w:rPr>
              <w:t xml:space="preserve">K růstu běžných výdajů SR loni významně přispěly </w:t>
            </w:r>
            <w:r w:rsidRPr="00F273DB">
              <w:rPr>
                <w:color w:val="0D0D0D" w:themeColor="text1" w:themeTint="F2"/>
                <w:spacing w:val="-5"/>
              </w:rPr>
              <w:t>sociální dávky</w:t>
            </w:r>
            <w:r w:rsidRPr="00F273DB">
              <w:rPr>
                <w:spacing w:val="-5"/>
              </w:rPr>
              <w:t xml:space="preserve">, jejichž objem byl meziročně o 14,2 % (resp. 85,2 mld. korun) vyšší. Byť šlo o rekordní tempo v současném miléniu, podíl sociálních dávek na všech výdajích SR klesal čtvrtým rokem v řadě (na 37,3 %). Zatímco v 1. až 3. čtvrtletí 2020 byl jejich růst tažen nedůchodovými dávkami, v celoročním úhrnu se projevila dominantní role výdajů na důchody. Stalo se tak díky jednorázovému příspěvku (vyplacenému k důchodům v prosinci) ve výši 15 mld. korun. Výdaje na důchody tak při zohlednění pravidelné valorizace loni vzrostly o 10,2 %, nejvíce za posledních čtrnáct let. Počet příjemců důchodů se oproti konci roku 2019 snížil o 0,6 %, zčásti patrně vinou zvýšené úmrtnosti. I </w:t>
            </w:r>
            <w:r w:rsidRPr="00F273DB">
              <w:rPr>
                <w:rFonts w:cs="Arial"/>
                <w:color w:val="0D0D0D" w:themeColor="text1" w:themeTint="F2"/>
                <w:spacing w:val="-5"/>
              </w:rPr>
              <w:t xml:space="preserve">příjmy důchodového pojištění se loni snížily (o 2,1 %) – poprvé od roku 2009, kdy pokles činil dokonce 3,0 %. Zásadní roli </w:t>
            </w:r>
            <w:r>
              <w:rPr>
                <w:rFonts w:cs="Arial"/>
                <w:color w:val="0D0D0D" w:themeColor="text1" w:themeTint="F2"/>
                <w:spacing w:val="-5"/>
              </w:rPr>
              <w:t xml:space="preserve">zde </w:t>
            </w:r>
            <w:r w:rsidRPr="00F273DB">
              <w:rPr>
                <w:rFonts w:cs="Arial"/>
                <w:color w:val="0D0D0D" w:themeColor="text1" w:themeTint="F2"/>
                <w:spacing w:val="-5"/>
              </w:rPr>
              <w:t>sehrála opatření na podporu drobných podnikatelů i zaměstnavatelů</w:t>
            </w:r>
            <w:r w:rsidRPr="00F273DB">
              <w:rPr>
                <w:rStyle w:val="Znakapoznpodarou"/>
                <w:color w:val="0D0D0D" w:themeColor="text1" w:themeTint="F2"/>
                <w:spacing w:val="-5"/>
              </w:rPr>
              <w:footnoteReference w:id="9"/>
            </w:r>
            <w:r w:rsidRPr="00F273DB">
              <w:rPr>
                <w:rFonts w:cs="Arial"/>
                <w:color w:val="0D0D0D" w:themeColor="text1" w:themeTint="F2"/>
                <w:spacing w:val="-5"/>
              </w:rPr>
              <w:t>. Projevila se rovněž zhoršená situace na trhu práce (snížení zaměstnanosti, zvolnění růstu průměrných mezd). Saldo důchodového účtu</w:t>
            </w:r>
            <w:r w:rsidRPr="00F273DB">
              <w:rPr>
                <w:rStyle w:val="Znakapoznpodarou"/>
                <w:color w:val="0D0D0D" w:themeColor="text1" w:themeTint="F2"/>
                <w:spacing w:val="-5"/>
              </w:rPr>
              <w:footnoteReference w:id="10"/>
            </w:r>
            <w:r w:rsidRPr="00F273DB">
              <w:rPr>
                <w:rFonts w:cs="Arial"/>
                <w:color w:val="0D0D0D" w:themeColor="text1" w:themeTint="F2"/>
                <w:spacing w:val="-5"/>
              </w:rPr>
              <w:t xml:space="preserve"> se tak po třech přebytkových letech vrátilo k deficitu (35,9 mld. korun), nejvyššímu za posledních šest let.</w:t>
            </w:r>
          </w:p>
        </w:tc>
      </w:tr>
      <w:tr w:rsidR="00267C51" w:rsidRPr="008266F0" w14:paraId="64AE7C66" w14:textId="77777777" w:rsidTr="00D932B8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5FF24A43" w14:textId="77777777" w:rsidR="00267C51" w:rsidRPr="00B63DED" w:rsidRDefault="00267C51" w:rsidP="00D932B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K růstu ostatních sociálních dávek přispěla nejvíce výplata ošetřovného, růst nemocnosti a navýšení rodičovského příspěvku.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6D17C953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44935EF3" w14:textId="77777777" w:rsidR="00267C51" w:rsidRPr="00251B78" w:rsidRDefault="00267C51" w:rsidP="00267C51">
            <w:pPr>
              <w:rPr>
                <w:spacing w:val="-4"/>
              </w:rPr>
            </w:pPr>
            <w:r>
              <w:rPr>
                <w:spacing w:val="-4"/>
              </w:rPr>
              <w:t xml:space="preserve">SR vydal loni oproti roku 2019 více i na prakticky všech ostatních významnějších druzích sociálních dávek. Dávky nemocenského pojištění akcelerovaly (+42 %, resp. 55,4 mld. korun), primárně vlivem výplaty </w:t>
            </w:r>
            <w:r w:rsidRPr="00251B78">
              <w:rPr>
                <w:spacing w:val="-4"/>
              </w:rPr>
              <w:t>ošetřovného poskytovaného z důvodu uzavření škol a jiných zařízení</w:t>
            </w:r>
            <w:r>
              <w:rPr>
                <w:spacing w:val="-4"/>
              </w:rPr>
              <w:t xml:space="preserve">. Projevil se ale také </w:t>
            </w:r>
            <w:r w:rsidRPr="00251B78">
              <w:rPr>
                <w:spacing w:val="-4"/>
              </w:rPr>
              <w:t>nárůst celkové nemocnosti</w:t>
            </w:r>
            <w:r w:rsidRPr="00251B78">
              <w:rPr>
                <w:rStyle w:val="Znakapoznpodarou"/>
                <w:spacing w:val="-4"/>
              </w:rPr>
              <w:footnoteReference w:id="11"/>
            </w:r>
            <w:r>
              <w:rPr>
                <w:spacing w:val="-4"/>
              </w:rPr>
              <w:t xml:space="preserve"> i </w:t>
            </w:r>
            <w:r w:rsidRPr="00251B78">
              <w:rPr>
                <w:spacing w:val="-4"/>
              </w:rPr>
              <w:t>vyšší počet proplacených dnů vlivem zr</w:t>
            </w:r>
            <w:r>
              <w:rPr>
                <w:spacing w:val="-4"/>
              </w:rPr>
              <w:t>ušení karenční doby. Vzrostly</w:t>
            </w:r>
            <w:r w:rsidRPr="00251B7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i objemově významné </w:t>
            </w:r>
            <w:r w:rsidRPr="00251B78">
              <w:rPr>
                <w:spacing w:val="-4"/>
              </w:rPr>
              <w:t>výdaje n</w:t>
            </w:r>
            <w:r>
              <w:rPr>
                <w:spacing w:val="-4"/>
              </w:rPr>
              <w:t xml:space="preserve">a státní sociální podporu (+36,5 %), </w:t>
            </w:r>
            <w:r w:rsidRPr="00251B78">
              <w:rPr>
                <w:spacing w:val="-4"/>
              </w:rPr>
              <w:t>takřka výhradně vlivem zákonného navýšení rodičovského příspěvku, neboť čerpání příjmově testovaných dávek (přídavky na děti, příspěvek na bydlení) dále kleslo</w:t>
            </w:r>
            <w:r>
              <w:rPr>
                <w:spacing w:val="-4"/>
              </w:rPr>
              <w:t>. O desetinu posílily loni i dlouhodobě rostoucí dávky sociální péče, poprvé od roku 2014 i vlivem vyššího objemu vyplacených dávek hmotné nouze (+8,6 %). Na podpory v nezaměstnanosti vydal stát více již druhým rokem v řadě (v úhrnu o 2,4 mld. korun).</w:t>
            </w:r>
          </w:p>
        </w:tc>
      </w:tr>
      <w:tr w:rsidR="00267C51" w:rsidRPr="008266F0" w14:paraId="1070EB04" w14:textId="77777777" w:rsidTr="00D932B8">
        <w:trPr>
          <w:trHeight w:val="145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14E73305" w14:textId="77777777" w:rsidR="00267C51" w:rsidRDefault="00267C51" w:rsidP="00D932B8">
            <w:pPr>
              <w:pStyle w:val="Marginlie"/>
            </w:pPr>
            <w:r>
              <w:t>Podíl investic na všech výdajích SR svižně rostl třetím rokem v řadě. Stále více se prosazovalo financování z národních zdrojů.</w:t>
            </w:r>
          </w:p>
          <w:p w14:paraId="049CF1C1" w14:textId="77777777" w:rsidR="00267C51" w:rsidRDefault="00267C51" w:rsidP="00D932B8">
            <w:pPr>
              <w:pStyle w:val="Marginlie"/>
            </w:pPr>
            <w:r>
              <w:t>Čistá pozice ČR vůči rozpočtu EU loni vzrostla na 86 mld. korun.</w:t>
            </w:r>
          </w:p>
          <w:p w14:paraId="13F32FAA" w14:textId="77777777" w:rsidR="00267C51" w:rsidRDefault="00267C51" w:rsidP="00D932B8">
            <w:pPr>
              <w:pStyle w:val="Marginlie"/>
            </w:pP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73784939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689DFFF3" w14:textId="77777777" w:rsidR="00267C51" w:rsidRPr="00DE20C9" w:rsidRDefault="00267C51" w:rsidP="00E97F14">
            <w:pPr>
              <w:spacing w:after="0"/>
              <w:rPr>
                <w:spacing w:val="-5"/>
              </w:rPr>
            </w:pPr>
            <w:r w:rsidRPr="00DE20C9">
              <w:rPr>
                <w:spacing w:val="-5"/>
              </w:rPr>
              <w:t>Kapitálové vý</w:t>
            </w:r>
            <w:r>
              <w:rPr>
                <w:spacing w:val="-5"/>
              </w:rPr>
              <w:t>daje SR vzrostly meziročně skoro</w:t>
            </w:r>
            <w:r w:rsidRPr="00DE20C9">
              <w:rPr>
                <w:spacing w:val="-5"/>
              </w:rPr>
              <w:t xml:space="preserve"> o</w:t>
            </w:r>
            <w:r>
              <w:rPr>
                <w:spacing w:val="-5"/>
              </w:rPr>
              <w:t> </w:t>
            </w:r>
            <w:r w:rsidRPr="00DE20C9">
              <w:rPr>
                <w:spacing w:val="-5"/>
              </w:rPr>
              <w:t>čtvrtinu. Dosáhly 172,7</w:t>
            </w:r>
            <w:r>
              <w:rPr>
                <w:spacing w:val="-5"/>
              </w:rPr>
              <w:t> mld.</w:t>
            </w:r>
            <w:r w:rsidRPr="00DE20C9">
              <w:rPr>
                <w:spacing w:val="-5"/>
              </w:rPr>
              <w:t xml:space="preserve"> korun a </w:t>
            </w:r>
            <w:r>
              <w:rPr>
                <w:spacing w:val="-5"/>
              </w:rPr>
              <w:t>téměř</w:t>
            </w:r>
            <w:r w:rsidRPr="00DE20C9">
              <w:rPr>
                <w:spacing w:val="-5"/>
              </w:rPr>
              <w:t xml:space="preserve"> dorovnaly rekordní výši z roku 2015, kdy vrcholilo čerpání na konci programového období EU. K loňskému růstu přispělo bezmála ze tří čtvrtin posílení investic z národních zdrojů (na 101</w:t>
            </w:r>
            <w:r>
              <w:rPr>
                <w:spacing w:val="-5"/>
              </w:rPr>
              <w:t> mld.</w:t>
            </w:r>
            <w:r w:rsidRPr="00DE20C9">
              <w:rPr>
                <w:spacing w:val="-5"/>
              </w:rPr>
              <w:t xml:space="preserve"> korun). Klíčovou roli měl růst výdajů do oblasti dopravní infrastruktury (+18</w:t>
            </w:r>
            <w:r>
              <w:rPr>
                <w:spacing w:val="-5"/>
              </w:rPr>
              <w:t> mld.</w:t>
            </w:r>
            <w:r w:rsidRPr="00DE20C9">
              <w:rPr>
                <w:spacing w:val="-5"/>
              </w:rPr>
              <w:t>). Podíl investic na všech výdajích SR se zvyšoval třetím rokem v řadě a činil 9,4 %. To souvisí i</w:t>
            </w:r>
            <w:r>
              <w:rPr>
                <w:spacing w:val="-5"/>
              </w:rPr>
              <w:t> </w:t>
            </w:r>
            <w:r w:rsidRPr="00DE20C9">
              <w:rPr>
                <w:spacing w:val="-5"/>
              </w:rPr>
              <w:t>s</w:t>
            </w:r>
            <w:r>
              <w:rPr>
                <w:spacing w:val="-5"/>
              </w:rPr>
              <w:t> </w:t>
            </w:r>
            <w:r w:rsidRPr="00DE20C9">
              <w:rPr>
                <w:spacing w:val="-5"/>
              </w:rPr>
              <w:t>blížícím se koncem čerpání „evropských“ investic v současném programovém období. Celkové příjmy SR z rozpočtu EU dosáhly loni 145,9</w:t>
            </w:r>
            <w:r>
              <w:rPr>
                <w:spacing w:val="-5"/>
              </w:rPr>
              <w:t> mld.</w:t>
            </w:r>
            <w:r w:rsidRPr="00DE20C9">
              <w:rPr>
                <w:spacing w:val="-5"/>
              </w:rPr>
              <w:t xml:space="preserve"> korun a</w:t>
            </w:r>
            <w:r>
              <w:rPr>
                <w:spacing w:val="-5"/>
              </w:rPr>
              <w:t> </w:t>
            </w:r>
            <w:r w:rsidRPr="00DE20C9">
              <w:rPr>
                <w:spacing w:val="-5"/>
              </w:rPr>
              <w:t>meziročně posílily o</w:t>
            </w:r>
            <w:r>
              <w:rPr>
                <w:spacing w:val="-5"/>
              </w:rPr>
              <w:t> </w:t>
            </w:r>
            <w:r w:rsidRPr="00DE20C9">
              <w:rPr>
                <w:spacing w:val="-5"/>
              </w:rPr>
              <w:t>pětinu. Stála za tím vyšší alokace do strukturálních fondů (+13 mld.) a</w:t>
            </w:r>
            <w:r>
              <w:rPr>
                <w:spacing w:val="-5"/>
              </w:rPr>
              <w:t> </w:t>
            </w:r>
            <w:r w:rsidRPr="00DE20C9">
              <w:rPr>
                <w:spacing w:val="-5"/>
              </w:rPr>
              <w:t>též do fondu soudržnosti (+10</w:t>
            </w:r>
            <w:r>
              <w:rPr>
                <w:spacing w:val="-5"/>
              </w:rPr>
              <w:t> mld.</w:t>
            </w:r>
            <w:r w:rsidRPr="00DE20C9">
              <w:rPr>
                <w:spacing w:val="-5"/>
              </w:rPr>
              <w:t>). I</w:t>
            </w:r>
            <w:r>
              <w:rPr>
                <w:spacing w:val="-5"/>
              </w:rPr>
              <w:t> </w:t>
            </w:r>
            <w:r w:rsidRPr="00DE20C9">
              <w:rPr>
                <w:spacing w:val="-5"/>
              </w:rPr>
              <w:t>přes významné navýšení plateb do unijního ro</w:t>
            </w:r>
            <w:r>
              <w:rPr>
                <w:spacing w:val="-5"/>
              </w:rPr>
              <w:t>zpočtu celkové kladné saldo ČR s</w:t>
            </w:r>
            <w:r w:rsidRPr="00DE20C9">
              <w:rPr>
                <w:spacing w:val="-5"/>
              </w:rPr>
              <w:t> </w:t>
            </w:r>
            <w:r>
              <w:rPr>
                <w:spacing w:val="-5"/>
              </w:rPr>
              <w:t>rozpočtem</w:t>
            </w:r>
            <w:r w:rsidRPr="00DE20C9">
              <w:rPr>
                <w:spacing w:val="-5"/>
              </w:rPr>
              <w:t xml:space="preserve"> EU vzrostlo na 85,7</w:t>
            </w:r>
            <w:r>
              <w:rPr>
                <w:spacing w:val="-5"/>
              </w:rPr>
              <w:t> mld.</w:t>
            </w:r>
            <w:r w:rsidRPr="00DE20C9">
              <w:rPr>
                <w:spacing w:val="-5"/>
              </w:rPr>
              <w:t xml:space="preserve"> korun</w:t>
            </w:r>
            <w:r>
              <w:rPr>
                <w:spacing w:val="-5"/>
              </w:rPr>
              <w:t>,</w:t>
            </w:r>
            <w:r w:rsidRPr="00DE20C9">
              <w:rPr>
                <w:spacing w:val="-5"/>
              </w:rPr>
              <w:t xml:space="preserve"> tedy na nejvyšší hodnotu za poslední čtyři roky.</w:t>
            </w:r>
          </w:p>
        </w:tc>
      </w:tr>
      <w:tr w:rsidR="00267C51" w:rsidRPr="00F704D2" w14:paraId="14E9CF61" w14:textId="77777777" w:rsidTr="00D932B8">
        <w:trPr>
          <w:trHeight w:val="170"/>
        </w:trPr>
        <w:tc>
          <w:tcPr>
            <w:tcW w:w="1732" w:type="dxa"/>
            <w:vMerge w:val="restart"/>
            <w:shd w:val="clear" w:color="auto" w:fill="auto"/>
            <w:tcMar>
              <w:left w:w="0" w:type="dxa"/>
            </w:tcMar>
          </w:tcPr>
          <w:p w14:paraId="56F4B4D8" w14:textId="77777777" w:rsidR="00267C51" w:rsidRDefault="00267C51" w:rsidP="00D932B8">
            <w:pPr>
              <w:pStyle w:val="Marginlie"/>
            </w:pPr>
          </w:p>
        </w:tc>
        <w:tc>
          <w:tcPr>
            <w:tcW w:w="217" w:type="dxa"/>
            <w:vMerge w:val="restart"/>
            <w:shd w:val="clear" w:color="auto" w:fill="auto"/>
            <w:tcMar>
              <w:left w:w="0" w:type="dxa"/>
            </w:tcMar>
          </w:tcPr>
          <w:p w14:paraId="04CAABBF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6E2B79BA" w14:textId="77EBE17B" w:rsidR="00267C51" w:rsidRPr="00D232BB" w:rsidRDefault="00B026FE" w:rsidP="00D932B8">
            <w:pPr>
              <w:spacing w:after="20" w:line="240" w:lineRule="auto"/>
              <w:jc w:val="left"/>
              <w:rPr>
                <w:rFonts w:cs="Arial"/>
                <w:bCs/>
              </w:rPr>
            </w:pPr>
            <w:r>
              <w:rPr>
                <w:b/>
              </w:rPr>
              <w:t>Graf č. 18</w:t>
            </w:r>
            <w:r w:rsidR="00267C51" w:rsidRPr="00D232BB">
              <w:rPr>
                <w:b/>
              </w:rPr>
              <w:t xml:space="preserve">  </w:t>
            </w:r>
            <w:r w:rsidR="00267C51">
              <w:rPr>
                <w:rFonts w:cs="Arial"/>
                <w:b/>
                <w:bCs/>
              </w:rPr>
              <w:t>Vybrané výdaje státního rozpočtu</w:t>
            </w:r>
            <w:r w:rsidR="00267C51" w:rsidRPr="00D232BB">
              <w:rPr>
                <w:rFonts w:cs="Arial"/>
                <w:bCs/>
              </w:rPr>
              <w:t xml:space="preserve"> (v mld. korun)</w:t>
            </w:r>
          </w:p>
        </w:tc>
      </w:tr>
      <w:tr w:rsidR="00267C51" w14:paraId="79A66C0E" w14:textId="77777777" w:rsidTr="00D932B8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732" w:type="dxa"/>
            <w:vMerge/>
            <w:shd w:val="clear" w:color="auto" w:fill="auto"/>
          </w:tcPr>
          <w:p w14:paraId="68C58AFC" w14:textId="77777777" w:rsidR="00267C51" w:rsidRDefault="00267C51" w:rsidP="00D932B8">
            <w:pPr>
              <w:pStyle w:val="Marginlie"/>
            </w:pPr>
          </w:p>
        </w:tc>
        <w:tc>
          <w:tcPr>
            <w:tcW w:w="217" w:type="dxa"/>
            <w:vMerge/>
            <w:shd w:val="clear" w:color="auto" w:fill="auto"/>
          </w:tcPr>
          <w:p w14:paraId="7D71E213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</w:tcPr>
          <w:p w14:paraId="14FAEEC3" w14:textId="77777777" w:rsidR="00267C51" w:rsidRPr="0067514E" w:rsidRDefault="00267C51" w:rsidP="00D932B8">
            <w:pPr>
              <w:spacing w:after="0"/>
              <w:rPr>
                <w:spacing w:val="-6"/>
              </w:rPr>
            </w:pPr>
            <w:r>
              <w:rPr>
                <w:noProof/>
              </w:rPr>
              <w:drawing>
                <wp:inline distT="0" distB="0" distL="0" distR="0" wp14:anchorId="059CCB25" wp14:editId="6B2A0841">
                  <wp:extent cx="4762500" cy="3419475"/>
                  <wp:effectExtent l="0" t="0" r="0" b="0"/>
                  <wp:docPr id="5" name="Graf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267C51" w:rsidRPr="00343AC1" w14:paraId="7146915A" w14:textId="77777777" w:rsidTr="00D932B8">
        <w:trPr>
          <w:trHeight w:val="170"/>
        </w:trPr>
        <w:tc>
          <w:tcPr>
            <w:tcW w:w="1732" w:type="dxa"/>
            <w:vMerge/>
            <w:shd w:val="clear" w:color="auto" w:fill="auto"/>
            <w:tcMar>
              <w:left w:w="0" w:type="dxa"/>
            </w:tcMar>
          </w:tcPr>
          <w:p w14:paraId="008C3E4A" w14:textId="77777777" w:rsidR="00267C51" w:rsidRDefault="00267C51" w:rsidP="00D932B8">
            <w:pPr>
              <w:pStyle w:val="Marginlie"/>
            </w:pPr>
          </w:p>
        </w:tc>
        <w:tc>
          <w:tcPr>
            <w:tcW w:w="217" w:type="dxa"/>
            <w:vMerge/>
            <w:shd w:val="clear" w:color="auto" w:fill="auto"/>
            <w:tcMar>
              <w:left w:w="0" w:type="dxa"/>
            </w:tcMar>
          </w:tcPr>
          <w:p w14:paraId="1F3E5143" w14:textId="77777777" w:rsidR="00267C51" w:rsidRDefault="00267C51" w:rsidP="00D932B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34C0298B" w14:textId="77777777" w:rsidR="00267C51" w:rsidRPr="008F2BE2" w:rsidRDefault="00267C51" w:rsidP="00D932B8">
            <w:pPr>
              <w:pStyle w:val="Textpoznpodarou"/>
              <w:rPr>
                <w:spacing w:val="-4"/>
                <w:sz w:val="14"/>
                <w:szCs w:val="14"/>
              </w:rPr>
            </w:pPr>
            <w:r w:rsidRPr="008F2BE2">
              <w:rPr>
                <w:spacing w:val="-4"/>
                <w:sz w:val="14"/>
                <w:szCs w:val="14"/>
              </w:rPr>
              <w:t>*Pokrývají výdaje na platy v organizačních složkách státu. Nezahrnují například mzdové výdaje na regionální školství.</w:t>
            </w:r>
          </w:p>
          <w:p w14:paraId="4B06934C" w14:textId="77777777" w:rsidR="00267C51" w:rsidRPr="008F2BE2" w:rsidRDefault="00267C51" w:rsidP="00D932B8">
            <w:pPr>
              <w:pStyle w:val="Textpoznpodarou"/>
              <w:rPr>
                <w:spacing w:val="-4"/>
                <w:sz w:val="14"/>
                <w:szCs w:val="14"/>
              </w:rPr>
            </w:pPr>
            <w:r w:rsidRPr="008F2BE2">
              <w:rPr>
                <w:spacing w:val="-4"/>
                <w:sz w:val="14"/>
                <w:szCs w:val="14"/>
              </w:rPr>
              <w:t>**Zahrnuje i dávky pěstounské péče.</w:t>
            </w:r>
          </w:p>
          <w:p w14:paraId="564DABFA" w14:textId="77777777" w:rsidR="00267C51" w:rsidRPr="008F2BE2" w:rsidRDefault="00267C51" w:rsidP="00D932B8">
            <w:pPr>
              <w:pStyle w:val="Textpoznpodarou"/>
              <w:rPr>
                <w:spacing w:val="-4"/>
                <w:sz w:val="14"/>
                <w:szCs w:val="14"/>
              </w:rPr>
            </w:pPr>
            <w:r w:rsidRPr="008F2BE2">
              <w:rPr>
                <w:spacing w:val="-4"/>
                <w:sz w:val="14"/>
                <w:szCs w:val="14"/>
              </w:rPr>
              <w:t>***Zahrnují dávky pomoci v hmotné nouzi, dávky osobám se zdravotním postižením, příspěvek na péči dle zákona o soc. službách.</w:t>
            </w:r>
          </w:p>
          <w:p w14:paraId="7CCB8469" w14:textId="77777777" w:rsidR="00267C51" w:rsidRPr="008F2BE2" w:rsidRDefault="00267C51" w:rsidP="00D932B8">
            <w:pPr>
              <w:pStyle w:val="Textpoznpodarou"/>
              <w:rPr>
                <w:spacing w:val="-4"/>
                <w:sz w:val="14"/>
                <w:szCs w:val="14"/>
              </w:rPr>
            </w:pPr>
            <w:r w:rsidRPr="008F2BE2">
              <w:rPr>
                <w:spacing w:val="-4"/>
                <w:sz w:val="14"/>
                <w:szCs w:val="14"/>
              </w:rPr>
              <w:t>****Obsahují zejména výdaje na nákup služeb, materiálu, energií či ostatních služeb (například výdaje na opravy a udržování).</w:t>
            </w:r>
          </w:p>
          <w:p w14:paraId="26A3B43F" w14:textId="77777777" w:rsidR="00267C51" w:rsidRPr="008F2BE2" w:rsidRDefault="00267C51" w:rsidP="00E97F14">
            <w:pPr>
              <w:pStyle w:val="Textpoznpodarou"/>
              <w:spacing w:after="220"/>
              <w:rPr>
                <w:spacing w:val="-4"/>
                <w:sz w:val="14"/>
                <w:szCs w:val="14"/>
              </w:rPr>
            </w:pPr>
            <w:r w:rsidRPr="008F2BE2">
              <w:rPr>
                <w:spacing w:val="-4"/>
                <w:sz w:val="14"/>
                <w:szCs w:val="14"/>
              </w:rPr>
              <w:t xml:space="preserve">*****Odpovídá saldu </w:t>
            </w:r>
            <w:r w:rsidRPr="000F45E7">
              <w:rPr>
                <w:spacing w:val="-4"/>
                <w:sz w:val="14"/>
                <w:szCs w:val="14"/>
              </w:rPr>
              <w:t xml:space="preserve">rozpočtové kapitoly Státní dluh. </w:t>
            </w:r>
            <w:r w:rsidRPr="000F45E7">
              <w:rPr>
                <w:color w:val="0D0D0D" w:themeColor="text1" w:themeTint="F2"/>
                <w:spacing w:val="-2"/>
                <w:sz w:val="14"/>
                <w:szCs w:val="14"/>
              </w:rPr>
              <w:t>Je tvořen čistými úrokovými výdaji a též poplatky.</w:t>
            </w:r>
            <w:r w:rsidRPr="000F45E7">
              <w:rPr>
                <w:spacing w:val="-4"/>
                <w:sz w:val="14"/>
                <w:szCs w:val="14"/>
              </w:rPr>
              <w:t xml:space="preserve">             Zdroj: MF ČR, MPSV</w:t>
            </w:r>
          </w:p>
        </w:tc>
      </w:tr>
      <w:tr w:rsidR="00267C51" w:rsidRPr="00343AC1" w14:paraId="5B9816F8" w14:textId="77777777" w:rsidTr="00D932B8">
        <w:trPr>
          <w:trHeight w:val="170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3B4319F0" w14:textId="77777777" w:rsidR="00267C51" w:rsidRDefault="00267C51" w:rsidP="00267C51">
            <w:pPr>
              <w:pStyle w:val="Marginlie"/>
              <w:spacing w:after="240"/>
            </w:pPr>
            <w:r>
              <w:t>Státní dluh vzrostl loni o čtvrtinu, tedy více než v letech 2009 i 2010.</w:t>
            </w:r>
          </w:p>
          <w:p w14:paraId="1846E9ED" w14:textId="77777777" w:rsidR="00267C51" w:rsidRDefault="00267C51" w:rsidP="00267C51">
            <w:pPr>
              <w:pStyle w:val="Marginlie"/>
              <w:spacing w:after="240"/>
            </w:pPr>
          </w:p>
          <w:p w14:paraId="7388E57D" w14:textId="77777777" w:rsidR="00267C51" w:rsidRDefault="00267C51" w:rsidP="00267C51">
            <w:pPr>
              <w:pStyle w:val="Marginlie"/>
              <w:spacing w:after="240"/>
            </w:pPr>
          </w:p>
          <w:p w14:paraId="3ECB872A" w14:textId="77777777" w:rsidR="00267C51" w:rsidRDefault="00267C51" w:rsidP="00267C51">
            <w:pPr>
              <w:pStyle w:val="Marginlie"/>
              <w:spacing w:after="240"/>
            </w:pPr>
            <w:r>
              <w:t>Úrokové výdaje na státní dluh v posledních letech stagnovaly.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210D2C5A" w14:textId="77777777" w:rsidR="00267C51" w:rsidRDefault="00267C51" w:rsidP="00267C51">
            <w:pPr>
              <w:pStyle w:val="Textpoznpodarou"/>
              <w:spacing w:after="240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116B4739" w14:textId="77777777" w:rsidR="00267C51" w:rsidRPr="000D151F" w:rsidRDefault="00267C51" w:rsidP="00E97F14">
            <w:pPr>
              <w:spacing w:after="220"/>
              <w:rPr>
                <w:spacing w:val="-4"/>
              </w:rPr>
            </w:pPr>
            <w:r w:rsidRPr="000D151F">
              <w:rPr>
                <w:spacing w:val="-4"/>
              </w:rPr>
              <w:t>Silně rostoucí potřeba financování související s nutností pokr</w:t>
            </w:r>
            <w:r>
              <w:rPr>
                <w:spacing w:val="-4"/>
              </w:rPr>
              <w:t>ýt</w:t>
            </w:r>
            <w:r w:rsidRPr="000D151F">
              <w:rPr>
                <w:spacing w:val="-4"/>
              </w:rPr>
              <w:t xml:space="preserve"> krizov</w:t>
            </w:r>
            <w:r>
              <w:rPr>
                <w:spacing w:val="-4"/>
              </w:rPr>
              <w:t>ý</w:t>
            </w:r>
            <w:r w:rsidRPr="000D151F">
              <w:rPr>
                <w:spacing w:val="-4"/>
              </w:rPr>
              <w:t xml:space="preserve"> schod</w:t>
            </w:r>
            <w:r>
              <w:rPr>
                <w:spacing w:val="-4"/>
              </w:rPr>
              <w:t>e</w:t>
            </w:r>
            <w:r w:rsidRPr="000D151F">
              <w:rPr>
                <w:spacing w:val="-4"/>
              </w:rPr>
              <w:t>k SR vyústila v akceleraci výše státního dluhu. Ta činila na konci loňského roku 2</w:t>
            </w:r>
            <w:r>
              <w:rPr>
                <w:spacing w:val="-4"/>
              </w:rPr>
              <w:t> </w:t>
            </w:r>
            <w:r w:rsidRPr="000D151F">
              <w:rPr>
                <w:spacing w:val="-4"/>
              </w:rPr>
              <w:t>050</w:t>
            </w:r>
            <w:r>
              <w:rPr>
                <w:spacing w:val="-4"/>
              </w:rPr>
              <w:t> mld.</w:t>
            </w:r>
            <w:r w:rsidRPr="000D151F">
              <w:rPr>
                <w:spacing w:val="-4"/>
              </w:rPr>
              <w:t xml:space="preserve"> korun, meziročně narostla o</w:t>
            </w:r>
            <w:r>
              <w:rPr>
                <w:spacing w:val="-4"/>
              </w:rPr>
              <w:t> </w:t>
            </w:r>
            <w:r w:rsidRPr="000D151F">
              <w:rPr>
                <w:spacing w:val="-4"/>
              </w:rPr>
              <w:t>čtvrtinu</w:t>
            </w:r>
            <w:r w:rsidRPr="000D151F">
              <w:rPr>
                <w:rStyle w:val="Znakapoznpodarou"/>
                <w:spacing w:val="-4"/>
              </w:rPr>
              <w:footnoteReference w:id="12"/>
            </w:r>
            <w:r w:rsidRPr="000D151F">
              <w:rPr>
                <w:spacing w:val="-4"/>
              </w:rPr>
              <w:t xml:space="preserve">. </w:t>
            </w:r>
            <w:r>
              <w:rPr>
                <w:spacing w:val="-4"/>
              </w:rPr>
              <w:t>Klíčovými dluhovými nástroji byly</w:t>
            </w:r>
            <w:r w:rsidRPr="000D151F">
              <w:rPr>
                <w:spacing w:val="-4"/>
              </w:rPr>
              <w:t xml:space="preserve"> tradičně emise středně</w:t>
            </w:r>
            <w:r>
              <w:rPr>
                <w:spacing w:val="-4"/>
              </w:rPr>
              <w:t>-</w:t>
            </w:r>
            <w:r w:rsidRPr="000D151F">
              <w:rPr>
                <w:spacing w:val="-4"/>
              </w:rPr>
              <w:t xml:space="preserve"> a</w:t>
            </w:r>
            <w:r>
              <w:rPr>
                <w:spacing w:val="-4"/>
              </w:rPr>
              <w:t> </w:t>
            </w:r>
            <w:r w:rsidRPr="000D151F">
              <w:rPr>
                <w:spacing w:val="-4"/>
              </w:rPr>
              <w:t>dlouhodobých státních</w:t>
            </w:r>
            <w:r>
              <w:rPr>
                <w:spacing w:val="-4"/>
              </w:rPr>
              <w:t xml:space="preserve"> dluhopisů, jež loni dosáhly</w:t>
            </w:r>
            <w:r w:rsidRPr="000D151F">
              <w:rPr>
                <w:spacing w:val="-4"/>
              </w:rPr>
              <w:t xml:space="preserve"> rekordních 600</w:t>
            </w:r>
            <w:r>
              <w:rPr>
                <w:spacing w:val="-4"/>
              </w:rPr>
              <w:t> mld.</w:t>
            </w:r>
            <w:r w:rsidRPr="000D151F">
              <w:rPr>
                <w:spacing w:val="-4"/>
              </w:rPr>
              <w:t xml:space="preserve"> korun. Více než tři čtvrtiny z této emise připadal</w:t>
            </w:r>
            <w:r>
              <w:rPr>
                <w:spacing w:val="-4"/>
              </w:rPr>
              <w:t>y</w:t>
            </w:r>
            <w:r w:rsidRPr="000D151F">
              <w:rPr>
                <w:spacing w:val="-4"/>
              </w:rPr>
              <w:t xml:space="preserve"> </w:t>
            </w:r>
            <w:r>
              <w:rPr>
                <w:spacing w:val="-4"/>
              </w:rPr>
              <w:t>jen na 1. pololetí 2020. D</w:t>
            </w:r>
            <w:r w:rsidRPr="000D151F">
              <w:rPr>
                <w:spacing w:val="-4"/>
              </w:rPr>
              <w:t>luhopisy poptávaly zejména tuzemské finanční instituce, které tak na konci roku držely již téměř dvě třetiny z celkových domácích státních dluhopisů. Na nerezidenty připadalo 31</w:t>
            </w:r>
            <w:r>
              <w:rPr>
                <w:spacing w:val="-4"/>
              </w:rPr>
              <w:t> %</w:t>
            </w:r>
            <w:r w:rsidRPr="000D151F">
              <w:rPr>
                <w:spacing w:val="-4"/>
              </w:rPr>
              <w:t>, nejméně za poslední čtyři roky. Výpůjční potřeba státu byla loni takřka výhradně soustředěna na domácí trh. Korunová hodnota vnějšího dluhu se tak již sedmým rokem v řadě snížila (loni o</w:t>
            </w:r>
            <w:r>
              <w:rPr>
                <w:spacing w:val="-4"/>
              </w:rPr>
              <w:t> </w:t>
            </w:r>
            <w:r w:rsidRPr="000D151F">
              <w:rPr>
                <w:spacing w:val="-4"/>
              </w:rPr>
              <w:t>6</w:t>
            </w:r>
            <w:r>
              <w:rPr>
                <w:spacing w:val="-4"/>
              </w:rPr>
              <w:t> %</w:t>
            </w:r>
            <w:r w:rsidRPr="000D151F">
              <w:rPr>
                <w:spacing w:val="-4"/>
              </w:rPr>
              <w:t>). Vnější</w:t>
            </w:r>
            <w:r w:rsidRPr="000D151F">
              <w:rPr>
                <w:rFonts w:cs="Arial"/>
                <w:color w:val="0D0D0D" w:themeColor="text1" w:themeTint="F2"/>
                <w:spacing w:val="-4"/>
              </w:rPr>
              <w:t xml:space="preserve"> dluh tvořil na konci 4.</w:t>
            </w:r>
            <w:r>
              <w:rPr>
                <w:rFonts w:cs="Arial"/>
                <w:color w:val="0D0D0D" w:themeColor="text1" w:themeTint="F2"/>
                <w:spacing w:val="-4"/>
              </w:rPr>
              <w:t> čtvrtlet</w:t>
            </w:r>
            <w:r w:rsidRPr="000D151F">
              <w:rPr>
                <w:rFonts w:cs="Arial"/>
                <w:color w:val="0D0D0D" w:themeColor="text1" w:themeTint="F2"/>
                <w:spacing w:val="-4"/>
              </w:rPr>
              <w:t>í 2020 jen 8,2 %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souhrnného</w:t>
            </w:r>
            <w:r w:rsidRPr="000D151F">
              <w:rPr>
                <w:rFonts w:cs="Arial"/>
                <w:color w:val="0D0D0D" w:themeColor="text1" w:themeTint="F2"/>
                <w:spacing w:val="-4"/>
              </w:rPr>
              <w:t xml:space="preserve"> státního dluhu. Čisté výdaje SR na obsluhu státního dluhu činily loni 40,1</w:t>
            </w:r>
            <w:r w:rsidRPr="000D151F">
              <w:rPr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mld. korun a meziročně stagnovaly</w:t>
            </w:r>
            <w:r w:rsidRPr="000D151F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>(již počtvrté</w:t>
            </w:r>
            <w:r w:rsidRPr="000D151F">
              <w:rPr>
                <w:rFonts w:cs="Arial"/>
                <w:color w:val="0D0D0D" w:themeColor="text1" w:themeTint="F2"/>
                <w:spacing w:val="-4"/>
              </w:rPr>
              <w:t xml:space="preserve"> v</w:t>
            </w:r>
            <w:r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0D151F">
              <w:rPr>
                <w:rFonts w:cs="Arial"/>
                <w:color w:val="0D0D0D" w:themeColor="text1" w:themeTint="F2"/>
                <w:spacing w:val="-4"/>
              </w:rPr>
              <w:t>řadě</w:t>
            </w:r>
            <w:r>
              <w:rPr>
                <w:rFonts w:cs="Arial"/>
                <w:color w:val="0D0D0D" w:themeColor="text1" w:themeTint="F2"/>
                <w:spacing w:val="-4"/>
              </w:rPr>
              <w:t>)</w:t>
            </w:r>
            <w:r w:rsidRPr="000D151F">
              <w:rPr>
                <w:rFonts w:cs="Arial"/>
                <w:color w:val="0D0D0D" w:themeColor="text1" w:themeTint="F2"/>
                <w:spacing w:val="-4"/>
              </w:rPr>
              <w:t>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Projevil se pokles výnosů dluhopisů i vliv snížení úrokových sazeb ze strany ČNB.</w:t>
            </w:r>
          </w:p>
        </w:tc>
      </w:tr>
      <w:tr w:rsidR="00267C51" w:rsidRPr="00343AC1" w14:paraId="1EB62A5A" w14:textId="77777777" w:rsidTr="00D932B8">
        <w:trPr>
          <w:trHeight w:val="170"/>
        </w:trPr>
        <w:tc>
          <w:tcPr>
            <w:tcW w:w="1732" w:type="dxa"/>
            <w:shd w:val="clear" w:color="auto" w:fill="auto"/>
            <w:tcMar>
              <w:left w:w="0" w:type="dxa"/>
            </w:tcMar>
          </w:tcPr>
          <w:p w14:paraId="74937A30" w14:textId="60E849D6" w:rsidR="00267C51" w:rsidRDefault="00267C51" w:rsidP="00267C51">
            <w:pPr>
              <w:pStyle w:val="Marginlie"/>
              <w:spacing w:after="240"/>
            </w:pPr>
            <w:r>
              <w:t>Deficit hospodaření ústředních vládních institucí se citelně prohloubil. Místní vládní instituce i zdravotní pojišťovny si udržely přebytek.</w:t>
            </w:r>
          </w:p>
          <w:p w14:paraId="58C38A88" w14:textId="77777777" w:rsidR="00267C51" w:rsidRDefault="00267C51" w:rsidP="00267C51">
            <w:pPr>
              <w:pStyle w:val="Marginlie"/>
              <w:spacing w:after="240"/>
            </w:pPr>
            <w:r>
              <w:t>Schodek hospodaření i nárůst míry zadlužení v ČR patřily v rámci zemí EU k mírnějším.</w:t>
            </w:r>
          </w:p>
        </w:tc>
        <w:tc>
          <w:tcPr>
            <w:tcW w:w="217" w:type="dxa"/>
            <w:shd w:val="clear" w:color="auto" w:fill="auto"/>
            <w:tcMar>
              <w:left w:w="0" w:type="dxa"/>
            </w:tcMar>
          </w:tcPr>
          <w:p w14:paraId="60A6706D" w14:textId="77777777" w:rsidR="00267C51" w:rsidRDefault="00267C51" w:rsidP="00267C51">
            <w:pPr>
              <w:pStyle w:val="Textpoznpodarou"/>
              <w:spacing w:after="240"/>
              <w:jc w:val="both"/>
              <w:rPr>
                <w:spacing w:val="-4"/>
              </w:rPr>
            </w:pPr>
          </w:p>
        </w:tc>
        <w:tc>
          <w:tcPr>
            <w:tcW w:w="7720" w:type="dxa"/>
            <w:shd w:val="clear" w:color="auto" w:fill="auto"/>
            <w:tcMar>
              <w:left w:w="0" w:type="dxa"/>
            </w:tcMar>
          </w:tcPr>
          <w:p w14:paraId="6C33EA73" w14:textId="77777777" w:rsidR="00267C51" w:rsidRPr="000F45E7" w:rsidRDefault="00267C51" w:rsidP="00E97F14">
            <w:pPr>
              <w:pStyle w:val="Textpoznpodarou"/>
              <w:spacing w:line="276" w:lineRule="auto"/>
              <w:jc w:val="both"/>
              <w:rPr>
                <w:rFonts w:cs="Arial"/>
                <w:color w:val="0D0D0D" w:themeColor="text1" w:themeTint="F2"/>
                <w:spacing w:val="-6"/>
              </w:rPr>
            </w:pPr>
            <w:r w:rsidRPr="000F45E7">
              <w:rPr>
                <w:rFonts w:cs="Arial"/>
                <w:color w:val="0D0D0D" w:themeColor="text1" w:themeTint="F2"/>
                <w:spacing w:val="-6"/>
              </w:rPr>
              <w:t>Sektor vládních institucí (VI) v ČR hospodařil v 1</w:t>
            </w:r>
            <w:r>
              <w:rPr>
                <w:rFonts w:cs="Arial"/>
                <w:color w:val="0D0D0D" w:themeColor="text1" w:themeTint="F2"/>
                <w:spacing w:val="-6"/>
              </w:rPr>
              <w:t>.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až 3.</w:t>
            </w:r>
            <w:r>
              <w:rPr>
                <w:rFonts w:cs="Arial"/>
                <w:color w:val="0D0D0D" w:themeColor="text1" w:themeTint="F2"/>
                <w:spacing w:val="-6"/>
              </w:rPr>
              <w:t> čtvrtlet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í 2020 se schodkem 195</w:t>
            </w:r>
            <w:r>
              <w:rPr>
                <w:rFonts w:cs="Arial"/>
                <w:color w:val="0D0D0D" w:themeColor="text1" w:themeTint="F2"/>
                <w:spacing w:val="-6"/>
              </w:rPr>
              <w:t> mld.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 korun. </w:t>
            </w:r>
            <w:r>
              <w:rPr>
                <w:rFonts w:cs="Arial"/>
                <w:color w:val="0D0D0D" w:themeColor="text1" w:themeTint="F2"/>
                <w:spacing w:val="-6"/>
              </w:rPr>
              <w:t>P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říjmy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 VI 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meziročně klesly o</w:t>
            </w:r>
            <w:r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2,8</w:t>
            </w:r>
            <w:r>
              <w:rPr>
                <w:rFonts w:cs="Arial"/>
                <w:color w:val="0D0D0D" w:themeColor="text1" w:themeTint="F2"/>
                <w:spacing w:val="-6"/>
              </w:rPr>
              <w:t> %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, růst výdajů vystoupal na 10,7</w:t>
            </w:r>
            <w:r>
              <w:rPr>
                <w:rFonts w:cs="Arial"/>
                <w:color w:val="0D0D0D" w:themeColor="text1" w:themeTint="F2"/>
                <w:spacing w:val="-6"/>
              </w:rPr>
              <w:t> %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 (v</w:t>
            </w:r>
            <w:r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obou případech šlo o</w:t>
            </w:r>
            <w:r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rekordní tempa </w:t>
            </w:r>
            <w:r>
              <w:rPr>
                <w:rFonts w:cs="Arial"/>
                <w:color w:val="0D0D0D" w:themeColor="text1" w:themeTint="F2"/>
                <w:spacing w:val="-6"/>
              </w:rPr>
              <w:t>za poslední dekádu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). Saldo hospodaření se meziročně zhoršilo ve všech subsektorech</w:t>
            </w:r>
            <w:r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VI, nejvíce však u</w:t>
            </w:r>
            <w:r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ústředních</w:t>
            </w:r>
            <w:r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VI, jež nesly drtivou většinu nákladů spojených </w:t>
            </w:r>
            <w:r>
              <w:rPr>
                <w:rFonts w:cs="Arial"/>
                <w:color w:val="0D0D0D" w:themeColor="text1" w:themeTint="F2"/>
                <w:spacing w:val="-6"/>
              </w:rPr>
              <w:t>s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protipandemickými opatření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mi. Zdravotní pojišťovny 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i</w:t>
            </w:r>
            <w:r>
              <w:rPr>
                <w:spacing w:val="-6"/>
              </w:rPr>
              <w:t xml:space="preserve"> 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místní</w:t>
            </w:r>
            <w:r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VI přebytkové hospodaření udržely, zčásti díky nižší investiční aktivitě. Sezónně očištěné saldo hospodaření sektoru VI propadlo za tři čtvrtletí na </w:t>
            </w:r>
            <w:r w:rsidRPr="000F45E7">
              <w:rPr>
                <w:spacing w:val="-6"/>
              </w:rPr>
              <w:t>–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4,5</w:t>
            </w:r>
            <w:r>
              <w:rPr>
                <w:rFonts w:cs="Arial"/>
                <w:color w:val="0D0D0D" w:themeColor="text1" w:themeTint="F2"/>
                <w:spacing w:val="-6"/>
              </w:rPr>
              <w:t> %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 HDP. Zaznamenalo tak první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 deficit po pěti letech a zároveň 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nejhorší výsledek od roku 2009 (</w:t>
            </w:r>
            <w:r w:rsidRPr="000F45E7">
              <w:rPr>
                <w:spacing w:val="-6"/>
              </w:rPr>
              <w:t>–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5,5</w:t>
            </w:r>
            <w:r>
              <w:rPr>
                <w:rFonts w:cs="Arial"/>
                <w:color w:val="0D0D0D" w:themeColor="text1" w:themeTint="F2"/>
                <w:spacing w:val="-6"/>
              </w:rPr>
              <w:t> %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). </w:t>
            </w:r>
            <w:r>
              <w:rPr>
                <w:rFonts w:cs="Arial"/>
                <w:color w:val="0D0D0D" w:themeColor="text1" w:themeTint="F2"/>
                <w:spacing w:val="-6"/>
              </w:rPr>
              <w:t>Šlo ovšem stále o lepší hodnotu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 než v EU (</w:t>
            </w:r>
            <w:r w:rsidRPr="000F45E7">
              <w:rPr>
                <w:spacing w:val="-6"/>
              </w:rPr>
              <w:t>–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6,6</w:t>
            </w:r>
            <w:r>
              <w:rPr>
                <w:rFonts w:cs="Arial"/>
                <w:color w:val="0D0D0D" w:themeColor="text1" w:themeTint="F2"/>
                <w:spacing w:val="-6"/>
              </w:rPr>
              <w:t> %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) či 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ve 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všech středoevropských státech (např. Německo </w:t>
            </w:r>
            <w:r w:rsidRPr="000F45E7">
              <w:rPr>
                <w:spacing w:val="-6"/>
              </w:rPr>
              <w:t>–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4,6</w:t>
            </w:r>
            <w:r>
              <w:rPr>
                <w:rFonts w:cs="Arial"/>
                <w:color w:val="0D0D0D" w:themeColor="text1" w:themeTint="F2"/>
                <w:spacing w:val="-6"/>
              </w:rPr>
              <w:t> %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, Polsko </w:t>
            </w:r>
            <w:r w:rsidRPr="000F45E7">
              <w:rPr>
                <w:spacing w:val="-6"/>
              </w:rPr>
              <w:t>–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8,5</w:t>
            </w:r>
            <w:r>
              <w:rPr>
                <w:rFonts w:cs="Arial"/>
                <w:color w:val="0D0D0D" w:themeColor="text1" w:themeTint="F2"/>
                <w:spacing w:val="-6"/>
              </w:rPr>
              <w:t> %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). Takto hluboké deficitní hospodaření se muselo odrazit v dluhové akceleraci. Míra zadlužení v EU překonala během loň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ska rekordní úroveň z roku 2014, 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na konci 3.</w:t>
            </w:r>
            <w:r>
              <w:rPr>
                <w:rFonts w:cs="Arial"/>
                <w:color w:val="0D0D0D" w:themeColor="text1" w:themeTint="F2"/>
                <w:spacing w:val="-6"/>
              </w:rPr>
              <w:t> čtvrtlet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í 2020 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se 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tě</w:t>
            </w:r>
            <w:r>
              <w:rPr>
                <w:rFonts w:cs="Arial"/>
                <w:color w:val="0D0D0D" w:themeColor="text1" w:themeTint="F2"/>
                <w:spacing w:val="-6"/>
              </w:rPr>
              <w:t>s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ně přiblížila 90</w:t>
            </w:r>
            <w:r>
              <w:rPr>
                <w:rFonts w:cs="Arial"/>
                <w:color w:val="0D0D0D" w:themeColor="text1" w:themeTint="F2"/>
                <w:spacing w:val="-6"/>
              </w:rPr>
              <w:t> %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 HDP. Meziročně vzrostla ve všech zemích Unie – více než o</w:t>
            </w:r>
            <w:r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15</w:t>
            </w:r>
            <w:r>
              <w:rPr>
                <w:rFonts w:cs="Arial"/>
                <w:color w:val="0D0D0D" w:themeColor="text1" w:themeTint="F2"/>
                <w:spacing w:val="-6"/>
              </w:rPr>
              <w:t> p. b.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na 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Kypru, </w:t>
            </w:r>
            <w:r>
              <w:rPr>
                <w:rFonts w:cs="Arial"/>
                <w:color w:val="0D0D0D" w:themeColor="text1" w:themeTint="F2"/>
                <w:spacing w:val="-6"/>
              </w:rPr>
              <w:t>v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Itálii, Řecku, Španělsku a</w:t>
            </w:r>
            <w:r>
              <w:rPr>
                <w:rFonts w:cs="Arial"/>
                <w:color w:val="0D0D0D" w:themeColor="text1" w:themeTint="F2"/>
                <w:spacing w:val="-6"/>
              </w:rPr>
              <w:t> Francii. Nárůst v Česku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 (+6,9</w:t>
            </w:r>
            <w:r>
              <w:rPr>
                <w:rFonts w:cs="Arial"/>
                <w:color w:val="0D0D0D" w:themeColor="text1" w:themeTint="F2"/>
                <w:spacing w:val="-6"/>
              </w:rPr>
              <w:t> p. b.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, na 38,4</w:t>
            </w:r>
            <w:r>
              <w:rPr>
                <w:rFonts w:cs="Arial"/>
                <w:color w:val="0D0D0D" w:themeColor="text1" w:themeTint="F2"/>
                <w:spacing w:val="-6"/>
              </w:rPr>
              <w:t> %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 HDP) byl slabší než v celé EU (+10,6</w:t>
            </w:r>
            <w:r>
              <w:rPr>
                <w:rFonts w:cs="Arial"/>
                <w:color w:val="0D0D0D" w:themeColor="text1" w:themeTint="F2"/>
                <w:spacing w:val="-6"/>
              </w:rPr>
              <w:t> p. b.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). I</w:t>
            </w:r>
            <w:r>
              <w:rPr>
                <w:rFonts w:cs="Arial"/>
                <w:color w:val="0D0D0D" w:themeColor="text1" w:themeTint="F2"/>
                <w:spacing w:val="-6"/>
              </w:rPr>
              <w:t> 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>díky tomu patřila ČR stále do čtveřice nejméně</w:t>
            </w:r>
            <w:r>
              <w:rPr>
                <w:rFonts w:cs="Arial"/>
                <w:color w:val="0D0D0D" w:themeColor="text1" w:themeTint="F2"/>
                <w:spacing w:val="-6"/>
              </w:rPr>
              <w:t xml:space="preserve"> zadlužených ekonomik</w:t>
            </w:r>
            <w:r w:rsidRPr="000F45E7">
              <w:rPr>
                <w:rFonts w:cs="Arial"/>
                <w:color w:val="0D0D0D" w:themeColor="text1" w:themeTint="F2"/>
                <w:spacing w:val="-6"/>
              </w:rPr>
              <w:t xml:space="preserve"> EU.</w:t>
            </w:r>
          </w:p>
        </w:tc>
      </w:tr>
      <w:bookmarkEnd w:id="1"/>
    </w:tbl>
    <w:p w14:paraId="3E974863" w14:textId="2EEF6166" w:rsidR="000663F0" w:rsidRPr="00E42054" w:rsidRDefault="000663F0" w:rsidP="00E97F14">
      <w:pPr>
        <w:pStyle w:val="Nadpis11"/>
        <w:spacing w:after="0"/>
        <w:rPr>
          <w:b w:val="0"/>
          <w:sz w:val="2"/>
          <w:szCs w:val="2"/>
        </w:rPr>
      </w:pPr>
    </w:p>
    <w:sectPr w:rsidR="000663F0" w:rsidRPr="00E42054" w:rsidSect="00A92A21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680" w:footer="737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D51C5" w14:textId="77777777" w:rsidR="0091476D" w:rsidRDefault="0091476D" w:rsidP="00E71A58">
      <w:r>
        <w:separator/>
      </w:r>
    </w:p>
  </w:endnote>
  <w:endnote w:type="continuationSeparator" w:id="0">
    <w:p w14:paraId="7E79BE89" w14:textId="77777777" w:rsidR="0091476D" w:rsidRDefault="0091476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1A0D" w14:textId="729E3972" w:rsidR="0091476D" w:rsidRPr="00932443" w:rsidRDefault="0091476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92A21">
      <w:rPr>
        <w:szCs w:val="16"/>
      </w:rPr>
      <w:t>36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7E4B" w14:textId="2210CAA8" w:rsidR="0091476D" w:rsidRPr="00932443" w:rsidRDefault="0091476D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rok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A92A21">
      <w:rPr>
        <w:rStyle w:val="ZpatChar"/>
        <w:szCs w:val="16"/>
      </w:rPr>
      <w:t>35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E61E" w14:textId="77777777" w:rsidR="0091476D" w:rsidRDefault="0091476D" w:rsidP="00A21B4D">
      <w:pPr>
        <w:spacing w:after="0"/>
      </w:pPr>
      <w:r>
        <w:separator/>
      </w:r>
    </w:p>
  </w:footnote>
  <w:footnote w:type="continuationSeparator" w:id="0">
    <w:p w14:paraId="14D7D261" w14:textId="77777777" w:rsidR="0091476D" w:rsidRDefault="0091476D" w:rsidP="00E71A58">
      <w:r>
        <w:continuationSeparator/>
      </w:r>
    </w:p>
  </w:footnote>
  <w:footnote w:id="1">
    <w:p w14:paraId="468BA032" w14:textId="77777777" w:rsidR="0091476D" w:rsidRPr="00E915E7" w:rsidRDefault="0091476D" w:rsidP="00267C51">
      <w:pPr>
        <w:pStyle w:val="Textpoznpodarou"/>
        <w:jc w:val="both"/>
        <w:rPr>
          <w:spacing w:val="-2"/>
          <w:sz w:val="16"/>
          <w:szCs w:val="16"/>
        </w:rPr>
      </w:pPr>
      <w:r w:rsidRPr="00E915E7">
        <w:rPr>
          <w:rStyle w:val="Znakapoznpodarou"/>
          <w:spacing w:val="-2"/>
          <w:sz w:val="16"/>
          <w:szCs w:val="16"/>
        </w:rPr>
        <w:footnoteRef/>
      </w:r>
      <w:r w:rsidRPr="00E915E7">
        <w:rPr>
          <w:spacing w:val="-2"/>
          <w:sz w:val="16"/>
          <w:szCs w:val="16"/>
        </w:rPr>
        <w:t xml:space="preserve"> </w:t>
      </w:r>
      <w:r w:rsidRPr="00E915E7">
        <w:rPr>
          <w:color w:val="0D0D0D" w:themeColor="text1" w:themeTint="F2"/>
          <w:spacing w:val="-2"/>
          <w:sz w:val="16"/>
          <w:szCs w:val="16"/>
        </w:rPr>
        <w:t xml:space="preserve">Pokud není uvedeno jinak, vycházejí všechny údaje týkající se státního rozpočtu </w:t>
      </w:r>
      <w:r w:rsidRPr="00E915E7">
        <w:rPr>
          <w:rFonts w:cs="Arial"/>
          <w:color w:val="0D0D0D" w:themeColor="text1" w:themeTint="F2"/>
          <w:spacing w:val="-2"/>
          <w:sz w:val="16"/>
          <w:szCs w:val="16"/>
        </w:rPr>
        <w:t>z dat Ministerstva financí o pokladním plnění.</w:t>
      </w:r>
    </w:p>
  </w:footnote>
  <w:footnote w:id="2">
    <w:p w14:paraId="758D7E4B" w14:textId="77777777" w:rsidR="0091476D" w:rsidRPr="00E915E7" w:rsidRDefault="0091476D" w:rsidP="00267C51">
      <w:pPr>
        <w:pStyle w:val="Textpoznpodarou"/>
        <w:rPr>
          <w:spacing w:val="-2"/>
          <w:sz w:val="16"/>
          <w:szCs w:val="16"/>
        </w:rPr>
      </w:pPr>
      <w:r w:rsidRPr="00E915E7"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Deficit SR se jen během května prohloubil o </w:t>
      </w:r>
      <w:r w:rsidRPr="00E915E7">
        <w:rPr>
          <w:spacing w:val="-2"/>
          <w:sz w:val="16"/>
          <w:szCs w:val="16"/>
        </w:rPr>
        <w:t>63</w:t>
      </w:r>
      <w:r>
        <w:rPr>
          <w:spacing w:val="-2"/>
          <w:sz w:val="16"/>
          <w:szCs w:val="16"/>
        </w:rPr>
        <w:t>,7 mld. korun, za listopad o dalších</w:t>
      </w:r>
      <w:r w:rsidRPr="00E915E7">
        <w:rPr>
          <w:spacing w:val="-2"/>
          <w:sz w:val="16"/>
          <w:szCs w:val="16"/>
        </w:rPr>
        <w:t xml:space="preserve"> 67,5</w:t>
      </w:r>
      <w:r>
        <w:rPr>
          <w:spacing w:val="-2"/>
          <w:sz w:val="16"/>
          <w:szCs w:val="16"/>
        </w:rPr>
        <w:t> mld.</w:t>
      </w:r>
    </w:p>
  </w:footnote>
  <w:footnote w:id="3">
    <w:p w14:paraId="5033052C" w14:textId="77777777" w:rsidR="0091476D" w:rsidRPr="00E915E7" w:rsidRDefault="0091476D" w:rsidP="00267C51">
      <w:pPr>
        <w:pStyle w:val="Textpoznpodarou"/>
        <w:rPr>
          <w:spacing w:val="-2"/>
          <w:sz w:val="16"/>
          <w:szCs w:val="16"/>
        </w:rPr>
      </w:pPr>
      <w:r w:rsidRPr="00E915E7">
        <w:rPr>
          <w:rStyle w:val="Znakapoznpodarou"/>
          <w:spacing w:val="-2"/>
          <w:sz w:val="16"/>
          <w:szCs w:val="16"/>
        </w:rPr>
        <w:footnoteRef/>
      </w:r>
      <w:r w:rsidRPr="00E915E7">
        <w:rPr>
          <w:spacing w:val="-2"/>
          <w:sz w:val="16"/>
          <w:szCs w:val="16"/>
        </w:rPr>
        <w:t xml:space="preserve"> Hloubka propadu v roce 2009 byla ovšem ve srovnání s loňským rokem více než dvojnásobná (–11,6</w:t>
      </w:r>
      <w:r>
        <w:rPr>
          <w:spacing w:val="-2"/>
          <w:sz w:val="16"/>
          <w:szCs w:val="16"/>
        </w:rPr>
        <w:t> %</w:t>
      </w:r>
      <w:r w:rsidRPr="00E915E7">
        <w:rPr>
          <w:spacing w:val="-2"/>
          <w:sz w:val="16"/>
          <w:szCs w:val="16"/>
        </w:rPr>
        <w:t>).</w:t>
      </w:r>
    </w:p>
  </w:footnote>
  <w:footnote w:id="4">
    <w:p w14:paraId="505A41A0" w14:textId="77777777" w:rsidR="0091476D" w:rsidRPr="00E915E7" w:rsidRDefault="0091476D" w:rsidP="00267C51">
      <w:pPr>
        <w:pStyle w:val="Textpoznpodarou"/>
        <w:rPr>
          <w:spacing w:val="-2"/>
          <w:sz w:val="16"/>
          <w:szCs w:val="16"/>
        </w:rPr>
      </w:pPr>
      <w:r w:rsidRPr="00E915E7">
        <w:rPr>
          <w:rStyle w:val="Znakapoznpodarou"/>
          <w:spacing w:val="-2"/>
          <w:sz w:val="16"/>
          <w:szCs w:val="16"/>
        </w:rPr>
        <w:footnoteRef/>
      </w:r>
      <w:r w:rsidRPr="00E915E7">
        <w:rPr>
          <w:spacing w:val="-2"/>
          <w:sz w:val="16"/>
          <w:szCs w:val="16"/>
        </w:rPr>
        <w:t xml:space="preserve"> V tomto segmentu jsou častěji zastoupeny malé a</w:t>
      </w:r>
      <w:r>
        <w:rPr>
          <w:spacing w:val="-2"/>
          <w:sz w:val="16"/>
          <w:szCs w:val="16"/>
        </w:rPr>
        <w:t> </w:t>
      </w:r>
      <w:r w:rsidRPr="00E915E7">
        <w:rPr>
          <w:spacing w:val="-2"/>
          <w:sz w:val="16"/>
          <w:szCs w:val="16"/>
        </w:rPr>
        <w:t>střední podniky, které vzhledem k velikosti tržeb nemus</w:t>
      </w:r>
      <w:r>
        <w:rPr>
          <w:spacing w:val="-2"/>
          <w:sz w:val="16"/>
          <w:szCs w:val="16"/>
        </w:rPr>
        <w:t>ej</w:t>
      </w:r>
      <w:r w:rsidRPr="00E915E7">
        <w:rPr>
          <w:spacing w:val="-2"/>
          <w:sz w:val="16"/>
          <w:szCs w:val="16"/>
        </w:rPr>
        <w:t xml:space="preserve">í být mnohdy pravidelnými plátci záloh daně. Jejich nepříznivé hospodářské výsledky se tak poprvé naplno projeví v inkasu až </w:t>
      </w:r>
      <w:r>
        <w:rPr>
          <w:spacing w:val="-2"/>
          <w:sz w:val="16"/>
          <w:szCs w:val="16"/>
        </w:rPr>
        <w:t>v </w:t>
      </w:r>
      <w:r w:rsidRPr="00E915E7">
        <w:rPr>
          <w:spacing w:val="-2"/>
          <w:sz w:val="16"/>
          <w:szCs w:val="16"/>
        </w:rPr>
        <w:t>létě 2021 (při ročním zúčtování daně).</w:t>
      </w:r>
    </w:p>
  </w:footnote>
  <w:footnote w:id="5">
    <w:p w14:paraId="31946C65" w14:textId="77777777" w:rsidR="0091476D" w:rsidRPr="00E915E7" w:rsidRDefault="0091476D" w:rsidP="00267C51">
      <w:pPr>
        <w:pStyle w:val="Textpoznpodarou"/>
        <w:rPr>
          <w:spacing w:val="-2"/>
        </w:rPr>
      </w:pPr>
      <w:r w:rsidRPr="00E915E7">
        <w:rPr>
          <w:rStyle w:val="Znakapoznpodarou"/>
          <w:spacing w:val="-2"/>
          <w:sz w:val="16"/>
          <w:szCs w:val="16"/>
        </w:rPr>
        <w:footnoteRef/>
      </w:r>
      <w:r w:rsidRPr="00E915E7">
        <w:rPr>
          <w:spacing w:val="-2"/>
          <w:sz w:val="16"/>
          <w:szCs w:val="16"/>
        </w:rPr>
        <w:t xml:space="preserve"> K hlubšímu meziročnímu poklesu výběru této daně došlo naposledy v roce 2008 (o 8,9 %). Zásadní vliv tehdy mělo zavedení rovné 15% daně ze superhrubé mzdy.</w:t>
      </w:r>
    </w:p>
  </w:footnote>
  <w:footnote w:id="6">
    <w:p w14:paraId="260F2D4B" w14:textId="77777777" w:rsidR="0091476D" w:rsidRPr="00E915E7" w:rsidRDefault="0091476D" w:rsidP="00267C51">
      <w:pPr>
        <w:pStyle w:val="Textpoznpodarou"/>
        <w:rPr>
          <w:sz w:val="16"/>
          <w:szCs w:val="16"/>
        </w:rPr>
      </w:pPr>
      <w:r w:rsidRPr="00E915E7">
        <w:rPr>
          <w:rStyle w:val="Znakapoznpodarou"/>
          <w:spacing w:val="-2"/>
          <w:sz w:val="16"/>
          <w:szCs w:val="16"/>
        </w:rPr>
        <w:footnoteRef/>
      </w:r>
      <w:r w:rsidRPr="00E915E7">
        <w:rPr>
          <w:spacing w:val="-2"/>
          <w:sz w:val="16"/>
          <w:szCs w:val="16"/>
        </w:rPr>
        <w:t xml:space="preserve"> Šlo </w:t>
      </w:r>
      <w:r>
        <w:rPr>
          <w:spacing w:val="-2"/>
          <w:sz w:val="16"/>
          <w:szCs w:val="16"/>
        </w:rPr>
        <w:t>o </w:t>
      </w:r>
      <w:r w:rsidRPr="00E915E7">
        <w:rPr>
          <w:spacing w:val="-2"/>
          <w:sz w:val="16"/>
          <w:szCs w:val="16"/>
        </w:rPr>
        <w:t xml:space="preserve">jedinou z objemově významnějších daní, jejíž výběr předčil v roce 2020 původní rozpočtové očekávání (dle </w:t>
      </w:r>
      <w:r>
        <w:rPr>
          <w:spacing w:val="-2"/>
          <w:sz w:val="16"/>
          <w:szCs w:val="16"/>
        </w:rPr>
        <w:t>z</w:t>
      </w:r>
      <w:r w:rsidRPr="00E915E7">
        <w:rPr>
          <w:spacing w:val="-2"/>
          <w:sz w:val="16"/>
          <w:szCs w:val="16"/>
        </w:rPr>
        <w:t>ákona o</w:t>
      </w:r>
      <w:r>
        <w:rPr>
          <w:spacing w:val="-2"/>
          <w:sz w:val="16"/>
          <w:szCs w:val="16"/>
        </w:rPr>
        <w:t> </w:t>
      </w:r>
      <w:r w:rsidRPr="00E915E7">
        <w:rPr>
          <w:spacing w:val="-2"/>
          <w:sz w:val="16"/>
          <w:szCs w:val="16"/>
        </w:rPr>
        <w:t>státním rozpočtu schválené</w:t>
      </w:r>
      <w:r>
        <w:rPr>
          <w:spacing w:val="-2"/>
          <w:sz w:val="16"/>
          <w:szCs w:val="16"/>
        </w:rPr>
        <w:t>ho</w:t>
      </w:r>
      <w:r w:rsidRPr="00E915E7">
        <w:rPr>
          <w:spacing w:val="-2"/>
          <w:sz w:val="16"/>
          <w:szCs w:val="16"/>
        </w:rPr>
        <w:t xml:space="preserve"> 4</w:t>
      </w:r>
      <w:r>
        <w:rPr>
          <w:spacing w:val="-2"/>
          <w:sz w:val="16"/>
          <w:szCs w:val="16"/>
        </w:rPr>
        <w:t>. </w:t>
      </w:r>
      <w:r w:rsidRPr="00E915E7">
        <w:rPr>
          <w:spacing w:val="-2"/>
          <w:sz w:val="16"/>
          <w:szCs w:val="16"/>
        </w:rPr>
        <w:t>prosince 2019 s rozpočtovým schodkem 40</w:t>
      </w:r>
      <w:r>
        <w:rPr>
          <w:spacing w:val="-2"/>
          <w:sz w:val="16"/>
          <w:szCs w:val="16"/>
        </w:rPr>
        <w:t> mld.</w:t>
      </w:r>
      <w:r w:rsidRPr="00E915E7">
        <w:rPr>
          <w:spacing w:val="-2"/>
          <w:sz w:val="16"/>
          <w:szCs w:val="16"/>
        </w:rPr>
        <w:t xml:space="preserve"> korun).</w:t>
      </w:r>
    </w:p>
  </w:footnote>
  <w:footnote w:id="7">
    <w:p w14:paraId="2F495E7A" w14:textId="77777777" w:rsidR="0091476D" w:rsidRPr="00E97F14" w:rsidRDefault="0091476D" w:rsidP="00267C51">
      <w:pPr>
        <w:pStyle w:val="Textpoznpodarou"/>
        <w:jc w:val="both"/>
        <w:rPr>
          <w:spacing w:val="-5"/>
          <w:sz w:val="16"/>
          <w:szCs w:val="16"/>
        </w:rPr>
      </w:pPr>
      <w:r w:rsidRPr="00E97F14">
        <w:rPr>
          <w:rStyle w:val="Znakapoznpodarou"/>
          <w:spacing w:val="-5"/>
          <w:sz w:val="16"/>
          <w:szCs w:val="16"/>
        </w:rPr>
        <w:footnoteRef/>
      </w:r>
      <w:r w:rsidRPr="00E97F14">
        <w:rPr>
          <w:spacing w:val="-5"/>
          <w:sz w:val="16"/>
          <w:szCs w:val="16"/>
        </w:rPr>
        <w:t xml:space="preserve"> Šlo</w:t>
      </w:r>
      <w:r w:rsidRPr="00E97F14">
        <w:rPr>
          <w:color w:val="0D0D0D" w:themeColor="text1" w:themeTint="F2"/>
          <w:spacing w:val="-5"/>
          <w:sz w:val="16"/>
          <w:szCs w:val="16"/>
        </w:rPr>
        <w:t xml:space="preserve"> primárně o výdaje do zdravotnictví (54,8 mld. korun, zejména nákup ochranných prostředků v souvislosti s covidem-19, oddlužení vybraných nemocnic, posílení platby státu za státní pojištěnce a zvýšení osobních nákladů pracovníků ve zdravotnictví), dále o program Antivirus A + B (23,7 mld.), ošetřovné pro zaměstnance a OSVČ (12,0 mld.), jednorázovou kompenzaci výpadku příjmů pro obce a města (13,4 mld.), navýšení prostředků na platy a odměny v sociálních službách a dalších vybraných oblastech veřejného sektoru mimo zdravotnictví (3,3 mld.) či další programy na přímou podporu zasažených firem i odvětví – např. COVID Nájemné (4,1 mld.) a COVID Ubytování (2,3 mld. korun).</w:t>
      </w:r>
    </w:p>
  </w:footnote>
  <w:footnote w:id="8">
    <w:p w14:paraId="2CBA4C0F" w14:textId="77777777" w:rsidR="0091476D" w:rsidRPr="002802FF" w:rsidRDefault="0091476D" w:rsidP="00267C51">
      <w:pPr>
        <w:pStyle w:val="Textpoznpodarou"/>
        <w:rPr>
          <w:spacing w:val="-2"/>
          <w:sz w:val="16"/>
          <w:szCs w:val="16"/>
        </w:rPr>
      </w:pPr>
      <w:r w:rsidRPr="002802FF">
        <w:rPr>
          <w:rStyle w:val="Znakapoznpodarou"/>
          <w:spacing w:val="-2"/>
          <w:sz w:val="16"/>
          <w:szCs w:val="16"/>
        </w:rPr>
        <w:footnoteRef/>
      </w:r>
      <w:r w:rsidRPr="002802FF">
        <w:rPr>
          <w:spacing w:val="-2"/>
          <w:sz w:val="16"/>
          <w:szCs w:val="16"/>
        </w:rPr>
        <w:t xml:space="preserve"> Celkové výdaje na neinvestiční nákupy (bez výdajů na obsluhu státní</w:t>
      </w:r>
      <w:r>
        <w:rPr>
          <w:spacing w:val="-2"/>
          <w:sz w:val="16"/>
          <w:szCs w:val="16"/>
        </w:rPr>
        <w:t>ho</w:t>
      </w:r>
      <w:r w:rsidRPr="002802FF">
        <w:rPr>
          <w:spacing w:val="-2"/>
          <w:sz w:val="16"/>
          <w:szCs w:val="16"/>
        </w:rPr>
        <w:t xml:space="preserve"> dluhu) loni dosáhly 78</w:t>
      </w:r>
      <w:r>
        <w:rPr>
          <w:spacing w:val="-2"/>
          <w:sz w:val="16"/>
          <w:szCs w:val="16"/>
        </w:rPr>
        <w:t> mld.</w:t>
      </w:r>
      <w:r w:rsidRPr="002802FF">
        <w:rPr>
          <w:spacing w:val="-2"/>
          <w:sz w:val="16"/>
          <w:szCs w:val="16"/>
        </w:rPr>
        <w:t xml:space="preserve"> korun</w:t>
      </w:r>
      <w:r>
        <w:rPr>
          <w:spacing w:val="-2"/>
          <w:sz w:val="16"/>
          <w:szCs w:val="16"/>
        </w:rPr>
        <w:t>,</w:t>
      </w:r>
      <w:r w:rsidRPr="002802FF">
        <w:rPr>
          <w:spacing w:val="-2"/>
          <w:sz w:val="16"/>
          <w:szCs w:val="16"/>
        </w:rPr>
        <w:t xml:space="preserve"> a</w:t>
      </w:r>
      <w:r>
        <w:rPr>
          <w:spacing w:val="-2"/>
          <w:sz w:val="16"/>
          <w:szCs w:val="16"/>
        </w:rPr>
        <w:t> </w:t>
      </w:r>
      <w:r w:rsidRPr="002802FF">
        <w:rPr>
          <w:spacing w:val="-2"/>
          <w:sz w:val="16"/>
          <w:szCs w:val="16"/>
        </w:rPr>
        <w:t>překonaly tak dosud rekordní výši z roku 2008 (72</w:t>
      </w:r>
      <w:r>
        <w:rPr>
          <w:spacing w:val="-2"/>
          <w:sz w:val="16"/>
          <w:szCs w:val="16"/>
        </w:rPr>
        <w:t> mld.</w:t>
      </w:r>
      <w:r w:rsidRPr="002802FF">
        <w:rPr>
          <w:spacing w:val="-2"/>
          <w:sz w:val="16"/>
          <w:szCs w:val="16"/>
        </w:rPr>
        <w:t>). Tyto výdaje byly v první polovině poslední dekády ve vazbě na úsporná opatření významně redukovány.</w:t>
      </w:r>
    </w:p>
  </w:footnote>
  <w:footnote w:id="9">
    <w:p w14:paraId="020497D8" w14:textId="77777777" w:rsidR="0091476D" w:rsidRPr="002802FF" w:rsidRDefault="0091476D" w:rsidP="00267C51">
      <w:pPr>
        <w:pStyle w:val="Textpoznpodarou"/>
        <w:jc w:val="both"/>
        <w:rPr>
          <w:spacing w:val="-2"/>
        </w:rPr>
      </w:pPr>
      <w:r w:rsidRPr="002802FF">
        <w:rPr>
          <w:rStyle w:val="Znakapoznpodarou"/>
          <w:spacing w:val="-2"/>
          <w:sz w:val="16"/>
          <w:szCs w:val="16"/>
        </w:rPr>
        <w:footnoteRef/>
      </w:r>
      <w:r w:rsidRPr="002802FF">
        <w:rPr>
          <w:spacing w:val="-2"/>
          <w:sz w:val="16"/>
          <w:szCs w:val="16"/>
        </w:rPr>
        <w:t xml:space="preserve"> Šlo o </w:t>
      </w:r>
      <w:r w:rsidRPr="002802FF">
        <w:rPr>
          <w:color w:val="0D0D0D" w:themeColor="text1" w:themeTint="F2"/>
          <w:spacing w:val="-2"/>
          <w:sz w:val="16"/>
          <w:szCs w:val="16"/>
        </w:rPr>
        <w:t>zrušení minimálních záloh pro OSVČ na sociální pojištění s odhadovaným rozpočtovým dopadem ve výši 7,4 mld. korun a dále o prominutí pojistného na sociální zabezpečení a politiku zaměstnanosti placeného zaměstnavatelem (13,3 mld.).</w:t>
      </w:r>
    </w:p>
  </w:footnote>
  <w:footnote w:id="10">
    <w:p w14:paraId="0541FC62" w14:textId="77777777" w:rsidR="0091476D" w:rsidRPr="002802FF" w:rsidRDefault="0091476D" w:rsidP="00267C51">
      <w:pPr>
        <w:pStyle w:val="Textpoznpodarou"/>
        <w:jc w:val="both"/>
        <w:rPr>
          <w:spacing w:val="-2"/>
        </w:rPr>
      </w:pPr>
      <w:r w:rsidRPr="002802FF"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Vyjadřuje</w:t>
      </w:r>
      <w:r w:rsidRPr="002802FF">
        <w:rPr>
          <w:spacing w:val="-2"/>
          <w:sz w:val="16"/>
          <w:szCs w:val="16"/>
        </w:rPr>
        <w:t xml:space="preserve"> </w:t>
      </w:r>
      <w:r w:rsidRPr="002802FF">
        <w:rPr>
          <w:rFonts w:cs="Arial"/>
          <w:color w:val="000000" w:themeColor="text1"/>
          <w:spacing w:val="-2"/>
          <w:sz w:val="16"/>
          <w:szCs w:val="16"/>
        </w:rPr>
        <w:t xml:space="preserve">rozdíl mezi příjmy a výdaji na důchody ze SR. Ve výdajích nejsou zahrnuty prostředky na správu systému důchodového 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pojištění.</w:t>
      </w:r>
    </w:p>
  </w:footnote>
  <w:footnote w:id="11">
    <w:p w14:paraId="4F7BF6F2" w14:textId="77777777" w:rsidR="0091476D" w:rsidRPr="00396298" w:rsidRDefault="0091476D" w:rsidP="00267C51">
      <w:pPr>
        <w:pStyle w:val="Textpoznpodarou"/>
        <w:rPr>
          <w:sz w:val="16"/>
          <w:szCs w:val="16"/>
        </w:rPr>
      </w:pPr>
      <w:r w:rsidRPr="002802FF">
        <w:rPr>
          <w:rStyle w:val="Znakapoznpodarou"/>
          <w:spacing w:val="-2"/>
          <w:sz w:val="16"/>
          <w:szCs w:val="16"/>
        </w:rPr>
        <w:footnoteRef/>
      </w:r>
      <w:r w:rsidRPr="002802FF">
        <w:rPr>
          <w:spacing w:val="-2"/>
          <w:sz w:val="16"/>
          <w:szCs w:val="16"/>
        </w:rPr>
        <w:t xml:space="preserve"> Z údajů ČSSZ o dočasné pracovní neschopnosti plyne, že zatímco v 1. čtvrtletí 2020 počet prostonaných dnů meziročně klesl o 1,5 %, ve 2. čtvrtletí vzrostl o 15,8 % a v následujícím kvartálu o 13,4 %.</w:t>
      </w:r>
    </w:p>
  </w:footnote>
  <w:footnote w:id="12">
    <w:p w14:paraId="61BD8D5A" w14:textId="77777777" w:rsidR="0091476D" w:rsidRPr="000D151F" w:rsidRDefault="0091476D" w:rsidP="00267C51">
      <w:pPr>
        <w:pStyle w:val="Textpoznpodarou"/>
        <w:rPr>
          <w:sz w:val="16"/>
          <w:szCs w:val="16"/>
        </w:rPr>
      </w:pPr>
      <w:r w:rsidRPr="000D151F">
        <w:rPr>
          <w:rStyle w:val="Znakapoznpodarou"/>
          <w:sz w:val="16"/>
          <w:szCs w:val="16"/>
        </w:rPr>
        <w:footnoteRef/>
      </w:r>
      <w:r w:rsidRPr="000D151F">
        <w:rPr>
          <w:sz w:val="16"/>
          <w:szCs w:val="16"/>
        </w:rPr>
        <w:t xml:space="preserve"> V krizovém roce 2009</w:t>
      </w:r>
      <w:r>
        <w:rPr>
          <w:sz w:val="16"/>
          <w:szCs w:val="16"/>
        </w:rPr>
        <w:t xml:space="preserve"> narostl státní dluh „jen“ o 18 %, v následujícím roce o 14 %.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85C8" w14:textId="77777777" w:rsidR="0091476D" w:rsidRDefault="0091476D" w:rsidP="00937AE2">
    <w:pPr>
      <w:pStyle w:val="Zhlav"/>
    </w:pPr>
    <w:r>
      <w:t>Vývoj ekonomiky České republiky</w:t>
    </w:r>
  </w:p>
  <w:p w14:paraId="675E4C41" w14:textId="77777777" w:rsidR="0091476D" w:rsidRPr="006F5416" w:rsidRDefault="0091476D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12FB" w14:textId="77777777" w:rsidR="0091476D" w:rsidRDefault="0091476D" w:rsidP="00937AE2">
    <w:pPr>
      <w:pStyle w:val="Zhlav"/>
    </w:pPr>
    <w:r>
      <w:t>Vývoj ekonomiky České republiky</w:t>
    </w:r>
  </w:p>
  <w:p w14:paraId="0CDCFD48" w14:textId="77777777" w:rsidR="0091476D" w:rsidRPr="006F5416" w:rsidRDefault="0091476D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12"/>
  </w:num>
  <w:num w:numId="15">
    <w:abstractNumId w:val="18"/>
  </w:num>
  <w:num w:numId="16">
    <w:abstractNumId w:val="14"/>
  </w:num>
  <w:num w:numId="17">
    <w:abstractNumId w:val="26"/>
  </w:num>
  <w:num w:numId="18">
    <w:abstractNumId w:val="19"/>
  </w:num>
  <w:num w:numId="19">
    <w:abstractNumId w:val="27"/>
  </w:num>
  <w:num w:numId="20">
    <w:abstractNumId w:val="28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669F"/>
    <w:rsid w:val="000279E5"/>
    <w:rsid w:val="00031AE0"/>
    <w:rsid w:val="00031BB2"/>
    <w:rsid w:val="000322EF"/>
    <w:rsid w:val="00033FCD"/>
    <w:rsid w:val="000348AF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70A87"/>
    <w:rsid w:val="000712B3"/>
    <w:rsid w:val="00071A7C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E5F"/>
    <w:rsid w:val="000A3A2C"/>
    <w:rsid w:val="000A3D9E"/>
    <w:rsid w:val="000A4A54"/>
    <w:rsid w:val="000A4ED9"/>
    <w:rsid w:val="000A5DB7"/>
    <w:rsid w:val="000A6D94"/>
    <w:rsid w:val="000A7377"/>
    <w:rsid w:val="000A7FF4"/>
    <w:rsid w:val="000B03CC"/>
    <w:rsid w:val="000B4212"/>
    <w:rsid w:val="000B67B7"/>
    <w:rsid w:val="000C0EA8"/>
    <w:rsid w:val="000C13A2"/>
    <w:rsid w:val="000C21E7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3058"/>
    <w:rsid w:val="000D310A"/>
    <w:rsid w:val="000D3EF4"/>
    <w:rsid w:val="000D4DC0"/>
    <w:rsid w:val="000D5637"/>
    <w:rsid w:val="000D6F4E"/>
    <w:rsid w:val="000D73BB"/>
    <w:rsid w:val="000E0E96"/>
    <w:rsid w:val="000E298B"/>
    <w:rsid w:val="000E2C7D"/>
    <w:rsid w:val="000E3E56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56B"/>
    <w:rsid w:val="00162F81"/>
    <w:rsid w:val="00163793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BBC"/>
    <w:rsid w:val="0018385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A0487"/>
    <w:rsid w:val="001A0675"/>
    <w:rsid w:val="001A1F68"/>
    <w:rsid w:val="001A21FA"/>
    <w:rsid w:val="001A4EF0"/>
    <w:rsid w:val="001A552F"/>
    <w:rsid w:val="001A70B1"/>
    <w:rsid w:val="001B0738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3306"/>
    <w:rsid w:val="001E504C"/>
    <w:rsid w:val="001E5A17"/>
    <w:rsid w:val="001E74C5"/>
    <w:rsid w:val="001F1236"/>
    <w:rsid w:val="001F2F90"/>
    <w:rsid w:val="001F4597"/>
    <w:rsid w:val="001F4826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1D5"/>
    <w:rsid w:val="002111E5"/>
    <w:rsid w:val="002118B9"/>
    <w:rsid w:val="00213691"/>
    <w:rsid w:val="002142C0"/>
    <w:rsid w:val="00217C5B"/>
    <w:rsid w:val="00220A43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120E"/>
    <w:rsid w:val="00262582"/>
    <w:rsid w:val="0026291D"/>
    <w:rsid w:val="00262CF3"/>
    <w:rsid w:val="00264309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E7AEB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300C31"/>
    <w:rsid w:val="003017EC"/>
    <w:rsid w:val="00302165"/>
    <w:rsid w:val="00304771"/>
    <w:rsid w:val="003052D4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2058C"/>
    <w:rsid w:val="003208D0"/>
    <w:rsid w:val="003209D6"/>
    <w:rsid w:val="003217B9"/>
    <w:rsid w:val="00321924"/>
    <w:rsid w:val="00321EB6"/>
    <w:rsid w:val="003220A5"/>
    <w:rsid w:val="003238E0"/>
    <w:rsid w:val="00323A1C"/>
    <w:rsid w:val="00324B59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6739"/>
    <w:rsid w:val="003978B1"/>
    <w:rsid w:val="003A04F6"/>
    <w:rsid w:val="003A0837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5B59"/>
    <w:rsid w:val="003B7B50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F313C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30C96"/>
    <w:rsid w:val="0043174F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953"/>
    <w:rsid w:val="004604D8"/>
    <w:rsid w:val="00460656"/>
    <w:rsid w:val="00460FB3"/>
    <w:rsid w:val="00463D3C"/>
    <w:rsid w:val="00464851"/>
    <w:rsid w:val="00466595"/>
    <w:rsid w:val="0046746A"/>
    <w:rsid w:val="00467B14"/>
    <w:rsid w:val="004707FE"/>
    <w:rsid w:val="00470EDC"/>
    <w:rsid w:val="0047276D"/>
    <w:rsid w:val="00472AF6"/>
    <w:rsid w:val="00473482"/>
    <w:rsid w:val="00474A04"/>
    <w:rsid w:val="00476240"/>
    <w:rsid w:val="00476439"/>
    <w:rsid w:val="00476450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372F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0498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468"/>
    <w:rsid w:val="004B6EF8"/>
    <w:rsid w:val="004B7125"/>
    <w:rsid w:val="004B756A"/>
    <w:rsid w:val="004B7FB1"/>
    <w:rsid w:val="004C0B3F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5F6"/>
    <w:rsid w:val="0054582F"/>
    <w:rsid w:val="00546FC7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0E"/>
    <w:rsid w:val="00557E45"/>
    <w:rsid w:val="00560C41"/>
    <w:rsid w:val="00561F44"/>
    <w:rsid w:val="00562B4D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21E0"/>
    <w:rsid w:val="005A28FF"/>
    <w:rsid w:val="005A2C09"/>
    <w:rsid w:val="005A3778"/>
    <w:rsid w:val="005A3DF8"/>
    <w:rsid w:val="005A5549"/>
    <w:rsid w:val="005A566A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ADE"/>
    <w:rsid w:val="00601EEF"/>
    <w:rsid w:val="0060255A"/>
    <w:rsid w:val="00602EB3"/>
    <w:rsid w:val="00604307"/>
    <w:rsid w:val="0060487F"/>
    <w:rsid w:val="00604EAD"/>
    <w:rsid w:val="0060513F"/>
    <w:rsid w:val="0060694B"/>
    <w:rsid w:val="006104FB"/>
    <w:rsid w:val="0061176D"/>
    <w:rsid w:val="0061200F"/>
    <w:rsid w:val="00612756"/>
    <w:rsid w:val="00612A2F"/>
    <w:rsid w:val="00612AAE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3CC"/>
    <w:rsid w:val="00665982"/>
    <w:rsid w:val="00665BA4"/>
    <w:rsid w:val="00666BF3"/>
    <w:rsid w:val="00667856"/>
    <w:rsid w:val="00667AF2"/>
    <w:rsid w:val="00670489"/>
    <w:rsid w:val="006710C9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19"/>
    <w:rsid w:val="00677591"/>
    <w:rsid w:val="00677594"/>
    <w:rsid w:val="0068032F"/>
    <w:rsid w:val="00680D37"/>
    <w:rsid w:val="0068174E"/>
    <w:rsid w:val="00681DCE"/>
    <w:rsid w:val="00682110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4355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317E"/>
    <w:rsid w:val="006D3E8A"/>
    <w:rsid w:val="006D61F6"/>
    <w:rsid w:val="006E1332"/>
    <w:rsid w:val="006E19CB"/>
    <w:rsid w:val="006E279A"/>
    <w:rsid w:val="006E313B"/>
    <w:rsid w:val="006E34B2"/>
    <w:rsid w:val="006E3A45"/>
    <w:rsid w:val="006E4078"/>
    <w:rsid w:val="006E53AD"/>
    <w:rsid w:val="006E58CB"/>
    <w:rsid w:val="006E7227"/>
    <w:rsid w:val="006E761A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E4D"/>
    <w:rsid w:val="0071677A"/>
    <w:rsid w:val="00716F48"/>
    <w:rsid w:val="00717114"/>
    <w:rsid w:val="0071779F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F3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C10B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334C"/>
    <w:rsid w:val="00855408"/>
    <w:rsid w:val="00855D03"/>
    <w:rsid w:val="00856D65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A5D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1E5B"/>
    <w:rsid w:val="00952B7B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BB3"/>
    <w:rsid w:val="00992CF3"/>
    <w:rsid w:val="00993194"/>
    <w:rsid w:val="0099321E"/>
    <w:rsid w:val="00994171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1324"/>
    <w:rsid w:val="009B284F"/>
    <w:rsid w:val="009B3764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ED"/>
    <w:rsid w:val="00A16C37"/>
    <w:rsid w:val="00A16E1D"/>
    <w:rsid w:val="00A171D5"/>
    <w:rsid w:val="00A17A15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731E"/>
    <w:rsid w:val="00A309AC"/>
    <w:rsid w:val="00A30F65"/>
    <w:rsid w:val="00A3279E"/>
    <w:rsid w:val="00A33DB1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C91"/>
    <w:rsid w:val="00A83150"/>
    <w:rsid w:val="00A83398"/>
    <w:rsid w:val="00A83D6E"/>
    <w:rsid w:val="00A83FD5"/>
    <w:rsid w:val="00A8521A"/>
    <w:rsid w:val="00A857C0"/>
    <w:rsid w:val="00A85ACB"/>
    <w:rsid w:val="00A90F2C"/>
    <w:rsid w:val="00A90FED"/>
    <w:rsid w:val="00A91482"/>
    <w:rsid w:val="00A9189D"/>
    <w:rsid w:val="00A91E71"/>
    <w:rsid w:val="00A925B1"/>
    <w:rsid w:val="00A92A21"/>
    <w:rsid w:val="00A92A3E"/>
    <w:rsid w:val="00A934F9"/>
    <w:rsid w:val="00A940E3"/>
    <w:rsid w:val="00A94983"/>
    <w:rsid w:val="00A95F1A"/>
    <w:rsid w:val="00A96116"/>
    <w:rsid w:val="00A9614E"/>
    <w:rsid w:val="00A96422"/>
    <w:rsid w:val="00A96C0F"/>
    <w:rsid w:val="00A97075"/>
    <w:rsid w:val="00AA0E80"/>
    <w:rsid w:val="00AA17CD"/>
    <w:rsid w:val="00AA1D85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6414"/>
    <w:rsid w:val="00AE7269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550"/>
    <w:rsid w:val="00B00913"/>
    <w:rsid w:val="00B01593"/>
    <w:rsid w:val="00B01FF9"/>
    <w:rsid w:val="00B023F2"/>
    <w:rsid w:val="00B026FE"/>
    <w:rsid w:val="00B038CA"/>
    <w:rsid w:val="00B05F00"/>
    <w:rsid w:val="00B06DB4"/>
    <w:rsid w:val="00B0750D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62C3"/>
    <w:rsid w:val="00B16DD1"/>
    <w:rsid w:val="00B16EB8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528"/>
    <w:rsid w:val="00B34CC9"/>
    <w:rsid w:val="00B34CDA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2151"/>
    <w:rsid w:val="00B530CD"/>
    <w:rsid w:val="00B53639"/>
    <w:rsid w:val="00B53C7D"/>
    <w:rsid w:val="00B53E56"/>
    <w:rsid w:val="00B55A97"/>
    <w:rsid w:val="00B55F5E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EA2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4329"/>
    <w:rsid w:val="00BF4E43"/>
    <w:rsid w:val="00BF5C4C"/>
    <w:rsid w:val="00BF77F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246C"/>
    <w:rsid w:val="00C1493E"/>
    <w:rsid w:val="00C15DBD"/>
    <w:rsid w:val="00C2010D"/>
    <w:rsid w:val="00C20CB5"/>
    <w:rsid w:val="00C21430"/>
    <w:rsid w:val="00C216DF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834"/>
    <w:rsid w:val="00CC0AEA"/>
    <w:rsid w:val="00CC20FE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020B"/>
    <w:rsid w:val="00CF2E4D"/>
    <w:rsid w:val="00CF4205"/>
    <w:rsid w:val="00CF4908"/>
    <w:rsid w:val="00CF51EC"/>
    <w:rsid w:val="00CF545D"/>
    <w:rsid w:val="00CF5873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70289"/>
    <w:rsid w:val="00D70822"/>
    <w:rsid w:val="00D72076"/>
    <w:rsid w:val="00D721B4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450F"/>
    <w:rsid w:val="00DE5CA6"/>
    <w:rsid w:val="00DE7AC8"/>
    <w:rsid w:val="00DF0830"/>
    <w:rsid w:val="00DF2C5D"/>
    <w:rsid w:val="00DF3643"/>
    <w:rsid w:val="00DF42FF"/>
    <w:rsid w:val="00DF4369"/>
    <w:rsid w:val="00DF4423"/>
    <w:rsid w:val="00DF4ADF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0B1"/>
    <w:rsid w:val="00E35A53"/>
    <w:rsid w:val="00E3656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90CA8"/>
    <w:rsid w:val="00E930A1"/>
    <w:rsid w:val="00E93820"/>
    <w:rsid w:val="00E94A86"/>
    <w:rsid w:val="00E953F6"/>
    <w:rsid w:val="00E96143"/>
    <w:rsid w:val="00E96833"/>
    <w:rsid w:val="00E97506"/>
    <w:rsid w:val="00E97BB5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DF0"/>
    <w:rsid w:val="00ED2386"/>
    <w:rsid w:val="00ED2EA1"/>
    <w:rsid w:val="00ED3851"/>
    <w:rsid w:val="00ED3E51"/>
    <w:rsid w:val="00ED3F10"/>
    <w:rsid w:val="00ED4D04"/>
    <w:rsid w:val="00ED566D"/>
    <w:rsid w:val="00ED5907"/>
    <w:rsid w:val="00ED5F5B"/>
    <w:rsid w:val="00ED62C6"/>
    <w:rsid w:val="00ED64C1"/>
    <w:rsid w:val="00ED781F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47BF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75D3"/>
    <w:rsid w:val="00F62BFF"/>
    <w:rsid w:val="00F63AAE"/>
    <w:rsid w:val="00F63DDE"/>
    <w:rsid w:val="00F63FB7"/>
    <w:rsid w:val="00F6421B"/>
    <w:rsid w:val="00F647F1"/>
    <w:rsid w:val="00F649D2"/>
    <w:rsid w:val="00F6602B"/>
    <w:rsid w:val="00F6799D"/>
    <w:rsid w:val="00F7150B"/>
    <w:rsid w:val="00F717E4"/>
    <w:rsid w:val="00F71DE6"/>
    <w:rsid w:val="00F72D71"/>
    <w:rsid w:val="00F7381C"/>
    <w:rsid w:val="00F73A0C"/>
    <w:rsid w:val="00F7549F"/>
    <w:rsid w:val="00F756DB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20\Q-makro\celorok\St&#225;tn&#237;%20rozpo&#269;et\Grafy-st&#225;tn&#237;%20rozpo&#269;et-rok-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20\Q-makro\celorok\St&#225;tn&#237;%20rozpo&#269;et\Grafy-st&#225;tn&#237;%20rozpo&#269;et-rok-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942877158265147E-2"/>
          <c:y val="1.7107238390107405E-2"/>
          <c:w val="0.82774936889255546"/>
          <c:h val="0.80775796042812997"/>
        </c:manualLayout>
      </c:layout>
      <c:barChart>
        <c:barDir val="col"/>
        <c:grouping val="clustered"/>
        <c:varyColors val="0"/>
        <c:ser>
          <c:idx val="2"/>
          <c:order val="4"/>
          <c:tx>
            <c:strRef>
              <c:f>'G1-Státní rozpočet-příjmy'!$A$38</c:f>
              <c:strCache>
                <c:ptCount val="1"/>
                <c:pt idx="0">
                  <c:v>Saldo státního rozpočtu (SR, pravá osa)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28575">
              <a:noFill/>
            </a:ln>
          </c:spPr>
          <c:invertIfNegative val="0"/>
          <c:cat>
            <c:numRef>
              <c:f>'G1-Státní rozpočet-příjmy'!$B$33:$Q$33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'G1-Státní rozpočet-příjmy'!$B$38:$Q$38</c:f>
              <c:numCache>
                <c:formatCode>0.0</c:formatCode>
                <c:ptCount val="16"/>
                <c:pt idx="0">
                  <c:v>-56.36</c:v>
                </c:pt>
                <c:pt idx="1">
                  <c:v>-97.3</c:v>
                </c:pt>
                <c:pt idx="2">
                  <c:v>-66.391999999999996</c:v>
                </c:pt>
                <c:pt idx="3">
                  <c:v>-20.003</c:v>
                </c:pt>
                <c:pt idx="4">
                  <c:v>-192.39400000000001</c:v>
                </c:pt>
                <c:pt idx="5">
                  <c:v>-156.416</c:v>
                </c:pt>
                <c:pt idx="6">
                  <c:v>-142.77099999999999</c:v>
                </c:pt>
                <c:pt idx="7">
                  <c:v>-101</c:v>
                </c:pt>
                <c:pt idx="8">
                  <c:v>-81.263999999999996</c:v>
                </c:pt>
                <c:pt idx="9">
                  <c:v>-77.78</c:v>
                </c:pt>
                <c:pt idx="10">
                  <c:v>-62.8</c:v>
                </c:pt>
                <c:pt idx="11">
                  <c:v>61.77</c:v>
                </c:pt>
                <c:pt idx="12">
                  <c:v>-6.15</c:v>
                </c:pt>
                <c:pt idx="13">
                  <c:v>2.94</c:v>
                </c:pt>
                <c:pt idx="14">
                  <c:v>-28.52</c:v>
                </c:pt>
                <c:pt idx="15">
                  <c:v>-367.44914888590029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5E-4744-B6B3-08292FA0E2D4}"/>
            </c:ext>
          </c:extLst>
        </c:ser>
        <c:ser>
          <c:idx val="5"/>
          <c:order val="5"/>
          <c:tx>
            <c:strRef>
              <c:f>'G1-Státní rozpočet-příjmy'!$A$39</c:f>
              <c:strCache>
                <c:ptCount val="1"/>
                <c:pt idx="0">
                  <c:v>Saldo SR očišť. o vliv EU a FM* (pr. osa)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8575">
              <a:noFill/>
            </a:ln>
          </c:spPr>
          <c:invertIfNegative val="0"/>
          <c:cat>
            <c:numRef>
              <c:f>'G1-Státní rozpočet-příjmy'!$B$33:$Q$33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'G1-Státní rozpočet-příjmy'!$B$39:$Q$39</c:f>
              <c:numCache>
                <c:formatCode>General</c:formatCode>
                <c:ptCount val="16"/>
                <c:pt idx="8" formatCode="#\ ##0.0">
                  <c:v>-81.7</c:v>
                </c:pt>
                <c:pt idx="9" formatCode="#\ ##0.0">
                  <c:v>-64.099999999999994</c:v>
                </c:pt>
                <c:pt idx="10" formatCode="#\ ##0.0">
                  <c:v>-41.7</c:v>
                </c:pt>
                <c:pt idx="11" formatCode="#\ ##0.0">
                  <c:v>-13.6</c:v>
                </c:pt>
                <c:pt idx="12" formatCode="#\ ##0.0">
                  <c:v>-1.3</c:v>
                </c:pt>
                <c:pt idx="13" formatCode="#\ ##0.0">
                  <c:v>-3.5</c:v>
                </c:pt>
                <c:pt idx="14" formatCode="#\ ##0.0">
                  <c:v>-29.2</c:v>
                </c:pt>
                <c:pt idx="15" formatCode="#\ ##0.0">
                  <c:v>-363.7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5E-4744-B6B3-08292FA0E2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486345536"/>
        <c:axId val="486350944"/>
      </c:barChart>
      <c:lineChart>
        <c:grouping val="standard"/>
        <c:varyColors val="0"/>
        <c:ser>
          <c:idx val="0"/>
          <c:order val="0"/>
          <c:tx>
            <c:strRef>
              <c:f>'G1-Státní rozpočet-příjmy'!$A$34</c:f>
              <c:strCache>
                <c:ptCount val="1"/>
                <c:pt idx="0">
                  <c:v>DPH</c:v>
                </c:pt>
              </c:strCache>
            </c:strRef>
          </c:tx>
          <c:spPr>
            <a:ln w="19050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'G1-Státní rozpočet-příjmy'!$B$33:$Q$33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'G1-Státní rozpočet-příjmy'!$B$34:$Q$34</c:f>
              <c:numCache>
                <c:formatCode>0.0</c:formatCode>
                <c:ptCount val="16"/>
                <c:pt idx="0">
                  <c:v>13.155608643718097</c:v>
                </c:pt>
                <c:pt idx="1">
                  <c:v>4.4959454920589224</c:v>
                </c:pt>
                <c:pt idx="2">
                  <c:v>8.540729176232901</c:v>
                </c:pt>
                <c:pt idx="3">
                  <c:v>7.9575260174295579</c:v>
                </c:pt>
                <c:pt idx="4">
                  <c:v>-0.61914651828048761</c:v>
                </c:pt>
                <c:pt idx="5">
                  <c:v>6.2852411182524435</c:v>
                </c:pt>
                <c:pt idx="6">
                  <c:v>2.1665739194954341</c:v>
                </c:pt>
                <c:pt idx="7">
                  <c:v>1.0312647518065461</c:v>
                </c:pt>
                <c:pt idx="8">
                  <c:v>10.865111598317938</c:v>
                </c:pt>
                <c:pt idx="9">
                  <c:v>4.674836283472743</c:v>
                </c:pt>
                <c:pt idx="10">
                  <c:v>2.7750247770069336</c:v>
                </c:pt>
                <c:pt idx="11">
                  <c:v>5.3881388621022381</c:v>
                </c:pt>
                <c:pt idx="12">
                  <c:v>9.138739563079028</c:v>
                </c:pt>
                <c:pt idx="13">
                  <c:v>8.2844267449172122</c:v>
                </c:pt>
                <c:pt idx="14">
                  <c:v>4.4229373336559235</c:v>
                </c:pt>
                <c:pt idx="15">
                  <c:v>-1.1882103979308738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5E-4744-B6B3-08292FA0E2D4}"/>
            </c:ext>
          </c:extLst>
        </c:ser>
        <c:ser>
          <c:idx val="1"/>
          <c:order val="1"/>
          <c:tx>
            <c:strRef>
              <c:f>'G1-Státní rozpočet-příjmy'!$A$35</c:f>
              <c:strCache>
                <c:ptCount val="1"/>
                <c:pt idx="0">
                  <c:v>Spotřební daně</c:v>
                </c:pt>
              </c:strCache>
            </c:strRef>
          </c:tx>
          <c:spPr>
            <a:ln w="19050">
              <a:solidFill>
                <a:schemeClr val="accent6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'G1-Státní rozpočet-příjmy'!$B$33:$Q$33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'G1-Státní rozpočet-příjmy'!$B$35:$Q$35</c:f>
              <c:numCache>
                <c:formatCode>0.0</c:formatCode>
                <c:ptCount val="16"/>
                <c:pt idx="0">
                  <c:v>15.148989372785991</c:v>
                </c:pt>
                <c:pt idx="1">
                  <c:v>8.1704668838219305</c:v>
                </c:pt>
                <c:pt idx="2">
                  <c:v>16.227519866164769</c:v>
                </c:pt>
                <c:pt idx="3">
                  <c:v>-4.2605253688377047</c:v>
                </c:pt>
                <c:pt idx="4">
                  <c:v>-1.4733518755167978</c:v>
                </c:pt>
                <c:pt idx="5">
                  <c:v>5.4932478828107207</c:v>
                </c:pt>
                <c:pt idx="6">
                  <c:v>6.0099804729876354</c:v>
                </c:pt>
                <c:pt idx="7">
                  <c:v>0.13644426251875075</c:v>
                </c:pt>
                <c:pt idx="8">
                  <c:v>-2.2891402098378535</c:v>
                </c:pt>
                <c:pt idx="9">
                  <c:v>-1.4712034583739921</c:v>
                </c:pt>
                <c:pt idx="10">
                  <c:v>6.5034321704055031</c:v>
                </c:pt>
                <c:pt idx="11">
                  <c:v>5.1362126245847008</c:v>
                </c:pt>
                <c:pt idx="12">
                  <c:v>2.9071604626177248</c:v>
                </c:pt>
                <c:pt idx="13">
                  <c:v>2.8495977399742003</c:v>
                </c:pt>
                <c:pt idx="14">
                  <c:v>-0.19705021794949573</c:v>
                </c:pt>
                <c:pt idx="15">
                  <c:v>-2.7815291742491297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25E-4744-B6B3-08292FA0E2D4}"/>
            </c:ext>
          </c:extLst>
        </c:ser>
        <c:ser>
          <c:idx val="3"/>
          <c:order val="2"/>
          <c:tx>
            <c:strRef>
              <c:f>'G1-Státní rozpočet-příjmy'!$A$36</c:f>
              <c:strCache>
                <c:ptCount val="1"/>
                <c:pt idx="0">
                  <c:v>Daně z příjmů (DPFO) ze závislé činnosti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ysDot"/>
            </a:ln>
          </c:spPr>
          <c:marker>
            <c:symbol val="diamond"/>
            <c:size val="5"/>
            <c:spPr>
              <a:solidFill>
                <a:schemeClr val="bg1"/>
              </a:solidFill>
              <a:ln>
                <a:solidFill>
                  <a:srgbClr val="0071BC"/>
                </a:solidFill>
              </a:ln>
            </c:spPr>
          </c:marker>
          <c:cat>
            <c:numRef>
              <c:f>'G1-Státní rozpočet-příjmy'!$B$33:$Q$33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'G1-Státní rozpočet-příjmy'!$B$36:$Q$36</c:f>
              <c:numCache>
                <c:formatCode>0.0</c:formatCode>
                <c:ptCount val="16"/>
                <c:pt idx="0">
                  <c:v>7.8339666764104123</c:v>
                </c:pt>
                <c:pt idx="1">
                  <c:v>0.86744375169422483</c:v>
                </c:pt>
                <c:pt idx="2">
                  <c:v>13.222252082773451</c:v>
                </c:pt>
                <c:pt idx="3">
                  <c:v>-8.8693725769443859</c:v>
                </c:pt>
                <c:pt idx="4">
                  <c:v>-3.5943740232679318</c:v>
                </c:pt>
                <c:pt idx="5">
                  <c:v>0.72046109510085898</c:v>
                </c:pt>
                <c:pt idx="6">
                  <c:v>6.7328326180257534</c:v>
                </c:pt>
                <c:pt idx="7">
                  <c:v>0.35184719778837348</c:v>
                </c:pt>
                <c:pt idx="8">
                  <c:v>5.2925953752399835</c:v>
                </c:pt>
                <c:pt idx="9">
                  <c:v>3.7580274320145861</c:v>
                </c:pt>
                <c:pt idx="10">
                  <c:v>4.011614579353548</c:v>
                </c:pt>
                <c:pt idx="11">
                  <c:v>9.7487511019688498</c:v>
                </c:pt>
                <c:pt idx="12">
                  <c:v>13.2873686324386</c:v>
                </c:pt>
                <c:pt idx="13">
                  <c:v>14.441030489246032</c:v>
                </c:pt>
                <c:pt idx="14">
                  <c:v>11.673895084675763</c:v>
                </c:pt>
                <c:pt idx="15">
                  <c:v>-5.2524401043645241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25E-4744-B6B3-08292FA0E2D4}"/>
            </c:ext>
          </c:extLst>
        </c:ser>
        <c:ser>
          <c:idx val="4"/>
          <c:order val="3"/>
          <c:tx>
            <c:strRef>
              <c:f>'G1-Státní rozpočet-příjmy'!$A$37</c:f>
              <c:strCache>
                <c:ptCount val="1"/>
                <c:pt idx="0">
                  <c:v>Daně z příjmů právnických osob (DPPO)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00B050"/>
              </a:solidFill>
              <a:ln>
                <a:noFill/>
              </a:ln>
            </c:spPr>
          </c:marker>
          <c:cat>
            <c:numRef>
              <c:f>'G1-Státní rozpočet-příjmy'!$B$33:$Q$33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'G1-Státní rozpočet-příjmy'!$B$37:$Q$37</c:f>
              <c:numCache>
                <c:formatCode>0.0</c:formatCode>
                <c:ptCount val="16"/>
                <c:pt idx="0">
                  <c:v>26.963584434130652</c:v>
                </c:pt>
                <c:pt idx="1">
                  <c:v>-4.7873462214411262</c:v>
                </c:pt>
                <c:pt idx="2">
                  <c:v>20.193443591258116</c:v>
                </c:pt>
                <c:pt idx="3">
                  <c:v>12.113766201855157</c:v>
                </c:pt>
                <c:pt idx="4">
                  <c:v>-34.469344145526264</c:v>
                </c:pt>
                <c:pt idx="5">
                  <c:v>3.5618729096990052</c:v>
                </c:pt>
                <c:pt idx="6">
                  <c:v>-4.6423381236880346</c:v>
                </c:pt>
                <c:pt idx="7">
                  <c:v>8.3735500804335032</c:v>
                </c:pt>
                <c:pt idx="8">
                  <c:v>-5.6875</c:v>
                </c:pt>
                <c:pt idx="9">
                  <c:v>9.6752816434725162</c:v>
                </c:pt>
                <c:pt idx="10">
                  <c:v>11.412386706948624</c:v>
                </c:pt>
                <c:pt idx="11">
                  <c:v>11.667005626737165</c:v>
                </c:pt>
                <c:pt idx="12">
                  <c:v>3.6000485672656595</c:v>
                </c:pt>
                <c:pt idx="13">
                  <c:v>1.9689422795194673</c:v>
                </c:pt>
                <c:pt idx="14">
                  <c:v>5.1089017872536004</c:v>
                </c:pt>
                <c:pt idx="15">
                  <c:v>-12.219312902832144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25E-4744-B6B3-08292FA0E2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288576"/>
        <c:axId val="66855296"/>
      </c:lineChart>
      <c:catAx>
        <c:axId val="7928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6350">
            <a:solidFill>
              <a:schemeClr val="tx1"/>
            </a:solidFill>
          </a:ln>
        </c:spPr>
        <c:crossAx val="66855296"/>
        <c:crosses val="autoZero"/>
        <c:auto val="1"/>
        <c:lblAlgn val="ctr"/>
        <c:lblOffset val="0"/>
        <c:noMultiLvlLbl val="0"/>
      </c:catAx>
      <c:valAx>
        <c:axId val="66855296"/>
        <c:scaling>
          <c:orientation val="minMax"/>
          <c:max val="30"/>
          <c:min val="-4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1" i="1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 b="0" i="1" baseline="0">
                    <a:effectLst/>
                  </a:rPr>
                  <a:t>Hlavní druhy příjmů (meziroční změna v</a:t>
                </a:r>
                <a:r>
                  <a:rPr lang="cs-CZ" sz="800" b="0" i="1" u="none" strike="noStrike" kern="1200" baseline="0">
                    <a:solidFill>
                      <a:sysClr val="windowText" lastClr="000000"/>
                    </a:solidFill>
                    <a:effectLst/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 %</a:t>
                </a:r>
                <a:r>
                  <a:rPr lang="cs-CZ" sz="800" b="0" i="1" baseline="0">
                    <a:effectLst/>
                  </a:rPr>
                  <a:t>)</a:t>
                </a:r>
                <a:endParaRPr lang="cs-CZ" sz="800" i="1">
                  <a:effectLst/>
                </a:endParaRP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spPr>
          <a:ln w="6350">
            <a:solidFill>
              <a:schemeClr val="tx1"/>
            </a:solidFill>
          </a:ln>
        </c:spPr>
        <c:crossAx val="79288576"/>
        <c:crosses val="autoZero"/>
        <c:crossBetween val="between"/>
        <c:majorUnit val="5"/>
      </c:valAx>
      <c:valAx>
        <c:axId val="486350944"/>
        <c:scaling>
          <c:orientation val="minMax"/>
          <c:max val="300"/>
          <c:min val="-400"/>
        </c:scaling>
        <c:delete val="0"/>
        <c:axPos val="r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800" b="0" i="1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 b="0" i="1">
                    <a:effectLst/>
                  </a:rPr>
                  <a:t>Saldo rozpočtu</a:t>
                </a:r>
                <a:r>
                  <a:rPr lang="cs-CZ" sz="800" b="0" i="1" u="none" strike="noStrike" kern="1200" baseline="0">
                    <a:solidFill>
                      <a:sysClr val="windowText" lastClr="000000"/>
                    </a:solidFill>
                    <a:effectLst/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 ( </a:t>
                </a:r>
                <a:r>
                  <a:rPr lang="cs-CZ" sz="800" b="0" i="1">
                    <a:effectLst/>
                  </a:rPr>
                  <a:t>mld. korun)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crossAx val="486345536"/>
        <c:crosses val="max"/>
        <c:crossBetween val="between"/>
        <c:majorUnit val="50"/>
      </c:valAx>
      <c:catAx>
        <c:axId val="486345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6350944"/>
        <c:crosses val="autoZero"/>
        <c:auto val="1"/>
        <c:lblAlgn val="ctr"/>
        <c:lblOffset val="100"/>
        <c:noMultiLvlLbl val="0"/>
      </c:catAx>
      <c:spPr>
        <a:ln w="6350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4379190820194001E-2"/>
          <c:y val="0.87964736703817581"/>
          <c:w val="0.96890719035457362"/>
          <c:h val="0.10542251356201496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260484943049881E-2"/>
          <c:y val="1.7112323287741892E-2"/>
          <c:w val="0.82719862375806086"/>
          <c:h val="0.77510753085247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'G2-Stání rozpočet-výdaje'!$B$31</c:f>
              <c:strCache>
                <c:ptCount val="1"/>
                <c:pt idx="0">
                  <c:v>Běžné výdaje celkem (pravá osa)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</c:spPr>
          <c:invertIfNegative val="0"/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rozpočet-výdaje'!$B$32:$B$47</c:f>
              <c:numCache>
                <c:formatCode>0.0</c:formatCode>
                <c:ptCount val="16"/>
                <c:pt idx="0">
                  <c:v>840.86</c:v>
                </c:pt>
                <c:pt idx="1">
                  <c:v>912.08</c:v>
                </c:pt>
                <c:pt idx="2">
                  <c:v>973.85</c:v>
                </c:pt>
                <c:pt idx="3">
                  <c:v>975.86</c:v>
                </c:pt>
                <c:pt idx="4">
                  <c:v>1032.78</c:v>
                </c:pt>
                <c:pt idx="5">
                  <c:v>1021.89</c:v>
                </c:pt>
                <c:pt idx="6">
                  <c:v>1031.83</c:v>
                </c:pt>
                <c:pt idx="7">
                  <c:v>1038.76</c:v>
                </c:pt>
                <c:pt idx="8">
                  <c:v>1070.8130000000001</c:v>
                </c:pt>
                <c:pt idx="9">
                  <c:v>1100.1020000000001</c:v>
                </c:pt>
                <c:pt idx="10">
                  <c:v>1121.6600000000001</c:v>
                </c:pt>
                <c:pt idx="11">
                  <c:v>1135.57</c:v>
                </c:pt>
                <c:pt idx="12">
                  <c:v>1198.05</c:v>
                </c:pt>
                <c:pt idx="13">
                  <c:v>1284.5</c:v>
                </c:pt>
                <c:pt idx="14">
                  <c:v>1412.5989294339895</c:v>
                </c:pt>
                <c:pt idx="15">
                  <c:v>1670.2422474235602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15-4470-84DE-4CFD5C496B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72836608"/>
        <c:axId val="72835072"/>
      </c:barChart>
      <c:lineChart>
        <c:grouping val="standard"/>
        <c:varyColors val="0"/>
        <c:ser>
          <c:idx val="1"/>
          <c:order val="1"/>
          <c:tx>
            <c:strRef>
              <c:f>'G2-Stání rozpočet-výdaje'!$C$31</c:f>
              <c:strCache>
                <c:ptCount val="1"/>
                <c:pt idx="0">
                  <c:v>Platy státních zaměstnanců*</c:v>
                </c:pt>
              </c:strCache>
            </c:strRef>
          </c:tx>
          <c:spPr>
            <a:ln w="15875">
              <a:solidFill>
                <a:srgbClr val="984807"/>
              </a:solidFill>
            </a:ln>
          </c:spPr>
          <c:marker>
            <c:symbol val="none"/>
          </c:marker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rozpočet-výdaje'!$C$32:$C$47</c:f>
              <c:numCache>
                <c:formatCode>0.0</c:formatCode>
                <c:ptCount val="16"/>
                <c:pt idx="0">
                  <c:v>88.07</c:v>
                </c:pt>
                <c:pt idx="1">
                  <c:v>89.99</c:v>
                </c:pt>
                <c:pt idx="2">
                  <c:v>95.76</c:v>
                </c:pt>
                <c:pt idx="3">
                  <c:v>97.33</c:v>
                </c:pt>
                <c:pt idx="4">
                  <c:v>100.19</c:v>
                </c:pt>
                <c:pt idx="5">
                  <c:v>97.67</c:v>
                </c:pt>
                <c:pt idx="6">
                  <c:v>89.6</c:v>
                </c:pt>
                <c:pt idx="7">
                  <c:v>90.45</c:v>
                </c:pt>
                <c:pt idx="8">
                  <c:v>92.375</c:v>
                </c:pt>
                <c:pt idx="9">
                  <c:v>96.582999999999998</c:v>
                </c:pt>
                <c:pt idx="10">
                  <c:v>104.19</c:v>
                </c:pt>
                <c:pt idx="11">
                  <c:v>109.86</c:v>
                </c:pt>
                <c:pt idx="12">
                  <c:v>120.08</c:v>
                </c:pt>
                <c:pt idx="13">
                  <c:v>133.9</c:v>
                </c:pt>
                <c:pt idx="14">
                  <c:v>143.72754730148006</c:v>
                </c:pt>
                <c:pt idx="15">
                  <c:v>150.14703694872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15-4470-84DE-4CFD5C496B8B}"/>
            </c:ext>
          </c:extLst>
        </c:ser>
        <c:ser>
          <c:idx val="6"/>
          <c:order val="2"/>
          <c:tx>
            <c:strRef>
              <c:f>'G2-Stání rozpočet-výdaje'!$D$31</c:f>
              <c:strCache>
                <c:ptCount val="1"/>
                <c:pt idx="0">
                  <c:v>Podpora v nezaměstnanosti</c:v>
                </c:pt>
              </c:strCache>
            </c:strRef>
          </c:tx>
          <c:spPr>
            <a:ln w="15875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rozpočet-výdaje'!$D$32:$D$47</c:f>
              <c:numCache>
                <c:formatCode>0.0</c:formatCode>
                <c:ptCount val="16"/>
                <c:pt idx="0">
                  <c:v>7.11</c:v>
                </c:pt>
                <c:pt idx="1">
                  <c:v>7.36</c:v>
                </c:pt>
                <c:pt idx="2">
                  <c:v>7.24</c:v>
                </c:pt>
                <c:pt idx="3">
                  <c:v>7.11</c:v>
                </c:pt>
                <c:pt idx="4">
                  <c:v>15.077999999999999</c:v>
                </c:pt>
                <c:pt idx="5">
                  <c:v>13.355</c:v>
                </c:pt>
                <c:pt idx="6">
                  <c:v>10.349</c:v>
                </c:pt>
                <c:pt idx="7">
                  <c:v>8.76</c:v>
                </c:pt>
                <c:pt idx="8">
                  <c:v>9.65</c:v>
                </c:pt>
                <c:pt idx="9">
                  <c:v>9.2620000000000005</c:v>
                </c:pt>
                <c:pt idx="10">
                  <c:v>8.2759999999999998</c:v>
                </c:pt>
                <c:pt idx="11">
                  <c:v>8.2200000000000006</c:v>
                </c:pt>
                <c:pt idx="12">
                  <c:v>7.82</c:v>
                </c:pt>
                <c:pt idx="13">
                  <c:v>7.51</c:v>
                </c:pt>
                <c:pt idx="14">
                  <c:v>8.1136251569399995</c:v>
                </c:pt>
                <c:pt idx="15">
                  <c:v>10.51943784599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15-4470-84DE-4CFD5C496B8B}"/>
            </c:ext>
          </c:extLst>
        </c:ser>
        <c:ser>
          <c:idx val="7"/>
          <c:order val="3"/>
          <c:tx>
            <c:strRef>
              <c:f>'G2-Stání rozpočet-výdaje'!$E$31</c:f>
              <c:strCache>
                <c:ptCount val="1"/>
                <c:pt idx="0">
                  <c:v>Státní sociální podpora**</c:v>
                </c:pt>
              </c:strCache>
            </c:strRef>
          </c:tx>
          <c:spPr>
            <a:ln w="15875">
              <a:solidFill>
                <a:srgbClr val="00B050"/>
              </a:solidFill>
            </a:ln>
          </c:spPr>
          <c:marker>
            <c:symbol val="none"/>
          </c:marker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rozpočet-výdaje'!$E$32:$E$47</c:f>
              <c:numCache>
                <c:formatCode>0.0</c:formatCode>
                <c:ptCount val="16"/>
                <c:pt idx="0">
                  <c:v>33.14</c:v>
                </c:pt>
                <c:pt idx="1">
                  <c:v>34.35</c:v>
                </c:pt>
                <c:pt idx="2">
                  <c:v>49.47</c:v>
                </c:pt>
                <c:pt idx="3">
                  <c:v>41.97</c:v>
                </c:pt>
                <c:pt idx="4">
                  <c:v>41.167999999999999</c:v>
                </c:pt>
                <c:pt idx="5">
                  <c:v>40.881</c:v>
                </c:pt>
                <c:pt idx="6">
                  <c:v>36.094000000000001</c:v>
                </c:pt>
                <c:pt idx="7">
                  <c:v>35.554000000000002</c:v>
                </c:pt>
                <c:pt idx="8">
                  <c:v>37.423000000000002</c:v>
                </c:pt>
                <c:pt idx="9">
                  <c:v>37.543999999999997</c:v>
                </c:pt>
                <c:pt idx="10">
                  <c:v>37.65</c:v>
                </c:pt>
                <c:pt idx="11">
                  <c:v>37.78</c:v>
                </c:pt>
                <c:pt idx="12">
                  <c:v>37.22</c:v>
                </c:pt>
                <c:pt idx="13">
                  <c:v>39.22</c:v>
                </c:pt>
                <c:pt idx="14">
                  <c:v>37.87859106618</c:v>
                </c:pt>
                <c:pt idx="15">
                  <c:v>51.69938713877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715-4470-84DE-4CFD5C496B8B}"/>
            </c:ext>
          </c:extLst>
        </c:ser>
        <c:ser>
          <c:idx val="2"/>
          <c:order val="4"/>
          <c:tx>
            <c:strRef>
              <c:f>'G2-Stání rozpočet-výdaje'!$F$31</c:f>
              <c:strCache>
                <c:ptCount val="1"/>
                <c:pt idx="0">
                  <c:v>Dávky nemocenského pojištění</c:v>
                </c:pt>
              </c:strCache>
            </c:strRef>
          </c:tx>
          <c:spPr>
            <a:ln w="15875">
              <a:solidFill>
                <a:srgbClr val="00B0F0"/>
              </a:solidFill>
            </a:ln>
          </c:spPr>
          <c:marker>
            <c:symbol val="none"/>
          </c:marker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rozpočet-výdaje'!$F$32:$F$47</c:f>
              <c:numCache>
                <c:formatCode>0.0</c:formatCode>
                <c:ptCount val="16"/>
                <c:pt idx="0">
                  <c:v>31.66</c:v>
                </c:pt>
                <c:pt idx="1">
                  <c:v>32.773000000000003</c:v>
                </c:pt>
                <c:pt idx="2">
                  <c:v>34.670999999999999</c:v>
                </c:pt>
                <c:pt idx="3">
                  <c:v>31.882000000000001</c:v>
                </c:pt>
                <c:pt idx="4">
                  <c:v>26.233000000000001</c:v>
                </c:pt>
                <c:pt idx="5">
                  <c:v>22.995999999999999</c:v>
                </c:pt>
                <c:pt idx="6">
                  <c:v>21.734000000000002</c:v>
                </c:pt>
                <c:pt idx="7">
                  <c:v>19.602</c:v>
                </c:pt>
                <c:pt idx="8">
                  <c:v>20.350000000000001</c:v>
                </c:pt>
                <c:pt idx="9">
                  <c:v>22.283000000000001</c:v>
                </c:pt>
                <c:pt idx="10">
                  <c:v>24.31</c:v>
                </c:pt>
                <c:pt idx="11">
                  <c:v>26.5</c:v>
                </c:pt>
                <c:pt idx="12">
                  <c:v>28.57</c:v>
                </c:pt>
                <c:pt idx="13">
                  <c:v>34.173699999999997</c:v>
                </c:pt>
                <c:pt idx="14">
                  <c:v>39.094712799999996</c:v>
                </c:pt>
                <c:pt idx="15">
                  <c:v>55.4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715-4470-84DE-4CFD5C496B8B}"/>
            </c:ext>
          </c:extLst>
        </c:ser>
        <c:ser>
          <c:idx val="3"/>
          <c:order val="5"/>
          <c:tx>
            <c:strRef>
              <c:f>'G2-Stání rozpočet-výdaje'!$G$31</c:f>
              <c:strCache>
                <c:ptCount val="1"/>
                <c:pt idx="0">
                  <c:v>Dávky sociální péče***</c:v>
                </c:pt>
              </c:strCache>
            </c:strRef>
          </c:tx>
          <c:spPr>
            <a:ln w="15875">
              <a:solidFill>
                <a:srgbClr val="7030A0"/>
              </a:solidFill>
            </a:ln>
          </c:spPr>
          <c:marker>
            <c:symbol val="none"/>
          </c:marker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rozpočet-výdaje'!$G$32:$G$47</c:f>
              <c:numCache>
                <c:formatCode>General</c:formatCode>
                <c:ptCount val="16"/>
                <c:pt idx="2" formatCode="0.0">
                  <c:v>20.811</c:v>
                </c:pt>
                <c:pt idx="3" formatCode="0.0">
                  <c:v>23.542000000000002</c:v>
                </c:pt>
                <c:pt idx="4" formatCode="0.0">
                  <c:v>24.256</c:v>
                </c:pt>
                <c:pt idx="5" formatCode="0.0">
                  <c:v>25.292000000000002</c:v>
                </c:pt>
                <c:pt idx="6" formatCode="0.0">
                  <c:v>24.966999999999999</c:v>
                </c:pt>
                <c:pt idx="7" formatCode="0.0">
                  <c:v>27.695499999999999</c:v>
                </c:pt>
                <c:pt idx="8" formatCode="0.0">
                  <c:v>31.978999999999999</c:v>
                </c:pt>
                <c:pt idx="9" formatCode="0.0">
                  <c:v>33.622</c:v>
                </c:pt>
                <c:pt idx="10" formatCode="0.0">
                  <c:v>33.621000000000002</c:v>
                </c:pt>
                <c:pt idx="11" formatCode="0.0">
                  <c:v>34.295000000000002</c:v>
                </c:pt>
                <c:pt idx="12" formatCode="0.0">
                  <c:v>34.439</c:v>
                </c:pt>
                <c:pt idx="13" formatCode="0.0">
                  <c:v>33.990400000000001</c:v>
                </c:pt>
                <c:pt idx="14" formatCode="0.0">
                  <c:v>36.831099999999999</c:v>
                </c:pt>
                <c:pt idx="15" formatCode="0.0">
                  <c:v>40.510199999999998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715-4470-84DE-4CFD5C496B8B}"/>
            </c:ext>
          </c:extLst>
        </c:ser>
        <c:ser>
          <c:idx val="4"/>
          <c:order val="6"/>
          <c:tx>
            <c:strRef>
              <c:f>'G2-Stání rozpočet-výdaje'!$H$31</c:f>
              <c:strCache>
                <c:ptCount val="1"/>
                <c:pt idx="0">
                  <c:v>Neinvestič. nákupy a souvis. výdaje****</c:v>
                </c:pt>
              </c:strCache>
            </c:strRef>
          </c:tx>
          <c:spPr>
            <a:ln w="15875">
              <a:solidFill>
                <a:srgbClr val="F8A124"/>
              </a:solidFill>
              <a:prstDash val="solid"/>
            </a:ln>
          </c:spPr>
          <c:marker>
            <c:symbol val="none"/>
          </c:marker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rozpočet-výdaje'!$H$32:$H$47</c:f>
              <c:numCache>
                <c:formatCode>0.0</c:formatCode>
                <c:ptCount val="16"/>
                <c:pt idx="0">
                  <c:v>55.461999999999989</c:v>
                </c:pt>
                <c:pt idx="1">
                  <c:v>61.525000000000006</c:v>
                </c:pt>
                <c:pt idx="2">
                  <c:v>63.827000000000005</c:v>
                </c:pt>
                <c:pt idx="3">
                  <c:v>71.581999999999994</c:v>
                </c:pt>
                <c:pt idx="4">
                  <c:v>69.73</c:v>
                </c:pt>
                <c:pt idx="5">
                  <c:v>65.116</c:v>
                </c:pt>
                <c:pt idx="6">
                  <c:v>57.98</c:v>
                </c:pt>
                <c:pt idx="7">
                  <c:v>53.174999999999997</c:v>
                </c:pt>
                <c:pt idx="8">
                  <c:v>54.192999999999998</c:v>
                </c:pt>
                <c:pt idx="9">
                  <c:v>54.751000000000005</c:v>
                </c:pt>
                <c:pt idx="10">
                  <c:v>62.36</c:v>
                </c:pt>
                <c:pt idx="11">
                  <c:v>57.560000000000009</c:v>
                </c:pt>
                <c:pt idx="12">
                  <c:v>62.76</c:v>
                </c:pt>
                <c:pt idx="13">
                  <c:v>68.41</c:v>
                </c:pt>
                <c:pt idx="14">
                  <c:v>66.430000000000007</c:v>
                </c:pt>
                <c:pt idx="15">
                  <c:v>77.830108773489997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715-4470-84DE-4CFD5C496B8B}"/>
            </c:ext>
          </c:extLst>
        </c:ser>
        <c:ser>
          <c:idx val="5"/>
          <c:order val="7"/>
          <c:tx>
            <c:strRef>
              <c:f>'G2-Stání rozpočet-výdaje'!$I$31</c:f>
              <c:strCache>
                <c:ptCount val="1"/>
                <c:pt idx="0">
                  <c:v>Státní dluh (čisté výdaje)*****</c:v>
                </c:pt>
              </c:strCache>
            </c:strRef>
          </c:tx>
          <c:spPr>
            <a:ln w="15875">
              <a:solidFill>
                <a:srgbClr val="BD1B25"/>
              </a:solidFill>
            </a:ln>
          </c:spPr>
          <c:marker>
            <c:symbol val="none"/>
          </c:marker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rozpočet-výdaje'!$I$32:$I$47</c:f>
              <c:numCache>
                <c:formatCode>0.0</c:formatCode>
                <c:ptCount val="16"/>
                <c:pt idx="0">
                  <c:v>25.43</c:v>
                </c:pt>
                <c:pt idx="1">
                  <c:v>31.61</c:v>
                </c:pt>
                <c:pt idx="2">
                  <c:v>34.130000000000003</c:v>
                </c:pt>
                <c:pt idx="3">
                  <c:v>37.64</c:v>
                </c:pt>
                <c:pt idx="4">
                  <c:v>44.46</c:v>
                </c:pt>
                <c:pt idx="5">
                  <c:v>35.840000000000003</c:v>
                </c:pt>
                <c:pt idx="6">
                  <c:v>45.120000000000005</c:v>
                </c:pt>
                <c:pt idx="7">
                  <c:v>41.400000000000006</c:v>
                </c:pt>
                <c:pt idx="8">
                  <c:v>50.89</c:v>
                </c:pt>
                <c:pt idx="9">
                  <c:v>48.49</c:v>
                </c:pt>
                <c:pt idx="10">
                  <c:v>45.28</c:v>
                </c:pt>
                <c:pt idx="11">
                  <c:v>40.65</c:v>
                </c:pt>
                <c:pt idx="12">
                  <c:v>39.769999999999996</c:v>
                </c:pt>
                <c:pt idx="13">
                  <c:v>40.729999999999997</c:v>
                </c:pt>
                <c:pt idx="14">
                  <c:v>39.550577993799998</c:v>
                </c:pt>
                <c:pt idx="15">
                  <c:v>40.145474011320005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715-4470-84DE-4CFD5C496B8B}"/>
            </c:ext>
          </c:extLst>
        </c:ser>
        <c:ser>
          <c:idx val="8"/>
          <c:order val="8"/>
          <c:tx>
            <c:strRef>
              <c:f>'G2-Stání rozpočet-výdaje'!$J$31</c:f>
              <c:strCache>
                <c:ptCount val="1"/>
                <c:pt idx="0">
                  <c:v>Neinvestič. transfery podnikat. subjektům</c:v>
                </c:pt>
              </c:strCache>
            </c:strRef>
          </c:tx>
          <c:spPr>
            <a:ln w="15875">
              <a:solidFill>
                <a:schemeClr val="bg2">
                  <a:lumMod val="2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rozpočet-výdaje'!$J$32:$J$47</c:f>
              <c:numCache>
                <c:formatCode>0.00</c:formatCode>
                <c:ptCount val="16"/>
                <c:pt idx="0">
                  <c:v>23.306999999999999</c:v>
                </c:pt>
                <c:pt idx="1">
                  <c:v>22.056999999999999</c:v>
                </c:pt>
                <c:pt idx="2">
                  <c:v>23.696000000000002</c:v>
                </c:pt>
                <c:pt idx="3">
                  <c:v>26.108000000000001</c:v>
                </c:pt>
                <c:pt idx="4">
                  <c:v>28.491</c:v>
                </c:pt>
                <c:pt idx="5">
                  <c:v>28.100999999999999</c:v>
                </c:pt>
                <c:pt idx="6">
                  <c:v>33.262999999999998</c:v>
                </c:pt>
                <c:pt idx="7">
                  <c:v>35.61</c:v>
                </c:pt>
                <c:pt idx="8">
                  <c:v>35.03</c:v>
                </c:pt>
                <c:pt idx="9">
                  <c:v>41.23</c:v>
                </c:pt>
                <c:pt idx="10">
                  <c:v>39.14</c:v>
                </c:pt>
                <c:pt idx="11">
                  <c:v>44.23</c:v>
                </c:pt>
                <c:pt idx="12">
                  <c:v>48.3</c:v>
                </c:pt>
                <c:pt idx="13">
                  <c:v>57.32</c:v>
                </c:pt>
                <c:pt idx="14">
                  <c:v>57.932912725290002</c:v>
                </c:pt>
                <c:pt idx="15">
                  <c:v>106.74829459395001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715-4470-84DE-4CFD5C496B8B}"/>
            </c:ext>
          </c:extLst>
        </c:ser>
        <c:ser>
          <c:idx val="9"/>
          <c:order val="9"/>
          <c:tx>
            <c:strRef>
              <c:f>'G2-Stání rozpočet-výdaje'!$K$31</c:f>
              <c:strCache>
                <c:ptCount val="1"/>
                <c:pt idx="0">
                  <c:v>Kapitálové výdaje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numRef>
              <c:f>'G2-Stání rozpočet-výdaje'!$A$32:$A$47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'G2-Stání rozpočet-výdaje'!$K$32:$K$47</c:f>
              <c:numCache>
                <c:formatCode>0.0</c:formatCode>
                <c:ptCount val="16"/>
                <c:pt idx="0">
                  <c:v>81.99</c:v>
                </c:pt>
                <c:pt idx="1">
                  <c:v>108.54</c:v>
                </c:pt>
                <c:pt idx="2">
                  <c:v>118.42</c:v>
                </c:pt>
                <c:pt idx="3">
                  <c:v>108.08</c:v>
                </c:pt>
                <c:pt idx="4">
                  <c:v>134.22999999999999</c:v>
                </c:pt>
                <c:pt idx="5">
                  <c:v>134.91</c:v>
                </c:pt>
                <c:pt idx="6">
                  <c:v>123.69</c:v>
                </c:pt>
                <c:pt idx="7">
                  <c:v>113.62</c:v>
                </c:pt>
                <c:pt idx="8">
                  <c:v>102.315</c:v>
                </c:pt>
                <c:pt idx="9">
                  <c:v>111.50700000000001</c:v>
                </c:pt>
                <c:pt idx="10">
                  <c:v>175.66</c:v>
                </c:pt>
                <c:pt idx="11">
                  <c:v>84.27</c:v>
                </c:pt>
                <c:pt idx="12">
                  <c:v>81.75</c:v>
                </c:pt>
                <c:pt idx="13">
                  <c:v>116.46</c:v>
                </c:pt>
                <c:pt idx="14">
                  <c:v>139.13928546782003</c:v>
                </c:pt>
                <c:pt idx="15">
                  <c:v>172.68713515186002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715-4470-84DE-4CFD5C496B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827648"/>
        <c:axId val="72829184"/>
      </c:lineChart>
      <c:catAx>
        <c:axId val="7282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crossAx val="72829184"/>
        <c:crosses val="autoZero"/>
        <c:auto val="1"/>
        <c:lblAlgn val="ctr"/>
        <c:lblOffset val="20"/>
        <c:noMultiLvlLbl val="0"/>
      </c:catAx>
      <c:valAx>
        <c:axId val="72829184"/>
        <c:scaling>
          <c:orientation val="minMax"/>
          <c:max val="180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700" b="0" i="1" baseline="0">
                    <a:effectLst/>
                  </a:rPr>
                  <a:t>Ostatní výdaje</a:t>
                </a:r>
                <a:r>
                  <a:rPr lang="cs-CZ" sz="700" b="0" i="1" u="none" strike="noStrike" kern="1200" baseline="0">
                    <a:solidFill>
                      <a:sysClr val="windowText" lastClr="000000"/>
                    </a:solidFill>
                    <a:effectLst/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 (</a:t>
                </a:r>
                <a:r>
                  <a:rPr lang="cs-CZ" sz="700" b="0" i="1" baseline="0">
                    <a:effectLst/>
                  </a:rPr>
                  <a:t>mld. korun)</a:t>
                </a:r>
                <a:endParaRPr lang="cs-CZ" sz="7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0.22613499913827934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6350">
            <a:solidFill>
              <a:schemeClr val="tx1"/>
            </a:solidFill>
          </a:ln>
        </c:spPr>
        <c:crossAx val="72827648"/>
        <c:crosses val="autoZero"/>
        <c:crossBetween val="between"/>
        <c:majorUnit val="20"/>
      </c:valAx>
      <c:valAx>
        <c:axId val="72835072"/>
        <c:scaling>
          <c:orientation val="minMax"/>
          <c:max val="1800"/>
          <c:min val="0"/>
        </c:scaling>
        <c:delete val="0"/>
        <c:axPos val="r"/>
        <c:title>
          <c:tx>
            <c:rich>
              <a:bodyPr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700" b="1" i="1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700" b="0" i="1" baseline="0">
                    <a:effectLst/>
                  </a:rPr>
                  <a:t>Běžné výdaje celkem</a:t>
                </a:r>
                <a:r>
                  <a:rPr lang="cs-CZ" sz="700" b="0" i="1" u="none" strike="noStrike" kern="1200" baseline="0">
                    <a:solidFill>
                      <a:sysClr val="windowText" lastClr="000000"/>
                    </a:solidFill>
                    <a:effectLst/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rPr>
                  <a:t> (</a:t>
                </a:r>
                <a:r>
                  <a:rPr lang="cs-CZ" sz="700" b="0" i="1" baseline="0">
                    <a:effectLst/>
                  </a:rPr>
                  <a:t>mld. korun)</a:t>
                </a:r>
                <a:endParaRPr lang="cs-CZ" sz="700" i="1">
                  <a:effectLst/>
                </a:endParaRPr>
              </a:p>
            </c:rich>
          </c:tx>
          <c:layout>
            <c:manualLayout>
              <c:xMode val="edge"/>
              <c:yMode val="edge"/>
              <c:x val="0.97053252534685275"/>
              <c:y val="0.18723667800453514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6350">
            <a:solidFill>
              <a:schemeClr val="tx1"/>
            </a:solidFill>
          </a:ln>
        </c:spPr>
        <c:crossAx val="72836608"/>
        <c:crosses val="max"/>
        <c:crossBetween val="between"/>
        <c:majorUnit val="200"/>
      </c:valAx>
      <c:catAx>
        <c:axId val="72836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2835072"/>
        <c:crosses val="autoZero"/>
        <c:auto val="1"/>
        <c:lblAlgn val="ctr"/>
        <c:lblOffset val="100"/>
        <c:noMultiLvlLbl val="0"/>
      </c:catAx>
      <c:spPr>
        <a:ln w="6350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0608391649500035E-2"/>
          <c:y val="0.84451643990929703"/>
          <c:w val="0.96476067347509487"/>
          <c:h val="0.15176133786848073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45EB-DCFE-4C03-A3C4-E93D20D73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6CF7E-4171-4206-8FD4-E9EE50C3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4</Pages>
  <Words>2166</Words>
  <Characters>12780</Characters>
  <Application>Microsoft Office Word</Application>
  <DocSecurity>0</DocSecurity>
  <Lines>106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14917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3</cp:revision>
  <cp:lastPrinted>2019-04-08T10:52:00Z</cp:lastPrinted>
  <dcterms:created xsi:type="dcterms:W3CDTF">2021-03-18T08:13:00Z</dcterms:created>
  <dcterms:modified xsi:type="dcterms:W3CDTF">2021-03-18T09:05:00Z</dcterms:modified>
</cp:coreProperties>
</file>