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F6" w:rsidRPr="00D94E51" w:rsidRDefault="009248E3" w:rsidP="00705AF6">
      <w:pPr>
        <w:pStyle w:val="Nadpis1"/>
      </w:pPr>
      <w:bookmarkStart w:id="0" w:name="_Toc66264171"/>
      <w:r w:rsidRPr="00705AF6">
        <w:t xml:space="preserve"> </w:t>
      </w:r>
      <w:bookmarkStart w:id="1" w:name="_Toc256065129"/>
      <w:bookmarkStart w:id="2" w:name="_Toc481748779"/>
      <w:bookmarkEnd w:id="0"/>
      <w:r w:rsidR="00705AF6" w:rsidRPr="00D94E51">
        <w:t>Úvod</w:t>
      </w:r>
      <w:bookmarkEnd w:id="1"/>
      <w:bookmarkEnd w:id="2"/>
    </w:p>
    <w:p w:rsidR="00705AF6" w:rsidRPr="00D94E51" w:rsidRDefault="00705AF6" w:rsidP="00705AF6">
      <w:pPr>
        <w:jc w:val="both"/>
      </w:pPr>
      <w:r w:rsidRPr="00D94E51">
        <w:t xml:space="preserve">Péče o lidské zdraví je bezesporu jednou z  nejvýznamnějších společensky organizovaných aktivit. Postupem času – s rozvojem poznání a uplatnění jeho výsledků v praktické činnosti na straně jedné a s prodlužováním lidského života na straně druhé – se význam zdravotní péče stále zvyšuje. Z ekonomického a sociálního pohledu vyžaduje zdravotnictví stále více zdrojů, které čerpá cestou složitých přerozdělovacích vztahů. Konečně s rozvojem globalizace a s ní souvisejících integračních tendencí se zvýrazňuje potřeba sdílení informací o zdravotnictví a poskytování zdravotní péče v mezinárodním měřítku. </w:t>
      </w:r>
    </w:p>
    <w:p w:rsidR="00705AF6" w:rsidRPr="00D94E51" w:rsidRDefault="00705AF6" w:rsidP="00705AF6">
      <w:pPr>
        <w:spacing w:before="120" w:after="240"/>
        <w:jc w:val="both"/>
        <w:rPr>
          <w:rFonts w:eastAsia="MS Gothic" w:cs="Arial"/>
          <w:bCs/>
          <w:szCs w:val="20"/>
        </w:rPr>
      </w:pPr>
      <w:r w:rsidRPr="00D94E51">
        <w:t>V této souvislosti byl v roce 2000 položen metodický základ pro sběr, zpracování a vyhodnocení mezinárodně srovnatelných dat v oblasti zdravotnictví ve formě tzv. zdravotnických účtů (dále také „SHA“</w:t>
      </w:r>
      <w:r w:rsidRPr="00D94E51">
        <w:rPr>
          <w:vertAlign w:val="superscript"/>
        </w:rPr>
        <w:t xml:space="preserve">, </w:t>
      </w:r>
      <w:r w:rsidRPr="00D94E51">
        <w:t xml:space="preserve">z anglického </w:t>
      </w:r>
      <w:proofErr w:type="spellStart"/>
      <w:r w:rsidRPr="00D94E51">
        <w:rPr>
          <w:b/>
        </w:rPr>
        <w:t>System</w:t>
      </w:r>
      <w:proofErr w:type="spellEnd"/>
      <w:r w:rsidRPr="00D94E51">
        <w:rPr>
          <w:b/>
        </w:rPr>
        <w:t xml:space="preserve"> </w:t>
      </w:r>
      <w:proofErr w:type="spellStart"/>
      <w:r w:rsidRPr="00D94E51">
        <w:rPr>
          <w:b/>
        </w:rPr>
        <w:t>of</w:t>
      </w:r>
      <w:proofErr w:type="spellEnd"/>
      <w:r w:rsidRPr="00D94E51">
        <w:rPr>
          <w:b/>
        </w:rPr>
        <w:t xml:space="preserve"> </w:t>
      </w:r>
      <w:proofErr w:type="spellStart"/>
      <w:r w:rsidRPr="00D94E51">
        <w:rPr>
          <w:b/>
        </w:rPr>
        <w:t>Health</w:t>
      </w:r>
      <w:proofErr w:type="spellEnd"/>
      <w:r w:rsidRPr="00D94E51">
        <w:rPr>
          <w:b/>
        </w:rPr>
        <w:t xml:space="preserve"> </w:t>
      </w:r>
      <w:proofErr w:type="spellStart"/>
      <w:r w:rsidRPr="00D94E51">
        <w:rPr>
          <w:b/>
        </w:rPr>
        <w:t>Accounts</w:t>
      </w:r>
      <w:proofErr w:type="spellEnd"/>
      <w:r w:rsidRPr="00D94E51">
        <w:t xml:space="preserve">) a jejich mezinárodní klasifikace zdravotnických účtů (dále „ICHA“, z anglického International </w:t>
      </w:r>
      <w:proofErr w:type="spellStart"/>
      <w:r w:rsidRPr="00D94E51">
        <w:t>Classification</w:t>
      </w:r>
      <w:proofErr w:type="spellEnd"/>
      <w:r w:rsidRPr="00D94E51">
        <w:t xml:space="preserve"> </w:t>
      </w:r>
      <w:proofErr w:type="spellStart"/>
      <w:r w:rsidRPr="00D94E51">
        <w:t>for</w:t>
      </w:r>
      <w:proofErr w:type="spellEnd"/>
      <w:r w:rsidRPr="00D94E51">
        <w:t xml:space="preserve"> </w:t>
      </w:r>
      <w:proofErr w:type="spellStart"/>
      <w:r w:rsidRPr="00D94E51">
        <w:t>Health</w:t>
      </w:r>
      <w:proofErr w:type="spellEnd"/>
      <w:r w:rsidRPr="00D94E51">
        <w:t xml:space="preserve"> </w:t>
      </w:r>
      <w:proofErr w:type="spellStart"/>
      <w:r w:rsidRPr="00D94E51">
        <w:t>Accounts</w:t>
      </w:r>
      <w:proofErr w:type="spellEnd"/>
      <w:r w:rsidRPr="00D94E51">
        <w:t xml:space="preserve">). </w:t>
      </w:r>
      <w:r w:rsidRPr="00D94E51">
        <w:rPr>
          <w:rFonts w:eastAsia="MS Gothic" w:cs="Arial"/>
          <w:bCs/>
          <w:szCs w:val="20"/>
        </w:rPr>
        <w:t xml:space="preserve">Od roku 2016 jsou zdravotnické účty sestavovány na základě </w:t>
      </w:r>
      <w:r w:rsidRPr="00D94E51">
        <w:rPr>
          <w:rFonts w:eastAsia="MS Gothic" w:cs="Arial"/>
          <w:b/>
          <w:bCs/>
          <w:szCs w:val="20"/>
        </w:rPr>
        <w:t>Nařízení Evropského parlamentu a Rady č.1338/2008</w:t>
      </w:r>
      <w:r w:rsidRPr="00D94E51">
        <w:rPr>
          <w:rFonts w:eastAsia="MS Gothic" w:cs="Arial"/>
          <w:bCs/>
          <w:szCs w:val="20"/>
        </w:rPr>
        <w:t xml:space="preserve"> o statistice Společenství v oblasti veřejného zdraví a bezpečnosti a ochrany zdraví při práci. </w:t>
      </w:r>
    </w:p>
    <w:p w:rsidR="00705AF6" w:rsidRPr="00D94E51" w:rsidRDefault="00705AF6" w:rsidP="00705AF6">
      <w:pPr>
        <w:keepNext/>
        <w:keepLines/>
        <w:spacing w:before="240" w:after="120"/>
        <w:outlineLvl w:val="2"/>
        <w:rPr>
          <w:rFonts w:eastAsia="MS Gothic"/>
          <w:b/>
          <w:bCs/>
          <w:color w:val="BC091B"/>
          <w:sz w:val="24"/>
        </w:rPr>
      </w:pPr>
      <w:bookmarkStart w:id="3" w:name="_Toc481748780"/>
      <w:r w:rsidRPr="00D94E51">
        <w:rPr>
          <w:rFonts w:eastAsia="MS Gothic"/>
          <w:b/>
          <w:bCs/>
          <w:color w:val="BC091B"/>
          <w:sz w:val="24"/>
        </w:rPr>
        <w:t>Trojstranný pohled na výdaje na zdravotní péči</w:t>
      </w:r>
      <w:bookmarkEnd w:id="3"/>
    </w:p>
    <w:p w:rsidR="00705AF6" w:rsidRPr="00D94E51" w:rsidRDefault="00705AF6" w:rsidP="00705AF6">
      <w:pPr>
        <w:jc w:val="both"/>
      </w:pPr>
      <w:r w:rsidRPr="00D94E51">
        <w:t xml:space="preserve">Systém zdravotnických účtů je nástrojem, který slouží ke komplexnímu vyjádření veškerých </w:t>
      </w:r>
      <w:r w:rsidRPr="00D94E51">
        <w:rPr>
          <w:b/>
        </w:rPr>
        <w:t>běžných (neinvestičních) výdajů na zdravotní péč</w:t>
      </w:r>
      <w:r w:rsidRPr="00D94E51">
        <w:t xml:space="preserve">i, resp. na zdravotnictví v širším slova smyslu. Jeho hlavním specifickým rysem je </w:t>
      </w:r>
      <w:r w:rsidRPr="00D94E51">
        <w:rPr>
          <w:b/>
        </w:rPr>
        <w:t>vícerozměrnost</w:t>
      </w:r>
      <w:r w:rsidRPr="00D94E51">
        <w:t xml:space="preserve"> členění výdajů. Hlavními rozměry jsou: </w:t>
      </w:r>
    </w:p>
    <w:p w:rsidR="00705AF6" w:rsidRPr="00D94E51" w:rsidRDefault="00705AF6" w:rsidP="00705AF6">
      <w:pPr>
        <w:numPr>
          <w:ilvl w:val="0"/>
          <w:numId w:val="3"/>
        </w:numPr>
        <w:spacing w:before="120" w:after="120" w:line="240" w:lineRule="auto"/>
        <w:jc w:val="both"/>
        <w:rPr>
          <w:iCs/>
          <w:szCs w:val="17"/>
        </w:rPr>
      </w:pPr>
      <w:r w:rsidRPr="00D94E51">
        <w:rPr>
          <w:iCs/>
          <w:szCs w:val="17"/>
        </w:rPr>
        <w:t>zdroj financování (ICHA – HF</w:t>
      </w:r>
      <w:r w:rsidRPr="00D94E51">
        <w:rPr>
          <w:iCs/>
          <w:szCs w:val="17"/>
          <w:vertAlign w:val="superscript"/>
        </w:rPr>
        <w:footnoteReference w:id="1"/>
      </w:r>
      <w:r w:rsidRPr="00D94E51">
        <w:rPr>
          <w:iCs/>
          <w:szCs w:val="17"/>
        </w:rPr>
        <w:t xml:space="preserve">, viz klasifikace č. 1 v příloze, dále jen HF). </w:t>
      </w:r>
    </w:p>
    <w:p w:rsidR="00705AF6" w:rsidRPr="00D94E51" w:rsidRDefault="00705AF6" w:rsidP="00705AF6">
      <w:pPr>
        <w:numPr>
          <w:ilvl w:val="0"/>
          <w:numId w:val="3"/>
        </w:numPr>
        <w:spacing w:before="120" w:after="120" w:line="240" w:lineRule="auto"/>
        <w:jc w:val="both"/>
        <w:rPr>
          <w:iCs/>
          <w:szCs w:val="17"/>
        </w:rPr>
      </w:pPr>
      <w:r w:rsidRPr="00D94E51">
        <w:rPr>
          <w:iCs/>
          <w:szCs w:val="17"/>
        </w:rPr>
        <w:t>druh poskytované zdravotní péče (ICHA – HC</w:t>
      </w:r>
      <w:r w:rsidRPr="00D94E51">
        <w:rPr>
          <w:iCs/>
          <w:szCs w:val="17"/>
          <w:vertAlign w:val="superscript"/>
        </w:rPr>
        <w:footnoteReference w:id="2"/>
      </w:r>
      <w:r w:rsidRPr="00D94E51">
        <w:rPr>
          <w:iCs/>
          <w:szCs w:val="17"/>
        </w:rPr>
        <w:t xml:space="preserve">, viz klasifikace č. 2 v příloze, dále jen HC), </w:t>
      </w:r>
    </w:p>
    <w:p w:rsidR="00705AF6" w:rsidRPr="00D94E51" w:rsidRDefault="00705AF6" w:rsidP="00705AF6">
      <w:pPr>
        <w:numPr>
          <w:ilvl w:val="0"/>
          <w:numId w:val="3"/>
        </w:numPr>
        <w:spacing w:before="120" w:after="120" w:line="240" w:lineRule="auto"/>
        <w:jc w:val="both"/>
        <w:rPr>
          <w:iCs/>
          <w:szCs w:val="17"/>
        </w:rPr>
      </w:pPr>
      <w:r w:rsidRPr="00D94E51">
        <w:rPr>
          <w:iCs/>
          <w:szCs w:val="17"/>
        </w:rPr>
        <w:t>typ poskytovatele (ICHA – HP</w:t>
      </w:r>
      <w:r w:rsidRPr="00D94E51">
        <w:rPr>
          <w:iCs/>
          <w:szCs w:val="17"/>
          <w:vertAlign w:val="superscript"/>
        </w:rPr>
        <w:footnoteReference w:id="3"/>
      </w:r>
      <w:r w:rsidRPr="00D94E51">
        <w:rPr>
          <w:iCs/>
          <w:szCs w:val="17"/>
        </w:rPr>
        <w:t xml:space="preserve">, viz klasifikace č. 3 v příloze, dále jen HP), </w:t>
      </w:r>
    </w:p>
    <w:p w:rsidR="00705AF6" w:rsidRPr="00D94E51" w:rsidRDefault="00705AF6" w:rsidP="00705AF6">
      <w:pPr>
        <w:spacing w:before="120" w:after="120"/>
        <w:jc w:val="both"/>
      </w:pPr>
      <w:r w:rsidRPr="00D94E51">
        <w:t>Tyto tři základní rozměry se libovolně kombinují, čímž dostáváme maticově uspořádané tabulky zdravotnických výdajů, které jsou hlavními výstupy zdravotnických účtů:</w:t>
      </w:r>
    </w:p>
    <w:p w:rsidR="00705AF6" w:rsidRPr="00D94E51" w:rsidRDefault="00705AF6" w:rsidP="00705AF6">
      <w:pPr>
        <w:numPr>
          <w:ilvl w:val="0"/>
          <w:numId w:val="2"/>
        </w:numPr>
        <w:spacing w:before="120" w:after="120" w:line="240" w:lineRule="auto"/>
        <w:jc w:val="both"/>
        <w:rPr>
          <w:szCs w:val="17"/>
        </w:rPr>
      </w:pPr>
      <w:r w:rsidRPr="00D94E51">
        <w:rPr>
          <w:szCs w:val="17"/>
        </w:rPr>
        <w:t>výdaje na zdravotní péči podle druhu péče a zdroje financování (HC x HF)</w:t>
      </w:r>
    </w:p>
    <w:p w:rsidR="00705AF6" w:rsidRPr="00D94E51" w:rsidRDefault="00705AF6" w:rsidP="00705AF6">
      <w:pPr>
        <w:numPr>
          <w:ilvl w:val="0"/>
          <w:numId w:val="2"/>
        </w:numPr>
        <w:spacing w:before="120" w:after="120" w:line="240" w:lineRule="auto"/>
        <w:jc w:val="both"/>
        <w:rPr>
          <w:szCs w:val="17"/>
        </w:rPr>
      </w:pPr>
      <w:r w:rsidRPr="00D94E51">
        <w:rPr>
          <w:szCs w:val="17"/>
        </w:rPr>
        <w:t>výdaje na zdravotní péči podle druhu péče a typu poskytovatele (HC x HP)</w:t>
      </w:r>
    </w:p>
    <w:p w:rsidR="00705AF6" w:rsidRPr="00D94E51" w:rsidRDefault="00705AF6" w:rsidP="00705AF6">
      <w:pPr>
        <w:numPr>
          <w:ilvl w:val="0"/>
          <w:numId w:val="2"/>
        </w:numPr>
        <w:spacing w:before="120" w:after="120" w:line="240" w:lineRule="auto"/>
        <w:jc w:val="both"/>
        <w:rPr>
          <w:szCs w:val="17"/>
        </w:rPr>
      </w:pPr>
      <w:r w:rsidRPr="00D94E51">
        <w:rPr>
          <w:szCs w:val="17"/>
        </w:rPr>
        <w:t>výdaje na zdravotní péči podle typu poskytovatele a zdroje financování (HP x HF)</w:t>
      </w:r>
    </w:p>
    <w:p w:rsidR="00705AF6" w:rsidRPr="00D94E51" w:rsidRDefault="00705AF6" w:rsidP="00705AF6">
      <w:pPr>
        <w:spacing w:before="120" w:after="240"/>
        <w:jc w:val="both"/>
      </w:pPr>
      <w:bookmarkStart w:id="4" w:name="OLE_LINK109"/>
      <w:r w:rsidRPr="00D94E51">
        <w:t>Vícerozměrné členění poskytuje uživatelům těchto informací podstatně propracovanější a detailnější pohled na zdravotnické výdaje (užitečná je zejména informace o zastoupení a podílu jednotlivých zdrojů</w:t>
      </w:r>
      <w:r w:rsidRPr="00D94E51">
        <w:rPr>
          <w:color w:val="FF0000"/>
        </w:rPr>
        <w:t xml:space="preserve"> </w:t>
      </w:r>
      <w:r w:rsidRPr="00D94E51">
        <w:t xml:space="preserve">při financování zdravotní péče), nicméně je také z pochopitelných důvodů náročnější na získávání a úpravu požadovaných dat. </w:t>
      </w:r>
    </w:p>
    <w:p w:rsidR="00705AF6" w:rsidRPr="00D94E51" w:rsidRDefault="00705AF6" w:rsidP="00705AF6">
      <w:pPr>
        <w:keepNext/>
        <w:keepLines/>
        <w:spacing w:before="240" w:after="120"/>
        <w:outlineLvl w:val="2"/>
        <w:rPr>
          <w:rFonts w:eastAsia="MS Gothic"/>
          <w:b/>
          <w:bCs/>
          <w:color w:val="BC091B"/>
          <w:sz w:val="24"/>
        </w:rPr>
      </w:pPr>
      <w:bookmarkStart w:id="5" w:name="_Toc481748781"/>
      <w:bookmarkEnd w:id="4"/>
      <w:r w:rsidRPr="00D94E51">
        <w:rPr>
          <w:rFonts w:eastAsia="MS Gothic"/>
          <w:b/>
          <w:bCs/>
          <w:color w:val="BC091B"/>
          <w:sz w:val="24"/>
        </w:rPr>
        <w:t xml:space="preserve">Mezinárodní metodika </w:t>
      </w:r>
      <w:r w:rsidRPr="00D94E51">
        <w:rPr>
          <w:rFonts w:eastAsia="MS Gothic"/>
          <w:b/>
          <w:bCs/>
          <w:color w:val="C00000"/>
          <w:sz w:val="24"/>
        </w:rPr>
        <w:t xml:space="preserve">SHA </w:t>
      </w:r>
      <w:bookmarkEnd w:id="5"/>
      <w:r w:rsidRPr="00D94E51">
        <w:rPr>
          <w:rFonts w:eastAsia="MS Gothic"/>
          <w:b/>
          <w:bCs/>
          <w:color w:val="C00000"/>
          <w:sz w:val="24"/>
        </w:rPr>
        <w:t>2011</w:t>
      </w:r>
    </w:p>
    <w:p w:rsidR="00705AF6" w:rsidRPr="00D94E51" w:rsidRDefault="00705AF6" w:rsidP="00705AF6">
      <w:pPr>
        <w:spacing w:before="120"/>
        <w:jc w:val="both"/>
      </w:pPr>
      <w:r w:rsidRPr="00D94E51">
        <w:t>Zdravotnické účty je možné využít na mezinárodní i národní úrovni. Mezinárodní srovnání je umožněno jednotnou metodikou, která vznikla ve spolupráci OECD, WHO a EUROSTATU. Stejně tak lze jejich výsledků využít i na úrovni národní, kde mohou poskytovat informace potřebné pro analýzy výdajů na zdravotní péči a pro přijetí odpovídajících odborných a politických rozhodnutí v této oblasti.</w:t>
      </w:r>
    </w:p>
    <w:p w:rsidR="00705AF6" w:rsidRPr="00D94E51" w:rsidRDefault="00705AF6" w:rsidP="00705AF6">
      <w:pPr>
        <w:spacing w:before="120"/>
        <w:jc w:val="both"/>
      </w:pPr>
      <w:r w:rsidRPr="00D94E51">
        <w:t xml:space="preserve">Období referenčního roku 2014 bylo poznamenáno přechodem od vstupní metodiky zdravotnických účtů (SHA 1.0) z roku 2000 k vyššímu vývojovému stupni představovanému </w:t>
      </w:r>
      <w:r w:rsidRPr="00D94E51">
        <w:rPr>
          <w:b/>
        </w:rPr>
        <w:t>metodickým manuálem SHA 2011</w:t>
      </w:r>
      <w:r w:rsidRPr="00D94E51">
        <w:t xml:space="preserve">, který se blíže zaměřuje na prevenci a dlouhodobou péči zdravotní. Tyto druhy zdravotní péče se posouvají více do centra pozornosti v souvislosti s rostoucím významem prevence pro včasné zjištění a snazší léčení i vážných onemocnění a dále s prodlužováním délky lidského života. Údaje za dlouhodobou péči sociální, které jsou součástí této analýzy, nejsou zatím v mezinárodním měřítku srovnatelné, a proto se celkové výdaje liší od databáze EUROSTATU. </w:t>
      </w:r>
    </w:p>
    <w:p w:rsidR="00705AF6" w:rsidRPr="00D94E51" w:rsidRDefault="00705AF6" w:rsidP="00705AF6">
      <w:pPr>
        <w:spacing w:before="120"/>
        <w:jc w:val="both"/>
      </w:pPr>
      <w:r w:rsidRPr="00D94E51">
        <w:lastRenderedPageBreak/>
        <w:t xml:space="preserve">Do celkových výdajů na zdravotní péči jsou dle výše uvedené platné metodiky SHA 2011 zahrnovány </w:t>
      </w:r>
      <w:r w:rsidRPr="00D94E51">
        <w:rPr>
          <w:b/>
        </w:rPr>
        <w:t>pouze běžné (neinvestiční) náklady</w:t>
      </w:r>
      <w:r w:rsidRPr="00D94E51">
        <w:t xml:space="preserve">. </w:t>
      </w:r>
      <w:r w:rsidRPr="00D94E51">
        <w:rPr>
          <w:rFonts w:eastAsia="MS Gothic" w:cs="Arial"/>
          <w:bCs/>
          <w:szCs w:val="20"/>
        </w:rPr>
        <w:t xml:space="preserve">Český statistický úřad (dále jen ČSÚ) </w:t>
      </w:r>
      <w:r w:rsidRPr="00D94E51">
        <w:t xml:space="preserve">přistoupil k tomuto pohledu plně v roce 2018 právě v rámci této publikace. Cílem bylo zabezpečit co nejlepší mezinárodní srovnatelnost. Pokud tedy není uvedeno jinak, veškeré uvedené údaje za roky 2010 až 2018 tak zahrnují pouze neinvestiční (běžné) výdaje na zdravotní péči. </w:t>
      </w:r>
    </w:p>
    <w:p w:rsidR="00705AF6" w:rsidRPr="00D94E51" w:rsidRDefault="00705AF6" w:rsidP="00705AF6">
      <w:pPr>
        <w:keepNext/>
        <w:keepLines/>
        <w:spacing w:before="240" w:after="120"/>
        <w:outlineLvl w:val="2"/>
        <w:rPr>
          <w:rFonts w:eastAsia="MS Gothic"/>
          <w:b/>
          <w:bCs/>
          <w:color w:val="BC091B"/>
          <w:sz w:val="24"/>
        </w:rPr>
      </w:pPr>
      <w:bookmarkStart w:id="6" w:name="_Toc481748782"/>
      <w:r w:rsidRPr="00D94E51">
        <w:rPr>
          <w:rFonts w:eastAsia="MS Gothic"/>
          <w:b/>
          <w:bCs/>
          <w:color w:val="BC091B"/>
          <w:sz w:val="24"/>
        </w:rPr>
        <w:t>Zdravotnické účty jako součást zdravotnických informací</w:t>
      </w:r>
      <w:bookmarkEnd w:id="6"/>
    </w:p>
    <w:p w:rsidR="00705AF6" w:rsidRPr="00D94E51" w:rsidRDefault="00705AF6" w:rsidP="00705AF6">
      <w:pPr>
        <w:spacing w:before="120"/>
        <w:jc w:val="both"/>
        <w:rPr>
          <w:rFonts w:eastAsia="MS Gothic" w:cs="Arial"/>
          <w:bCs/>
          <w:szCs w:val="20"/>
        </w:rPr>
      </w:pPr>
      <w:r w:rsidRPr="00D94E51">
        <w:rPr>
          <w:rFonts w:eastAsia="MS Gothic" w:cs="Arial"/>
          <w:bCs/>
          <w:szCs w:val="20"/>
        </w:rPr>
        <w:t xml:space="preserve">ČSÚ poprvé zpracoval zdravotnické účty ČR za referenční rok 2000. Před zahájením prací bylo nutné vyřešit otázky týkající se zdrojů spolehlivých dat a vhodnosti stávajících metodických nástrojů (zejména klasifikací). Ukázalo se, že bude vhodné vycházet především z </w:t>
      </w:r>
      <w:r w:rsidRPr="00D94E51">
        <w:rPr>
          <w:rFonts w:eastAsia="MS Gothic" w:cs="Arial"/>
          <w:b/>
          <w:bCs/>
          <w:szCs w:val="20"/>
        </w:rPr>
        <w:t>administrativních zdrojů dat vedených zdravotními pojišťovnami</w:t>
      </w:r>
      <w:r w:rsidRPr="00D94E51">
        <w:rPr>
          <w:rFonts w:eastAsia="MS Gothic" w:cs="Arial"/>
          <w:bCs/>
          <w:szCs w:val="20"/>
        </w:rPr>
        <w:t xml:space="preserve"> (veřejné zdravotní pojištění), komerčními pojišťovnami (cestovní a jiné zdravotní pojištění) a ministerstvem financí ČR (výdaje veřejných rozpočtů). </w:t>
      </w:r>
    </w:p>
    <w:p w:rsidR="00705AF6" w:rsidRPr="00D94E51" w:rsidRDefault="00705AF6" w:rsidP="00705AF6">
      <w:pPr>
        <w:spacing w:before="120"/>
        <w:jc w:val="both"/>
        <w:rPr>
          <w:rFonts w:eastAsia="MS Gothic" w:cs="Arial"/>
          <w:bCs/>
          <w:szCs w:val="20"/>
        </w:rPr>
      </w:pPr>
      <w:r w:rsidRPr="00D94E51">
        <w:rPr>
          <w:rFonts w:eastAsia="MS Gothic" w:cs="Arial"/>
          <w:bCs/>
          <w:szCs w:val="20"/>
        </w:rPr>
        <w:t xml:space="preserve">Tam, kde nebyla k dispozici vhodná administrativní data, bylo nutné přistoupit k využití výsledků </w:t>
      </w:r>
      <w:r w:rsidRPr="00D94E51">
        <w:rPr>
          <w:rFonts w:eastAsia="MS Gothic" w:cs="Arial"/>
          <w:b/>
          <w:bCs/>
          <w:szCs w:val="20"/>
        </w:rPr>
        <w:t>statistických zjišťování ČSÚ</w:t>
      </w:r>
      <w:r w:rsidRPr="00D94E51">
        <w:rPr>
          <w:rFonts w:eastAsia="MS Gothic" w:cs="Arial"/>
          <w:bCs/>
          <w:szCs w:val="20"/>
        </w:rPr>
        <w:t xml:space="preserve">. V případě domácností to jsou údaje statistiky rodinných účtů. Výdaje neziskových institucí na zdravotní péči (např. Červený kříž, Liga proti rakovině atd.) jsou zjišťovány v rámci šetření neziskových institucí a výdaje podnikové sféry (zejména na preventivní péči jako vstupní prohlídky a podobně) pomocí šetření o úplných nákladech práce. Můžeme říci, že využitím výše zmíněných datových zdrojů byla evidována a zpracována data za naprostou většinu zdravotnických výdajů. </w:t>
      </w:r>
    </w:p>
    <w:p w:rsidR="00705AF6" w:rsidRPr="00D94E51" w:rsidRDefault="00705AF6" w:rsidP="00705AF6">
      <w:pPr>
        <w:spacing w:before="120"/>
        <w:jc w:val="both"/>
        <w:rPr>
          <w:rFonts w:eastAsia="MS Gothic" w:cs="Arial"/>
          <w:bCs/>
          <w:szCs w:val="20"/>
        </w:rPr>
      </w:pPr>
      <w:r w:rsidRPr="00D94E51">
        <w:rPr>
          <w:rFonts w:eastAsia="MS Gothic" w:cs="Arial"/>
          <w:bCs/>
          <w:szCs w:val="20"/>
        </w:rPr>
        <w:t xml:space="preserve">Nutno dodat, že zdravotnické účty zpracovávané ČSÚ nepředstavují jediný přístup ke kvantifikaci výdajů na zdravotnictví v České republice. Tyto výdaje jsou ročně také kalkulovány například ministerstvy financí a zdravotnictví ČR s využitím dat zdravotních pojišťoven předkládaných ve čtvrtletní periodicitě dle vyhlášky č. 362/2010 Sb. Mezi uvedenými přístupy a z nich vycházejícími daty jsou některé odlišnosti. Z pohledu času jsou údaje zdravotnických účtů k dispozici zhruba 14 měsíců po skončení referenčního období. Rozdíly jsou také v obsahu obou soustav dat o výdajích na zdravotní péči. </w:t>
      </w:r>
    </w:p>
    <w:p w:rsidR="00705AF6" w:rsidRPr="00D94E51" w:rsidRDefault="00705AF6" w:rsidP="00705AF6">
      <w:pPr>
        <w:spacing w:before="120"/>
        <w:jc w:val="both"/>
        <w:rPr>
          <w:rFonts w:eastAsia="MS Gothic" w:cs="Arial"/>
          <w:bCs/>
          <w:szCs w:val="20"/>
        </w:rPr>
      </w:pPr>
      <w:r w:rsidRPr="00D94E51">
        <w:rPr>
          <w:rFonts w:eastAsia="MS Gothic" w:cs="Arial"/>
          <w:bCs/>
          <w:szCs w:val="20"/>
        </w:rPr>
        <w:t xml:space="preserve">Zdravotnické účty </w:t>
      </w:r>
      <w:r w:rsidRPr="00D94E51">
        <w:rPr>
          <w:rFonts w:eastAsia="MS Gothic" w:cs="Arial"/>
          <w:b/>
          <w:bCs/>
          <w:szCs w:val="20"/>
        </w:rPr>
        <w:t>mají komplexnější záběr</w:t>
      </w:r>
      <w:r w:rsidRPr="00D94E51">
        <w:rPr>
          <w:rFonts w:eastAsia="MS Gothic" w:cs="Arial"/>
          <w:bCs/>
          <w:szCs w:val="20"/>
        </w:rPr>
        <w:t xml:space="preserve">, zahrnují veškeré výdaje na prevenci (včetně podnikové sféry), výdaje na dlouhodobou péči poskytovanou v sociálních zařízeních, sociální dávky a také výdaje režijního charakteru vynakládané v rámci zdravotnictví. Rozhodující rozdíl obou systémů dat však spočívá v tom, že zdravotnické účty jsou sestavovány podle mezinárodně platné metodiky (OECD, WHO, EUROSTAT). Z této skutečnosti je zřejmé, že přesahují úzké národní pojetí a představují tak jedinou soustavu dat o výdajích na zdravotní péči, která je mezinárodně srovnatelná. </w:t>
      </w:r>
    </w:p>
    <w:p w:rsidR="00705AF6" w:rsidRPr="00D94E51" w:rsidRDefault="00705AF6" w:rsidP="00705AF6">
      <w:pPr>
        <w:keepNext/>
        <w:keepLines/>
        <w:spacing w:before="240" w:after="120"/>
        <w:outlineLvl w:val="2"/>
        <w:rPr>
          <w:rFonts w:eastAsia="MS Gothic"/>
          <w:b/>
          <w:bCs/>
          <w:color w:val="BC091B"/>
          <w:sz w:val="24"/>
        </w:rPr>
      </w:pPr>
      <w:bookmarkStart w:id="7" w:name="_Toc481748783"/>
      <w:r w:rsidRPr="00D94E51">
        <w:rPr>
          <w:rFonts w:eastAsia="MS Gothic"/>
          <w:b/>
          <w:bCs/>
          <w:color w:val="BC091B"/>
          <w:sz w:val="24"/>
        </w:rPr>
        <w:t>Co přinášejí další stránky publikace</w:t>
      </w:r>
      <w:bookmarkEnd w:id="7"/>
    </w:p>
    <w:p w:rsidR="00705AF6" w:rsidRPr="00D94E51" w:rsidRDefault="00705AF6" w:rsidP="00705AF6">
      <w:pPr>
        <w:spacing w:before="120"/>
        <w:jc w:val="both"/>
      </w:pPr>
      <w:r w:rsidRPr="00D94E51">
        <w:t xml:space="preserve">Po úvodní kapitole charakterizující zdravotnické účty a problematiku jejich uplatnění v našich podmínkách následují informace o výsledcích zdravotnických účtů ČR, a to jak v souhrnném pohledu, tak i v detailnějším členění umožněném zejména využitím dosažitelných administrativních zdrojů dat a výstupů ze statistického šetření výdajů domácností. </w:t>
      </w:r>
    </w:p>
    <w:p w:rsidR="00705AF6" w:rsidRPr="00D94E51" w:rsidRDefault="00705AF6" w:rsidP="00705AF6">
      <w:pPr>
        <w:spacing w:before="120"/>
        <w:jc w:val="both"/>
      </w:pPr>
      <w:r w:rsidRPr="00D94E51">
        <w:t xml:space="preserve">Souhrnné výsledky jsou prezentovány z výše uvedených tří základních pohledů – druhu zdravotní péče, jejího poskytovatele a odpovídajícího zdroje financování. Specifické informace obsažené v další části publikace se vztahují k výdajům z veřejného zdravotního pojištění (podle věku, pohlaví a diagnóz), výdajům domácností na zdravotní péči, ke dlouhodobé péči a k výdajům na léky. Textová část publikace je zakončena kapitolou uvádějící výsledky zdravotnických účtů v mezinárodním porovnání. Publikaci uzavírají přílohy obsahující metodické poznámky, vysvětlení některých pojmů, přehled mezinárodních klasifikací a tabulky s podrobnými výsledky za rok 2018 i s časovými řadami od roku 2010. </w:t>
      </w:r>
    </w:p>
    <w:p w:rsidR="00705AF6" w:rsidRDefault="00705AF6" w:rsidP="00705AF6">
      <w:pPr>
        <w:pStyle w:val="Nadpis1"/>
        <w:keepNext w:val="0"/>
        <w:keepLines w:val="0"/>
      </w:pPr>
    </w:p>
    <w:p w:rsidR="00F71B42" w:rsidRPr="00705AF6" w:rsidRDefault="00F71B42" w:rsidP="00705AF6">
      <w:bookmarkStart w:id="8" w:name="_GoBack"/>
      <w:bookmarkEnd w:id="8"/>
    </w:p>
    <w:sectPr w:rsidR="00F71B42" w:rsidRPr="00705AF6" w:rsidSect="001A3B66">
      <w:headerReference w:type="even" r:id="rId9"/>
      <w:headerReference w:type="default" r:id="rId10"/>
      <w:footerReference w:type="even" r:id="rId11"/>
      <w:footerReference w:type="default" r:id="rId12"/>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19" w:rsidRDefault="00440519" w:rsidP="00E71A58">
      <w:r>
        <w:separator/>
      </w:r>
    </w:p>
  </w:endnote>
  <w:endnote w:type="continuationSeparator" w:id="0">
    <w:p w:rsidR="00440519" w:rsidRDefault="0044051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Default="00831D41"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398C6569" wp14:editId="5A1B45C9">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1E26B5">
      <w:rPr>
        <w:rFonts w:ascii="Arial" w:hAnsi="Arial" w:cs="Arial"/>
        <w:noProof/>
        <w:sz w:val="16"/>
        <w:szCs w:val="16"/>
      </w:rPr>
      <w:t>2</w:t>
    </w:r>
    <w:r w:rsidRPr="005A21E0">
      <w:rPr>
        <w:rFonts w:ascii="Arial" w:hAnsi="Arial" w:cs="Arial"/>
        <w:sz w:val="16"/>
        <w:szCs w:val="16"/>
      </w:rPr>
      <w:fldChar w:fldCharType="end"/>
    </w:r>
    <w:r>
      <w:rPr>
        <w:rFonts w:ascii="Arial" w:hAnsi="Arial" w:cs="Arial"/>
        <w:sz w:val="16"/>
        <w:szCs w:val="16"/>
      </w:rPr>
      <w:tab/>
      <w:t>20</w:t>
    </w:r>
    <w:r w:rsidR="001E26B5">
      <w:rPr>
        <w:rFonts w:ascii="Arial" w:hAnsi="Arial" w:cs="Arial"/>
        <w:sz w:val="16"/>
        <w:szCs w:val="16"/>
      </w:rPr>
      <w:t>20</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Default="00831D4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4F76278A" wp14:editId="02D7A963">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831D41" w:rsidRDefault="00831D41"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w:t>
    </w:r>
    <w:r w:rsidR="00705AF6">
      <w:rPr>
        <w:rFonts w:ascii="Arial" w:hAnsi="Arial" w:cs="Arial"/>
        <w:sz w:val="16"/>
        <w:szCs w:val="16"/>
      </w:rPr>
      <w:t>20</w:t>
    </w:r>
    <w:r>
      <w:tab/>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1E26B5">
      <w:rPr>
        <w:rFonts w:ascii="Arial" w:hAnsi="Arial" w:cs="Arial"/>
        <w:noProof/>
        <w:sz w:val="16"/>
        <w:szCs w:val="16"/>
      </w:rPr>
      <w:t>1</w:t>
    </w:r>
    <w:r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19" w:rsidRDefault="00440519" w:rsidP="00E71A58">
      <w:r>
        <w:separator/>
      </w:r>
    </w:p>
  </w:footnote>
  <w:footnote w:type="continuationSeparator" w:id="0">
    <w:p w:rsidR="00440519" w:rsidRDefault="00440519" w:rsidP="00E71A58">
      <w:r>
        <w:continuationSeparator/>
      </w:r>
    </w:p>
  </w:footnote>
  <w:footnote w:id="1">
    <w:p w:rsidR="00705AF6" w:rsidRPr="00C32D03" w:rsidRDefault="00705AF6" w:rsidP="00705AF6">
      <w:pPr>
        <w:pStyle w:val="Poznamkapodcarou"/>
        <w:spacing w:before="0" w:after="0"/>
        <w:rPr>
          <w:szCs w:val="15"/>
        </w:rPr>
      </w:pPr>
      <w:r w:rsidRPr="00C32D03">
        <w:rPr>
          <w:rStyle w:val="Znakapoznpodarou"/>
          <w:szCs w:val="15"/>
        </w:rPr>
        <w:footnoteRef/>
      </w:r>
      <w:r w:rsidRPr="00C32D03">
        <w:rPr>
          <w:szCs w:val="15"/>
        </w:rPr>
        <w:t xml:space="preserve"> International </w:t>
      </w:r>
      <w:proofErr w:type="spellStart"/>
      <w:r w:rsidRPr="00C32D03">
        <w:rPr>
          <w:szCs w:val="15"/>
        </w:rPr>
        <w:t>Classification</w:t>
      </w:r>
      <w:proofErr w:type="spellEnd"/>
      <w:r w:rsidRPr="00C32D03">
        <w:rPr>
          <w:szCs w:val="15"/>
        </w:rPr>
        <w:t xml:space="preserve"> </w:t>
      </w:r>
      <w:proofErr w:type="spellStart"/>
      <w:r w:rsidRPr="00C32D03">
        <w:rPr>
          <w:szCs w:val="15"/>
        </w:rPr>
        <w:t>for</w:t>
      </w:r>
      <w:proofErr w:type="spellEnd"/>
      <w:r w:rsidRPr="00C32D03">
        <w:rPr>
          <w:szCs w:val="15"/>
        </w:rPr>
        <w:t xml:space="preserve"> </w:t>
      </w:r>
      <w:proofErr w:type="spellStart"/>
      <w:r w:rsidRPr="00C32D03">
        <w:rPr>
          <w:szCs w:val="15"/>
        </w:rPr>
        <w:t>Health</w:t>
      </w:r>
      <w:proofErr w:type="spellEnd"/>
      <w:r w:rsidRPr="00C32D03">
        <w:rPr>
          <w:szCs w:val="15"/>
        </w:rPr>
        <w:t xml:space="preserve"> </w:t>
      </w:r>
      <w:proofErr w:type="spellStart"/>
      <w:r w:rsidRPr="00C32D03">
        <w:rPr>
          <w:szCs w:val="15"/>
        </w:rPr>
        <w:t>Accounts</w:t>
      </w:r>
      <w:proofErr w:type="spellEnd"/>
      <w:r w:rsidRPr="00C32D03">
        <w:rPr>
          <w:szCs w:val="15"/>
        </w:rPr>
        <w:t xml:space="preserve"> – </w:t>
      </w:r>
      <w:proofErr w:type="spellStart"/>
      <w:r w:rsidRPr="00C32D03">
        <w:rPr>
          <w:szCs w:val="15"/>
        </w:rPr>
        <w:t>Health</w:t>
      </w:r>
      <w:proofErr w:type="spellEnd"/>
      <w:r w:rsidRPr="00C32D03">
        <w:rPr>
          <w:szCs w:val="15"/>
        </w:rPr>
        <w:t xml:space="preserve"> Care </w:t>
      </w:r>
      <w:proofErr w:type="spellStart"/>
      <w:r w:rsidRPr="00C32D03">
        <w:rPr>
          <w:szCs w:val="15"/>
        </w:rPr>
        <w:t>Sources</w:t>
      </w:r>
      <w:proofErr w:type="spellEnd"/>
      <w:r w:rsidRPr="00C32D03">
        <w:rPr>
          <w:szCs w:val="15"/>
        </w:rPr>
        <w:t xml:space="preserve"> </w:t>
      </w:r>
      <w:proofErr w:type="spellStart"/>
      <w:r w:rsidRPr="00C32D03">
        <w:rPr>
          <w:szCs w:val="15"/>
        </w:rPr>
        <w:t>of</w:t>
      </w:r>
      <w:proofErr w:type="spellEnd"/>
      <w:r w:rsidRPr="00C32D03">
        <w:rPr>
          <w:szCs w:val="15"/>
        </w:rPr>
        <w:t xml:space="preserve"> </w:t>
      </w:r>
      <w:proofErr w:type="spellStart"/>
      <w:r w:rsidRPr="00C32D03">
        <w:rPr>
          <w:szCs w:val="15"/>
        </w:rPr>
        <w:t>Funding</w:t>
      </w:r>
      <w:proofErr w:type="spellEnd"/>
    </w:p>
  </w:footnote>
  <w:footnote w:id="2">
    <w:p w:rsidR="00705AF6" w:rsidRPr="00C32D03" w:rsidRDefault="00705AF6" w:rsidP="00705AF6">
      <w:pPr>
        <w:pStyle w:val="Poznamkapodcarou"/>
        <w:spacing w:before="0" w:after="0"/>
        <w:rPr>
          <w:szCs w:val="15"/>
        </w:rPr>
      </w:pPr>
      <w:r w:rsidRPr="00C32D03">
        <w:rPr>
          <w:rStyle w:val="Znakapoznpodarou"/>
          <w:szCs w:val="15"/>
        </w:rPr>
        <w:footnoteRef/>
      </w:r>
      <w:r w:rsidRPr="00C32D03">
        <w:rPr>
          <w:szCs w:val="15"/>
        </w:rPr>
        <w:t xml:space="preserve"> International </w:t>
      </w:r>
      <w:proofErr w:type="spellStart"/>
      <w:r w:rsidRPr="00C32D03">
        <w:rPr>
          <w:szCs w:val="15"/>
        </w:rPr>
        <w:t>Classification</w:t>
      </w:r>
      <w:proofErr w:type="spellEnd"/>
      <w:r w:rsidRPr="00C32D03">
        <w:rPr>
          <w:szCs w:val="15"/>
        </w:rPr>
        <w:t xml:space="preserve"> </w:t>
      </w:r>
      <w:proofErr w:type="spellStart"/>
      <w:r w:rsidRPr="00C32D03">
        <w:rPr>
          <w:szCs w:val="15"/>
        </w:rPr>
        <w:t>for</w:t>
      </w:r>
      <w:proofErr w:type="spellEnd"/>
      <w:r w:rsidRPr="00C32D03">
        <w:rPr>
          <w:szCs w:val="15"/>
        </w:rPr>
        <w:t xml:space="preserve"> </w:t>
      </w:r>
      <w:proofErr w:type="spellStart"/>
      <w:r w:rsidRPr="00C32D03">
        <w:rPr>
          <w:szCs w:val="15"/>
        </w:rPr>
        <w:t>Health</w:t>
      </w:r>
      <w:proofErr w:type="spellEnd"/>
      <w:r w:rsidRPr="00C32D03">
        <w:rPr>
          <w:szCs w:val="15"/>
        </w:rPr>
        <w:t xml:space="preserve"> </w:t>
      </w:r>
      <w:proofErr w:type="spellStart"/>
      <w:r w:rsidRPr="00C32D03">
        <w:rPr>
          <w:szCs w:val="15"/>
        </w:rPr>
        <w:t>Accounts</w:t>
      </w:r>
      <w:proofErr w:type="spellEnd"/>
      <w:r w:rsidRPr="00C32D03">
        <w:rPr>
          <w:szCs w:val="15"/>
        </w:rPr>
        <w:t xml:space="preserve"> – </w:t>
      </w:r>
      <w:proofErr w:type="spellStart"/>
      <w:r w:rsidRPr="00C32D03">
        <w:rPr>
          <w:szCs w:val="15"/>
        </w:rPr>
        <w:t>Health</w:t>
      </w:r>
      <w:proofErr w:type="spellEnd"/>
      <w:r w:rsidRPr="00C32D03">
        <w:rPr>
          <w:szCs w:val="15"/>
        </w:rPr>
        <w:t xml:space="preserve"> Care </w:t>
      </w:r>
      <w:proofErr w:type="spellStart"/>
      <w:r w:rsidRPr="00C32D03">
        <w:rPr>
          <w:szCs w:val="15"/>
        </w:rPr>
        <w:t>Functions</w:t>
      </w:r>
      <w:proofErr w:type="spellEnd"/>
      <w:r w:rsidRPr="00C32D03">
        <w:rPr>
          <w:szCs w:val="15"/>
        </w:rPr>
        <w:t xml:space="preserve">, </w:t>
      </w:r>
    </w:p>
  </w:footnote>
  <w:footnote w:id="3">
    <w:p w:rsidR="00705AF6" w:rsidRPr="00C32D03" w:rsidRDefault="00705AF6" w:rsidP="00705AF6">
      <w:pPr>
        <w:pStyle w:val="Poznamkapodcarou"/>
        <w:spacing w:before="0" w:after="0"/>
        <w:rPr>
          <w:szCs w:val="15"/>
        </w:rPr>
      </w:pPr>
      <w:r w:rsidRPr="00C32D03">
        <w:rPr>
          <w:rStyle w:val="Znakapoznpodarou"/>
          <w:szCs w:val="15"/>
        </w:rPr>
        <w:footnoteRef/>
      </w:r>
      <w:r w:rsidRPr="00C32D03">
        <w:rPr>
          <w:szCs w:val="15"/>
        </w:rPr>
        <w:t xml:space="preserve"> International </w:t>
      </w:r>
      <w:proofErr w:type="spellStart"/>
      <w:r w:rsidRPr="00C32D03">
        <w:rPr>
          <w:szCs w:val="15"/>
        </w:rPr>
        <w:t>Classification</w:t>
      </w:r>
      <w:proofErr w:type="spellEnd"/>
      <w:r w:rsidRPr="00C32D03">
        <w:rPr>
          <w:szCs w:val="15"/>
        </w:rPr>
        <w:t xml:space="preserve"> </w:t>
      </w:r>
      <w:proofErr w:type="spellStart"/>
      <w:r w:rsidRPr="00C32D03">
        <w:rPr>
          <w:szCs w:val="15"/>
        </w:rPr>
        <w:t>for</w:t>
      </w:r>
      <w:proofErr w:type="spellEnd"/>
      <w:r w:rsidRPr="00C32D03">
        <w:rPr>
          <w:szCs w:val="15"/>
        </w:rPr>
        <w:t xml:space="preserve"> </w:t>
      </w:r>
      <w:proofErr w:type="spellStart"/>
      <w:r w:rsidRPr="00C32D03">
        <w:rPr>
          <w:szCs w:val="15"/>
        </w:rPr>
        <w:t>Health</w:t>
      </w:r>
      <w:proofErr w:type="spellEnd"/>
      <w:r w:rsidRPr="00C32D03">
        <w:rPr>
          <w:szCs w:val="15"/>
        </w:rPr>
        <w:t xml:space="preserve"> </w:t>
      </w:r>
      <w:proofErr w:type="spellStart"/>
      <w:r w:rsidRPr="00C32D03">
        <w:rPr>
          <w:szCs w:val="15"/>
        </w:rPr>
        <w:t>Accounts</w:t>
      </w:r>
      <w:proofErr w:type="spellEnd"/>
      <w:r w:rsidRPr="00C32D03">
        <w:rPr>
          <w:szCs w:val="15"/>
        </w:rPr>
        <w:t xml:space="preserve"> – </w:t>
      </w:r>
      <w:proofErr w:type="spellStart"/>
      <w:r w:rsidRPr="00C32D03">
        <w:rPr>
          <w:szCs w:val="15"/>
        </w:rPr>
        <w:t>Health</w:t>
      </w:r>
      <w:proofErr w:type="spellEnd"/>
      <w:r w:rsidRPr="00C32D03">
        <w:rPr>
          <w:szCs w:val="15"/>
        </w:rPr>
        <w:t xml:space="preserve"> Care </w:t>
      </w:r>
      <w:proofErr w:type="spellStart"/>
      <w:r w:rsidRPr="00C32D03">
        <w:rPr>
          <w:szCs w:val="15"/>
        </w:rPr>
        <w:t>Providers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Pr="002175EE" w:rsidRDefault="00831D41"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w:t>
    </w:r>
    <w:r w:rsidR="001E26B5">
      <w:rPr>
        <w:b w:val="0"/>
        <w:color w:val="auto"/>
        <w:sz w:val="16"/>
        <w:szCs w:val="16"/>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Pr="002175EE" w:rsidRDefault="00831D41"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w:t>
    </w:r>
    <w:r w:rsidR="00705AF6">
      <w:rPr>
        <w:b w:val="0"/>
        <w:color w:val="auto"/>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550C"/>
    <w:multiLevelType w:val="hybridMultilevel"/>
    <w:tmpl w:val="86B43882"/>
    <w:lvl w:ilvl="0" w:tplc="46C2DFC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nsid w:val="04E85E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A27793"/>
    <w:multiLevelType w:val="hybridMultilevel"/>
    <w:tmpl w:val="D486A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8D16AC4"/>
    <w:multiLevelType w:val="hybridMultilevel"/>
    <w:tmpl w:val="371460E6"/>
    <w:lvl w:ilvl="0" w:tplc="4DA05D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D80405"/>
    <w:multiLevelType w:val="multilevel"/>
    <w:tmpl w:val="B94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21244"/>
    <w:multiLevelType w:val="hybridMultilevel"/>
    <w:tmpl w:val="93965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5AC752F"/>
    <w:multiLevelType w:val="hybridMultilevel"/>
    <w:tmpl w:val="F1DE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F919ED"/>
    <w:multiLevelType w:val="multilevel"/>
    <w:tmpl w:val="B0E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CB35327"/>
    <w:multiLevelType w:val="hybridMultilevel"/>
    <w:tmpl w:val="0CBCD77C"/>
    <w:lvl w:ilvl="0" w:tplc="C80617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6F4090"/>
    <w:multiLevelType w:val="hybridMultilevel"/>
    <w:tmpl w:val="179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A737E1"/>
    <w:multiLevelType w:val="hybridMultilevel"/>
    <w:tmpl w:val="89AAB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6F7E70"/>
    <w:multiLevelType w:val="hybridMultilevel"/>
    <w:tmpl w:val="0128A08A"/>
    <w:lvl w:ilvl="0" w:tplc="49A0ED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C32522"/>
    <w:multiLevelType w:val="hybridMultilevel"/>
    <w:tmpl w:val="7F9C2826"/>
    <w:lvl w:ilvl="0" w:tplc="F93889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6">
    <w:nsid w:val="58544EA5"/>
    <w:multiLevelType w:val="hybridMultilevel"/>
    <w:tmpl w:val="E0D623B2"/>
    <w:lvl w:ilvl="0" w:tplc="E0F4A91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133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40">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9B90EB4"/>
    <w:multiLevelType w:val="hybridMultilevel"/>
    <w:tmpl w:val="98F6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nsid w:val="7F9F4163"/>
    <w:multiLevelType w:val="hybridMultilevel"/>
    <w:tmpl w:val="A78ADFC6"/>
    <w:lvl w:ilvl="0" w:tplc="242AA788">
      <w:numFmt w:val="bullet"/>
      <w:lvlText w:val="-"/>
      <w:lvlJc w:val="left"/>
      <w:pPr>
        <w:ind w:left="306" w:hanging="360"/>
      </w:pPr>
      <w:rPr>
        <w:rFonts w:ascii="Arial" w:eastAsia="Times New Roman" w:hAnsi="Arial" w:cs="Arial"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num w:numId="1">
    <w:abstractNumId w:val="26"/>
  </w:num>
  <w:num w:numId="2">
    <w:abstractNumId w:val="33"/>
  </w:num>
  <w:num w:numId="3">
    <w:abstractNumId w:val="7"/>
  </w:num>
  <w:num w:numId="4">
    <w:abstractNumId w:val="34"/>
  </w:num>
  <w:num w:numId="5">
    <w:abstractNumId w:val="4"/>
  </w:num>
  <w:num w:numId="6">
    <w:abstractNumId w:val="13"/>
  </w:num>
  <w:num w:numId="7">
    <w:abstractNumId w:val="28"/>
  </w:num>
  <w:num w:numId="8">
    <w:abstractNumId w:val="40"/>
  </w:num>
  <w:num w:numId="9">
    <w:abstractNumId w:val="27"/>
  </w:num>
  <w:num w:numId="10">
    <w:abstractNumId w:val="38"/>
  </w:num>
  <w:num w:numId="11">
    <w:abstractNumId w:val="12"/>
  </w:num>
  <w:num w:numId="12">
    <w:abstractNumId w:val="44"/>
  </w:num>
  <w:num w:numId="13">
    <w:abstractNumId w:val="32"/>
  </w:num>
  <w:num w:numId="14">
    <w:abstractNumId w:val="35"/>
  </w:num>
  <w:num w:numId="15">
    <w:abstractNumId w:val="39"/>
  </w:num>
  <w:num w:numId="16">
    <w:abstractNumId w:val="6"/>
  </w:num>
  <w:num w:numId="17">
    <w:abstractNumId w:val="18"/>
  </w:num>
  <w:num w:numId="18">
    <w:abstractNumId w:val="41"/>
  </w:num>
  <w:num w:numId="19">
    <w:abstractNumId w:val="0"/>
  </w:num>
  <w:num w:numId="20">
    <w:abstractNumId w:val="47"/>
  </w:num>
  <w:num w:numId="21">
    <w:abstractNumId w:val="8"/>
  </w:num>
  <w:num w:numId="22">
    <w:abstractNumId w:val="31"/>
  </w:num>
  <w:num w:numId="23">
    <w:abstractNumId w:val="19"/>
  </w:num>
  <w:num w:numId="24">
    <w:abstractNumId w:val="16"/>
  </w:num>
  <w:num w:numId="25">
    <w:abstractNumId w:val="46"/>
  </w:num>
  <w:num w:numId="26">
    <w:abstractNumId w:val="21"/>
  </w:num>
  <w:num w:numId="27">
    <w:abstractNumId w:val="14"/>
  </w:num>
  <w:num w:numId="28">
    <w:abstractNumId w:val="42"/>
  </w:num>
  <w:num w:numId="29">
    <w:abstractNumId w:val="17"/>
  </w:num>
  <w:num w:numId="30">
    <w:abstractNumId w:val="23"/>
  </w:num>
  <w:num w:numId="31">
    <w:abstractNumId w:val="11"/>
  </w:num>
  <w:num w:numId="32">
    <w:abstractNumId w:val="45"/>
  </w:num>
  <w:num w:numId="33">
    <w:abstractNumId w:val="29"/>
  </w:num>
  <w:num w:numId="34">
    <w:abstractNumId w:val="9"/>
  </w:num>
  <w:num w:numId="35">
    <w:abstractNumId w:val="20"/>
  </w:num>
  <w:num w:numId="36">
    <w:abstractNumId w:val="22"/>
  </w:num>
  <w:num w:numId="37">
    <w:abstractNumId w:val="15"/>
  </w:num>
  <w:num w:numId="38">
    <w:abstractNumId w:val="1"/>
  </w:num>
  <w:num w:numId="39">
    <w:abstractNumId w:val="10"/>
  </w:num>
  <w:num w:numId="40">
    <w:abstractNumId w:val="30"/>
  </w:num>
  <w:num w:numId="41">
    <w:abstractNumId w:val="3"/>
  </w:num>
  <w:num w:numId="42">
    <w:abstractNumId w:val="43"/>
  </w:num>
  <w:num w:numId="43">
    <w:abstractNumId w:val="25"/>
  </w:num>
  <w:num w:numId="44">
    <w:abstractNumId w:val="5"/>
  </w:num>
  <w:num w:numId="45">
    <w:abstractNumId w:val="36"/>
  </w:num>
  <w:num w:numId="46">
    <w:abstractNumId w:val="24"/>
  </w:num>
  <w:num w:numId="47">
    <w:abstractNumId w:val="37"/>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2F19"/>
    <w:rsid w:val="00005515"/>
    <w:rsid w:val="00005868"/>
    <w:rsid w:val="0000767A"/>
    <w:rsid w:val="00007BF6"/>
    <w:rsid w:val="00010702"/>
    <w:rsid w:val="0002040C"/>
    <w:rsid w:val="00025165"/>
    <w:rsid w:val="000307D2"/>
    <w:rsid w:val="000353CA"/>
    <w:rsid w:val="0004694F"/>
    <w:rsid w:val="00052153"/>
    <w:rsid w:val="00052D0B"/>
    <w:rsid w:val="00060D56"/>
    <w:rsid w:val="00062320"/>
    <w:rsid w:val="00062EC5"/>
    <w:rsid w:val="0006345C"/>
    <w:rsid w:val="00074403"/>
    <w:rsid w:val="0007543A"/>
    <w:rsid w:val="00083528"/>
    <w:rsid w:val="00087634"/>
    <w:rsid w:val="000915F5"/>
    <w:rsid w:val="00096004"/>
    <w:rsid w:val="000A1183"/>
    <w:rsid w:val="000A2D10"/>
    <w:rsid w:val="000C3408"/>
    <w:rsid w:val="000C547E"/>
    <w:rsid w:val="000D0933"/>
    <w:rsid w:val="000D1765"/>
    <w:rsid w:val="000D21E1"/>
    <w:rsid w:val="000D2433"/>
    <w:rsid w:val="000D3D85"/>
    <w:rsid w:val="000D3E6C"/>
    <w:rsid w:val="000D5E39"/>
    <w:rsid w:val="000E5DE5"/>
    <w:rsid w:val="000F2D17"/>
    <w:rsid w:val="000F6E14"/>
    <w:rsid w:val="0010041E"/>
    <w:rsid w:val="00101535"/>
    <w:rsid w:val="00110E3B"/>
    <w:rsid w:val="001149A1"/>
    <w:rsid w:val="0011701D"/>
    <w:rsid w:val="00121C92"/>
    <w:rsid w:val="00123EF0"/>
    <w:rsid w:val="001319EB"/>
    <w:rsid w:val="00133BA8"/>
    <w:rsid w:val="001351C9"/>
    <w:rsid w:val="001405FA"/>
    <w:rsid w:val="001425C3"/>
    <w:rsid w:val="001466BB"/>
    <w:rsid w:val="00146973"/>
    <w:rsid w:val="00154ED5"/>
    <w:rsid w:val="00157587"/>
    <w:rsid w:val="00162BF0"/>
    <w:rsid w:val="00162D56"/>
    <w:rsid w:val="00163793"/>
    <w:rsid w:val="00164260"/>
    <w:rsid w:val="0016731E"/>
    <w:rsid w:val="001714F2"/>
    <w:rsid w:val="00172311"/>
    <w:rsid w:val="00175160"/>
    <w:rsid w:val="0017745B"/>
    <w:rsid w:val="0017751B"/>
    <w:rsid w:val="00185010"/>
    <w:rsid w:val="0018680D"/>
    <w:rsid w:val="00190B38"/>
    <w:rsid w:val="00193560"/>
    <w:rsid w:val="001A177C"/>
    <w:rsid w:val="001A3B66"/>
    <w:rsid w:val="001A4ACA"/>
    <w:rsid w:val="001A552F"/>
    <w:rsid w:val="001B176A"/>
    <w:rsid w:val="001B3110"/>
    <w:rsid w:val="001B61BC"/>
    <w:rsid w:val="001C1996"/>
    <w:rsid w:val="001C1D52"/>
    <w:rsid w:val="001D189A"/>
    <w:rsid w:val="001E1749"/>
    <w:rsid w:val="001E26B5"/>
    <w:rsid w:val="001E3731"/>
    <w:rsid w:val="001F4597"/>
    <w:rsid w:val="00200B56"/>
    <w:rsid w:val="00201D3A"/>
    <w:rsid w:val="002075A8"/>
    <w:rsid w:val="00207936"/>
    <w:rsid w:val="00210AA5"/>
    <w:rsid w:val="00213704"/>
    <w:rsid w:val="00213C72"/>
    <w:rsid w:val="00214E6F"/>
    <w:rsid w:val="00216072"/>
    <w:rsid w:val="002175EE"/>
    <w:rsid w:val="0022139E"/>
    <w:rsid w:val="00222564"/>
    <w:rsid w:val="00223026"/>
    <w:rsid w:val="00223335"/>
    <w:rsid w:val="002237C6"/>
    <w:rsid w:val="002252E0"/>
    <w:rsid w:val="002255F6"/>
    <w:rsid w:val="00226272"/>
    <w:rsid w:val="00227AA9"/>
    <w:rsid w:val="002339D2"/>
    <w:rsid w:val="00236443"/>
    <w:rsid w:val="0024085E"/>
    <w:rsid w:val="00240B6D"/>
    <w:rsid w:val="002436BA"/>
    <w:rsid w:val="00244A15"/>
    <w:rsid w:val="0024799E"/>
    <w:rsid w:val="00247A40"/>
    <w:rsid w:val="00254100"/>
    <w:rsid w:val="0026319A"/>
    <w:rsid w:val="00264C1E"/>
    <w:rsid w:val="00270041"/>
    <w:rsid w:val="00271AC3"/>
    <w:rsid w:val="00277062"/>
    <w:rsid w:val="00277DC6"/>
    <w:rsid w:val="00281EE4"/>
    <w:rsid w:val="00282A20"/>
    <w:rsid w:val="0028438F"/>
    <w:rsid w:val="00290B98"/>
    <w:rsid w:val="00290F1C"/>
    <w:rsid w:val="002A310D"/>
    <w:rsid w:val="002A795D"/>
    <w:rsid w:val="002B4648"/>
    <w:rsid w:val="002B6C95"/>
    <w:rsid w:val="002B7526"/>
    <w:rsid w:val="002C1EDC"/>
    <w:rsid w:val="002C43BD"/>
    <w:rsid w:val="002D036A"/>
    <w:rsid w:val="002D1024"/>
    <w:rsid w:val="002D246F"/>
    <w:rsid w:val="002D700F"/>
    <w:rsid w:val="002E02A1"/>
    <w:rsid w:val="002E7C59"/>
    <w:rsid w:val="002F59C4"/>
    <w:rsid w:val="00304771"/>
    <w:rsid w:val="00306C5B"/>
    <w:rsid w:val="00313FC3"/>
    <w:rsid w:val="003209D6"/>
    <w:rsid w:val="00320E92"/>
    <w:rsid w:val="00323231"/>
    <w:rsid w:val="00330C8E"/>
    <w:rsid w:val="0034055C"/>
    <w:rsid w:val="00341C9C"/>
    <w:rsid w:val="00341E61"/>
    <w:rsid w:val="00344398"/>
    <w:rsid w:val="003446FE"/>
    <w:rsid w:val="00344A9F"/>
    <w:rsid w:val="003452B6"/>
    <w:rsid w:val="00345347"/>
    <w:rsid w:val="0035195A"/>
    <w:rsid w:val="00352ACB"/>
    <w:rsid w:val="00356E1F"/>
    <w:rsid w:val="003657F3"/>
    <w:rsid w:val="00370B28"/>
    <w:rsid w:val="00375B3D"/>
    <w:rsid w:val="00380B0F"/>
    <w:rsid w:val="00381C1A"/>
    <w:rsid w:val="0038205A"/>
    <w:rsid w:val="00385D98"/>
    <w:rsid w:val="00394B23"/>
    <w:rsid w:val="00396A34"/>
    <w:rsid w:val="00397972"/>
    <w:rsid w:val="003A2B4D"/>
    <w:rsid w:val="003A478C"/>
    <w:rsid w:val="003A5525"/>
    <w:rsid w:val="003A6B38"/>
    <w:rsid w:val="003A7223"/>
    <w:rsid w:val="003B0B06"/>
    <w:rsid w:val="003B34FF"/>
    <w:rsid w:val="003B4169"/>
    <w:rsid w:val="003B5A32"/>
    <w:rsid w:val="003B5B99"/>
    <w:rsid w:val="003C1109"/>
    <w:rsid w:val="003C627D"/>
    <w:rsid w:val="003C6CC2"/>
    <w:rsid w:val="003D5919"/>
    <w:rsid w:val="003E037E"/>
    <w:rsid w:val="003E0671"/>
    <w:rsid w:val="003E76A0"/>
    <w:rsid w:val="003F144E"/>
    <w:rsid w:val="003F174C"/>
    <w:rsid w:val="003F313C"/>
    <w:rsid w:val="004004F4"/>
    <w:rsid w:val="0040155D"/>
    <w:rsid w:val="00403034"/>
    <w:rsid w:val="00403484"/>
    <w:rsid w:val="00406353"/>
    <w:rsid w:val="004117C8"/>
    <w:rsid w:val="00416281"/>
    <w:rsid w:val="00416C0A"/>
    <w:rsid w:val="004236AB"/>
    <w:rsid w:val="004242B2"/>
    <w:rsid w:val="00426A61"/>
    <w:rsid w:val="00437926"/>
    <w:rsid w:val="00437DC6"/>
    <w:rsid w:val="00440519"/>
    <w:rsid w:val="00441783"/>
    <w:rsid w:val="0044625F"/>
    <w:rsid w:val="00452B8C"/>
    <w:rsid w:val="00452EBE"/>
    <w:rsid w:val="00467087"/>
    <w:rsid w:val="00470E57"/>
    <w:rsid w:val="00476265"/>
    <w:rsid w:val="004775D1"/>
    <w:rsid w:val="0048086F"/>
    <w:rsid w:val="00480E40"/>
    <w:rsid w:val="0048139F"/>
    <w:rsid w:val="004859A8"/>
    <w:rsid w:val="004868D6"/>
    <w:rsid w:val="004A081C"/>
    <w:rsid w:val="004A44A2"/>
    <w:rsid w:val="004A77DF"/>
    <w:rsid w:val="004B2C1E"/>
    <w:rsid w:val="004B55B7"/>
    <w:rsid w:val="004B7591"/>
    <w:rsid w:val="004C3867"/>
    <w:rsid w:val="004C4ABE"/>
    <w:rsid w:val="004C4CD0"/>
    <w:rsid w:val="004C70DC"/>
    <w:rsid w:val="004D0211"/>
    <w:rsid w:val="004D5E24"/>
    <w:rsid w:val="004E1007"/>
    <w:rsid w:val="004E3E1A"/>
    <w:rsid w:val="004F06F5"/>
    <w:rsid w:val="004F0E28"/>
    <w:rsid w:val="004F209C"/>
    <w:rsid w:val="004F78C3"/>
    <w:rsid w:val="00501EFA"/>
    <w:rsid w:val="005108C0"/>
    <w:rsid w:val="00511873"/>
    <w:rsid w:val="00513B7E"/>
    <w:rsid w:val="00514041"/>
    <w:rsid w:val="0051478D"/>
    <w:rsid w:val="005151FB"/>
    <w:rsid w:val="00520DCA"/>
    <w:rsid w:val="005221B3"/>
    <w:rsid w:val="0052495E"/>
    <w:rsid w:val="00525137"/>
    <w:rsid w:val="005251DD"/>
    <w:rsid w:val="00527720"/>
    <w:rsid w:val="00531985"/>
    <w:rsid w:val="00532D7D"/>
    <w:rsid w:val="005376AD"/>
    <w:rsid w:val="005376E3"/>
    <w:rsid w:val="00542E84"/>
    <w:rsid w:val="00544082"/>
    <w:rsid w:val="00550483"/>
    <w:rsid w:val="00550FE5"/>
    <w:rsid w:val="005513E1"/>
    <w:rsid w:val="00551573"/>
    <w:rsid w:val="00557A96"/>
    <w:rsid w:val="00561D72"/>
    <w:rsid w:val="00572C92"/>
    <w:rsid w:val="00583FFD"/>
    <w:rsid w:val="0058445D"/>
    <w:rsid w:val="00586971"/>
    <w:rsid w:val="00591143"/>
    <w:rsid w:val="00593152"/>
    <w:rsid w:val="00593E87"/>
    <w:rsid w:val="005956E7"/>
    <w:rsid w:val="005A21E0"/>
    <w:rsid w:val="005A54EB"/>
    <w:rsid w:val="005A7305"/>
    <w:rsid w:val="005A7316"/>
    <w:rsid w:val="005B20AA"/>
    <w:rsid w:val="005B2486"/>
    <w:rsid w:val="005C04E2"/>
    <w:rsid w:val="005C2045"/>
    <w:rsid w:val="005D1BF3"/>
    <w:rsid w:val="005D514D"/>
    <w:rsid w:val="005D5495"/>
    <w:rsid w:val="005D5802"/>
    <w:rsid w:val="005E0178"/>
    <w:rsid w:val="005E1DD5"/>
    <w:rsid w:val="005E316C"/>
    <w:rsid w:val="005E5711"/>
    <w:rsid w:val="005E73F3"/>
    <w:rsid w:val="005F153A"/>
    <w:rsid w:val="005F2EE2"/>
    <w:rsid w:val="006016D1"/>
    <w:rsid w:val="00602EF3"/>
    <w:rsid w:val="00604307"/>
    <w:rsid w:val="0060487F"/>
    <w:rsid w:val="006067DA"/>
    <w:rsid w:val="00606B1B"/>
    <w:rsid w:val="0061689B"/>
    <w:rsid w:val="00624093"/>
    <w:rsid w:val="00625E0F"/>
    <w:rsid w:val="00633AEB"/>
    <w:rsid w:val="00633F6D"/>
    <w:rsid w:val="006352A8"/>
    <w:rsid w:val="00635866"/>
    <w:rsid w:val="00635B35"/>
    <w:rsid w:val="00635FC7"/>
    <w:rsid w:val="006366C8"/>
    <w:rsid w:val="006374C2"/>
    <w:rsid w:val="006404A7"/>
    <w:rsid w:val="00640637"/>
    <w:rsid w:val="006419F8"/>
    <w:rsid w:val="006451E4"/>
    <w:rsid w:val="00645EF8"/>
    <w:rsid w:val="006472BA"/>
    <w:rsid w:val="006523BB"/>
    <w:rsid w:val="00653860"/>
    <w:rsid w:val="00655906"/>
    <w:rsid w:val="0065667A"/>
    <w:rsid w:val="00657E87"/>
    <w:rsid w:val="006710C9"/>
    <w:rsid w:val="00674BA1"/>
    <w:rsid w:val="00675DD1"/>
    <w:rsid w:val="00675E37"/>
    <w:rsid w:val="00677696"/>
    <w:rsid w:val="0068260E"/>
    <w:rsid w:val="0069246C"/>
    <w:rsid w:val="006941CE"/>
    <w:rsid w:val="00695BEF"/>
    <w:rsid w:val="00696417"/>
    <w:rsid w:val="00697219"/>
    <w:rsid w:val="006977F6"/>
    <w:rsid w:val="00697A13"/>
    <w:rsid w:val="00697C9B"/>
    <w:rsid w:val="006A109C"/>
    <w:rsid w:val="006A31C8"/>
    <w:rsid w:val="006A420D"/>
    <w:rsid w:val="006A4247"/>
    <w:rsid w:val="006A429F"/>
    <w:rsid w:val="006B1874"/>
    <w:rsid w:val="006B7581"/>
    <w:rsid w:val="006B78D8"/>
    <w:rsid w:val="006C0C43"/>
    <w:rsid w:val="006C113F"/>
    <w:rsid w:val="006C47BD"/>
    <w:rsid w:val="006D211A"/>
    <w:rsid w:val="006D3ACC"/>
    <w:rsid w:val="006D61F6"/>
    <w:rsid w:val="006D640E"/>
    <w:rsid w:val="006E09D5"/>
    <w:rsid w:val="006E1FDB"/>
    <w:rsid w:val="006E279A"/>
    <w:rsid w:val="006E313B"/>
    <w:rsid w:val="006E5DFC"/>
    <w:rsid w:val="006E71FE"/>
    <w:rsid w:val="007051F5"/>
    <w:rsid w:val="00705AF6"/>
    <w:rsid w:val="0070676A"/>
    <w:rsid w:val="00711D97"/>
    <w:rsid w:val="007211F5"/>
    <w:rsid w:val="007271FD"/>
    <w:rsid w:val="00730AE8"/>
    <w:rsid w:val="00736D17"/>
    <w:rsid w:val="0073795D"/>
    <w:rsid w:val="00741493"/>
    <w:rsid w:val="00746E1B"/>
    <w:rsid w:val="0074736D"/>
    <w:rsid w:val="00747BB9"/>
    <w:rsid w:val="00750951"/>
    <w:rsid w:val="00752180"/>
    <w:rsid w:val="00755D3A"/>
    <w:rsid w:val="007572C9"/>
    <w:rsid w:val="0075757C"/>
    <w:rsid w:val="007609C6"/>
    <w:rsid w:val="00760D36"/>
    <w:rsid w:val="00761C28"/>
    <w:rsid w:val="007632B9"/>
    <w:rsid w:val="0077264D"/>
    <w:rsid w:val="00774CA3"/>
    <w:rsid w:val="00776527"/>
    <w:rsid w:val="00777353"/>
    <w:rsid w:val="00784861"/>
    <w:rsid w:val="007949E3"/>
    <w:rsid w:val="007A01BD"/>
    <w:rsid w:val="007A4E4E"/>
    <w:rsid w:val="007A68E8"/>
    <w:rsid w:val="007A7B9B"/>
    <w:rsid w:val="007B47EE"/>
    <w:rsid w:val="007B60D9"/>
    <w:rsid w:val="007C01B3"/>
    <w:rsid w:val="007C740E"/>
    <w:rsid w:val="007D3A47"/>
    <w:rsid w:val="007D6E98"/>
    <w:rsid w:val="007E0D3A"/>
    <w:rsid w:val="007E12CE"/>
    <w:rsid w:val="007E7E61"/>
    <w:rsid w:val="007F3932"/>
    <w:rsid w:val="007F4A5E"/>
    <w:rsid w:val="007F6B36"/>
    <w:rsid w:val="00802A57"/>
    <w:rsid w:val="00814887"/>
    <w:rsid w:val="00814A8E"/>
    <w:rsid w:val="008207EF"/>
    <w:rsid w:val="00821FF6"/>
    <w:rsid w:val="00830E10"/>
    <w:rsid w:val="0083143E"/>
    <w:rsid w:val="00831D41"/>
    <w:rsid w:val="00834FAA"/>
    <w:rsid w:val="0083596D"/>
    <w:rsid w:val="00836086"/>
    <w:rsid w:val="00836B26"/>
    <w:rsid w:val="0084681E"/>
    <w:rsid w:val="00853E06"/>
    <w:rsid w:val="0085489F"/>
    <w:rsid w:val="00855FB6"/>
    <w:rsid w:val="00857578"/>
    <w:rsid w:val="0086041E"/>
    <w:rsid w:val="008605E5"/>
    <w:rsid w:val="00860953"/>
    <w:rsid w:val="008620CA"/>
    <w:rsid w:val="00863FDA"/>
    <w:rsid w:val="0087055B"/>
    <w:rsid w:val="00876086"/>
    <w:rsid w:val="0088462E"/>
    <w:rsid w:val="008877B0"/>
    <w:rsid w:val="008B0974"/>
    <w:rsid w:val="008B309A"/>
    <w:rsid w:val="008B5772"/>
    <w:rsid w:val="008B7C02"/>
    <w:rsid w:val="008C0E88"/>
    <w:rsid w:val="008C1793"/>
    <w:rsid w:val="008D1923"/>
    <w:rsid w:val="008D2A16"/>
    <w:rsid w:val="008D7DD3"/>
    <w:rsid w:val="008E31FF"/>
    <w:rsid w:val="008E401B"/>
    <w:rsid w:val="008E41B4"/>
    <w:rsid w:val="008E54ED"/>
    <w:rsid w:val="008F60FD"/>
    <w:rsid w:val="009003A8"/>
    <w:rsid w:val="00901E8E"/>
    <w:rsid w:val="009020FE"/>
    <w:rsid w:val="00902EFF"/>
    <w:rsid w:val="0090382A"/>
    <w:rsid w:val="00903ADB"/>
    <w:rsid w:val="00917F10"/>
    <w:rsid w:val="00921F14"/>
    <w:rsid w:val="009233F1"/>
    <w:rsid w:val="009248E3"/>
    <w:rsid w:val="00930D23"/>
    <w:rsid w:val="00930E84"/>
    <w:rsid w:val="00931794"/>
    <w:rsid w:val="0094427A"/>
    <w:rsid w:val="00944C2F"/>
    <w:rsid w:val="00944EA6"/>
    <w:rsid w:val="009552B1"/>
    <w:rsid w:val="00957CD1"/>
    <w:rsid w:val="0096414A"/>
    <w:rsid w:val="00972CA2"/>
    <w:rsid w:val="00973454"/>
    <w:rsid w:val="00974923"/>
    <w:rsid w:val="0098715D"/>
    <w:rsid w:val="00991A9E"/>
    <w:rsid w:val="0099411B"/>
    <w:rsid w:val="009A0CC8"/>
    <w:rsid w:val="009A23E5"/>
    <w:rsid w:val="009A76CB"/>
    <w:rsid w:val="009B35D8"/>
    <w:rsid w:val="009B6FD3"/>
    <w:rsid w:val="009C00F3"/>
    <w:rsid w:val="009C3912"/>
    <w:rsid w:val="009C7B08"/>
    <w:rsid w:val="009D15E0"/>
    <w:rsid w:val="009D2120"/>
    <w:rsid w:val="009D307C"/>
    <w:rsid w:val="009D7138"/>
    <w:rsid w:val="009E14B5"/>
    <w:rsid w:val="009E3131"/>
    <w:rsid w:val="009E3D07"/>
    <w:rsid w:val="009E5300"/>
    <w:rsid w:val="009E5C6B"/>
    <w:rsid w:val="009F30E4"/>
    <w:rsid w:val="009F4437"/>
    <w:rsid w:val="00A00BE4"/>
    <w:rsid w:val="00A0275E"/>
    <w:rsid w:val="00A074EF"/>
    <w:rsid w:val="00A077BC"/>
    <w:rsid w:val="00A10D66"/>
    <w:rsid w:val="00A11757"/>
    <w:rsid w:val="00A15646"/>
    <w:rsid w:val="00A1636E"/>
    <w:rsid w:val="00A202A7"/>
    <w:rsid w:val="00A204CF"/>
    <w:rsid w:val="00A219A9"/>
    <w:rsid w:val="00A2383F"/>
    <w:rsid w:val="00A23E43"/>
    <w:rsid w:val="00A33EFD"/>
    <w:rsid w:val="00A34DA0"/>
    <w:rsid w:val="00A35033"/>
    <w:rsid w:val="00A460B2"/>
    <w:rsid w:val="00A4618B"/>
    <w:rsid w:val="00A46DE0"/>
    <w:rsid w:val="00A475AC"/>
    <w:rsid w:val="00A5222D"/>
    <w:rsid w:val="00A52B44"/>
    <w:rsid w:val="00A52EC2"/>
    <w:rsid w:val="00A5555E"/>
    <w:rsid w:val="00A55FDE"/>
    <w:rsid w:val="00A57446"/>
    <w:rsid w:val="00A62CE1"/>
    <w:rsid w:val="00A75E40"/>
    <w:rsid w:val="00A84BAF"/>
    <w:rsid w:val="00A857C0"/>
    <w:rsid w:val="00A90201"/>
    <w:rsid w:val="00A902A5"/>
    <w:rsid w:val="00A91F5C"/>
    <w:rsid w:val="00A94AB5"/>
    <w:rsid w:val="00A953D4"/>
    <w:rsid w:val="00AA0168"/>
    <w:rsid w:val="00AA1967"/>
    <w:rsid w:val="00AA315F"/>
    <w:rsid w:val="00AA3BA1"/>
    <w:rsid w:val="00AA559A"/>
    <w:rsid w:val="00AB2AF1"/>
    <w:rsid w:val="00AB3CE2"/>
    <w:rsid w:val="00AB64E8"/>
    <w:rsid w:val="00AC1752"/>
    <w:rsid w:val="00AC4A24"/>
    <w:rsid w:val="00AD239A"/>
    <w:rsid w:val="00AD306C"/>
    <w:rsid w:val="00AD4FBF"/>
    <w:rsid w:val="00AD5913"/>
    <w:rsid w:val="00AE33C2"/>
    <w:rsid w:val="00AE6C8E"/>
    <w:rsid w:val="00AF25EE"/>
    <w:rsid w:val="00B01CAD"/>
    <w:rsid w:val="00B17C49"/>
    <w:rsid w:val="00B17E71"/>
    <w:rsid w:val="00B17FDE"/>
    <w:rsid w:val="00B2098B"/>
    <w:rsid w:val="00B32BCC"/>
    <w:rsid w:val="00B32DDB"/>
    <w:rsid w:val="00B36A65"/>
    <w:rsid w:val="00B372C8"/>
    <w:rsid w:val="00B40A03"/>
    <w:rsid w:val="00B40CFB"/>
    <w:rsid w:val="00B44676"/>
    <w:rsid w:val="00B448FC"/>
    <w:rsid w:val="00B46099"/>
    <w:rsid w:val="00B4643E"/>
    <w:rsid w:val="00B513EB"/>
    <w:rsid w:val="00B551E6"/>
    <w:rsid w:val="00B63AFC"/>
    <w:rsid w:val="00B63BD5"/>
    <w:rsid w:val="00B6608F"/>
    <w:rsid w:val="00B76CB5"/>
    <w:rsid w:val="00B76D1E"/>
    <w:rsid w:val="00B801AF"/>
    <w:rsid w:val="00B80EDA"/>
    <w:rsid w:val="00B81475"/>
    <w:rsid w:val="00B85CB1"/>
    <w:rsid w:val="00B90EFA"/>
    <w:rsid w:val="00B95940"/>
    <w:rsid w:val="00B97BEC"/>
    <w:rsid w:val="00BA0E5F"/>
    <w:rsid w:val="00BA493B"/>
    <w:rsid w:val="00BA4D62"/>
    <w:rsid w:val="00BB0015"/>
    <w:rsid w:val="00BB10A9"/>
    <w:rsid w:val="00BB5FF0"/>
    <w:rsid w:val="00BC2F06"/>
    <w:rsid w:val="00BC3543"/>
    <w:rsid w:val="00BC39BB"/>
    <w:rsid w:val="00BC5568"/>
    <w:rsid w:val="00BC66E8"/>
    <w:rsid w:val="00BD2BDC"/>
    <w:rsid w:val="00BD366B"/>
    <w:rsid w:val="00BD3FB1"/>
    <w:rsid w:val="00BD6D50"/>
    <w:rsid w:val="00BD7706"/>
    <w:rsid w:val="00BE23F8"/>
    <w:rsid w:val="00BF011D"/>
    <w:rsid w:val="00BF0BA2"/>
    <w:rsid w:val="00BF26C4"/>
    <w:rsid w:val="00C01506"/>
    <w:rsid w:val="00C107E7"/>
    <w:rsid w:val="00C12A82"/>
    <w:rsid w:val="00C148E2"/>
    <w:rsid w:val="00C21F94"/>
    <w:rsid w:val="00C22FC8"/>
    <w:rsid w:val="00C274E0"/>
    <w:rsid w:val="00C3177E"/>
    <w:rsid w:val="00C36AC9"/>
    <w:rsid w:val="00C41EFF"/>
    <w:rsid w:val="00C41FBD"/>
    <w:rsid w:val="00C45E27"/>
    <w:rsid w:val="00C47265"/>
    <w:rsid w:val="00C51E92"/>
    <w:rsid w:val="00C54836"/>
    <w:rsid w:val="00C556F4"/>
    <w:rsid w:val="00C64B75"/>
    <w:rsid w:val="00C65198"/>
    <w:rsid w:val="00C6634F"/>
    <w:rsid w:val="00C728E0"/>
    <w:rsid w:val="00C8098B"/>
    <w:rsid w:val="00C80F44"/>
    <w:rsid w:val="00C85E96"/>
    <w:rsid w:val="00C901F9"/>
    <w:rsid w:val="00C90CF4"/>
    <w:rsid w:val="00C91D7C"/>
    <w:rsid w:val="00C92654"/>
    <w:rsid w:val="00C93389"/>
    <w:rsid w:val="00C93C0D"/>
    <w:rsid w:val="00C97E34"/>
    <w:rsid w:val="00CA0463"/>
    <w:rsid w:val="00CA24C7"/>
    <w:rsid w:val="00CA5A12"/>
    <w:rsid w:val="00CB05DF"/>
    <w:rsid w:val="00CB7349"/>
    <w:rsid w:val="00CC14C1"/>
    <w:rsid w:val="00CC1931"/>
    <w:rsid w:val="00CC1CC4"/>
    <w:rsid w:val="00CC2E9C"/>
    <w:rsid w:val="00CC475C"/>
    <w:rsid w:val="00CC6A28"/>
    <w:rsid w:val="00CD288B"/>
    <w:rsid w:val="00CE26E9"/>
    <w:rsid w:val="00CE3173"/>
    <w:rsid w:val="00CE45A3"/>
    <w:rsid w:val="00CE6149"/>
    <w:rsid w:val="00CF26A8"/>
    <w:rsid w:val="00CF3148"/>
    <w:rsid w:val="00CF51EC"/>
    <w:rsid w:val="00D03353"/>
    <w:rsid w:val="00D03693"/>
    <w:rsid w:val="00D040DD"/>
    <w:rsid w:val="00D10241"/>
    <w:rsid w:val="00D10A68"/>
    <w:rsid w:val="00D15A3E"/>
    <w:rsid w:val="00D16F21"/>
    <w:rsid w:val="00D30233"/>
    <w:rsid w:val="00D31387"/>
    <w:rsid w:val="00D32AAF"/>
    <w:rsid w:val="00D347C8"/>
    <w:rsid w:val="00D3681A"/>
    <w:rsid w:val="00D41CE2"/>
    <w:rsid w:val="00D51522"/>
    <w:rsid w:val="00D516DE"/>
    <w:rsid w:val="00D51805"/>
    <w:rsid w:val="00D56ADA"/>
    <w:rsid w:val="00D602CE"/>
    <w:rsid w:val="00D60433"/>
    <w:rsid w:val="00D615CD"/>
    <w:rsid w:val="00D61A47"/>
    <w:rsid w:val="00D67975"/>
    <w:rsid w:val="00D709E7"/>
    <w:rsid w:val="00D719DF"/>
    <w:rsid w:val="00D7363A"/>
    <w:rsid w:val="00D76ECF"/>
    <w:rsid w:val="00D842D3"/>
    <w:rsid w:val="00D849E3"/>
    <w:rsid w:val="00D85D2F"/>
    <w:rsid w:val="00DA2A27"/>
    <w:rsid w:val="00DA3AAF"/>
    <w:rsid w:val="00DA45FF"/>
    <w:rsid w:val="00DA5852"/>
    <w:rsid w:val="00DA5900"/>
    <w:rsid w:val="00DB210A"/>
    <w:rsid w:val="00DB4F3B"/>
    <w:rsid w:val="00DB5AED"/>
    <w:rsid w:val="00DC2E00"/>
    <w:rsid w:val="00DC5B3B"/>
    <w:rsid w:val="00DD0AC7"/>
    <w:rsid w:val="00DD39C0"/>
    <w:rsid w:val="00DE2D8F"/>
    <w:rsid w:val="00DE3724"/>
    <w:rsid w:val="00DE4F15"/>
    <w:rsid w:val="00DE6B5D"/>
    <w:rsid w:val="00DE6F11"/>
    <w:rsid w:val="00DF00E1"/>
    <w:rsid w:val="00DF1554"/>
    <w:rsid w:val="00DF1593"/>
    <w:rsid w:val="00DF4DBA"/>
    <w:rsid w:val="00DF5641"/>
    <w:rsid w:val="00E01C0E"/>
    <w:rsid w:val="00E03893"/>
    <w:rsid w:val="00E04694"/>
    <w:rsid w:val="00E069D1"/>
    <w:rsid w:val="00E17090"/>
    <w:rsid w:val="00E1763E"/>
    <w:rsid w:val="00E22935"/>
    <w:rsid w:val="00E23CFF"/>
    <w:rsid w:val="00E263D4"/>
    <w:rsid w:val="00E2712D"/>
    <w:rsid w:val="00E40102"/>
    <w:rsid w:val="00E42B4D"/>
    <w:rsid w:val="00E438DF"/>
    <w:rsid w:val="00E471F8"/>
    <w:rsid w:val="00E5040E"/>
    <w:rsid w:val="00E55504"/>
    <w:rsid w:val="00E578A9"/>
    <w:rsid w:val="00E63EC2"/>
    <w:rsid w:val="00E644C5"/>
    <w:rsid w:val="00E65D1A"/>
    <w:rsid w:val="00E663CD"/>
    <w:rsid w:val="00E71A58"/>
    <w:rsid w:val="00E75DA1"/>
    <w:rsid w:val="00E81B7C"/>
    <w:rsid w:val="00E8493B"/>
    <w:rsid w:val="00E90C72"/>
    <w:rsid w:val="00E93764"/>
    <w:rsid w:val="00E959FC"/>
    <w:rsid w:val="00E97C6C"/>
    <w:rsid w:val="00EA0C68"/>
    <w:rsid w:val="00EA29F0"/>
    <w:rsid w:val="00EB3661"/>
    <w:rsid w:val="00EB7DA1"/>
    <w:rsid w:val="00EC4EA6"/>
    <w:rsid w:val="00EC6E8A"/>
    <w:rsid w:val="00ED286F"/>
    <w:rsid w:val="00EE1E7F"/>
    <w:rsid w:val="00EE39DC"/>
    <w:rsid w:val="00EE3E78"/>
    <w:rsid w:val="00EE5A6E"/>
    <w:rsid w:val="00EF1AEF"/>
    <w:rsid w:val="00EF1F5A"/>
    <w:rsid w:val="00EF3E4D"/>
    <w:rsid w:val="00EF4D97"/>
    <w:rsid w:val="00EF5416"/>
    <w:rsid w:val="00F014FF"/>
    <w:rsid w:val="00F02F8E"/>
    <w:rsid w:val="00F0328F"/>
    <w:rsid w:val="00F03967"/>
    <w:rsid w:val="00F04811"/>
    <w:rsid w:val="00F0488C"/>
    <w:rsid w:val="00F12246"/>
    <w:rsid w:val="00F127ED"/>
    <w:rsid w:val="00F15BEF"/>
    <w:rsid w:val="00F24FAA"/>
    <w:rsid w:val="00F3364D"/>
    <w:rsid w:val="00F41C6D"/>
    <w:rsid w:val="00F42351"/>
    <w:rsid w:val="00F45E8A"/>
    <w:rsid w:val="00F53404"/>
    <w:rsid w:val="00F5536C"/>
    <w:rsid w:val="00F6371C"/>
    <w:rsid w:val="00F63DDE"/>
    <w:rsid w:val="00F63FB7"/>
    <w:rsid w:val="00F6458A"/>
    <w:rsid w:val="00F67236"/>
    <w:rsid w:val="00F70B9D"/>
    <w:rsid w:val="00F71B42"/>
    <w:rsid w:val="00F725A0"/>
    <w:rsid w:val="00F73A0C"/>
    <w:rsid w:val="00F77FB0"/>
    <w:rsid w:val="00F85872"/>
    <w:rsid w:val="00F954C5"/>
    <w:rsid w:val="00F95636"/>
    <w:rsid w:val="00FA499A"/>
    <w:rsid w:val="00FB007E"/>
    <w:rsid w:val="00FB2302"/>
    <w:rsid w:val="00FC0B39"/>
    <w:rsid w:val="00FC0C8F"/>
    <w:rsid w:val="00FC0E5F"/>
    <w:rsid w:val="00FC12FB"/>
    <w:rsid w:val="00FC1CDE"/>
    <w:rsid w:val="00FC56DE"/>
    <w:rsid w:val="00FD0311"/>
    <w:rsid w:val="00FD0F42"/>
    <w:rsid w:val="00FD497D"/>
    <w:rsid w:val="00FD730E"/>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64866142">
      <w:bodyDiv w:val="1"/>
      <w:marLeft w:val="60"/>
      <w:marRight w:val="60"/>
      <w:marTop w:val="60"/>
      <w:marBottom w:val="15"/>
      <w:divBdr>
        <w:top w:val="none" w:sz="0" w:space="0" w:color="auto"/>
        <w:left w:val="none" w:sz="0" w:space="0" w:color="auto"/>
        <w:bottom w:val="none" w:sz="0" w:space="0" w:color="auto"/>
        <w:right w:val="none" w:sz="0" w:space="0" w:color="auto"/>
      </w:divBdr>
      <w:divsChild>
        <w:div w:id="1891261821">
          <w:marLeft w:val="0"/>
          <w:marRight w:val="0"/>
          <w:marTop w:val="0"/>
          <w:marBottom w:val="0"/>
          <w:divBdr>
            <w:top w:val="none" w:sz="0" w:space="0" w:color="auto"/>
            <w:left w:val="none" w:sz="0" w:space="0" w:color="auto"/>
            <w:bottom w:val="none" w:sz="0" w:space="0" w:color="auto"/>
            <w:right w:val="none" w:sz="0" w:space="0" w:color="auto"/>
          </w:divBdr>
          <w:divsChild>
            <w:div w:id="794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822910">
      <w:bodyDiv w:val="1"/>
      <w:marLeft w:val="0"/>
      <w:marRight w:val="0"/>
      <w:marTop w:val="0"/>
      <w:marBottom w:val="0"/>
      <w:divBdr>
        <w:top w:val="none" w:sz="0" w:space="0" w:color="auto"/>
        <w:left w:val="none" w:sz="0" w:space="0" w:color="auto"/>
        <w:bottom w:val="none" w:sz="0" w:space="0" w:color="auto"/>
        <w:right w:val="none" w:sz="0" w:space="0" w:color="auto"/>
      </w:divBdr>
    </w:div>
    <w:div w:id="889415061">
      <w:bodyDiv w:val="1"/>
      <w:marLeft w:val="0"/>
      <w:marRight w:val="0"/>
      <w:marTop w:val="0"/>
      <w:marBottom w:val="0"/>
      <w:divBdr>
        <w:top w:val="none" w:sz="0" w:space="0" w:color="auto"/>
        <w:left w:val="none" w:sz="0" w:space="0" w:color="auto"/>
        <w:bottom w:val="none" w:sz="0" w:space="0" w:color="auto"/>
        <w:right w:val="none" w:sz="0" w:space="0" w:color="auto"/>
      </w:divBdr>
    </w:div>
    <w:div w:id="915171869">
      <w:bodyDiv w:val="1"/>
      <w:marLeft w:val="0"/>
      <w:marRight w:val="0"/>
      <w:marTop w:val="0"/>
      <w:marBottom w:val="0"/>
      <w:divBdr>
        <w:top w:val="none" w:sz="0" w:space="0" w:color="auto"/>
        <w:left w:val="none" w:sz="0" w:space="0" w:color="auto"/>
        <w:bottom w:val="none" w:sz="0" w:space="0" w:color="auto"/>
        <w:right w:val="none" w:sz="0" w:space="0" w:color="auto"/>
      </w:divBdr>
    </w:div>
    <w:div w:id="1162425717">
      <w:bodyDiv w:val="1"/>
      <w:marLeft w:val="0"/>
      <w:marRight w:val="0"/>
      <w:marTop w:val="0"/>
      <w:marBottom w:val="0"/>
      <w:divBdr>
        <w:top w:val="none" w:sz="0" w:space="0" w:color="auto"/>
        <w:left w:val="none" w:sz="0" w:space="0" w:color="auto"/>
        <w:bottom w:val="none" w:sz="0" w:space="0" w:color="auto"/>
        <w:right w:val="none" w:sz="0" w:space="0" w:color="auto"/>
      </w:divBdr>
    </w:div>
    <w:div w:id="128079852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79514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55724239">
      <w:bodyDiv w:val="1"/>
      <w:marLeft w:val="0"/>
      <w:marRight w:val="0"/>
      <w:marTop w:val="0"/>
      <w:marBottom w:val="0"/>
      <w:divBdr>
        <w:top w:val="none" w:sz="0" w:space="0" w:color="auto"/>
        <w:left w:val="none" w:sz="0" w:space="0" w:color="auto"/>
        <w:bottom w:val="none" w:sz="0" w:space="0" w:color="auto"/>
        <w:right w:val="none" w:sz="0" w:space="0" w:color="auto"/>
      </w:divBdr>
    </w:div>
    <w:div w:id="20510291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8FC3-64F0-40B0-9758-C9780CD9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408</TotalTime>
  <Pages>2</Pages>
  <Words>1067</Words>
  <Characters>6299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33</cp:revision>
  <cp:lastPrinted>2018-06-06T04:58:00Z</cp:lastPrinted>
  <dcterms:created xsi:type="dcterms:W3CDTF">2019-02-11T15:12:00Z</dcterms:created>
  <dcterms:modified xsi:type="dcterms:W3CDTF">2020-02-17T14:06:00Z</dcterms:modified>
</cp:coreProperties>
</file>