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8982" w14:textId="3AF3222A" w:rsidR="001F7008" w:rsidRDefault="001F7008" w:rsidP="002D23AB">
      <w:pPr>
        <w:spacing w:after="0" w:line="240" w:lineRule="auto"/>
      </w:pPr>
      <w:bookmarkStart w:id="0" w:name="_Toc444112494"/>
    </w:p>
    <w:p w14:paraId="1C72731C" w14:textId="77777777" w:rsidR="007D3BFE" w:rsidRDefault="007D3BFE" w:rsidP="002D23AB">
      <w:pPr>
        <w:spacing w:after="0" w:line="240" w:lineRule="auto"/>
      </w:pPr>
    </w:p>
    <w:p w14:paraId="2B095868" w14:textId="21C2D2BA" w:rsidR="00E75E92" w:rsidRPr="002D23AB" w:rsidRDefault="00D80035" w:rsidP="00E75E92">
      <w:pPr>
        <w:spacing w:after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Školy a školská zařízení 2022/23</w:t>
      </w:r>
    </w:p>
    <w:p w14:paraId="7352F77D" w14:textId="52A0BB4F" w:rsidR="002D23AB" w:rsidRDefault="002D23AB" w:rsidP="002D23AB">
      <w:pPr>
        <w:spacing w:after="0"/>
        <w:jc w:val="center"/>
        <w:rPr>
          <w:b/>
          <w:color w:val="C00000"/>
          <w:sz w:val="40"/>
          <w:szCs w:val="40"/>
        </w:rPr>
      </w:pPr>
      <w:r w:rsidRPr="002D23AB">
        <w:rPr>
          <w:b/>
          <w:color w:val="C00000"/>
          <w:sz w:val="40"/>
          <w:szCs w:val="40"/>
        </w:rPr>
        <w:t>Analytická část</w:t>
      </w:r>
    </w:p>
    <w:p w14:paraId="7B3EA3CE" w14:textId="77777777" w:rsidR="00660E9F" w:rsidRDefault="00660E9F" w:rsidP="002D23AB">
      <w:pPr>
        <w:spacing w:after="0"/>
        <w:jc w:val="center"/>
        <w:rPr>
          <w:b/>
          <w:color w:val="C00000"/>
          <w:sz w:val="40"/>
          <w:szCs w:val="40"/>
        </w:rPr>
      </w:pPr>
    </w:p>
    <w:p w14:paraId="0FDDBC43" w14:textId="1F3CF836" w:rsidR="00660E9F" w:rsidRDefault="00660E9F" w:rsidP="00660E9F">
      <w:pPr>
        <w:pStyle w:val="Nadpis1"/>
        <w:jc w:val="center"/>
        <w:rPr>
          <w:rFonts w:eastAsia="Times New Roman"/>
          <w:bCs w:val="0"/>
          <w:sz w:val="40"/>
          <w:szCs w:val="40"/>
        </w:rPr>
      </w:pPr>
      <w:bookmarkStart w:id="1" w:name="_Toc142467880"/>
      <w:r w:rsidRPr="00660E9F">
        <w:rPr>
          <w:rFonts w:eastAsia="Times New Roman"/>
          <w:bCs w:val="0"/>
          <w:sz w:val="40"/>
          <w:szCs w:val="40"/>
        </w:rPr>
        <w:t>4. Konzervatoře</w:t>
      </w:r>
      <w:bookmarkEnd w:id="1"/>
    </w:p>
    <w:p w14:paraId="010B0231" w14:textId="76E18D81" w:rsidR="00660E9F" w:rsidRDefault="00660E9F" w:rsidP="00660E9F"/>
    <w:p w14:paraId="45FE7D95" w14:textId="77777777" w:rsidR="00660E9F" w:rsidRPr="00660E9F" w:rsidRDefault="00660E9F" w:rsidP="00660E9F"/>
    <w:p w14:paraId="19BAA5B5" w14:textId="6338ABEB" w:rsidR="00AB1DD2" w:rsidRDefault="00AB1DD2" w:rsidP="00AB1DD2">
      <w:pPr>
        <w:pStyle w:val="Nadpis2"/>
        <w:spacing w:after="120"/>
      </w:pPr>
      <w:bookmarkStart w:id="2" w:name="_Toc142467882"/>
      <w:bookmarkEnd w:id="0"/>
      <w:r>
        <w:t>Shrnutí</w:t>
      </w:r>
      <w:bookmarkEnd w:id="2"/>
    </w:p>
    <w:p w14:paraId="37766B3E" w14:textId="0A00C04E" w:rsidR="00AB1DD2" w:rsidRDefault="00AB1DD2" w:rsidP="00AB1DD2">
      <w:pPr>
        <w:spacing w:after="120"/>
        <w:jc w:val="both"/>
      </w:pPr>
      <w:r w:rsidRPr="00480EDD">
        <w:rPr>
          <w:rFonts w:cs="Arial"/>
          <w:szCs w:val="20"/>
        </w:rPr>
        <w:t xml:space="preserve">V konzervatořích se ve školním roce 2022/23 vzdělávalo celkem </w:t>
      </w:r>
      <w:r w:rsidRPr="00AB1DD2">
        <w:rPr>
          <w:rFonts w:cs="Arial"/>
          <w:b/>
          <w:szCs w:val="20"/>
        </w:rPr>
        <w:t>3 837 žáků</w:t>
      </w:r>
      <w:r>
        <w:rPr>
          <w:rFonts w:cs="Arial"/>
          <w:szCs w:val="20"/>
        </w:rPr>
        <w:t>, a sice na 18 školách</w:t>
      </w:r>
      <w:r w:rsidRPr="00480EDD">
        <w:rPr>
          <w:rFonts w:cs="Arial"/>
          <w:szCs w:val="20"/>
        </w:rPr>
        <w:t>. Téměř čtyři pětiny žáků se vzdělávaly ve školách veřejného zřizovatele (79,1 %), zbytek ve školách soukromýc</w:t>
      </w:r>
      <w:r w:rsidR="00742A80">
        <w:rPr>
          <w:rFonts w:cs="Arial"/>
          <w:szCs w:val="20"/>
        </w:rPr>
        <w:t>h (14,9 %) a církevních (6,0 %).</w:t>
      </w:r>
      <w:r w:rsidRPr="00480EDD">
        <w:rPr>
          <w:rFonts w:cs="Arial"/>
          <w:szCs w:val="20"/>
        </w:rPr>
        <w:t xml:space="preserve"> Celkem </w:t>
      </w:r>
      <w:r>
        <w:rPr>
          <w:rFonts w:cs="Arial"/>
          <w:szCs w:val="20"/>
        </w:rPr>
        <w:t>84,7 % žáků navštěvovalo šestiletý program vzdělávání</w:t>
      </w:r>
      <w:r w:rsidRPr="00480EDD">
        <w:rPr>
          <w:rFonts w:cs="Arial"/>
          <w:szCs w:val="20"/>
        </w:rPr>
        <w:t xml:space="preserve"> a </w:t>
      </w:r>
      <w:r>
        <w:rPr>
          <w:rFonts w:cs="Arial"/>
          <w:szCs w:val="20"/>
        </w:rPr>
        <w:t>15,3 %</w:t>
      </w:r>
      <w:r w:rsidRPr="00480ED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osmiletý</w:t>
      </w:r>
      <w:r w:rsidRPr="00480EDD">
        <w:rPr>
          <w:rFonts w:cs="Arial"/>
          <w:szCs w:val="20"/>
        </w:rPr>
        <w:t>.</w:t>
      </w:r>
      <w:r w:rsidRPr="003B094C">
        <w:t xml:space="preserve"> </w:t>
      </w:r>
      <w:r>
        <w:rPr>
          <w:rFonts w:cs="Arial"/>
          <w:szCs w:val="20"/>
        </w:rPr>
        <w:t>V </w:t>
      </w:r>
      <w:r w:rsidRPr="003B094C">
        <w:rPr>
          <w:rFonts w:cs="Arial"/>
          <w:szCs w:val="20"/>
        </w:rPr>
        <w:t xml:space="preserve">desetileté časové řadě </w:t>
      </w:r>
      <w:r>
        <w:rPr>
          <w:rFonts w:cs="Arial"/>
          <w:szCs w:val="20"/>
        </w:rPr>
        <w:t xml:space="preserve">se počet žáků konzervatoří </w:t>
      </w:r>
      <w:r w:rsidRPr="003B094C">
        <w:rPr>
          <w:rFonts w:cs="Arial"/>
          <w:szCs w:val="20"/>
        </w:rPr>
        <w:t>zvýšil z 3 655 žáků ve školním roce 2012/13 na 3 902 žáků ve školním roce 2020/21, v posledních dvou školních rocích však mírně poklesl na 3 837 žáků.</w:t>
      </w:r>
      <w:r w:rsidRPr="003B094C">
        <w:t xml:space="preserve"> </w:t>
      </w:r>
      <w:r w:rsidRPr="003B094C">
        <w:rPr>
          <w:rFonts w:cs="Arial"/>
          <w:szCs w:val="20"/>
        </w:rPr>
        <w:t>Podíl dívek z těchto žáků se ve sledovaných školních rocích pohyboval mezi 61,5 %</w:t>
      </w:r>
      <w:r>
        <w:rPr>
          <w:rFonts w:cs="Arial"/>
          <w:szCs w:val="20"/>
        </w:rPr>
        <w:t xml:space="preserve"> ve školním roce 2012/13 a 64,3 </w:t>
      </w:r>
      <w:r w:rsidRPr="003B094C">
        <w:rPr>
          <w:rFonts w:cs="Arial"/>
          <w:szCs w:val="20"/>
        </w:rPr>
        <w:t>% ve školním roce 2017/18</w:t>
      </w:r>
      <w:r>
        <w:rPr>
          <w:rFonts w:cs="Arial"/>
          <w:szCs w:val="20"/>
        </w:rPr>
        <w:t>.</w:t>
      </w:r>
      <w:r w:rsidRPr="003B094C">
        <w:t xml:space="preserve"> </w:t>
      </w:r>
    </w:p>
    <w:p w14:paraId="54FD0D4A" w14:textId="799DCC39" w:rsidR="00AB1DD2" w:rsidRDefault="00AB1DD2" w:rsidP="00AB1DD2">
      <w:pPr>
        <w:spacing w:after="120"/>
        <w:jc w:val="both"/>
      </w:pPr>
      <w:r w:rsidRPr="00AB1DD2">
        <w:rPr>
          <w:b/>
        </w:rPr>
        <w:t>Učitelé</w:t>
      </w:r>
      <w:r>
        <w:t xml:space="preserve"> v konzervatořích v uplynulém školním roce působili na 1 092,1 plného pracovního úvazku. </w:t>
      </w:r>
      <w:r w:rsidRPr="001D1AB1">
        <w:t xml:space="preserve">Na jednoho </w:t>
      </w:r>
      <w:r w:rsidRPr="00AB1DD2">
        <w:t>učitele</w:t>
      </w:r>
      <w:r w:rsidRPr="001D1AB1">
        <w:rPr>
          <w:b/>
        </w:rPr>
        <w:t xml:space="preserve"> </w:t>
      </w:r>
      <w:r w:rsidRPr="001D1AB1">
        <w:t xml:space="preserve">(resp. na jeden plný úvazek </w:t>
      </w:r>
      <w:r>
        <w:t>učitele) připadalo v průměru 3,5</w:t>
      </w:r>
      <w:r w:rsidRPr="001D1AB1">
        <w:t xml:space="preserve"> žáka.</w:t>
      </w:r>
      <w:r w:rsidRPr="003B094C">
        <w:t xml:space="preserve"> </w:t>
      </w:r>
      <w:r>
        <w:t>Pokud se jedná o </w:t>
      </w:r>
      <w:r w:rsidRPr="003B094C">
        <w:t>genderové složení, v konzervatořích byl podíl žen a mužů mezi pedagogy vyrovnaný – ve školním</w:t>
      </w:r>
      <w:r>
        <w:t xml:space="preserve"> roce 2022/23 tvořily ženy 49,8 </w:t>
      </w:r>
      <w:r w:rsidRPr="003B094C">
        <w:t xml:space="preserve">% všech </w:t>
      </w:r>
      <w:r w:rsidR="00A97EBD">
        <w:t xml:space="preserve">plných pracovních úvazků </w:t>
      </w:r>
      <w:r w:rsidRPr="003B094C">
        <w:t>učitelů</w:t>
      </w:r>
      <w:r>
        <w:t xml:space="preserve">. </w:t>
      </w:r>
      <w:r w:rsidR="004B2FD2">
        <w:t>Ve srovnání s tím připomeňme, že</w:t>
      </w:r>
      <w:r>
        <w:t xml:space="preserve"> ve středních školách</w:t>
      </w:r>
      <w:r w:rsidR="00A97EBD">
        <w:t xml:space="preserve"> patřily</w:t>
      </w:r>
      <w:r>
        <w:t xml:space="preserve"> </w:t>
      </w:r>
      <w:r w:rsidR="00A97EBD">
        <w:t xml:space="preserve">ženám </w:t>
      </w:r>
      <w:r>
        <w:t>t</w:t>
      </w:r>
      <w:r w:rsidRPr="003B094C">
        <w:t>ři pětiny</w:t>
      </w:r>
      <w:r w:rsidR="00A97EBD">
        <w:t xml:space="preserve"> plných pracovních úvazků</w:t>
      </w:r>
      <w:r w:rsidRPr="003B094C">
        <w:t xml:space="preserve">. </w:t>
      </w:r>
    </w:p>
    <w:p w14:paraId="0AF3B74A" w14:textId="353D0727" w:rsidR="00AB1DD2" w:rsidRDefault="00AB1DD2" w:rsidP="00AB1DD2">
      <w:pPr>
        <w:spacing w:after="120"/>
        <w:jc w:val="both"/>
      </w:pPr>
      <w:r>
        <w:t>V</w:t>
      </w:r>
      <w:r w:rsidRPr="00FA42B4">
        <w:t>elká č</w:t>
      </w:r>
      <w:r>
        <w:t>ást žáků se ve školním roce 2022/23</w:t>
      </w:r>
      <w:r w:rsidRPr="00FA42B4">
        <w:t xml:space="preserve"> vzdělávala n</w:t>
      </w:r>
      <w:r>
        <w:t xml:space="preserve">a </w:t>
      </w:r>
      <w:r w:rsidRPr="00AB1DD2">
        <w:rPr>
          <w:b/>
        </w:rPr>
        <w:t>pražských konzervatořích</w:t>
      </w:r>
      <w:r>
        <w:t xml:space="preserve"> (45,7 %</w:t>
      </w:r>
      <w:r w:rsidRPr="00FA42B4">
        <w:t>) a větší než desetinový podíl žáků najdeme též v konzervatořích v Jihomoravs</w:t>
      </w:r>
      <w:r>
        <w:t>kém a Moravskoslezském kraji (12,7 %, resp. 12,2</w:t>
      </w:r>
      <w:r w:rsidRPr="00FA42B4">
        <w:t> %).</w:t>
      </w:r>
    </w:p>
    <w:p w14:paraId="014820FD" w14:textId="4341AF3D" w:rsidR="00A97EBD" w:rsidRDefault="00A97EBD" w:rsidP="00AB1DD2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V uplynulém školním roce se n</w:t>
      </w:r>
      <w:r w:rsidRPr="00470072">
        <w:rPr>
          <w:rFonts w:cs="Arial"/>
          <w:szCs w:val="20"/>
        </w:rPr>
        <w:t>ejvyšší podíl</w:t>
      </w:r>
      <w:r w:rsidR="00742A80">
        <w:rPr>
          <w:rFonts w:cs="Arial"/>
          <w:szCs w:val="20"/>
        </w:rPr>
        <w:t xml:space="preserve"> žáků</w:t>
      </w:r>
      <w:r w:rsidRPr="00FA42B4">
        <w:rPr>
          <w:rFonts w:cs="Arial"/>
          <w:szCs w:val="20"/>
        </w:rPr>
        <w:t xml:space="preserve"> ve všech uvedených letech vzdělával ve hře na </w:t>
      </w:r>
      <w:r w:rsidRPr="00AB1DD2">
        <w:rPr>
          <w:rFonts w:cs="Arial"/>
          <w:b/>
          <w:szCs w:val="20"/>
        </w:rPr>
        <w:t>hudební nástroj, dirigování či skladbě</w:t>
      </w:r>
      <w:r w:rsidRPr="00FA42B4">
        <w:rPr>
          <w:rFonts w:cs="Arial"/>
          <w:szCs w:val="20"/>
        </w:rPr>
        <w:t xml:space="preserve"> (tj. v ob</w:t>
      </w:r>
      <w:r>
        <w:rPr>
          <w:rFonts w:cs="Arial"/>
          <w:szCs w:val="20"/>
        </w:rPr>
        <w:t xml:space="preserve">oru hudba), tj. 56,0 %, následuje obor </w:t>
      </w:r>
      <w:r w:rsidRPr="00AB1DD2">
        <w:rPr>
          <w:rFonts w:cs="Arial"/>
          <w:b/>
          <w:szCs w:val="20"/>
        </w:rPr>
        <w:t>tanec</w:t>
      </w:r>
      <w:r>
        <w:rPr>
          <w:rFonts w:cs="Arial"/>
          <w:szCs w:val="20"/>
        </w:rPr>
        <w:t xml:space="preserve"> (18,5 %), </w:t>
      </w:r>
      <w:r w:rsidRPr="00AB1DD2">
        <w:rPr>
          <w:rFonts w:cs="Arial"/>
          <w:b/>
          <w:szCs w:val="20"/>
        </w:rPr>
        <w:t>zpěv</w:t>
      </w:r>
      <w:r>
        <w:rPr>
          <w:rFonts w:cs="Arial"/>
          <w:szCs w:val="20"/>
        </w:rPr>
        <w:t xml:space="preserve"> (17,4 %) a nakonec </w:t>
      </w:r>
      <w:r w:rsidRPr="00AB1DD2">
        <w:rPr>
          <w:rFonts w:cs="Arial"/>
          <w:b/>
          <w:szCs w:val="20"/>
        </w:rPr>
        <w:t>dramatické umění</w:t>
      </w:r>
      <w:r>
        <w:rPr>
          <w:rFonts w:cs="Arial"/>
          <w:szCs w:val="20"/>
        </w:rPr>
        <w:t xml:space="preserve"> (8,2 %). V průběhu posledních deseti let se zvýšil počet žáků oboru tanec téměř o dvě pětiny (o 37,7 %) a počet žáků oboru zpěv o více než pětinu (o 22 %). Naopak poklesl počet žáků v oborech hudebních (o 4,1 %) a zejména dramatických (o 11,5 %).</w:t>
      </w:r>
    </w:p>
    <w:p w14:paraId="42CB3879" w14:textId="0EEF3D77" w:rsidR="00AB1DD2" w:rsidRDefault="00AB1DD2" w:rsidP="00AB1DD2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Ve školním roce 2022/23</w:t>
      </w:r>
      <w:r w:rsidRPr="00933A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navštěvovalo konzervatoře</w:t>
      </w:r>
      <w:r w:rsidRPr="00933A78">
        <w:rPr>
          <w:rFonts w:cs="Arial"/>
          <w:szCs w:val="20"/>
        </w:rPr>
        <w:t xml:space="preserve"> v České</w:t>
      </w:r>
      <w:r>
        <w:rPr>
          <w:rFonts w:cs="Arial"/>
          <w:szCs w:val="20"/>
        </w:rPr>
        <w:t xml:space="preserve"> republice celkem 281</w:t>
      </w:r>
      <w:r w:rsidRPr="00933A78">
        <w:rPr>
          <w:rFonts w:cs="Arial"/>
          <w:szCs w:val="20"/>
        </w:rPr>
        <w:t xml:space="preserve"> </w:t>
      </w:r>
      <w:r w:rsidRPr="00933A78">
        <w:rPr>
          <w:rFonts w:cs="Arial"/>
          <w:b/>
          <w:szCs w:val="20"/>
        </w:rPr>
        <w:t>žáků cizí státní příslušnosti</w:t>
      </w:r>
      <w:r>
        <w:rPr>
          <w:rFonts w:cs="Arial"/>
          <w:szCs w:val="20"/>
        </w:rPr>
        <w:t>, což jsou 7</w:t>
      </w:r>
      <w:r w:rsidR="00B07173">
        <w:rPr>
          <w:rFonts w:cs="Arial"/>
          <w:szCs w:val="20"/>
        </w:rPr>
        <w:t>,3</w:t>
      </w:r>
      <w:r w:rsidRPr="00933A78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z celkového počtu žáků. V předchozím školním roce to bylo 210 žáků, neboli 5,4 % z celkového počtu žáků konzervatoří.</w:t>
      </w:r>
      <w:r w:rsidRPr="00F8424C">
        <w:t xml:space="preserve"> </w:t>
      </w:r>
      <w:r w:rsidRPr="00F8424C">
        <w:rPr>
          <w:rFonts w:cs="Arial"/>
          <w:szCs w:val="20"/>
        </w:rPr>
        <w:t>Ze všech cizinců bylo na konzervatořích ve školním roce 2022/23 celkem</w:t>
      </w:r>
      <w:r>
        <w:rPr>
          <w:rFonts w:cs="Arial"/>
          <w:szCs w:val="20"/>
        </w:rPr>
        <w:t xml:space="preserve"> </w:t>
      </w:r>
      <w:r w:rsidRPr="00F8424C">
        <w:rPr>
          <w:rFonts w:cs="Arial"/>
          <w:szCs w:val="20"/>
        </w:rPr>
        <w:t xml:space="preserve">136 žáků z Ukrajiny (tj. více než trojnásobný počet oproti </w:t>
      </w:r>
      <w:r>
        <w:rPr>
          <w:rFonts w:cs="Arial"/>
          <w:szCs w:val="20"/>
        </w:rPr>
        <w:t>předchozímu</w:t>
      </w:r>
      <w:r w:rsidRPr="00F8424C">
        <w:rPr>
          <w:rFonts w:cs="Arial"/>
          <w:szCs w:val="20"/>
        </w:rPr>
        <w:t xml:space="preserve"> školnímu roku), 65 žáků ze Slovenska a 27 z Ruska. </w:t>
      </w:r>
      <w:r>
        <w:rPr>
          <w:rFonts w:cs="Arial"/>
          <w:szCs w:val="20"/>
        </w:rPr>
        <w:t xml:space="preserve">Z ostatních jednotlivých </w:t>
      </w:r>
      <w:r w:rsidRPr="00F8424C">
        <w:rPr>
          <w:rFonts w:cs="Arial"/>
          <w:szCs w:val="20"/>
        </w:rPr>
        <w:t>zemí již bylo v naš</w:t>
      </w:r>
      <w:r>
        <w:rPr>
          <w:rFonts w:cs="Arial"/>
          <w:szCs w:val="20"/>
        </w:rPr>
        <w:t>ich konzervatořích zaznamenáno šest</w:t>
      </w:r>
      <w:r w:rsidRPr="00F8424C">
        <w:rPr>
          <w:rFonts w:cs="Arial"/>
          <w:szCs w:val="20"/>
        </w:rPr>
        <w:t xml:space="preserve"> a méně žáků.</w:t>
      </w:r>
      <w:r w:rsidRPr="00F8424C">
        <w:t xml:space="preserve"> </w:t>
      </w:r>
      <w:r>
        <w:rPr>
          <w:rFonts w:cs="Arial"/>
          <w:szCs w:val="20"/>
        </w:rPr>
        <w:t>N</w:t>
      </w:r>
      <w:r w:rsidRPr="00F8424C">
        <w:rPr>
          <w:rFonts w:cs="Arial"/>
          <w:szCs w:val="20"/>
        </w:rPr>
        <w:t>ejvyšší podíl žáků cizí státní příslušnosti najdeme v p</w:t>
      </w:r>
      <w:r w:rsidR="00B07173">
        <w:rPr>
          <w:rFonts w:cs="Arial"/>
          <w:szCs w:val="20"/>
        </w:rPr>
        <w:t>ražských konzervatořích (10,5</w:t>
      </w:r>
      <w:r w:rsidR="00A97EBD">
        <w:rPr>
          <w:rFonts w:cs="Arial"/>
          <w:szCs w:val="20"/>
        </w:rPr>
        <w:t xml:space="preserve"> %), n</w:t>
      </w:r>
      <w:r w:rsidRPr="00F8424C">
        <w:rPr>
          <w:rFonts w:cs="Arial"/>
          <w:szCs w:val="20"/>
        </w:rPr>
        <w:t xml:space="preserve">adprůměrného podílu </w:t>
      </w:r>
      <w:r>
        <w:rPr>
          <w:rFonts w:cs="Arial"/>
          <w:szCs w:val="20"/>
        </w:rPr>
        <w:t>d</w:t>
      </w:r>
      <w:r w:rsidR="0044021E">
        <w:rPr>
          <w:rFonts w:cs="Arial"/>
          <w:szCs w:val="20"/>
        </w:rPr>
        <w:t>o</w:t>
      </w:r>
      <w:r w:rsidR="00B07173">
        <w:rPr>
          <w:rFonts w:cs="Arial"/>
          <w:szCs w:val="20"/>
        </w:rPr>
        <w:t>sáhl také Jihomoravský kraj (7,6</w:t>
      </w:r>
      <w:r w:rsidRPr="00F8424C">
        <w:rPr>
          <w:rFonts w:cs="Arial"/>
          <w:szCs w:val="20"/>
        </w:rPr>
        <w:t xml:space="preserve"> %</w:t>
      </w:r>
      <w:r w:rsidR="00541CED">
        <w:rPr>
          <w:rFonts w:cs="Arial"/>
          <w:szCs w:val="20"/>
        </w:rPr>
        <w:t xml:space="preserve">) a </w:t>
      </w:r>
      <w:r w:rsidR="0044021E">
        <w:rPr>
          <w:rFonts w:cs="Arial"/>
          <w:szCs w:val="20"/>
        </w:rPr>
        <w:t>Plzeňský (7,5</w:t>
      </w:r>
      <w:r>
        <w:rPr>
          <w:rFonts w:cs="Arial"/>
          <w:szCs w:val="20"/>
        </w:rPr>
        <w:t xml:space="preserve"> %).  N</w:t>
      </w:r>
      <w:r w:rsidR="00A97EBD">
        <w:rPr>
          <w:rFonts w:cs="Arial"/>
          <w:szCs w:val="20"/>
        </w:rPr>
        <w:t>aopak n</w:t>
      </w:r>
      <w:r w:rsidRPr="00F8424C">
        <w:rPr>
          <w:rFonts w:cs="Arial"/>
          <w:szCs w:val="20"/>
        </w:rPr>
        <w:t>e</w:t>
      </w:r>
      <w:r w:rsidR="00140C07">
        <w:rPr>
          <w:rFonts w:cs="Arial"/>
          <w:szCs w:val="20"/>
        </w:rPr>
        <w:t>jmenší podíl cizinců zaznamenala</w:t>
      </w:r>
      <w:r w:rsidRPr="00F8424C">
        <w:rPr>
          <w:rFonts w:cs="Arial"/>
          <w:szCs w:val="20"/>
        </w:rPr>
        <w:t xml:space="preserve"> konzer</w:t>
      </w:r>
      <w:r w:rsidR="00140C07">
        <w:rPr>
          <w:rFonts w:cs="Arial"/>
          <w:szCs w:val="20"/>
        </w:rPr>
        <w:t>vatoř</w:t>
      </w:r>
      <w:r w:rsidR="00A97EBD">
        <w:rPr>
          <w:rFonts w:cs="Arial"/>
          <w:szCs w:val="20"/>
        </w:rPr>
        <w:t xml:space="preserve"> v kraji </w:t>
      </w:r>
      <w:r w:rsidR="0044021E">
        <w:rPr>
          <w:rFonts w:cs="Arial"/>
          <w:szCs w:val="20"/>
        </w:rPr>
        <w:t>Ústeckém (2,5</w:t>
      </w:r>
      <w:r w:rsidR="00A97EBD">
        <w:rPr>
          <w:rFonts w:cs="Arial"/>
          <w:szCs w:val="20"/>
        </w:rPr>
        <w:t> </w:t>
      </w:r>
      <w:r w:rsidRPr="00F8424C">
        <w:rPr>
          <w:rFonts w:cs="Arial"/>
          <w:szCs w:val="20"/>
        </w:rPr>
        <w:t>%).</w:t>
      </w:r>
    </w:p>
    <w:p w14:paraId="67C67597" w14:textId="317989A2" w:rsidR="00AB1DD2" w:rsidRPr="00660E9F" w:rsidRDefault="00AB1DD2" w:rsidP="00660E9F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Celkem 94,9 % žáků se vzdělávalo </w:t>
      </w:r>
      <w:r w:rsidRPr="008E7B8B">
        <w:rPr>
          <w:rFonts w:cs="Arial"/>
          <w:b/>
          <w:szCs w:val="20"/>
        </w:rPr>
        <w:t>denní formou studia</w:t>
      </w:r>
      <w:r>
        <w:rPr>
          <w:rFonts w:cs="Arial"/>
          <w:szCs w:val="20"/>
        </w:rPr>
        <w:t xml:space="preserve"> a 5,1 % </w:t>
      </w:r>
      <w:r w:rsidRPr="008E7B8B">
        <w:rPr>
          <w:rFonts w:cs="Arial"/>
          <w:b/>
          <w:szCs w:val="20"/>
        </w:rPr>
        <w:t>jinou formou</w:t>
      </w:r>
      <w:r>
        <w:rPr>
          <w:rFonts w:cs="Arial"/>
          <w:b/>
          <w:szCs w:val="20"/>
        </w:rPr>
        <w:t>.</w:t>
      </w:r>
      <w:r>
        <w:rPr>
          <w:rFonts w:cs="Arial"/>
          <w:szCs w:val="20"/>
        </w:rPr>
        <w:t xml:space="preserve"> Více než desetina žáků navštěvujících vyšší ročníky osmileté konzervatoře nebo šestiletou konzervatoř (tj. studium po splněné povinné školní docházce) byla </w:t>
      </w:r>
      <w:r w:rsidRPr="00F8424C">
        <w:rPr>
          <w:rFonts w:cs="Arial"/>
          <w:b/>
          <w:szCs w:val="20"/>
        </w:rPr>
        <w:t>ve věku 25 let a více</w:t>
      </w:r>
      <w:r>
        <w:rPr>
          <w:rFonts w:cs="Arial"/>
          <w:szCs w:val="20"/>
        </w:rPr>
        <w:t xml:space="preserve"> (10,9 %). Mezi žáky, kteří se vzdě</w:t>
      </w:r>
      <w:r w:rsidR="002465D1">
        <w:rPr>
          <w:rFonts w:cs="Arial"/>
          <w:szCs w:val="20"/>
        </w:rPr>
        <w:t xml:space="preserve">lávali jinou než denní formou, </w:t>
      </w:r>
      <w:r>
        <w:rPr>
          <w:rFonts w:cs="Arial"/>
          <w:szCs w:val="20"/>
        </w:rPr>
        <w:t xml:space="preserve">zaujímali žáci ve věku 25 let a více dokonce tři pětiny (60,9 %). </w:t>
      </w:r>
      <w:r w:rsidRPr="00FA42B4">
        <w:rPr>
          <w:rFonts w:cs="Arial"/>
          <w:szCs w:val="20"/>
        </w:rPr>
        <w:t>Z jiného úhlu pohledu lze doplnit, že ze žáků</w:t>
      </w:r>
      <w:r>
        <w:rPr>
          <w:rFonts w:cs="Arial"/>
          <w:szCs w:val="20"/>
        </w:rPr>
        <w:t xml:space="preserve"> ve</w:t>
      </w:r>
      <w:r w:rsidR="00A97EBD">
        <w:rPr>
          <w:rFonts w:cs="Arial"/>
          <w:szCs w:val="20"/>
        </w:rPr>
        <w:t xml:space="preserve"> věku 25 let a více se jich 68,75</w:t>
      </w:r>
      <w:r w:rsidRPr="00FA42B4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vzděl</w:t>
      </w:r>
      <w:r w:rsidR="00A97EBD">
        <w:rPr>
          <w:rFonts w:cs="Arial"/>
          <w:szCs w:val="20"/>
        </w:rPr>
        <w:t>ávalo denní formou studia a 31,25</w:t>
      </w:r>
      <w:r>
        <w:rPr>
          <w:rFonts w:cs="Arial"/>
          <w:szCs w:val="20"/>
        </w:rPr>
        <w:t> % jinou formou.</w:t>
      </w:r>
      <w:r w:rsidR="001E1D8B">
        <w:br w:type="page"/>
      </w:r>
    </w:p>
    <w:p w14:paraId="2E7BA082" w14:textId="68F4927A" w:rsidR="00AB1DD2" w:rsidRPr="00AB1DD2" w:rsidRDefault="00AB1DD2" w:rsidP="00AB1DD2">
      <w:pPr>
        <w:pStyle w:val="Nadpis2"/>
        <w:spacing w:after="120"/>
      </w:pPr>
      <w:bookmarkStart w:id="3" w:name="_Toc142467883"/>
      <w:r>
        <w:lastRenderedPageBreak/>
        <w:t>Analýza</w:t>
      </w:r>
      <w:bookmarkEnd w:id="3"/>
    </w:p>
    <w:p w14:paraId="1A60EB95" w14:textId="77777777" w:rsidR="00C862A7" w:rsidRDefault="00C862A7" w:rsidP="00FA7769">
      <w:pPr>
        <w:tabs>
          <w:tab w:val="left" w:pos="0"/>
          <w:tab w:val="left" w:pos="5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jc w:val="both"/>
      </w:pPr>
    </w:p>
    <w:p w14:paraId="4807A9DE" w14:textId="5236C643" w:rsidR="00FA7769" w:rsidRPr="001D1AB1" w:rsidRDefault="00FA7769" w:rsidP="00FA7769">
      <w:pPr>
        <w:tabs>
          <w:tab w:val="left" w:pos="0"/>
          <w:tab w:val="left" w:pos="5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jc w:val="both"/>
      </w:pPr>
      <w:r w:rsidRPr="001D1AB1">
        <w:t>Jak již bylo v kapitole o středních školách zmíněno, konzervatoře jsou školy, kde se uskutečňuje jak střední vzdělávání s maturitní zkouškou, tak i vyšší odborné vzdělávání. Střední vzdělání s maturitní zkouškou lze získat nejdříve po čtyřech letech v denní formě šestiletého vzdělávacího programu (určeného pro absolventy základních škol), nebo po osmi letech v denní formě vzdělávání v osmiletém vzdělávacím programu v oboru tanec (určeném pro žáky po ukončeném 5. ročníku základních škol, kteří v prvních čtyřech ročnících konzervatoře plní povinnou školní docházku). Pokud žák absolvuje všechny ročníky konzervatoře a vykoná závěrečné absolutorium, získává vyšší odborné vzdělání v konzervatoři a je mu přiznán titul diplomovaný specialista (</w:t>
      </w:r>
      <w:proofErr w:type="spellStart"/>
      <w:r w:rsidRPr="001D1AB1">
        <w:t>DiS</w:t>
      </w:r>
      <w:proofErr w:type="spellEnd"/>
      <w:r w:rsidRPr="001D1AB1">
        <w:t xml:space="preserve">.). </w:t>
      </w:r>
    </w:p>
    <w:p w14:paraId="1422F2FB" w14:textId="4B04406B" w:rsidR="00D96D3A" w:rsidRDefault="00FA7769" w:rsidP="00FA7769">
      <w:pPr>
        <w:spacing w:after="120"/>
        <w:jc w:val="both"/>
      </w:pPr>
      <w:r w:rsidRPr="001D1AB1">
        <w:t>V konzer</w:t>
      </w:r>
      <w:r w:rsidR="00FA1C75">
        <w:t>vatořích se ve školním roce 2022/23</w:t>
      </w:r>
      <w:r w:rsidRPr="001D1AB1">
        <w:t xml:space="preserve"> vzdělávalo celkem </w:t>
      </w:r>
      <w:r w:rsidR="00FA1C75" w:rsidRPr="00FA1C75">
        <w:t>3</w:t>
      </w:r>
      <w:r w:rsidR="00FA1C75">
        <w:t> </w:t>
      </w:r>
      <w:r w:rsidR="00FA1C75" w:rsidRPr="00FA1C75">
        <w:t>837</w:t>
      </w:r>
      <w:r w:rsidR="00FA1C75">
        <w:t xml:space="preserve"> </w:t>
      </w:r>
      <w:r w:rsidRPr="001D1AB1">
        <w:rPr>
          <w:b/>
        </w:rPr>
        <w:t>žáků</w:t>
      </w:r>
      <w:r w:rsidRPr="001D1AB1">
        <w:t>, a sice na 18 škol</w:t>
      </w:r>
      <w:r w:rsidR="00A019D7">
        <w:t>ách</w:t>
      </w:r>
      <w:r w:rsidR="00BF4B10">
        <w:rPr>
          <w:rStyle w:val="Znakapoznpodarou"/>
        </w:rPr>
        <w:footnoteReference w:id="1"/>
      </w:r>
      <w:r w:rsidR="00A019D7">
        <w:t>. Téměř čtyři</w:t>
      </w:r>
      <w:r w:rsidRPr="001D1AB1">
        <w:t xml:space="preserve"> pětiny</w:t>
      </w:r>
      <w:r w:rsidR="00843E2C">
        <w:t xml:space="preserve"> žáků</w:t>
      </w:r>
      <w:r w:rsidRPr="001D1AB1">
        <w:t xml:space="preserve"> se vzdělávaly ve ško</w:t>
      </w:r>
      <w:r w:rsidR="0037628A">
        <w:t>lách veřejného zřizovatele (</w:t>
      </w:r>
      <w:r w:rsidR="00FA1C75">
        <w:t>3 033</w:t>
      </w:r>
      <w:r w:rsidR="0042049A">
        <w:t xml:space="preserve">, tj. </w:t>
      </w:r>
      <w:r w:rsidR="0037628A">
        <w:t>79,</w:t>
      </w:r>
      <w:r w:rsidR="000476CE">
        <w:t>0</w:t>
      </w:r>
      <w:r w:rsidRPr="001D1AB1">
        <w:t> %), zb</w:t>
      </w:r>
      <w:r w:rsidR="00FA1C75">
        <w:t>ytek ve školách soukromých (572, tj. 14,9</w:t>
      </w:r>
      <w:r w:rsidR="0037628A">
        <w:t> %) a církevních (</w:t>
      </w:r>
      <w:r w:rsidR="00FA1C75">
        <w:t>23</w:t>
      </w:r>
      <w:r w:rsidR="0042049A">
        <w:t xml:space="preserve">2, tj. </w:t>
      </w:r>
      <w:r w:rsidR="00FA1C75">
        <w:t>6,0</w:t>
      </w:r>
      <w:r w:rsidRPr="001D1AB1">
        <w:t> %) - viz t</w:t>
      </w:r>
      <w:r>
        <w:t>abulku</w:t>
      </w:r>
      <w:r w:rsidRPr="001D1AB1">
        <w:t xml:space="preserve"> </w:t>
      </w:r>
      <w:r>
        <w:t>4.1</w:t>
      </w:r>
      <w:r w:rsidRPr="001D1AB1">
        <w:t xml:space="preserve">.  </w:t>
      </w:r>
      <w:r w:rsidR="00D96D3A">
        <w:t>C</w:t>
      </w:r>
      <w:r w:rsidR="0042049A">
        <w:t xml:space="preserve">elkem </w:t>
      </w:r>
      <w:r w:rsidR="004F4C68" w:rsidRPr="004F4C68">
        <w:t>3</w:t>
      </w:r>
      <w:r w:rsidR="004F4C68">
        <w:t xml:space="preserve"> 251 </w:t>
      </w:r>
      <w:r w:rsidR="0042049A">
        <w:t xml:space="preserve">žáků (tj. </w:t>
      </w:r>
      <w:r w:rsidR="004F4C68">
        <w:t>84,7</w:t>
      </w:r>
      <w:r w:rsidRPr="001D1AB1">
        <w:t> %</w:t>
      </w:r>
      <w:r w:rsidR="0042049A">
        <w:t>)</w:t>
      </w:r>
      <w:r w:rsidRPr="001D1AB1">
        <w:t xml:space="preserve"> </w:t>
      </w:r>
      <w:r w:rsidR="00D96D3A">
        <w:t xml:space="preserve">se pak </w:t>
      </w:r>
      <w:r w:rsidRPr="001D1AB1">
        <w:t>vzděl</w:t>
      </w:r>
      <w:r w:rsidR="00843E2C">
        <w:t xml:space="preserve">ávalo v šestiletém programu a </w:t>
      </w:r>
      <w:r w:rsidR="004F4C68">
        <w:t>586</w:t>
      </w:r>
      <w:r w:rsidR="0042049A">
        <w:t xml:space="preserve"> žáků (tj. </w:t>
      </w:r>
      <w:r w:rsidR="004F4C68">
        <w:t>15,3</w:t>
      </w:r>
      <w:r w:rsidRPr="001D1AB1">
        <w:t> %</w:t>
      </w:r>
      <w:r w:rsidR="0042049A">
        <w:t>)</w:t>
      </w:r>
      <w:r w:rsidRPr="001D1AB1">
        <w:t xml:space="preserve"> v programu osmiletém.</w:t>
      </w:r>
    </w:p>
    <w:p w14:paraId="75A5D906" w14:textId="2B0AD294" w:rsidR="00D96D3A" w:rsidRDefault="00D96D3A" w:rsidP="00D96D3A">
      <w:pPr>
        <w:keepNext/>
        <w:spacing w:after="120" w:line="240" w:lineRule="auto"/>
        <w:rPr>
          <w:b/>
        </w:rPr>
      </w:pPr>
      <w:r w:rsidRPr="000B58F9">
        <w:rPr>
          <w:b/>
        </w:rPr>
        <w:t>T</w:t>
      </w:r>
      <w:r>
        <w:rPr>
          <w:b/>
        </w:rPr>
        <w:t>ab. 4</w:t>
      </w:r>
      <w:r w:rsidRPr="000B58F9">
        <w:rPr>
          <w:b/>
        </w:rPr>
        <w:t>.1</w:t>
      </w:r>
      <w:r w:rsidRPr="000B58F9">
        <w:t xml:space="preserve"> </w:t>
      </w:r>
      <w:r w:rsidR="00F8241E">
        <w:rPr>
          <w:b/>
        </w:rPr>
        <w:t xml:space="preserve">Konzervatoře </w:t>
      </w:r>
      <w:r w:rsidRPr="000B58F9">
        <w:rPr>
          <w:b/>
        </w:rPr>
        <w:t>- počet škol, žáků a učitelů celk</w:t>
      </w:r>
      <w:r w:rsidR="009E78FB">
        <w:rPr>
          <w:b/>
        </w:rPr>
        <w:t>em a dle zřizovatele školy (2022/23</w:t>
      </w:r>
      <w:r w:rsidRPr="000B58F9">
        <w:rPr>
          <w:b/>
        </w:rPr>
        <w:t>)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50"/>
        <w:gridCol w:w="101"/>
        <w:gridCol w:w="992"/>
        <w:gridCol w:w="850"/>
        <w:gridCol w:w="1134"/>
        <w:gridCol w:w="1083"/>
        <w:gridCol w:w="902"/>
        <w:gridCol w:w="850"/>
      </w:tblGrid>
      <w:tr w:rsidR="00D96D3A" w:rsidRPr="002B7648" w14:paraId="2CFDF6B4" w14:textId="77777777" w:rsidTr="000031F2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683C4AC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zřizovatel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381CE050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školy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46D63135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žáci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222A976C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učitelé</w:t>
            </w:r>
            <w:r w:rsidRPr="002B7648">
              <w:rPr>
                <w:rFonts w:cs="Arial"/>
                <w:color w:val="FFFFFF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6FFC38E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žáků na 1 učitele</w:t>
            </w:r>
          </w:p>
        </w:tc>
      </w:tr>
      <w:tr w:rsidR="00D96D3A" w:rsidRPr="002B7648" w14:paraId="7F9D4B2A" w14:textId="77777777" w:rsidTr="000031F2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EE223F" w14:textId="77777777" w:rsidR="00D96D3A" w:rsidRPr="002B7648" w:rsidRDefault="00D96D3A" w:rsidP="00D96D3A">
            <w:pPr>
              <w:keepNext/>
              <w:spacing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A86"/>
            <w:noWrap/>
            <w:vAlign w:val="center"/>
            <w:hideMark/>
          </w:tcPr>
          <w:p w14:paraId="3BA48FF9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000000"/>
                <w:sz w:val="16"/>
                <w:szCs w:val="16"/>
              </w:rPr>
              <w:t>Abs.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A86"/>
            <w:noWrap/>
            <w:vAlign w:val="center"/>
            <w:hideMark/>
          </w:tcPr>
          <w:p w14:paraId="33340911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A86"/>
            <w:noWrap/>
            <w:vAlign w:val="center"/>
            <w:hideMark/>
          </w:tcPr>
          <w:p w14:paraId="6E4CA132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000000"/>
                <w:sz w:val="16"/>
                <w:szCs w:val="16"/>
              </w:rPr>
              <w:t>Abs.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A86"/>
            <w:noWrap/>
            <w:vAlign w:val="center"/>
            <w:hideMark/>
          </w:tcPr>
          <w:p w14:paraId="0CD0FB12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A86"/>
            <w:noWrap/>
            <w:vAlign w:val="center"/>
            <w:hideMark/>
          </w:tcPr>
          <w:p w14:paraId="483C976A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000000"/>
                <w:sz w:val="16"/>
                <w:szCs w:val="16"/>
              </w:rPr>
              <w:t>Abs.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A86"/>
            <w:noWrap/>
            <w:vAlign w:val="center"/>
            <w:hideMark/>
          </w:tcPr>
          <w:p w14:paraId="578987FC" w14:textId="77777777" w:rsidR="00D96D3A" w:rsidRPr="002B7648" w:rsidRDefault="00D96D3A" w:rsidP="00D96D3A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BD84" w14:textId="77777777" w:rsidR="00D96D3A" w:rsidRPr="002B7648" w:rsidRDefault="00D96D3A" w:rsidP="00D96D3A">
            <w:pPr>
              <w:keepNext/>
              <w:spacing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4F4C68" w:rsidRPr="002B7648" w14:paraId="6C9534BE" w14:textId="77777777" w:rsidTr="004F4C6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97EC5" w14:textId="77777777" w:rsidR="004F4C68" w:rsidRPr="002B7648" w:rsidRDefault="004F4C68" w:rsidP="004F4C68">
            <w:pPr>
              <w:keepNext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color w:val="000000"/>
                <w:sz w:val="16"/>
                <w:szCs w:val="16"/>
              </w:rPr>
              <w:t>veřejný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36CB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BA72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i/>
                <w:i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AA29" w14:textId="0B5F12FB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sz w:val="16"/>
                <w:szCs w:val="16"/>
              </w:rPr>
              <w:t>3</w:t>
            </w:r>
            <w:r w:rsidR="00E77711">
              <w:rPr>
                <w:sz w:val="16"/>
                <w:szCs w:val="16"/>
              </w:rPr>
              <w:t> </w:t>
            </w:r>
            <w:r w:rsidRPr="004F4C68">
              <w:rPr>
                <w:sz w:val="16"/>
                <w:szCs w:val="16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E5BF" w14:textId="4B3D09AA" w:rsidR="004F4C68" w:rsidRPr="004F4C68" w:rsidRDefault="000476CE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BE27" w14:textId="72FF21CD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4F4C68">
              <w:rPr>
                <w:sz w:val="16"/>
                <w:szCs w:val="16"/>
              </w:rPr>
              <w:t>918,5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E257" w14:textId="40F62F7C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i/>
                <w:iCs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0D54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color w:val="000000"/>
                <w:sz w:val="16"/>
                <w:szCs w:val="16"/>
              </w:rPr>
              <w:t>3,3</w:t>
            </w:r>
          </w:p>
        </w:tc>
      </w:tr>
      <w:tr w:rsidR="004F4C68" w:rsidRPr="002B7648" w14:paraId="324B5038" w14:textId="77777777" w:rsidTr="004F4C6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4613" w14:textId="77777777" w:rsidR="004F4C68" w:rsidRPr="002B7648" w:rsidRDefault="004F4C68" w:rsidP="004F4C68">
            <w:pPr>
              <w:keepNext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color w:val="000000"/>
                <w:sz w:val="16"/>
                <w:szCs w:val="16"/>
              </w:rPr>
              <w:t>soukromý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13DA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80F0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i/>
                <w:i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62DB" w14:textId="2CED466E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C6C70" w14:textId="2573545D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sz w:val="16"/>
                <w:szCs w:val="16"/>
              </w:rPr>
              <w:t>14,9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C85A" w14:textId="3A09B690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4F4C68">
              <w:rPr>
                <w:sz w:val="16"/>
                <w:szCs w:val="16"/>
              </w:rPr>
              <w:t>110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D8FF" w14:textId="32379EC9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i/>
                <w:i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803B" w14:textId="3302FF12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</w:tr>
      <w:tr w:rsidR="004F4C68" w:rsidRPr="002B7648" w14:paraId="677E2467" w14:textId="77777777" w:rsidTr="004F4C6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146B1" w14:textId="77777777" w:rsidR="004F4C68" w:rsidRPr="002B7648" w:rsidRDefault="004F4C68" w:rsidP="004F4C68">
            <w:pPr>
              <w:keepNext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color w:val="000000"/>
                <w:sz w:val="16"/>
                <w:szCs w:val="16"/>
              </w:rPr>
              <w:t>církevní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BFAD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45B6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i/>
                <w:iCs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263D" w14:textId="78FEA896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5EB2C" w14:textId="12D301E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sz w:val="16"/>
                <w:szCs w:val="16"/>
              </w:rPr>
              <w:t>6,0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B7F3" w14:textId="16404FE0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4F4C68">
              <w:rPr>
                <w:sz w:val="16"/>
                <w:szCs w:val="16"/>
              </w:rPr>
              <w:t>63,6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AB43" w14:textId="77777777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i/>
                <w:iCs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F5D7" w14:textId="64B712F9" w:rsidR="004F4C68" w:rsidRPr="004F4C68" w:rsidRDefault="004F4C68" w:rsidP="004F4C68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color w:val="000000"/>
                <w:sz w:val="16"/>
                <w:szCs w:val="16"/>
              </w:rPr>
              <w:t>3,6</w:t>
            </w:r>
          </w:p>
        </w:tc>
      </w:tr>
      <w:tr w:rsidR="00D96D3A" w:rsidRPr="002B7648" w14:paraId="130CBFCB" w14:textId="77777777" w:rsidTr="004F4C6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6173" w14:textId="77777777" w:rsidR="00D96D3A" w:rsidRPr="002B7648" w:rsidRDefault="00D96D3A" w:rsidP="00D96D3A">
            <w:pPr>
              <w:keepNext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B7648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7767" w14:textId="77777777" w:rsidR="00D96D3A" w:rsidRPr="004F4C68" w:rsidRDefault="00D96D3A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A9B8" w14:textId="6A434F29" w:rsidR="00D96D3A" w:rsidRPr="004F4C68" w:rsidRDefault="00D96D3A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100</w:t>
            </w:r>
            <w:r w:rsidR="002465D1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E8FC" w14:textId="37ED3544" w:rsidR="00D96D3A" w:rsidRPr="004F4C68" w:rsidRDefault="00D96D3A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F4C68">
              <w:rPr>
                <w:b/>
                <w:sz w:val="16"/>
                <w:szCs w:val="16"/>
              </w:rPr>
              <w:t>3</w:t>
            </w:r>
            <w:r w:rsidR="000031F2" w:rsidRPr="004F4C68">
              <w:rPr>
                <w:b/>
                <w:sz w:val="16"/>
                <w:szCs w:val="16"/>
              </w:rPr>
              <w:t> </w:t>
            </w:r>
            <w:r w:rsidR="004F4C68" w:rsidRPr="004F4C68">
              <w:rPr>
                <w:b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F006" w14:textId="3094FCA6" w:rsidR="00D96D3A" w:rsidRPr="004F4C68" w:rsidRDefault="00D96D3A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100</w:t>
            </w:r>
            <w:r w:rsidR="002465D1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D0645" w14:textId="4C69C0F2" w:rsidR="00D96D3A" w:rsidRPr="004F4C68" w:rsidRDefault="004F4C68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F4C68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8B7DE0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  <w:r w:rsidRPr="004F4C68">
              <w:rPr>
                <w:rFonts w:cs="Arial"/>
                <w:b/>
                <w:bCs/>
                <w:color w:val="000000"/>
                <w:sz w:val="16"/>
                <w:szCs w:val="16"/>
              </w:rPr>
              <w:t>092,1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67B14" w14:textId="77777777" w:rsidR="00D96D3A" w:rsidRPr="004F4C68" w:rsidRDefault="00D96D3A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B68" w14:textId="77777777" w:rsidR="00D96D3A" w:rsidRPr="004F4C68" w:rsidRDefault="00D96D3A" w:rsidP="00D96D3A">
            <w:pPr>
              <w:keepNext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F4C68"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14:paraId="6B268C43" w14:textId="77777777" w:rsidR="00D96D3A" w:rsidRPr="000B58F9" w:rsidRDefault="00D96D3A" w:rsidP="00D96D3A">
      <w:pPr>
        <w:keepNext/>
        <w:spacing w:after="0" w:line="240" w:lineRule="auto"/>
        <w:rPr>
          <w:b/>
        </w:rPr>
      </w:pPr>
    </w:p>
    <w:p w14:paraId="40DFC50D" w14:textId="77777777" w:rsidR="00D96D3A" w:rsidRPr="00BA2972" w:rsidRDefault="00D96D3A" w:rsidP="00D96D3A">
      <w:pPr>
        <w:keepNext/>
        <w:spacing w:after="0" w:line="240" w:lineRule="auto"/>
        <w:rPr>
          <w:sz w:val="18"/>
          <w:szCs w:val="18"/>
        </w:rPr>
      </w:pPr>
      <w:r w:rsidRPr="00BA2972">
        <w:rPr>
          <w:sz w:val="18"/>
          <w:szCs w:val="18"/>
          <w:vertAlign w:val="superscript"/>
        </w:rPr>
        <w:t>*)</w:t>
      </w:r>
      <w:r w:rsidRPr="00BA2972">
        <w:rPr>
          <w:sz w:val="18"/>
          <w:szCs w:val="18"/>
        </w:rPr>
        <w:t xml:space="preserve"> přepočteni na počet plných úvazků, neboli plně zaměstnané učitele</w:t>
      </w:r>
    </w:p>
    <w:p w14:paraId="7666FCBF" w14:textId="1EA7C38C" w:rsidR="00D96D3A" w:rsidRPr="00D96D3A" w:rsidRDefault="00D96D3A" w:rsidP="00D96D3A">
      <w:pPr>
        <w:spacing w:after="120" w:line="276" w:lineRule="auto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1AA9B1C2" w14:textId="474A7850" w:rsidR="00D96D3A" w:rsidRDefault="00FA7769" w:rsidP="00FA7769">
      <w:pPr>
        <w:spacing w:after="120"/>
        <w:jc w:val="both"/>
      </w:pPr>
      <w:r w:rsidRPr="001D1AB1">
        <w:t xml:space="preserve">Na jednoho </w:t>
      </w:r>
      <w:r w:rsidRPr="001D1AB1">
        <w:rPr>
          <w:b/>
        </w:rPr>
        <w:t xml:space="preserve">učitele </w:t>
      </w:r>
      <w:r w:rsidRPr="001D1AB1">
        <w:t xml:space="preserve">(resp. na jeden plný úvazek </w:t>
      </w:r>
      <w:r w:rsidR="002B7648">
        <w:t>učitele) př</w:t>
      </w:r>
      <w:r w:rsidR="00780F58">
        <w:t>ipadalo v průměru 3,5</w:t>
      </w:r>
      <w:r w:rsidRPr="001D1AB1">
        <w:t xml:space="preserve"> žáka. Přitom ve školách s veřejným zřizovatelem při</w:t>
      </w:r>
      <w:r w:rsidR="007B7EF6">
        <w:t>padalo na jednoho učitele</w:t>
      </w:r>
      <w:r w:rsidR="00780F58">
        <w:t xml:space="preserve"> méně žáků (3,3</w:t>
      </w:r>
      <w:r w:rsidRPr="001D1AB1">
        <w:t>), než jak tomu bylo ve školách se soukro</w:t>
      </w:r>
      <w:r w:rsidR="009A0F7E">
        <w:t>mým či církevn</w:t>
      </w:r>
      <w:r w:rsidR="00780F58">
        <w:t>ím zřizovatelem</w:t>
      </w:r>
      <w:r w:rsidR="009E78FB">
        <w:t xml:space="preserve"> (5,2, resp. 3,6</w:t>
      </w:r>
      <w:r w:rsidRPr="001D1AB1">
        <w:t xml:space="preserve"> žáka)</w:t>
      </w:r>
      <w:r w:rsidR="00B01436">
        <w:t xml:space="preserve">. </w:t>
      </w:r>
    </w:p>
    <w:p w14:paraId="0E1C2131" w14:textId="05E8B8A8" w:rsidR="009A0F7E" w:rsidRPr="001D1AB1" w:rsidRDefault="00B01436" w:rsidP="00FA7769">
      <w:pPr>
        <w:spacing w:after="120"/>
        <w:jc w:val="both"/>
      </w:pPr>
      <w:r w:rsidRPr="0072037E">
        <w:t>Pokud se jedná o </w:t>
      </w:r>
      <w:r w:rsidR="00FA7769" w:rsidRPr="0072037E">
        <w:t>genderové složení, v</w:t>
      </w:r>
      <w:r w:rsidR="00FA7769" w:rsidRPr="001D1AB1">
        <w:t> kapitole věnované středním školám bylo řečeno, že tři pětiny všech středoškolských učitelů přepočtených na plně zaměstn</w:t>
      </w:r>
      <w:r w:rsidR="006E63F2">
        <w:t>ané tvořily ženy. Oproti tomu v </w:t>
      </w:r>
      <w:r w:rsidR="00FA7769" w:rsidRPr="001D1AB1">
        <w:t xml:space="preserve">konzervatořích byl podíl žen a mužů mezi pedagogy </w:t>
      </w:r>
      <w:r w:rsidR="0072037E">
        <w:t>vyrovnaný – ve</w:t>
      </w:r>
      <w:r w:rsidR="00FA7769" w:rsidRPr="001D1AB1">
        <w:t xml:space="preserve"> škol</w:t>
      </w:r>
      <w:r w:rsidR="0072037E">
        <w:t>ním roce 2022/23</w:t>
      </w:r>
      <w:r w:rsidR="006E63F2">
        <w:t xml:space="preserve"> tvořily</w:t>
      </w:r>
      <w:r w:rsidR="0072037E">
        <w:t xml:space="preserve"> ženy 49,8</w:t>
      </w:r>
      <w:r w:rsidR="00FA7769" w:rsidRPr="001D1AB1">
        <w:t> % všech učitelů.</w:t>
      </w:r>
    </w:p>
    <w:p w14:paraId="34145A96" w14:textId="0B745A13" w:rsidR="00FA7769" w:rsidRPr="00FA42B4" w:rsidRDefault="00FA7769" w:rsidP="00FA7769">
      <w:pPr>
        <w:spacing w:after="120"/>
        <w:jc w:val="both"/>
        <w:rPr>
          <w:rFonts w:cs="Arial"/>
          <w:szCs w:val="20"/>
        </w:rPr>
      </w:pPr>
      <w:r w:rsidRPr="00F674B7">
        <w:rPr>
          <w:rFonts w:cs="Arial"/>
          <w:szCs w:val="20"/>
        </w:rPr>
        <w:t xml:space="preserve">Věnujme nyní pozornost </w:t>
      </w:r>
      <w:r w:rsidRPr="00F674B7">
        <w:rPr>
          <w:rFonts w:cs="Arial"/>
          <w:b/>
          <w:szCs w:val="20"/>
        </w:rPr>
        <w:t>vývoji počtu žáků v čase</w:t>
      </w:r>
      <w:r w:rsidRPr="00F674B7">
        <w:rPr>
          <w:rFonts w:cs="Arial"/>
          <w:szCs w:val="20"/>
        </w:rPr>
        <w:t xml:space="preserve">. </w:t>
      </w:r>
      <w:r w:rsidR="00032784">
        <w:rPr>
          <w:rFonts w:cs="Arial"/>
          <w:szCs w:val="20"/>
        </w:rPr>
        <w:t>V předchozích kapitolách této publikace</w:t>
      </w:r>
      <w:r w:rsidRPr="00F674B7">
        <w:rPr>
          <w:rFonts w:cs="Arial"/>
          <w:szCs w:val="20"/>
        </w:rPr>
        <w:t xml:space="preserve"> bylo uv</w:t>
      </w:r>
      <w:r w:rsidRPr="00B50212">
        <w:rPr>
          <w:rFonts w:cs="Arial"/>
          <w:szCs w:val="20"/>
        </w:rPr>
        <w:t xml:space="preserve">edeno, že počet </w:t>
      </w:r>
      <w:r w:rsidR="0072483C" w:rsidRPr="00B50212">
        <w:rPr>
          <w:rFonts w:cs="Arial"/>
          <w:szCs w:val="20"/>
        </w:rPr>
        <w:t>žáků</w:t>
      </w:r>
      <w:r w:rsidR="00B50212" w:rsidRPr="00B50212">
        <w:rPr>
          <w:rFonts w:cs="Arial"/>
          <w:szCs w:val="20"/>
        </w:rPr>
        <w:t xml:space="preserve"> v </w:t>
      </w:r>
      <w:r w:rsidRPr="00B50212">
        <w:rPr>
          <w:rFonts w:cs="Arial"/>
          <w:szCs w:val="20"/>
        </w:rPr>
        <w:t>základních školách měl v posledních deseti lete</w:t>
      </w:r>
      <w:r w:rsidR="006E63F2" w:rsidRPr="00B50212">
        <w:rPr>
          <w:rFonts w:cs="Arial"/>
          <w:szCs w:val="20"/>
        </w:rPr>
        <w:t>ch vzestupnou tendenci. P</w:t>
      </w:r>
      <w:r w:rsidR="00B50212" w:rsidRPr="00B50212">
        <w:rPr>
          <w:rFonts w:cs="Arial"/>
          <w:szCs w:val="20"/>
        </w:rPr>
        <w:t>očet žáků</w:t>
      </w:r>
      <w:r w:rsidRPr="00B50212">
        <w:rPr>
          <w:rFonts w:cs="Arial"/>
          <w:szCs w:val="20"/>
        </w:rPr>
        <w:t xml:space="preserve"> ve středních školách naopak</w:t>
      </w:r>
      <w:r w:rsidR="00F674B7">
        <w:rPr>
          <w:rFonts w:cs="Arial"/>
          <w:szCs w:val="20"/>
        </w:rPr>
        <w:t xml:space="preserve"> nejprve</w:t>
      </w:r>
      <w:r w:rsidRPr="00B50212">
        <w:rPr>
          <w:rFonts w:cs="Arial"/>
          <w:szCs w:val="20"/>
        </w:rPr>
        <w:t xml:space="preserve"> klesal</w:t>
      </w:r>
      <w:r w:rsidR="00F674B7">
        <w:rPr>
          <w:rFonts w:cs="Arial"/>
          <w:szCs w:val="20"/>
        </w:rPr>
        <w:t>, po šesti letech klesání však začal stoupat</w:t>
      </w:r>
      <w:r w:rsidR="00032784">
        <w:rPr>
          <w:rFonts w:cs="Arial"/>
          <w:szCs w:val="20"/>
        </w:rPr>
        <w:t>. Pokud se jedná o </w:t>
      </w:r>
      <w:r w:rsidRPr="00B25BE0">
        <w:rPr>
          <w:rFonts w:cs="Arial"/>
          <w:szCs w:val="20"/>
        </w:rPr>
        <w:t>konzervatoře, počet žáků se v desetileté časové řadě zvýšil z 3 </w:t>
      </w:r>
      <w:r w:rsidR="00B25BE0" w:rsidRPr="00B25BE0">
        <w:rPr>
          <w:rFonts w:cs="Arial"/>
          <w:szCs w:val="20"/>
        </w:rPr>
        <w:t>655 žáků ve školní</w:t>
      </w:r>
      <w:bookmarkStart w:id="4" w:name="_GoBack"/>
      <w:bookmarkEnd w:id="4"/>
      <w:r w:rsidR="00B25BE0" w:rsidRPr="00B25BE0">
        <w:rPr>
          <w:rFonts w:cs="Arial"/>
          <w:szCs w:val="20"/>
        </w:rPr>
        <w:t>m roce 2012/13</w:t>
      </w:r>
      <w:r w:rsidRPr="00B25BE0">
        <w:rPr>
          <w:rFonts w:cs="Arial"/>
          <w:szCs w:val="20"/>
        </w:rPr>
        <w:t xml:space="preserve"> na 3 </w:t>
      </w:r>
      <w:r w:rsidR="00443055" w:rsidRPr="00B25BE0">
        <w:rPr>
          <w:rFonts w:cs="Arial"/>
          <w:szCs w:val="20"/>
        </w:rPr>
        <w:t>902 žáků ve školním roce 2020/21</w:t>
      </w:r>
      <w:r w:rsidR="00B25BE0" w:rsidRPr="00B25BE0">
        <w:rPr>
          <w:rFonts w:cs="Arial"/>
          <w:szCs w:val="20"/>
        </w:rPr>
        <w:t>, v posledních</w:t>
      </w:r>
      <w:r w:rsidR="00B50212">
        <w:rPr>
          <w:rFonts w:cs="Arial"/>
          <w:szCs w:val="20"/>
        </w:rPr>
        <w:t xml:space="preserve"> </w:t>
      </w:r>
      <w:r w:rsidR="00B25BE0">
        <w:rPr>
          <w:rFonts w:cs="Arial"/>
          <w:szCs w:val="20"/>
        </w:rPr>
        <w:t>dvou školních rocích však mírně poklesl na 3 837</w:t>
      </w:r>
      <w:r w:rsidR="00B50212">
        <w:rPr>
          <w:rFonts w:cs="Arial"/>
          <w:szCs w:val="20"/>
        </w:rPr>
        <w:t xml:space="preserve"> žáků</w:t>
      </w:r>
      <w:r w:rsidRPr="00FA42B4">
        <w:rPr>
          <w:rFonts w:cs="Arial"/>
          <w:szCs w:val="20"/>
        </w:rPr>
        <w:t>. Podíl dívek z těchto žáků se ve sledovaných školních rocích pohyboval mezi 61</w:t>
      </w:r>
      <w:r w:rsidR="00B25BE0">
        <w:rPr>
          <w:rFonts w:cs="Arial"/>
          <w:szCs w:val="20"/>
        </w:rPr>
        <w:t>,5 % ve školním roce 2012/13</w:t>
      </w:r>
      <w:r w:rsidRPr="00FA42B4">
        <w:rPr>
          <w:rFonts w:cs="Arial"/>
          <w:szCs w:val="20"/>
        </w:rPr>
        <w:t xml:space="preserve"> a 64,3 % ve školním roce 2017/18 – viz graf </w:t>
      </w:r>
      <w:r>
        <w:rPr>
          <w:rFonts w:cs="Arial"/>
          <w:szCs w:val="20"/>
        </w:rPr>
        <w:t>4.1</w:t>
      </w:r>
      <w:r w:rsidRPr="00FA42B4">
        <w:rPr>
          <w:rFonts w:cs="Arial"/>
          <w:szCs w:val="20"/>
        </w:rPr>
        <w:t xml:space="preserve">. Doplňme, že za posledních </w:t>
      </w:r>
      <w:r w:rsidR="00B50212">
        <w:rPr>
          <w:rFonts w:cs="Arial"/>
          <w:szCs w:val="20"/>
        </w:rPr>
        <w:t>deset</w:t>
      </w:r>
      <w:r w:rsidRPr="00FA42B4">
        <w:rPr>
          <w:rFonts w:cs="Arial"/>
          <w:szCs w:val="20"/>
        </w:rPr>
        <w:t xml:space="preserve"> let zůstal počet konzervatoří celkem, jakož i počet konzervatoří</w:t>
      </w:r>
      <w:r>
        <w:rPr>
          <w:rFonts w:cs="Arial"/>
          <w:szCs w:val="20"/>
        </w:rPr>
        <w:t xml:space="preserve"> poskytujících šestileté a</w:t>
      </w:r>
      <w:r w:rsidRPr="00FA42B4">
        <w:rPr>
          <w:rFonts w:cs="Arial"/>
          <w:szCs w:val="20"/>
        </w:rPr>
        <w:t xml:space="preserve"> osmileté vzdělávání neměnný.</w:t>
      </w:r>
    </w:p>
    <w:p w14:paraId="0BE3F480" w14:textId="5AD6AB6E" w:rsidR="00FA7769" w:rsidRDefault="00FA7769" w:rsidP="00FA7769">
      <w:pPr>
        <w:keepNext/>
        <w:spacing w:after="120" w:line="240" w:lineRule="auto"/>
        <w:rPr>
          <w:b/>
        </w:rPr>
      </w:pPr>
      <w:r w:rsidRPr="00B828FF">
        <w:rPr>
          <w:b/>
        </w:rPr>
        <w:lastRenderedPageBreak/>
        <w:t>G</w:t>
      </w:r>
      <w:r>
        <w:rPr>
          <w:b/>
        </w:rPr>
        <w:t>raf</w:t>
      </w:r>
      <w:r w:rsidRPr="00B828FF">
        <w:rPr>
          <w:b/>
        </w:rPr>
        <w:t xml:space="preserve"> </w:t>
      </w:r>
      <w:r>
        <w:rPr>
          <w:b/>
        </w:rPr>
        <w:t>4.1</w:t>
      </w:r>
      <w:r w:rsidRPr="00B828FF">
        <w:rPr>
          <w:b/>
        </w:rPr>
        <w:t xml:space="preserve"> Konzervatoře – </w:t>
      </w:r>
      <w:r w:rsidR="00443055">
        <w:rPr>
          <w:b/>
        </w:rPr>
        <w:t>vývoj počtu žáků a podílu dívek</w:t>
      </w:r>
    </w:p>
    <w:p w14:paraId="43279B55" w14:textId="3C447892" w:rsidR="00FA7769" w:rsidRPr="00443055" w:rsidRDefault="00F674B7" w:rsidP="00443055">
      <w:pPr>
        <w:keepNext/>
        <w:spacing w:after="120" w:line="240" w:lineRule="auto"/>
        <w:rPr>
          <w:b/>
        </w:rPr>
      </w:pPr>
      <w:r>
        <w:rPr>
          <w:noProof/>
        </w:rPr>
        <w:drawing>
          <wp:inline distT="0" distB="0" distL="0" distR="0" wp14:anchorId="656E6F23" wp14:editId="611DDB1B">
            <wp:extent cx="6105525" cy="2314575"/>
            <wp:effectExtent l="0" t="0" r="9525" b="9525"/>
            <wp:docPr id="40" name="Graf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7ED4A2" w14:textId="77777777" w:rsidR="00FA7769" w:rsidRPr="00FC423B" w:rsidRDefault="00FA7769" w:rsidP="00AB0787">
      <w:pPr>
        <w:spacing w:after="120" w:line="276" w:lineRule="auto"/>
        <w:jc w:val="right"/>
        <w:rPr>
          <w:rFonts w:asciiTheme="minorHAnsi" w:hAnsiTheme="minorHAnsi"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59B03300" w14:textId="0B4714AE" w:rsidR="00FA7769" w:rsidRPr="00FA42B4" w:rsidRDefault="00FA7769" w:rsidP="00FA7769">
      <w:pPr>
        <w:spacing w:after="120"/>
        <w:jc w:val="both"/>
      </w:pPr>
      <w:r w:rsidRPr="00FA42B4">
        <w:t xml:space="preserve">Podíváme-li se na </w:t>
      </w:r>
      <w:r w:rsidRPr="00FA42B4">
        <w:rPr>
          <w:b/>
        </w:rPr>
        <w:t>rozložení konzervatoří do krajů v České republice</w:t>
      </w:r>
      <w:r w:rsidRPr="00FA42B4">
        <w:t>, pak osm z celkem osmnácti konz</w:t>
      </w:r>
      <w:r w:rsidR="009334D3">
        <w:t>ervatoř</w:t>
      </w:r>
      <w:r w:rsidR="00054851">
        <w:t>í se ve školn</w:t>
      </w:r>
      <w:r w:rsidR="0033478D">
        <w:t>ím roce 2022/23</w:t>
      </w:r>
      <w:r w:rsidRPr="00FA42B4">
        <w:t xml:space="preserve"> nacházelo v Praze, po dvou v Jihomoravském a Moravskoslezském kraji a po jedné konzervatoři v kraji Jihočeském, Plzeňském, Ústeckém, Pardubickém, Olomouckém a Zlínském. Ve všech těchto krajích konzervatoře nabízely vzdělávání v šestiletém programu. Kromě toho v Praze tři konzervatoře nabízely vzdělávání v osmiletém programu a jedn</w:t>
      </w:r>
      <w:r w:rsidR="00C0105C">
        <w:t>u takovou konzervatoř najdeme i </w:t>
      </w:r>
      <w:r w:rsidRPr="00FA42B4">
        <w:t>v kraji Jihomoravském</w:t>
      </w:r>
      <w:r w:rsidR="009334D3">
        <w:t xml:space="preserve"> a Moravskoslezském</w:t>
      </w:r>
      <w:r w:rsidRPr="00FA42B4">
        <w:t xml:space="preserve">. </w:t>
      </w:r>
    </w:p>
    <w:p w14:paraId="57A17345" w14:textId="33584FFC" w:rsidR="00FA7769" w:rsidRPr="00FA42B4" w:rsidRDefault="00FA7769" w:rsidP="00FA7769">
      <w:pPr>
        <w:spacing w:after="120"/>
        <w:jc w:val="both"/>
      </w:pPr>
      <w:r w:rsidRPr="001F7BB8">
        <w:t>Graf 4.2 znázorňuje, jaký</w:t>
      </w:r>
      <w:r w:rsidRPr="00FA42B4">
        <w:t xml:space="preserve"> </w:t>
      </w:r>
      <w:r w:rsidRPr="00FA42B4">
        <w:rPr>
          <w:b/>
        </w:rPr>
        <w:t>podíl žáků</w:t>
      </w:r>
      <w:r w:rsidRPr="00FA42B4">
        <w:t xml:space="preserve"> konzervatoří se </w:t>
      </w:r>
      <w:r w:rsidR="0033478D">
        <w:t>ve školním roce 2022/23</w:t>
      </w:r>
      <w:r w:rsidR="00986E0F">
        <w:t xml:space="preserve"> vzdělával</w:t>
      </w:r>
      <w:r w:rsidRPr="00FA42B4">
        <w:t xml:space="preserve"> </w:t>
      </w:r>
      <w:r w:rsidRPr="00FA42B4">
        <w:rPr>
          <w:b/>
        </w:rPr>
        <w:t>v jednotlivých</w:t>
      </w:r>
      <w:r w:rsidRPr="00FA42B4">
        <w:t xml:space="preserve"> </w:t>
      </w:r>
      <w:r w:rsidRPr="00FA42B4">
        <w:rPr>
          <w:b/>
        </w:rPr>
        <w:t>krajích České republiky</w:t>
      </w:r>
      <w:r w:rsidRPr="00FA42B4">
        <w:t>. Jak lze z počtu konzervatoří v jednotlivých krajích odvodit, velká č</w:t>
      </w:r>
      <w:r w:rsidR="00C513DA">
        <w:t>ást žáků se ve školním roce 2022/23</w:t>
      </w:r>
      <w:r w:rsidRPr="00FA42B4">
        <w:t xml:space="preserve"> vzdělávala n</w:t>
      </w:r>
      <w:r w:rsidR="00C513DA">
        <w:t>a pražských konzervatořích (45,7</w:t>
      </w:r>
      <w:r w:rsidRPr="00FA42B4">
        <w:t> %; celkem 1 7</w:t>
      </w:r>
      <w:r w:rsidR="00C513DA">
        <w:t>55</w:t>
      </w:r>
      <w:r w:rsidRPr="00FA42B4">
        <w:t xml:space="preserve"> žáků) a větší než desetinový podíl žáků najdeme též v konzervatořích v Jihomoravs</w:t>
      </w:r>
      <w:r w:rsidR="00C778C6">
        <w:t>ké</w:t>
      </w:r>
      <w:r w:rsidR="00C513DA">
        <w:t>m a Moravskoslezském kraji (12,7</w:t>
      </w:r>
      <w:r w:rsidR="003B7A27">
        <w:t> %, resp. 12,2</w:t>
      </w:r>
      <w:r w:rsidRPr="00FA42B4">
        <w:t xml:space="preserve"> %). V kraji Pardubickém, </w:t>
      </w:r>
      <w:r w:rsidR="00C513DA">
        <w:t>Plzeňském i Ústeckém</w:t>
      </w:r>
      <w:r w:rsidR="00C778C6">
        <w:t xml:space="preserve"> </w:t>
      </w:r>
      <w:r w:rsidRPr="00FA42B4">
        <w:t>se vzdělávalo více než 5 % ze všech žák</w:t>
      </w:r>
      <w:r w:rsidR="00C513DA">
        <w:t>ů konzervatoří (6,5 %, resp. 5,6 %, resp. 5,3 %)</w:t>
      </w:r>
      <w:r w:rsidRPr="00FA42B4">
        <w:t>. Menší než pětiprocentní podíly pak</w:t>
      </w:r>
      <w:r w:rsidR="00C778C6">
        <w:t xml:space="preserve"> najdeme v krajích Zlí</w:t>
      </w:r>
      <w:r w:rsidR="003B7A27">
        <w:t>n</w:t>
      </w:r>
      <w:r w:rsidR="00C513DA">
        <w:t>ském (4,8 %), Jihočeském (4,0 %) a Olomouckém (3,2</w:t>
      </w:r>
      <w:r w:rsidRPr="00FA42B4">
        <w:t> %), kde se vzdělávalo již méně než 200 žáků (nejméně v</w:t>
      </w:r>
      <w:r w:rsidR="00C513DA">
        <w:t> Olomouckém kraji, konkrétně 122</w:t>
      </w:r>
      <w:r w:rsidRPr="00FA42B4">
        <w:t xml:space="preserve"> žáků). </w:t>
      </w:r>
    </w:p>
    <w:p w14:paraId="67D009F6" w14:textId="515C8785" w:rsidR="00FA7769" w:rsidRDefault="00FA7769" w:rsidP="00B4167E">
      <w:pPr>
        <w:keepNext/>
        <w:spacing w:after="120" w:line="240" w:lineRule="auto"/>
        <w:jc w:val="both"/>
        <w:rPr>
          <w:b/>
        </w:rPr>
      </w:pPr>
      <w:r w:rsidRPr="004A4787">
        <w:rPr>
          <w:b/>
        </w:rPr>
        <w:t>G</w:t>
      </w:r>
      <w:r>
        <w:rPr>
          <w:b/>
        </w:rPr>
        <w:t>raf</w:t>
      </w:r>
      <w:r w:rsidRPr="004A4787">
        <w:rPr>
          <w:b/>
        </w:rPr>
        <w:t xml:space="preserve"> </w:t>
      </w:r>
      <w:r>
        <w:rPr>
          <w:b/>
        </w:rPr>
        <w:t>4.</w:t>
      </w:r>
      <w:r w:rsidRPr="004A4787">
        <w:rPr>
          <w:b/>
        </w:rPr>
        <w:t>2 Konzervatoře – podíly žáků vzdělávajících se v jednotlivých krajích</w:t>
      </w:r>
      <w:r>
        <w:rPr>
          <w:b/>
        </w:rPr>
        <w:t xml:space="preserve"> </w:t>
      </w:r>
      <w:r w:rsidR="00C513DA">
        <w:rPr>
          <w:b/>
        </w:rPr>
        <w:t>(2022/23</w:t>
      </w:r>
      <w:r w:rsidRPr="004A4787">
        <w:rPr>
          <w:b/>
        </w:rPr>
        <w:t>)</w:t>
      </w:r>
    </w:p>
    <w:p w14:paraId="331B11C9" w14:textId="0837FC72" w:rsidR="00FA7769" w:rsidRDefault="0033478D" w:rsidP="00C513DA">
      <w:pPr>
        <w:keepNext/>
        <w:spacing w:after="120" w:line="24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5E934DB1" wp14:editId="271309AA">
            <wp:extent cx="6048375" cy="3038475"/>
            <wp:effectExtent l="0" t="0" r="9525" b="9525"/>
            <wp:docPr id="42" name="Graf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8629AE" w14:textId="77777777" w:rsidR="00FA7769" w:rsidRPr="00FC423B" w:rsidRDefault="00FA7769" w:rsidP="00AB0787">
      <w:pPr>
        <w:spacing w:after="120" w:line="276" w:lineRule="auto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25F9D400" w14:textId="2D81C4A1" w:rsidR="00FA7769" w:rsidRPr="00FA42B4" w:rsidRDefault="006D1C1C" w:rsidP="00FA776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Ve školním roce 2022/23</w:t>
      </w:r>
      <w:r w:rsidR="00FA7769" w:rsidRPr="00933A78">
        <w:rPr>
          <w:rFonts w:cs="Arial"/>
          <w:szCs w:val="20"/>
        </w:rPr>
        <w:t xml:space="preserve"> </w:t>
      </w:r>
      <w:r w:rsidR="00E317EF">
        <w:rPr>
          <w:rFonts w:cs="Arial"/>
          <w:szCs w:val="20"/>
        </w:rPr>
        <w:t>navštěvovalo konzervatoře</w:t>
      </w:r>
      <w:r w:rsidR="00FA7769" w:rsidRPr="00933A78">
        <w:rPr>
          <w:rFonts w:cs="Arial"/>
          <w:szCs w:val="20"/>
        </w:rPr>
        <w:t xml:space="preserve"> v České</w:t>
      </w:r>
      <w:r>
        <w:rPr>
          <w:rFonts w:cs="Arial"/>
          <w:szCs w:val="20"/>
        </w:rPr>
        <w:t xml:space="preserve"> republice celkem 281</w:t>
      </w:r>
      <w:r w:rsidR="00FA7769" w:rsidRPr="00933A78">
        <w:rPr>
          <w:rFonts w:cs="Arial"/>
          <w:szCs w:val="20"/>
        </w:rPr>
        <w:t xml:space="preserve"> </w:t>
      </w:r>
      <w:r w:rsidR="00FA7769" w:rsidRPr="00933A78">
        <w:rPr>
          <w:rFonts w:cs="Arial"/>
          <w:b/>
          <w:szCs w:val="20"/>
        </w:rPr>
        <w:t>žáků cizí státní příslušnosti</w:t>
      </w:r>
      <w:r>
        <w:rPr>
          <w:rFonts w:cs="Arial"/>
          <w:szCs w:val="20"/>
        </w:rPr>
        <w:t>, což jsou 7</w:t>
      </w:r>
      <w:r w:rsidR="00471995" w:rsidRPr="00933A78">
        <w:rPr>
          <w:rFonts w:cs="Arial"/>
          <w:szCs w:val="20"/>
        </w:rPr>
        <w:t>,4 %</w:t>
      </w:r>
      <w:r w:rsidR="00471995">
        <w:rPr>
          <w:rFonts w:cs="Arial"/>
          <w:szCs w:val="20"/>
        </w:rPr>
        <w:t xml:space="preserve"> z celk</w:t>
      </w:r>
      <w:r w:rsidR="00933A78">
        <w:rPr>
          <w:rFonts w:cs="Arial"/>
          <w:szCs w:val="20"/>
        </w:rPr>
        <w:t xml:space="preserve">ového počtu žáků. </w:t>
      </w:r>
      <w:r>
        <w:rPr>
          <w:rFonts w:cs="Arial"/>
          <w:szCs w:val="20"/>
        </w:rPr>
        <w:t>V minulém školním roce to bylo 210 žáků, neboli 5,4 % z celkového počtu žáků konzervatoří. Počet žáků konzervatoří s cizím státním občanstvím se tedy zvýšil o třetinu (33,8 %) a podíl z celku o dva procentní body. Ze všech cizinců</w:t>
      </w:r>
      <w:r w:rsidR="00933A78">
        <w:rPr>
          <w:rFonts w:cs="Arial"/>
          <w:szCs w:val="20"/>
        </w:rPr>
        <w:t xml:space="preserve"> bylo</w:t>
      </w:r>
      <w:r>
        <w:rPr>
          <w:rFonts w:cs="Arial"/>
          <w:szCs w:val="20"/>
        </w:rPr>
        <w:t xml:space="preserve"> na konzervatořích ve školním roce 2022/23 celkem</w:t>
      </w:r>
      <w:r w:rsidR="005E27AB">
        <w:rPr>
          <w:rFonts w:cs="Arial"/>
          <w:szCs w:val="20"/>
        </w:rPr>
        <w:t>136 žáků z Ukrajiny (tj. více než trojnásobný počet oproti minulému školnímu roku),</w:t>
      </w:r>
      <w:r>
        <w:rPr>
          <w:rFonts w:cs="Arial"/>
          <w:szCs w:val="20"/>
        </w:rPr>
        <w:t xml:space="preserve"> 65</w:t>
      </w:r>
      <w:r w:rsidR="005E27AB">
        <w:rPr>
          <w:rFonts w:cs="Arial"/>
          <w:szCs w:val="20"/>
        </w:rPr>
        <w:t xml:space="preserve"> žáků ze Slovenska a</w:t>
      </w:r>
      <w:r w:rsidR="00471995">
        <w:rPr>
          <w:rFonts w:cs="Arial"/>
          <w:szCs w:val="20"/>
        </w:rPr>
        <w:t xml:space="preserve"> </w:t>
      </w:r>
      <w:r w:rsidR="005E27AB">
        <w:rPr>
          <w:rFonts w:cs="Arial"/>
          <w:szCs w:val="20"/>
        </w:rPr>
        <w:t>27</w:t>
      </w:r>
      <w:r w:rsidR="00FA7769" w:rsidRPr="00FA42B4">
        <w:rPr>
          <w:rFonts w:cs="Arial"/>
          <w:szCs w:val="20"/>
        </w:rPr>
        <w:t xml:space="preserve"> z</w:t>
      </w:r>
      <w:r w:rsidR="00933A78">
        <w:rPr>
          <w:rFonts w:cs="Arial"/>
          <w:szCs w:val="20"/>
        </w:rPr>
        <w:t> Ruska</w:t>
      </w:r>
      <w:r w:rsidR="00FA7769" w:rsidRPr="00FA42B4">
        <w:rPr>
          <w:rFonts w:cs="Arial"/>
          <w:szCs w:val="20"/>
        </w:rPr>
        <w:t xml:space="preserve">. </w:t>
      </w:r>
      <w:r w:rsidR="00471995">
        <w:rPr>
          <w:rFonts w:cs="Arial"/>
          <w:szCs w:val="20"/>
        </w:rPr>
        <w:t>Z</w:t>
      </w:r>
      <w:r w:rsidR="00FA7769" w:rsidRPr="00FA42B4">
        <w:rPr>
          <w:rFonts w:cs="Arial"/>
          <w:szCs w:val="20"/>
        </w:rPr>
        <w:t xml:space="preserve"> ostatních jednotlivých cizích zemí již bylo v našich konzervatořích zaznamenáno </w:t>
      </w:r>
      <w:r w:rsidR="00933A78">
        <w:rPr>
          <w:rFonts w:cs="Arial"/>
          <w:szCs w:val="20"/>
        </w:rPr>
        <w:t xml:space="preserve">6 a méně </w:t>
      </w:r>
      <w:r w:rsidR="00FA7769" w:rsidRPr="00FA42B4">
        <w:rPr>
          <w:rFonts w:cs="Arial"/>
          <w:szCs w:val="20"/>
        </w:rPr>
        <w:t xml:space="preserve">žáků.  </w:t>
      </w:r>
    </w:p>
    <w:p w14:paraId="7C46CB07" w14:textId="6DDA59D8" w:rsidR="00FA7769" w:rsidRDefault="00FA7769" w:rsidP="00FA7769">
      <w:pPr>
        <w:spacing w:after="120"/>
        <w:jc w:val="both"/>
      </w:pPr>
      <w:r w:rsidRPr="00FA42B4">
        <w:rPr>
          <w:rFonts w:cs="Arial"/>
          <w:szCs w:val="20"/>
        </w:rPr>
        <w:t xml:space="preserve">Graf </w:t>
      </w:r>
      <w:r>
        <w:rPr>
          <w:rFonts w:cs="Arial"/>
          <w:szCs w:val="20"/>
        </w:rPr>
        <w:t>4.</w:t>
      </w:r>
      <w:r w:rsidRPr="00FA42B4">
        <w:rPr>
          <w:rFonts w:cs="Arial"/>
          <w:szCs w:val="20"/>
        </w:rPr>
        <w:t xml:space="preserve">3 uvádí podíly </w:t>
      </w:r>
      <w:r w:rsidRPr="00FA42B4">
        <w:rPr>
          <w:rFonts w:cs="Arial"/>
          <w:b/>
          <w:szCs w:val="20"/>
        </w:rPr>
        <w:t>žáků cizí státní příslušnosti</w:t>
      </w:r>
      <w:r w:rsidRPr="00FA42B4">
        <w:rPr>
          <w:rFonts w:cs="Arial"/>
          <w:szCs w:val="20"/>
        </w:rPr>
        <w:t xml:space="preserve"> vzdělávajících se v konzervatořích v jednotliv</w:t>
      </w:r>
      <w:r w:rsidR="00077BD2">
        <w:rPr>
          <w:rFonts w:cs="Arial"/>
          <w:szCs w:val="20"/>
        </w:rPr>
        <w:t xml:space="preserve">ých krajích </w:t>
      </w:r>
      <w:r w:rsidR="00143675">
        <w:rPr>
          <w:rFonts w:cs="Arial"/>
          <w:szCs w:val="20"/>
        </w:rPr>
        <w:t>ve školním roce 2022/23</w:t>
      </w:r>
      <w:r w:rsidRPr="00FA42B4">
        <w:rPr>
          <w:rFonts w:cs="Arial"/>
          <w:szCs w:val="20"/>
        </w:rPr>
        <w:t>. Není překvapivé, že nejvyšší podíl žáků cizí státní příslušnosti najdeme</w:t>
      </w:r>
      <w:r w:rsidR="00143675">
        <w:rPr>
          <w:rFonts w:cs="Arial"/>
          <w:szCs w:val="20"/>
        </w:rPr>
        <w:t xml:space="preserve"> v pražských konzervatořích 10,5</w:t>
      </w:r>
      <w:r w:rsidRPr="00FA42B4">
        <w:rPr>
          <w:rFonts w:cs="Arial"/>
          <w:szCs w:val="20"/>
        </w:rPr>
        <w:t xml:space="preserve"> %). </w:t>
      </w:r>
      <w:r w:rsidR="00846BFD">
        <w:rPr>
          <w:rFonts w:cs="Arial"/>
          <w:szCs w:val="20"/>
        </w:rPr>
        <w:t>Nadprůměrného podílu cizi</w:t>
      </w:r>
      <w:r w:rsidR="00077BD2">
        <w:rPr>
          <w:rFonts w:cs="Arial"/>
          <w:szCs w:val="20"/>
        </w:rPr>
        <w:t xml:space="preserve">nců dosáhl také </w:t>
      </w:r>
      <w:r w:rsidR="00143675">
        <w:rPr>
          <w:rFonts w:cs="Arial"/>
          <w:szCs w:val="20"/>
        </w:rPr>
        <w:t>Jihomoravský kraj (7,6</w:t>
      </w:r>
      <w:r w:rsidR="00846BFD">
        <w:rPr>
          <w:rFonts w:cs="Arial"/>
          <w:szCs w:val="20"/>
        </w:rPr>
        <w:t> </w:t>
      </w:r>
      <w:r w:rsidR="00143675">
        <w:rPr>
          <w:rFonts w:cs="Arial"/>
          <w:szCs w:val="20"/>
        </w:rPr>
        <w:t>%) a</w:t>
      </w:r>
      <w:r w:rsidR="00077BD2">
        <w:rPr>
          <w:rFonts w:cs="Arial"/>
          <w:szCs w:val="20"/>
        </w:rPr>
        <w:t xml:space="preserve"> kraj </w:t>
      </w:r>
      <w:r w:rsidR="00140C07">
        <w:rPr>
          <w:rFonts w:cs="Arial"/>
          <w:szCs w:val="20"/>
        </w:rPr>
        <w:t>Plzeňský (7,5</w:t>
      </w:r>
      <w:r w:rsidR="00846BFD">
        <w:rPr>
          <w:rFonts w:cs="Arial"/>
          <w:szCs w:val="20"/>
        </w:rPr>
        <w:t xml:space="preserve"> %).  </w:t>
      </w:r>
      <w:r w:rsidRPr="00FA42B4">
        <w:rPr>
          <w:rFonts w:cs="Arial"/>
          <w:szCs w:val="20"/>
        </w:rPr>
        <w:t>Naopak ne</w:t>
      </w:r>
      <w:r w:rsidR="00140C07">
        <w:rPr>
          <w:rFonts w:cs="Arial"/>
          <w:szCs w:val="20"/>
        </w:rPr>
        <w:t>jmenší podíl cizinců zaznamenala konzervatoř</w:t>
      </w:r>
      <w:r w:rsidRPr="00FA42B4">
        <w:rPr>
          <w:rFonts w:cs="Arial"/>
          <w:szCs w:val="20"/>
        </w:rPr>
        <w:t xml:space="preserve"> v</w:t>
      </w:r>
      <w:r w:rsidR="00C0105C">
        <w:rPr>
          <w:rFonts w:cs="Arial"/>
          <w:szCs w:val="20"/>
        </w:rPr>
        <w:t xml:space="preserve"> kraji </w:t>
      </w:r>
      <w:r w:rsidR="00140C07">
        <w:rPr>
          <w:rFonts w:cs="Arial"/>
          <w:szCs w:val="20"/>
        </w:rPr>
        <w:t>Úste</w:t>
      </w:r>
      <w:r w:rsidRPr="00FA42B4">
        <w:rPr>
          <w:rFonts w:cs="Arial"/>
          <w:szCs w:val="20"/>
        </w:rPr>
        <w:t>ckém (</w:t>
      </w:r>
      <w:r w:rsidR="00140C07">
        <w:rPr>
          <w:rFonts w:cs="Arial"/>
          <w:szCs w:val="20"/>
        </w:rPr>
        <w:t>2,5</w:t>
      </w:r>
      <w:r w:rsidRPr="00FA42B4">
        <w:rPr>
          <w:rFonts w:cs="Arial"/>
          <w:szCs w:val="20"/>
        </w:rPr>
        <w:t> %)</w:t>
      </w:r>
      <w:r w:rsidR="00077BD2">
        <w:rPr>
          <w:rFonts w:cs="Arial"/>
          <w:szCs w:val="20"/>
        </w:rPr>
        <w:t>. V ostatních kr</w:t>
      </w:r>
      <w:r w:rsidR="00140C07">
        <w:rPr>
          <w:rFonts w:cs="Arial"/>
          <w:szCs w:val="20"/>
        </w:rPr>
        <w:t>ajích bylo v konzervatořích od 2,8 % do 5,0</w:t>
      </w:r>
      <w:r w:rsidR="00077BD2">
        <w:rPr>
          <w:rFonts w:cs="Arial"/>
          <w:szCs w:val="20"/>
        </w:rPr>
        <w:t> % cizinců.</w:t>
      </w:r>
    </w:p>
    <w:p w14:paraId="42E7D33D" w14:textId="7E28F8DA" w:rsidR="00FA7769" w:rsidRDefault="00FA7769" w:rsidP="00124443">
      <w:pPr>
        <w:keepNext/>
        <w:spacing w:after="120" w:line="240" w:lineRule="auto"/>
        <w:jc w:val="both"/>
        <w:rPr>
          <w:b/>
        </w:rPr>
      </w:pPr>
      <w:r w:rsidRPr="005A7DA4">
        <w:rPr>
          <w:b/>
        </w:rPr>
        <w:t>G</w:t>
      </w:r>
      <w:r>
        <w:rPr>
          <w:b/>
        </w:rPr>
        <w:t>raf</w:t>
      </w:r>
      <w:r w:rsidRPr="005A7DA4">
        <w:rPr>
          <w:b/>
        </w:rPr>
        <w:t xml:space="preserve"> </w:t>
      </w:r>
      <w:r>
        <w:rPr>
          <w:b/>
        </w:rPr>
        <w:t>4.</w:t>
      </w:r>
      <w:r w:rsidRPr="005A7DA4">
        <w:rPr>
          <w:b/>
        </w:rPr>
        <w:t>3</w:t>
      </w:r>
      <w:r>
        <w:t xml:space="preserve"> </w:t>
      </w:r>
      <w:r w:rsidRPr="004A4787">
        <w:rPr>
          <w:b/>
        </w:rPr>
        <w:t xml:space="preserve">Konzervatoře – podíly žáků </w:t>
      </w:r>
      <w:r>
        <w:rPr>
          <w:b/>
        </w:rPr>
        <w:t xml:space="preserve">cizí státní příslušnosti </w:t>
      </w:r>
      <w:r w:rsidRPr="004A4787">
        <w:rPr>
          <w:b/>
        </w:rPr>
        <w:t>vzdělávajících se v jednotlivých krajích</w:t>
      </w:r>
      <w:r w:rsidR="004C6E5B">
        <w:rPr>
          <w:b/>
        </w:rPr>
        <w:t xml:space="preserve"> ze všech žáků v těchto krajích (2022/23</w:t>
      </w:r>
      <w:r>
        <w:rPr>
          <w:b/>
        </w:rPr>
        <w:t>)</w:t>
      </w:r>
    </w:p>
    <w:p w14:paraId="529FA333" w14:textId="04850E19" w:rsidR="00FA7769" w:rsidRPr="00846BFD" w:rsidRDefault="004C6E5B" w:rsidP="00FA7769">
      <w:pPr>
        <w:spacing w:after="120" w:line="24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7421D425" wp14:editId="4E12D624">
            <wp:extent cx="6120130" cy="3000375"/>
            <wp:effectExtent l="0" t="0" r="13970" b="9525"/>
            <wp:docPr id="45" name="Graf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44C5C6" w14:textId="77777777" w:rsidR="00FA7769" w:rsidRDefault="00FA7769" w:rsidP="00AB0787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56642C7F" w14:textId="690CC3B2" w:rsidR="00FA7769" w:rsidRPr="00FA42B4" w:rsidRDefault="00FA7769" w:rsidP="00FA7769">
      <w:pPr>
        <w:spacing w:after="120"/>
        <w:jc w:val="both"/>
        <w:rPr>
          <w:rFonts w:cs="Arial"/>
          <w:szCs w:val="20"/>
        </w:rPr>
      </w:pPr>
      <w:r w:rsidRPr="00FA42B4">
        <w:rPr>
          <w:rFonts w:cs="Arial"/>
          <w:szCs w:val="20"/>
        </w:rPr>
        <w:t>Můžeme doplnit, že v konzervatořích v České republice se ve školn</w:t>
      </w:r>
      <w:r w:rsidR="00846BFD">
        <w:rPr>
          <w:rFonts w:cs="Arial"/>
          <w:szCs w:val="20"/>
        </w:rPr>
        <w:t xml:space="preserve">ím roce </w:t>
      </w:r>
      <w:r w:rsidR="00B013C9">
        <w:rPr>
          <w:rFonts w:cs="Arial"/>
          <w:szCs w:val="20"/>
        </w:rPr>
        <w:t>2022/23</w:t>
      </w:r>
      <w:r w:rsidRPr="00FA42B4">
        <w:rPr>
          <w:rFonts w:cs="Arial"/>
          <w:szCs w:val="20"/>
        </w:rPr>
        <w:t xml:space="preserve"> vzdělávalo celkem </w:t>
      </w:r>
      <w:r w:rsidR="00B013C9">
        <w:rPr>
          <w:rFonts w:cs="Arial"/>
          <w:szCs w:val="20"/>
        </w:rPr>
        <w:t>88</w:t>
      </w:r>
      <w:r w:rsidRPr="005D213D">
        <w:rPr>
          <w:rFonts w:cs="Arial"/>
          <w:szCs w:val="20"/>
        </w:rPr>
        <w:t xml:space="preserve"> žáků </w:t>
      </w:r>
      <w:r w:rsidRPr="005D213D">
        <w:rPr>
          <w:rFonts w:cs="Arial"/>
          <w:b/>
          <w:szCs w:val="20"/>
        </w:rPr>
        <w:t>se zdravotním postižením</w:t>
      </w:r>
      <w:r w:rsidR="005D213D" w:rsidRPr="005D213D">
        <w:rPr>
          <w:rFonts w:cs="Arial"/>
          <w:szCs w:val="20"/>
        </w:rPr>
        <w:t>,</w:t>
      </w:r>
      <w:r w:rsidR="00B013C9">
        <w:rPr>
          <w:rFonts w:cs="Arial"/>
          <w:szCs w:val="20"/>
        </w:rPr>
        <w:t xml:space="preserve"> z čehož 37</w:t>
      </w:r>
      <w:r w:rsidR="005D213D">
        <w:rPr>
          <w:rFonts w:cs="Arial"/>
          <w:szCs w:val="20"/>
        </w:rPr>
        <w:t xml:space="preserve"> žáků </w:t>
      </w:r>
      <w:r w:rsidR="00FA3371">
        <w:rPr>
          <w:rFonts w:cs="Arial"/>
          <w:szCs w:val="20"/>
        </w:rPr>
        <w:t>tvořily</w:t>
      </w:r>
      <w:r w:rsidR="005D213D">
        <w:rPr>
          <w:rFonts w:cs="Arial"/>
          <w:szCs w:val="20"/>
        </w:rPr>
        <w:t xml:space="preserve"> dívky. Téměř</w:t>
      </w:r>
      <w:r w:rsidR="00B013C9">
        <w:rPr>
          <w:rFonts w:cs="Arial"/>
          <w:szCs w:val="20"/>
        </w:rPr>
        <w:t xml:space="preserve"> polovina těchto žáků (celkem 46</w:t>
      </w:r>
      <w:r w:rsidRPr="00FA42B4">
        <w:rPr>
          <w:rFonts w:cs="Arial"/>
          <w:szCs w:val="20"/>
        </w:rPr>
        <w:t>) se vzdělávala v praž</w:t>
      </w:r>
      <w:r w:rsidR="00303A8C">
        <w:rPr>
          <w:rFonts w:cs="Arial"/>
          <w:szCs w:val="20"/>
        </w:rPr>
        <w:t>ských konzervatořích, dalších 21</w:t>
      </w:r>
      <w:r w:rsidRPr="00FA42B4">
        <w:rPr>
          <w:rFonts w:cs="Arial"/>
          <w:szCs w:val="20"/>
        </w:rPr>
        <w:t xml:space="preserve"> žáků v konzervatořích v Moravskoslezském kraji</w:t>
      </w:r>
      <w:r w:rsidR="00FA3371">
        <w:rPr>
          <w:rFonts w:cs="Arial"/>
          <w:szCs w:val="20"/>
        </w:rPr>
        <w:t xml:space="preserve">. Již méně než deset jich bylo v konzervatořích v kraji </w:t>
      </w:r>
      <w:r w:rsidR="00303A8C">
        <w:rPr>
          <w:rFonts w:cs="Arial"/>
          <w:szCs w:val="20"/>
        </w:rPr>
        <w:t>Olomouckém (6), Pardubickém (6), Jihomoravském (4</w:t>
      </w:r>
      <w:r w:rsidR="00FA3371">
        <w:rPr>
          <w:rFonts w:cs="Arial"/>
          <w:szCs w:val="20"/>
        </w:rPr>
        <w:t xml:space="preserve">), </w:t>
      </w:r>
      <w:r w:rsidR="00303A8C">
        <w:rPr>
          <w:rFonts w:cs="Arial"/>
          <w:szCs w:val="20"/>
        </w:rPr>
        <w:t>Ústeckém (4</w:t>
      </w:r>
      <w:r w:rsidR="00FA3371">
        <w:rPr>
          <w:rFonts w:cs="Arial"/>
          <w:szCs w:val="20"/>
        </w:rPr>
        <w:t>) a Zlínském (1).</w:t>
      </w:r>
      <w:r w:rsidRPr="00FA42B4">
        <w:rPr>
          <w:rFonts w:cs="Arial"/>
          <w:szCs w:val="20"/>
        </w:rPr>
        <w:t xml:space="preserve"> </w:t>
      </w:r>
    </w:p>
    <w:p w14:paraId="6BBC0E9B" w14:textId="368B33C6" w:rsidR="00E1747A" w:rsidRDefault="003107F5" w:rsidP="003107F5">
      <w:pPr>
        <w:spacing w:after="120"/>
        <w:jc w:val="both"/>
        <w:rPr>
          <w:rFonts w:cs="Arial"/>
          <w:szCs w:val="20"/>
        </w:rPr>
      </w:pPr>
      <w:r w:rsidRPr="00AB2C96">
        <w:rPr>
          <w:rFonts w:cs="Arial"/>
          <w:szCs w:val="20"/>
        </w:rPr>
        <w:t>V</w:t>
      </w:r>
      <w:r w:rsidR="00303A8C" w:rsidRPr="00AB2C96">
        <w:rPr>
          <w:rFonts w:cs="Arial"/>
          <w:szCs w:val="20"/>
        </w:rPr>
        <w:t>e školním roce 2022/23</w:t>
      </w:r>
      <w:r>
        <w:rPr>
          <w:rFonts w:cs="Arial"/>
          <w:szCs w:val="20"/>
        </w:rPr>
        <w:t xml:space="preserve"> se na konzervato</w:t>
      </w:r>
      <w:r w:rsidR="00303A8C">
        <w:rPr>
          <w:rFonts w:cs="Arial"/>
          <w:szCs w:val="20"/>
        </w:rPr>
        <w:t>řích vzdělávalo 94,9</w:t>
      </w:r>
      <w:r>
        <w:rPr>
          <w:rFonts w:cs="Arial"/>
          <w:szCs w:val="20"/>
        </w:rPr>
        <w:t xml:space="preserve"> </w:t>
      </w:r>
      <w:r w:rsidR="00E3175A">
        <w:rPr>
          <w:rFonts w:cs="Arial"/>
          <w:szCs w:val="20"/>
        </w:rPr>
        <w:t xml:space="preserve">% žáků </w:t>
      </w:r>
      <w:r w:rsidR="00E3175A" w:rsidRPr="008E7B8B">
        <w:rPr>
          <w:rFonts w:cs="Arial"/>
          <w:b/>
          <w:szCs w:val="20"/>
        </w:rPr>
        <w:t>denní formou studia</w:t>
      </w:r>
      <w:r w:rsidR="00303A8C">
        <w:rPr>
          <w:rFonts w:cs="Arial"/>
          <w:szCs w:val="20"/>
        </w:rPr>
        <w:t xml:space="preserve"> a 5,1</w:t>
      </w:r>
      <w:r>
        <w:rPr>
          <w:rFonts w:cs="Arial"/>
          <w:szCs w:val="20"/>
        </w:rPr>
        <w:t xml:space="preserve"> % </w:t>
      </w:r>
      <w:r w:rsidR="007D61D5" w:rsidRPr="008E7B8B">
        <w:rPr>
          <w:rFonts w:cs="Arial"/>
          <w:b/>
          <w:szCs w:val="20"/>
        </w:rPr>
        <w:t>jinou formou</w:t>
      </w:r>
      <w:r w:rsidR="00303A8C">
        <w:rPr>
          <w:rFonts w:cs="Arial"/>
          <w:szCs w:val="20"/>
        </w:rPr>
        <w:t>. Celkem 7,5</w:t>
      </w:r>
      <w:r w:rsidR="004859DF">
        <w:rPr>
          <w:rFonts w:cs="Arial"/>
          <w:szCs w:val="20"/>
        </w:rPr>
        <w:t xml:space="preserve"> % žáků navštěvovaly</w:t>
      </w:r>
      <w:r w:rsidR="007D61D5">
        <w:rPr>
          <w:rFonts w:cs="Arial"/>
          <w:szCs w:val="20"/>
        </w:rPr>
        <w:t xml:space="preserve"> </w:t>
      </w:r>
      <w:r w:rsidR="007D61D5" w:rsidRPr="008E7B8B">
        <w:rPr>
          <w:rFonts w:cs="Arial"/>
          <w:b/>
          <w:szCs w:val="20"/>
        </w:rPr>
        <w:t>nižší ročníky</w:t>
      </w:r>
      <w:r w:rsidR="007D61D5">
        <w:rPr>
          <w:rFonts w:cs="Arial"/>
          <w:szCs w:val="20"/>
        </w:rPr>
        <w:t xml:space="preserve"> osmiletých konzervatoří spadající do povinné</w:t>
      </w:r>
      <w:r w:rsidR="00303A8C">
        <w:rPr>
          <w:rFonts w:cs="Arial"/>
          <w:szCs w:val="20"/>
        </w:rPr>
        <w:t xml:space="preserve"> školní docházky a 92,6</w:t>
      </w:r>
      <w:r w:rsidR="007D61D5">
        <w:rPr>
          <w:rFonts w:cs="Arial"/>
          <w:szCs w:val="20"/>
        </w:rPr>
        <w:t> % pak vyšší ročníky osmiletých konzervatoří a š</w:t>
      </w:r>
      <w:r w:rsidR="00B30FF3">
        <w:rPr>
          <w:rFonts w:cs="Arial"/>
          <w:szCs w:val="20"/>
        </w:rPr>
        <w:t xml:space="preserve">estileté konzervatoře. </w:t>
      </w:r>
    </w:p>
    <w:p w14:paraId="1F7EB169" w14:textId="7735478D" w:rsidR="007B2325" w:rsidRDefault="00A918A5" w:rsidP="003107F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 délky vzdělávání na konzervatořích a možnosti vzdělávat se i v pozdějším věku (např. při zaměstnání) je</w:t>
      </w:r>
      <w:r w:rsidR="007D61D5">
        <w:rPr>
          <w:rFonts w:cs="Arial"/>
          <w:szCs w:val="20"/>
        </w:rPr>
        <w:t xml:space="preserve"> zřejmé, že v konzervatořích najdeme žáky spadající do </w:t>
      </w:r>
      <w:r w:rsidR="007D61D5" w:rsidRPr="008E7B8B">
        <w:rPr>
          <w:rFonts w:cs="Arial"/>
          <w:b/>
          <w:szCs w:val="20"/>
        </w:rPr>
        <w:t>širokého věkového rozpětí</w:t>
      </w:r>
      <w:r w:rsidR="007D61D5">
        <w:rPr>
          <w:rFonts w:cs="Arial"/>
          <w:szCs w:val="20"/>
        </w:rPr>
        <w:t xml:space="preserve">. </w:t>
      </w:r>
      <w:r w:rsidR="00FA7769" w:rsidRPr="00AB7E90">
        <w:rPr>
          <w:rFonts w:cs="Arial"/>
          <w:szCs w:val="20"/>
        </w:rPr>
        <w:t>Graf 4.4 ukazuje rozložení žák</w:t>
      </w:r>
      <w:r w:rsidR="007B2325" w:rsidRPr="00AB7E90">
        <w:rPr>
          <w:rFonts w:cs="Arial"/>
          <w:szCs w:val="20"/>
        </w:rPr>
        <w:t>ů konzervatoří dle věku celkem,</w:t>
      </w:r>
      <w:r w:rsidR="00FA7769" w:rsidRPr="00AB7E90">
        <w:rPr>
          <w:rFonts w:cs="Arial"/>
          <w:szCs w:val="20"/>
        </w:rPr>
        <w:t xml:space="preserve"> v dělení na denní a ostatní formy vzdělávání</w:t>
      </w:r>
      <w:r w:rsidR="007B2325" w:rsidRPr="00AB7E90">
        <w:rPr>
          <w:rFonts w:cs="Arial"/>
          <w:szCs w:val="20"/>
        </w:rPr>
        <w:t xml:space="preserve"> a na nižší ročníky</w:t>
      </w:r>
      <w:r w:rsidR="007B2325">
        <w:rPr>
          <w:rFonts w:cs="Arial"/>
          <w:szCs w:val="20"/>
        </w:rPr>
        <w:t xml:space="preserve"> konzervatoře spadající do povinné školní docházky a vyšší ročníky</w:t>
      </w:r>
      <w:r w:rsidR="00FA7769" w:rsidRPr="00BC375B">
        <w:rPr>
          <w:rFonts w:cs="Arial"/>
          <w:szCs w:val="20"/>
        </w:rPr>
        <w:t xml:space="preserve">. </w:t>
      </w:r>
      <w:r w:rsidR="007B2325" w:rsidRPr="00BC375B">
        <w:rPr>
          <w:rFonts w:cs="Arial"/>
          <w:szCs w:val="20"/>
        </w:rPr>
        <w:t>Jak je patrné,</w:t>
      </w:r>
      <w:r w:rsidR="0087080F">
        <w:rPr>
          <w:rFonts w:cs="Arial"/>
          <w:szCs w:val="20"/>
        </w:rPr>
        <w:t xml:space="preserve"> </w:t>
      </w:r>
      <w:r w:rsidR="009E34DE">
        <w:rPr>
          <w:rFonts w:cs="Arial"/>
          <w:szCs w:val="20"/>
        </w:rPr>
        <w:t>více než</w:t>
      </w:r>
      <w:r w:rsidR="00AB7E90">
        <w:rPr>
          <w:rFonts w:cs="Arial"/>
          <w:szCs w:val="20"/>
        </w:rPr>
        <w:t xml:space="preserve"> desetina</w:t>
      </w:r>
      <w:r w:rsidR="0087080F">
        <w:rPr>
          <w:rFonts w:cs="Arial"/>
          <w:szCs w:val="20"/>
        </w:rPr>
        <w:t xml:space="preserve"> žáků navštěvujících </w:t>
      </w:r>
      <w:r w:rsidR="007B2325">
        <w:rPr>
          <w:rFonts w:cs="Arial"/>
          <w:szCs w:val="20"/>
        </w:rPr>
        <w:t>vyšší ročníky osmileté konzervatoře nebo šestiletou konzervato</w:t>
      </w:r>
      <w:r w:rsidR="00AD4F5D">
        <w:rPr>
          <w:rFonts w:cs="Arial"/>
          <w:szCs w:val="20"/>
        </w:rPr>
        <w:t>ř byla ve věku 25 let a více (10,9</w:t>
      </w:r>
      <w:r w:rsidR="007B2325">
        <w:rPr>
          <w:rFonts w:cs="Arial"/>
          <w:szCs w:val="20"/>
        </w:rPr>
        <w:t> %). Mezi žáky, kteří se vzdělávali ji</w:t>
      </w:r>
      <w:r w:rsidR="007E37D3">
        <w:rPr>
          <w:rFonts w:cs="Arial"/>
          <w:szCs w:val="20"/>
        </w:rPr>
        <w:t xml:space="preserve">nou než denní formou, </w:t>
      </w:r>
      <w:r w:rsidR="00E1747A">
        <w:rPr>
          <w:rFonts w:cs="Arial"/>
          <w:szCs w:val="20"/>
        </w:rPr>
        <w:t>zaujímali žáci ve věku 25 let a více</w:t>
      </w:r>
      <w:r w:rsidR="007B2325">
        <w:rPr>
          <w:rFonts w:cs="Arial"/>
          <w:szCs w:val="20"/>
        </w:rPr>
        <w:t xml:space="preserve"> dokonce </w:t>
      </w:r>
      <w:r w:rsidR="00AD4F5D">
        <w:rPr>
          <w:rFonts w:cs="Arial"/>
          <w:szCs w:val="20"/>
        </w:rPr>
        <w:t>tři pětiny (60,9 %)</w:t>
      </w:r>
      <w:r w:rsidR="007B2325">
        <w:rPr>
          <w:rFonts w:cs="Arial"/>
          <w:szCs w:val="20"/>
        </w:rPr>
        <w:t xml:space="preserve">. </w:t>
      </w:r>
      <w:r w:rsidR="007B2325" w:rsidRPr="00FA42B4">
        <w:rPr>
          <w:rFonts w:cs="Arial"/>
          <w:szCs w:val="20"/>
        </w:rPr>
        <w:t>Z jiného úhlu pohledu lze doplnit, že ze žáků</w:t>
      </w:r>
      <w:r w:rsidR="007B2325">
        <w:rPr>
          <w:rFonts w:cs="Arial"/>
          <w:szCs w:val="20"/>
        </w:rPr>
        <w:t xml:space="preserve"> </w:t>
      </w:r>
      <w:r w:rsidR="00AB7E90">
        <w:rPr>
          <w:rFonts w:cs="Arial"/>
          <w:szCs w:val="20"/>
        </w:rPr>
        <w:t>ve</w:t>
      </w:r>
      <w:r w:rsidR="00AD4F5D">
        <w:rPr>
          <w:rFonts w:cs="Arial"/>
          <w:szCs w:val="20"/>
        </w:rPr>
        <w:t xml:space="preserve"> věku 25 let a více se jich 68,8</w:t>
      </w:r>
      <w:r w:rsidR="007B2325" w:rsidRPr="00FA42B4">
        <w:rPr>
          <w:rFonts w:cs="Arial"/>
          <w:szCs w:val="20"/>
        </w:rPr>
        <w:t> %</w:t>
      </w:r>
      <w:r w:rsidR="007B2325">
        <w:rPr>
          <w:rFonts w:cs="Arial"/>
          <w:szCs w:val="20"/>
        </w:rPr>
        <w:t xml:space="preserve"> vzdělávalo denní </w:t>
      </w:r>
      <w:r w:rsidR="00AD4F5D">
        <w:rPr>
          <w:rFonts w:cs="Arial"/>
          <w:szCs w:val="20"/>
        </w:rPr>
        <w:t>formou studia a 31,3</w:t>
      </w:r>
      <w:r w:rsidR="007B2325">
        <w:rPr>
          <w:rFonts w:cs="Arial"/>
          <w:szCs w:val="20"/>
        </w:rPr>
        <w:t> % jinou formou.</w:t>
      </w:r>
    </w:p>
    <w:p w14:paraId="50F8D2D7" w14:textId="6C8D7AA3" w:rsidR="00FA7769" w:rsidRDefault="00FA7769" w:rsidP="00FA7769">
      <w:pPr>
        <w:keepNext/>
        <w:spacing w:after="120" w:line="240" w:lineRule="auto"/>
        <w:jc w:val="both"/>
        <w:rPr>
          <w:b/>
        </w:rPr>
      </w:pPr>
      <w:r>
        <w:rPr>
          <w:b/>
        </w:rPr>
        <w:lastRenderedPageBreak/>
        <w:t>Graf 4.4</w:t>
      </w:r>
      <w:r w:rsidRPr="00C02F92">
        <w:rPr>
          <w:b/>
        </w:rPr>
        <w:t xml:space="preserve"> Konzervatoře – rozdělení žáků dle věku ce</w:t>
      </w:r>
      <w:r w:rsidR="007B2325">
        <w:rPr>
          <w:b/>
        </w:rPr>
        <w:t>lkem a</w:t>
      </w:r>
      <w:r w:rsidRPr="00C02F92">
        <w:rPr>
          <w:b/>
        </w:rPr>
        <w:t xml:space="preserve"> </w:t>
      </w:r>
      <w:r w:rsidR="007B2325">
        <w:rPr>
          <w:b/>
        </w:rPr>
        <w:t>dle formy</w:t>
      </w:r>
      <w:r w:rsidRPr="00C02F92">
        <w:rPr>
          <w:b/>
        </w:rPr>
        <w:t xml:space="preserve"> </w:t>
      </w:r>
      <w:r w:rsidR="007B2325">
        <w:rPr>
          <w:b/>
        </w:rPr>
        <w:t xml:space="preserve">a úrovně </w:t>
      </w:r>
      <w:r w:rsidRPr="00C02F92">
        <w:rPr>
          <w:b/>
        </w:rPr>
        <w:t xml:space="preserve">vzdělávání </w:t>
      </w:r>
      <w:r w:rsidR="00AD4F5D">
        <w:rPr>
          <w:b/>
        </w:rPr>
        <w:t>(2022/23</w:t>
      </w:r>
      <w:r w:rsidRPr="00C02F92">
        <w:rPr>
          <w:b/>
        </w:rPr>
        <w:t>)</w:t>
      </w:r>
    </w:p>
    <w:p w14:paraId="0338DC31" w14:textId="786803E4" w:rsidR="005D213D" w:rsidRPr="00C02F92" w:rsidRDefault="00AD4F5D" w:rsidP="00FA7769">
      <w:pPr>
        <w:keepNext/>
        <w:spacing w:after="120" w:line="24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260A1CB4" wp14:editId="135C3ECB">
            <wp:extent cx="5838825" cy="3133725"/>
            <wp:effectExtent l="0" t="0" r="9525" b="9525"/>
            <wp:docPr id="47" name="Graf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88218A" w14:textId="023B3730" w:rsidR="00FA7769" w:rsidRDefault="00FA7769" w:rsidP="00B30FF3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5B7B8053" w14:textId="008C12B0" w:rsidR="00FA7769" w:rsidRPr="00FA42B4" w:rsidRDefault="00FA7769" w:rsidP="00FA7769">
      <w:pPr>
        <w:spacing w:after="120"/>
        <w:jc w:val="both"/>
        <w:rPr>
          <w:rFonts w:cs="Arial"/>
          <w:szCs w:val="20"/>
        </w:rPr>
      </w:pPr>
      <w:r w:rsidRPr="00470072">
        <w:rPr>
          <w:rFonts w:cs="Arial"/>
          <w:szCs w:val="20"/>
        </w:rPr>
        <w:t xml:space="preserve">Graf 4.5 dále ukazuje, jaký podíl žáků konzervatoří studoval ten který </w:t>
      </w:r>
      <w:r w:rsidRPr="00470072">
        <w:rPr>
          <w:rFonts w:cs="Arial"/>
          <w:b/>
          <w:szCs w:val="20"/>
        </w:rPr>
        <w:t>obor</w:t>
      </w:r>
      <w:r w:rsidR="00470072" w:rsidRPr="00470072">
        <w:rPr>
          <w:rFonts w:cs="Arial"/>
          <w:szCs w:val="20"/>
        </w:rPr>
        <w:t xml:space="preserve"> v letech 2012/13 až 2022/23</w:t>
      </w:r>
      <w:r w:rsidRPr="00470072">
        <w:rPr>
          <w:rFonts w:cs="Arial"/>
          <w:szCs w:val="20"/>
        </w:rPr>
        <w:t>. Jak je patrné, nejvyšší podíl</w:t>
      </w:r>
      <w:r w:rsidRPr="00FA42B4">
        <w:rPr>
          <w:rFonts w:cs="Arial"/>
          <w:szCs w:val="20"/>
        </w:rPr>
        <w:t xml:space="preserve"> žáků se ve všech uvedených letech vzdělával ve hře na hudební nástroj, dirigování či skladbě (tj. v ob</w:t>
      </w:r>
      <w:r w:rsidR="00470072">
        <w:rPr>
          <w:rFonts w:cs="Arial"/>
          <w:szCs w:val="20"/>
        </w:rPr>
        <w:t>oru hudba). Ve školním roce 2012/13</w:t>
      </w:r>
      <w:r w:rsidRPr="00FA42B4">
        <w:rPr>
          <w:rFonts w:cs="Arial"/>
          <w:szCs w:val="20"/>
        </w:rPr>
        <w:t xml:space="preserve"> činil pod</w:t>
      </w:r>
      <w:r w:rsidR="00470072">
        <w:rPr>
          <w:rFonts w:cs="Arial"/>
          <w:szCs w:val="20"/>
        </w:rPr>
        <w:t>íl takových žáků 61,2</w:t>
      </w:r>
      <w:r w:rsidR="003D1D17">
        <w:rPr>
          <w:rFonts w:cs="Arial"/>
          <w:szCs w:val="20"/>
        </w:rPr>
        <w:t xml:space="preserve"> %, pak se </w:t>
      </w:r>
      <w:r w:rsidRPr="00FA42B4">
        <w:rPr>
          <w:rFonts w:cs="Arial"/>
          <w:szCs w:val="20"/>
        </w:rPr>
        <w:t xml:space="preserve">pozvolna </w:t>
      </w:r>
      <w:r w:rsidRPr="007E37D3">
        <w:rPr>
          <w:rFonts w:cs="Arial"/>
          <w:szCs w:val="20"/>
        </w:rPr>
        <w:t xml:space="preserve">snižoval až na </w:t>
      </w:r>
      <w:r w:rsidR="006F4DCF" w:rsidRPr="007E37D3">
        <w:rPr>
          <w:rFonts w:cs="Arial"/>
          <w:szCs w:val="20"/>
        </w:rPr>
        <w:t xml:space="preserve">55,2 % ve školním roce 2017/18. </w:t>
      </w:r>
      <w:r w:rsidR="00470072" w:rsidRPr="007E37D3">
        <w:rPr>
          <w:rFonts w:cs="Arial"/>
          <w:szCs w:val="20"/>
        </w:rPr>
        <w:t xml:space="preserve">Poté kolísal kolem 55,5 % a ve školním roce 2022/23 tvořil 56,0 %. </w:t>
      </w:r>
      <w:r w:rsidRPr="007E37D3">
        <w:rPr>
          <w:rFonts w:cs="Arial"/>
          <w:szCs w:val="20"/>
        </w:rPr>
        <w:t xml:space="preserve">Téměř trvalý růst podílu žáků zaznamenal </w:t>
      </w:r>
      <w:r w:rsidR="00470072" w:rsidRPr="007E37D3">
        <w:rPr>
          <w:rFonts w:cs="Arial"/>
          <w:szCs w:val="20"/>
        </w:rPr>
        <w:t>ve školních rocích 2012/13</w:t>
      </w:r>
      <w:r w:rsidR="008544AB" w:rsidRPr="007E37D3">
        <w:rPr>
          <w:rFonts w:cs="Arial"/>
          <w:szCs w:val="20"/>
        </w:rPr>
        <w:t xml:space="preserve"> až 2019/20</w:t>
      </w:r>
      <w:r w:rsidR="00470072" w:rsidRPr="007E37D3">
        <w:rPr>
          <w:rFonts w:cs="Arial"/>
          <w:szCs w:val="20"/>
        </w:rPr>
        <w:t xml:space="preserve"> obor zpěv. Ve školním roce 2012/13</w:t>
      </w:r>
      <w:r w:rsidR="00470072">
        <w:rPr>
          <w:rFonts w:cs="Arial"/>
          <w:szCs w:val="20"/>
        </w:rPr>
        <w:t xml:space="preserve"> jej studovalo 14</w:t>
      </w:r>
      <w:r w:rsidR="008544AB">
        <w:rPr>
          <w:rFonts w:cs="Arial"/>
          <w:szCs w:val="20"/>
        </w:rPr>
        <w:t>,9</w:t>
      </w:r>
      <w:r w:rsidRPr="00FA42B4">
        <w:rPr>
          <w:rFonts w:cs="Arial"/>
          <w:szCs w:val="20"/>
        </w:rPr>
        <w:t> % žáků konzervatoří, ve školním roce 2019/20 pak 18,2 % žáků</w:t>
      </w:r>
      <w:r w:rsidR="008544AB">
        <w:rPr>
          <w:rFonts w:cs="Arial"/>
          <w:szCs w:val="20"/>
        </w:rPr>
        <w:t>.</w:t>
      </w:r>
      <w:r w:rsidR="00470072">
        <w:rPr>
          <w:rFonts w:cs="Arial"/>
          <w:szCs w:val="20"/>
        </w:rPr>
        <w:t xml:space="preserve"> Poté se podíl žáků v tomto oboru mírně snížil a ve školním roce 2022/23 činil 17,4 </w:t>
      </w:r>
      <w:r w:rsidR="002465D1">
        <w:rPr>
          <w:rFonts w:cs="Arial"/>
          <w:szCs w:val="20"/>
        </w:rPr>
        <w:t>%.</w:t>
      </w:r>
      <w:r w:rsidR="008544AB" w:rsidRPr="00F713B3">
        <w:rPr>
          <w:rFonts w:cs="Arial"/>
          <w:szCs w:val="20"/>
        </w:rPr>
        <w:t xml:space="preserve"> </w:t>
      </w:r>
      <w:r w:rsidRPr="00F713B3">
        <w:rPr>
          <w:rFonts w:cs="Arial"/>
          <w:szCs w:val="20"/>
        </w:rPr>
        <w:t xml:space="preserve">Od </w:t>
      </w:r>
      <w:r w:rsidR="00470072" w:rsidRPr="00F713B3">
        <w:rPr>
          <w:rFonts w:cs="Arial"/>
          <w:szCs w:val="20"/>
        </w:rPr>
        <w:t xml:space="preserve">školního </w:t>
      </w:r>
      <w:r w:rsidRPr="00F713B3">
        <w:rPr>
          <w:rFonts w:cs="Arial"/>
          <w:szCs w:val="20"/>
        </w:rPr>
        <w:t>roku 2012/13</w:t>
      </w:r>
      <w:r w:rsidRPr="00FA42B4">
        <w:rPr>
          <w:rFonts w:cs="Arial"/>
          <w:szCs w:val="20"/>
        </w:rPr>
        <w:t xml:space="preserve"> </w:t>
      </w:r>
      <w:r w:rsidR="008544AB">
        <w:rPr>
          <w:rFonts w:cs="Arial"/>
          <w:szCs w:val="20"/>
        </w:rPr>
        <w:t>do roku 2017/18</w:t>
      </w:r>
      <w:r w:rsidR="006F4DCF">
        <w:rPr>
          <w:rFonts w:cs="Arial"/>
          <w:szCs w:val="20"/>
        </w:rPr>
        <w:t xml:space="preserve"> </w:t>
      </w:r>
      <w:r w:rsidRPr="00FA42B4">
        <w:rPr>
          <w:rFonts w:cs="Arial"/>
          <w:szCs w:val="20"/>
        </w:rPr>
        <w:t xml:space="preserve">také rostl podíl žáků vzdělávajících </w:t>
      </w:r>
      <w:r w:rsidR="006F4DCF">
        <w:rPr>
          <w:rFonts w:cs="Arial"/>
          <w:szCs w:val="20"/>
        </w:rPr>
        <w:t>se</w:t>
      </w:r>
      <w:r w:rsidR="008544AB">
        <w:rPr>
          <w:rFonts w:cs="Arial"/>
          <w:szCs w:val="20"/>
        </w:rPr>
        <w:t xml:space="preserve"> v oboru tanec (z 14,1 % na 18,6</w:t>
      </w:r>
      <w:r w:rsidR="006F4DCF">
        <w:rPr>
          <w:rFonts w:cs="Arial"/>
          <w:szCs w:val="20"/>
        </w:rPr>
        <w:t> %</w:t>
      </w:r>
      <w:r w:rsidR="008544AB">
        <w:rPr>
          <w:rFonts w:cs="Arial"/>
          <w:szCs w:val="20"/>
        </w:rPr>
        <w:t>)</w:t>
      </w:r>
      <w:r w:rsidRPr="00FA42B4">
        <w:rPr>
          <w:rFonts w:cs="Arial"/>
          <w:szCs w:val="20"/>
        </w:rPr>
        <w:t>.</w:t>
      </w:r>
      <w:r w:rsidR="008544AB">
        <w:rPr>
          <w:rFonts w:cs="Arial"/>
          <w:szCs w:val="20"/>
        </w:rPr>
        <w:t xml:space="preserve">  V následujících dvou školních </w:t>
      </w:r>
      <w:r w:rsidR="00441212">
        <w:rPr>
          <w:rFonts w:cs="Arial"/>
          <w:szCs w:val="20"/>
        </w:rPr>
        <w:t xml:space="preserve">rocích </w:t>
      </w:r>
      <w:r w:rsidR="009E34DE">
        <w:rPr>
          <w:rFonts w:cs="Arial"/>
          <w:szCs w:val="20"/>
        </w:rPr>
        <w:t>o necelý procentní bod</w:t>
      </w:r>
      <w:r w:rsidR="00F713B3">
        <w:rPr>
          <w:rFonts w:cs="Arial"/>
          <w:szCs w:val="20"/>
        </w:rPr>
        <w:t xml:space="preserve"> poklesl a následně zase zvýšil. V posledních dvou školních rocích tak činil 18,5 %. </w:t>
      </w:r>
      <w:r w:rsidRPr="00FA42B4">
        <w:rPr>
          <w:rFonts w:cs="Arial"/>
          <w:szCs w:val="20"/>
        </w:rPr>
        <w:t>Nakonec</w:t>
      </w:r>
      <w:r w:rsidR="00F8241E">
        <w:rPr>
          <w:rFonts w:cs="Arial"/>
          <w:szCs w:val="20"/>
        </w:rPr>
        <w:t>,</w:t>
      </w:r>
      <w:r w:rsidRPr="00FA42B4">
        <w:rPr>
          <w:rFonts w:cs="Arial"/>
          <w:szCs w:val="20"/>
        </w:rPr>
        <w:t xml:space="preserve"> podíl žáků vzdělávajících se v oboru dramatické umění</w:t>
      </w:r>
      <w:r w:rsidR="008544AB">
        <w:rPr>
          <w:rFonts w:cs="Arial"/>
          <w:szCs w:val="20"/>
        </w:rPr>
        <w:t xml:space="preserve"> v čase kolísal, a sice mezi 8,1</w:t>
      </w:r>
      <w:r w:rsidRPr="00FA42B4">
        <w:rPr>
          <w:rFonts w:cs="Arial"/>
          <w:szCs w:val="20"/>
        </w:rPr>
        <w:t xml:space="preserve"> % </w:t>
      </w:r>
      <w:r w:rsidR="008544AB">
        <w:rPr>
          <w:rFonts w:cs="Arial"/>
          <w:szCs w:val="20"/>
        </w:rPr>
        <w:t>(ve školním roce 2021/22</w:t>
      </w:r>
      <w:r w:rsidR="006F4DCF">
        <w:rPr>
          <w:rFonts w:cs="Arial"/>
          <w:szCs w:val="20"/>
        </w:rPr>
        <w:t xml:space="preserve">) </w:t>
      </w:r>
      <w:r w:rsidRPr="00FA42B4">
        <w:rPr>
          <w:rFonts w:cs="Arial"/>
          <w:szCs w:val="20"/>
        </w:rPr>
        <w:t>a 9,7 %</w:t>
      </w:r>
      <w:r w:rsidR="006F4DCF">
        <w:rPr>
          <w:rFonts w:cs="Arial"/>
          <w:szCs w:val="20"/>
        </w:rPr>
        <w:t xml:space="preserve"> (ve školním roce 2012/13)</w:t>
      </w:r>
      <w:r w:rsidRPr="00FA42B4">
        <w:rPr>
          <w:rFonts w:cs="Arial"/>
          <w:szCs w:val="20"/>
        </w:rPr>
        <w:t xml:space="preserve">. </w:t>
      </w:r>
    </w:p>
    <w:p w14:paraId="2BF6DE26" w14:textId="13634381" w:rsidR="00FA7769" w:rsidRDefault="00FA7769" w:rsidP="00FA7769">
      <w:pPr>
        <w:keepNext/>
        <w:spacing w:after="120" w:line="240" w:lineRule="auto"/>
        <w:jc w:val="both"/>
        <w:rPr>
          <w:b/>
        </w:rPr>
      </w:pPr>
      <w:r w:rsidRPr="00B92895">
        <w:rPr>
          <w:b/>
        </w:rPr>
        <w:t>G</w:t>
      </w:r>
      <w:r>
        <w:rPr>
          <w:b/>
        </w:rPr>
        <w:t>raf</w:t>
      </w:r>
      <w:r w:rsidRPr="00B92895">
        <w:rPr>
          <w:b/>
        </w:rPr>
        <w:t xml:space="preserve"> </w:t>
      </w:r>
      <w:r>
        <w:rPr>
          <w:b/>
        </w:rPr>
        <w:t>4.5</w:t>
      </w:r>
      <w:r w:rsidRPr="00B92895">
        <w:rPr>
          <w:b/>
        </w:rPr>
        <w:t xml:space="preserve"> Konzervatoře – podíly žáků vzdělá</w:t>
      </w:r>
      <w:r>
        <w:rPr>
          <w:b/>
        </w:rPr>
        <w:t>vajících se v různých oborech (2</w:t>
      </w:r>
      <w:r w:rsidRPr="00B92895">
        <w:rPr>
          <w:b/>
        </w:rPr>
        <w:t>0</w:t>
      </w:r>
      <w:r w:rsidR="009F2213">
        <w:rPr>
          <w:b/>
        </w:rPr>
        <w:t>12/13 až 2022</w:t>
      </w:r>
      <w:r w:rsidR="006F4DCF">
        <w:rPr>
          <w:b/>
        </w:rPr>
        <w:t>/</w:t>
      </w:r>
      <w:r w:rsidR="009F2213">
        <w:rPr>
          <w:b/>
        </w:rPr>
        <w:t>23</w:t>
      </w:r>
      <w:r w:rsidRPr="00B92895">
        <w:rPr>
          <w:b/>
        </w:rPr>
        <w:t>)</w:t>
      </w:r>
    </w:p>
    <w:p w14:paraId="38B52428" w14:textId="25B983C1" w:rsidR="00FA7769" w:rsidRPr="006F4DCF" w:rsidRDefault="009F2213" w:rsidP="006F4DCF">
      <w:pPr>
        <w:keepNext/>
        <w:spacing w:after="120" w:line="24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1817514E" wp14:editId="28CC9CC7">
            <wp:extent cx="6105525" cy="2609850"/>
            <wp:effectExtent l="0" t="0" r="9525" b="0"/>
            <wp:docPr id="55" name="Graf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38EFE5" w14:textId="77777777" w:rsidR="00FA7769" w:rsidRDefault="00FA7769" w:rsidP="00B30FF3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5B57E41B" w14:textId="77777777" w:rsidR="00FA7769" w:rsidRPr="00012731" w:rsidRDefault="00FA7769" w:rsidP="00FA7769">
      <w:pPr>
        <w:spacing w:after="120" w:line="240" w:lineRule="auto"/>
        <w:rPr>
          <w:highlight w:val="yellow"/>
        </w:rPr>
      </w:pPr>
    </w:p>
    <w:sectPr w:rsidR="00FA7769" w:rsidRPr="00012731" w:rsidSect="006F5416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210C5" w14:textId="77777777" w:rsidR="00D53DCF" w:rsidRDefault="00D53DCF" w:rsidP="00E71A58">
      <w:r>
        <w:separator/>
      </w:r>
    </w:p>
  </w:endnote>
  <w:endnote w:type="continuationSeparator" w:id="0">
    <w:p w14:paraId="68E2265D" w14:textId="77777777" w:rsidR="00D53DCF" w:rsidRDefault="00D53DC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270E" w14:textId="1D83801C" w:rsidR="0028381B" w:rsidRPr="00932443" w:rsidRDefault="0028381B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9776" behindDoc="0" locked="0" layoutInCell="1" allowOverlap="1" wp14:anchorId="44869E7E" wp14:editId="7B7B3158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032784">
      <w:rPr>
        <w:szCs w:val="16"/>
      </w:rPr>
      <w:t>2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rStyle w:val="ZpatChar"/>
        <w:szCs w:val="16"/>
      </w:rPr>
      <w:t>Školní rok 2022/2023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BFAD" w14:textId="029492FC" w:rsidR="0028381B" w:rsidRPr="00932443" w:rsidRDefault="0028381B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728" behindDoc="0" locked="0" layoutInCell="1" allowOverlap="1" wp14:anchorId="4020FA8D" wp14:editId="4C38B72F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Školní rok 2022/2023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032784">
      <w:rPr>
        <w:rStyle w:val="ZpatChar"/>
        <w:szCs w:val="16"/>
      </w:rPr>
      <w:t>1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43CB2" w14:textId="77777777" w:rsidR="00D53DCF" w:rsidRDefault="00D53DCF" w:rsidP="00E71A58">
      <w:r>
        <w:separator/>
      </w:r>
    </w:p>
  </w:footnote>
  <w:footnote w:type="continuationSeparator" w:id="0">
    <w:p w14:paraId="1ECDBBB7" w14:textId="77777777" w:rsidR="00D53DCF" w:rsidRDefault="00D53DCF" w:rsidP="00E71A58">
      <w:r>
        <w:continuationSeparator/>
      </w:r>
    </w:p>
  </w:footnote>
  <w:footnote w:id="1">
    <w:p w14:paraId="4DAA7C9D" w14:textId="38B93DA9" w:rsidR="0028381B" w:rsidRDefault="002838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80BF8">
        <w:rPr>
          <w:rFonts w:ascii="Arial" w:hAnsi="Arial" w:cs="Arial"/>
          <w:sz w:val="18"/>
          <w:szCs w:val="18"/>
        </w:rPr>
        <w:t>Školou je myšlen právní subjekt s jedním ředitelstvím, které může zahrnovat více odloučených pracovišť, jakož i více úrovní a druhů vzdělávání.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5BA4" w14:textId="77777777" w:rsidR="0028381B" w:rsidRPr="005859FB" w:rsidRDefault="0028381B" w:rsidP="005859FB">
    <w:pPr>
      <w:pStyle w:val="Zhlav"/>
    </w:pPr>
    <w:r>
      <w:t>Školy a školská zařízení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1019" w14:textId="77777777" w:rsidR="0028381B" w:rsidRPr="006F5416" w:rsidRDefault="0028381B" w:rsidP="00937AE2">
    <w:pPr>
      <w:pStyle w:val="Zhlav"/>
    </w:pPr>
    <w:r>
      <w:t>Školy a školská zařízení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032D4"/>
    <w:multiLevelType w:val="hybridMultilevel"/>
    <w:tmpl w:val="865A8EB2"/>
    <w:lvl w:ilvl="0" w:tplc="F68AA2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D4AED"/>
    <w:multiLevelType w:val="hybridMultilevel"/>
    <w:tmpl w:val="891EC2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E18D8"/>
    <w:multiLevelType w:val="hybridMultilevel"/>
    <w:tmpl w:val="89806270"/>
    <w:lvl w:ilvl="0" w:tplc="578C2E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53796B"/>
    <w:multiLevelType w:val="hybridMultilevel"/>
    <w:tmpl w:val="B86EC8CA"/>
    <w:lvl w:ilvl="0" w:tplc="043493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2"/>
    <w:rsid w:val="00001C7F"/>
    <w:rsid w:val="00001F1A"/>
    <w:rsid w:val="0000209D"/>
    <w:rsid w:val="00002954"/>
    <w:rsid w:val="00002D74"/>
    <w:rsid w:val="000031F2"/>
    <w:rsid w:val="00004450"/>
    <w:rsid w:val="00004D5A"/>
    <w:rsid w:val="000050C6"/>
    <w:rsid w:val="000056D5"/>
    <w:rsid w:val="00007555"/>
    <w:rsid w:val="0000767A"/>
    <w:rsid w:val="00010702"/>
    <w:rsid w:val="00010A21"/>
    <w:rsid w:val="00011849"/>
    <w:rsid w:val="00012274"/>
    <w:rsid w:val="00012510"/>
    <w:rsid w:val="000129C3"/>
    <w:rsid w:val="000136A4"/>
    <w:rsid w:val="00013F31"/>
    <w:rsid w:val="00014499"/>
    <w:rsid w:val="00014D8F"/>
    <w:rsid w:val="00014F55"/>
    <w:rsid w:val="00015CF8"/>
    <w:rsid w:val="00016992"/>
    <w:rsid w:val="00016CA9"/>
    <w:rsid w:val="00017BDF"/>
    <w:rsid w:val="00017D11"/>
    <w:rsid w:val="00021636"/>
    <w:rsid w:val="000216C6"/>
    <w:rsid w:val="000224E7"/>
    <w:rsid w:val="000234D6"/>
    <w:rsid w:val="00023AA4"/>
    <w:rsid w:val="00023D29"/>
    <w:rsid w:val="00023F23"/>
    <w:rsid w:val="00024EB8"/>
    <w:rsid w:val="0002572C"/>
    <w:rsid w:val="000259A0"/>
    <w:rsid w:val="00026389"/>
    <w:rsid w:val="0002773A"/>
    <w:rsid w:val="00031209"/>
    <w:rsid w:val="00031AE0"/>
    <w:rsid w:val="000322EF"/>
    <w:rsid w:val="00032784"/>
    <w:rsid w:val="00033EFE"/>
    <w:rsid w:val="00033FA8"/>
    <w:rsid w:val="00033FCD"/>
    <w:rsid w:val="0003595E"/>
    <w:rsid w:val="000367D8"/>
    <w:rsid w:val="00036C45"/>
    <w:rsid w:val="0003718B"/>
    <w:rsid w:val="00040343"/>
    <w:rsid w:val="0004057F"/>
    <w:rsid w:val="000406B9"/>
    <w:rsid w:val="0004121F"/>
    <w:rsid w:val="000413F5"/>
    <w:rsid w:val="00041CEC"/>
    <w:rsid w:val="000421D8"/>
    <w:rsid w:val="00042719"/>
    <w:rsid w:val="00043865"/>
    <w:rsid w:val="000442C8"/>
    <w:rsid w:val="0004467E"/>
    <w:rsid w:val="000456A5"/>
    <w:rsid w:val="000459D5"/>
    <w:rsid w:val="00045C29"/>
    <w:rsid w:val="00046372"/>
    <w:rsid w:val="00046393"/>
    <w:rsid w:val="00046430"/>
    <w:rsid w:val="0004694F"/>
    <w:rsid w:val="00046C2B"/>
    <w:rsid w:val="000473B9"/>
    <w:rsid w:val="0004758E"/>
    <w:rsid w:val="000476CE"/>
    <w:rsid w:val="000512A3"/>
    <w:rsid w:val="00051EBB"/>
    <w:rsid w:val="000522E4"/>
    <w:rsid w:val="000530DE"/>
    <w:rsid w:val="000532DE"/>
    <w:rsid w:val="0005392F"/>
    <w:rsid w:val="00054851"/>
    <w:rsid w:val="00054EB9"/>
    <w:rsid w:val="00054F20"/>
    <w:rsid w:val="0005583F"/>
    <w:rsid w:val="000564AE"/>
    <w:rsid w:val="00056F13"/>
    <w:rsid w:val="00056F30"/>
    <w:rsid w:val="00056F98"/>
    <w:rsid w:val="000600CC"/>
    <w:rsid w:val="00060973"/>
    <w:rsid w:val="00060A25"/>
    <w:rsid w:val="000610E1"/>
    <w:rsid w:val="0006164B"/>
    <w:rsid w:val="00062CD3"/>
    <w:rsid w:val="00062EC5"/>
    <w:rsid w:val="00062F22"/>
    <w:rsid w:val="000631CF"/>
    <w:rsid w:val="00064844"/>
    <w:rsid w:val="000648BE"/>
    <w:rsid w:val="00064A90"/>
    <w:rsid w:val="00065051"/>
    <w:rsid w:val="0006559B"/>
    <w:rsid w:val="00065939"/>
    <w:rsid w:val="00065D55"/>
    <w:rsid w:val="00066569"/>
    <w:rsid w:val="00066F37"/>
    <w:rsid w:val="00070303"/>
    <w:rsid w:val="000712B3"/>
    <w:rsid w:val="00072D5C"/>
    <w:rsid w:val="00072DC6"/>
    <w:rsid w:val="00072FCD"/>
    <w:rsid w:val="00074945"/>
    <w:rsid w:val="00075235"/>
    <w:rsid w:val="0007535D"/>
    <w:rsid w:val="00077BD2"/>
    <w:rsid w:val="00081DD4"/>
    <w:rsid w:val="00082393"/>
    <w:rsid w:val="0008263E"/>
    <w:rsid w:val="00082C19"/>
    <w:rsid w:val="00083744"/>
    <w:rsid w:val="00083E6D"/>
    <w:rsid w:val="0008474B"/>
    <w:rsid w:val="000851C8"/>
    <w:rsid w:val="00085395"/>
    <w:rsid w:val="00085FF4"/>
    <w:rsid w:val="00086A75"/>
    <w:rsid w:val="00087634"/>
    <w:rsid w:val="00087CAE"/>
    <w:rsid w:val="00087D9B"/>
    <w:rsid w:val="00087F2B"/>
    <w:rsid w:val="0009041B"/>
    <w:rsid w:val="0009074B"/>
    <w:rsid w:val="000910EB"/>
    <w:rsid w:val="000916D1"/>
    <w:rsid w:val="000917DE"/>
    <w:rsid w:val="000917FC"/>
    <w:rsid w:val="00091BCC"/>
    <w:rsid w:val="00091D15"/>
    <w:rsid w:val="00091E88"/>
    <w:rsid w:val="000921D2"/>
    <w:rsid w:val="00092EDC"/>
    <w:rsid w:val="0009362C"/>
    <w:rsid w:val="00094B99"/>
    <w:rsid w:val="000974D1"/>
    <w:rsid w:val="0009799E"/>
    <w:rsid w:val="000A0794"/>
    <w:rsid w:val="000A1183"/>
    <w:rsid w:val="000A256D"/>
    <w:rsid w:val="000A3878"/>
    <w:rsid w:val="000A3A2C"/>
    <w:rsid w:val="000A3C52"/>
    <w:rsid w:val="000A633A"/>
    <w:rsid w:val="000A6708"/>
    <w:rsid w:val="000A708D"/>
    <w:rsid w:val="000A7838"/>
    <w:rsid w:val="000B1029"/>
    <w:rsid w:val="000B1FBB"/>
    <w:rsid w:val="000B238D"/>
    <w:rsid w:val="000B2821"/>
    <w:rsid w:val="000B30F3"/>
    <w:rsid w:val="000B30FA"/>
    <w:rsid w:val="000B3675"/>
    <w:rsid w:val="000B3A31"/>
    <w:rsid w:val="000B4AD2"/>
    <w:rsid w:val="000B55B4"/>
    <w:rsid w:val="000B5943"/>
    <w:rsid w:val="000B5EC1"/>
    <w:rsid w:val="000B6250"/>
    <w:rsid w:val="000B6A02"/>
    <w:rsid w:val="000B741A"/>
    <w:rsid w:val="000B785C"/>
    <w:rsid w:val="000B7EE5"/>
    <w:rsid w:val="000C0FB7"/>
    <w:rsid w:val="000C12F5"/>
    <w:rsid w:val="000C14A1"/>
    <w:rsid w:val="000C276F"/>
    <w:rsid w:val="000C2A76"/>
    <w:rsid w:val="000C2FE5"/>
    <w:rsid w:val="000C3380"/>
    <w:rsid w:val="000C3408"/>
    <w:rsid w:val="000C353B"/>
    <w:rsid w:val="000C49BD"/>
    <w:rsid w:val="000C5FB8"/>
    <w:rsid w:val="000C61DB"/>
    <w:rsid w:val="000C6AFD"/>
    <w:rsid w:val="000C78D0"/>
    <w:rsid w:val="000D0F6D"/>
    <w:rsid w:val="000D3BF8"/>
    <w:rsid w:val="000D421D"/>
    <w:rsid w:val="000D5637"/>
    <w:rsid w:val="000E0123"/>
    <w:rsid w:val="000E028D"/>
    <w:rsid w:val="000E257A"/>
    <w:rsid w:val="000E305F"/>
    <w:rsid w:val="000E3DFE"/>
    <w:rsid w:val="000E5D4D"/>
    <w:rsid w:val="000E6FBD"/>
    <w:rsid w:val="000F08DE"/>
    <w:rsid w:val="000F187D"/>
    <w:rsid w:val="000F281C"/>
    <w:rsid w:val="000F2B5C"/>
    <w:rsid w:val="000F2F9C"/>
    <w:rsid w:val="000F4153"/>
    <w:rsid w:val="000F42DB"/>
    <w:rsid w:val="000F4596"/>
    <w:rsid w:val="000F4C96"/>
    <w:rsid w:val="000F51EF"/>
    <w:rsid w:val="000F54F7"/>
    <w:rsid w:val="000F5CBB"/>
    <w:rsid w:val="000F5FF8"/>
    <w:rsid w:val="000F6286"/>
    <w:rsid w:val="000F65AB"/>
    <w:rsid w:val="000F7372"/>
    <w:rsid w:val="000F785A"/>
    <w:rsid w:val="0010092F"/>
    <w:rsid w:val="00100F5C"/>
    <w:rsid w:val="00101154"/>
    <w:rsid w:val="00102C63"/>
    <w:rsid w:val="00102D0D"/>
    <w:rsid w:val="00102F77"/>
    <w:rsid w:val="00103093"/>
    <w:rsid w:val="00103103"/>
    <w:rsid w:val="0010437D"/>
    <w:rsid w:val="00104C4C"/>
    <w:rsid w:val="00105E3B"/>
    <w:rsid w:val="00106F93"/>
    <w:rsid w:val="00106FEC"/>
    <w:rsid w:val="001122A8"/>
    <w:rsid w:val="00112537"/>
    <w:rsid w:val="001125B3"/>
    <w:rsid w:val="00112736"/>
    <w:rsid w:val="001130E6"/>
    <w:rsid w:val="00113341"/>
    <w:rsid w:val="00114C62"/>
    <w:rsid w:val="0011559C"/>
    <w:rsid w:val="00117E86"/>
    <w:rsid w:val="00120CA7"/>
    <w:rsid w:val="001210D7"/>
    <w:rsid w:val="0012148A"/>
    <w:rsid w:val="0012192F"/>
    <w:rsid w:val="0012250C"/>
    <w:rsid w:val="00124443"/>
    <w:rsid w:val="001259E3"/>
    <w:rsid w:val="00125D69"/>
    <w:rsid w:val="00126CE3"/>
    <w:rsid w:val="001301C4"/>
    <w:rsid w:val="00130ABD"/>
    <w:rsid w:val="001313EE"/>
    <w:rsid w:val="00131474"/>
    <w:rsid w:val="00131A45"/>
    <w:rsid w:val="001322DD"/>
    <w:rsid w:val="001325E0"/>
    <w:rsid w:val="001337D0"/>
    <w:rsid w:val="00133F68"/>
    <w:rsid w:val="00134C78"/>
    <w:rsid w:val="001350AD"/>
    <w:rsid w:val="001352DA"/>
    <w:rsid w:val="00135B02"/>
    <w:rsid w:val="00135B65"/>
    <w:rsid w:val="00135E64"/>
    <w:rsid w:val="001405FA"/>
    <w:rsid w:val="00140C07"/>
    <w:rsid w:val="00141591"/>
    <w:rsid w:val="001425C3"/>
    <w:rsid w:val="001430AD"/>
    <w:rsid w:val="00143103"/>
    <w:rsid w:val="00143675"/>
    <w:rsid w:val="001437FE"/>
    <w:rsid w:val="0014441E"/>
    <w:rsid w:val="00144C2B"/>
    <w:rsid w:val="00144CC4"/>
    <w:rsid w:val="001456D0"/>
    <w:rsid w:val="00147A96"/>
    <w:rsid w:val="0015049E"/>
    <w:rsid w:val="00150D28"/>
    <w:rsid w:val="0015235C"/>
    <w:rsid w:val="001526C3"/>
    <w:rsid w:val="00152969"/>
    <w:rsid w:val="00152CDD"/>
    <w:rsid w:val="001532A2"/>
    <w:rsid w:val="00153654"/>
    <w:rsid w:val="001548D3"/>
    <w:rsid w:val="00154E7D"/>
    <w:rsid w:val="0015575E"/>
    <w:rsid w:val="00156D16"/>
    <w:rsid w:val="00157E69"/>
    <w:rsid w:val="001601BB"/>
    <w:rsid w:val="001603E4"/>
    <w:rsid w:val="00161404"/>
    <w:rsid w:val="00161648"/>
    <w:rsid w:val="00161691"/>
    <w:rsid w:val="0016256B"/>
    <w:rsid w:val="00162DAF"/>
    <w:rsid w:val="001635E3"/>
    <w:rsid w:val="00163793"/>
    <w:rsid w:val="00164B11"/>
    <w:rsid w:val="00164DC5"/>
    <w:rsid w:val="00165363"/>
    <w:rsid w:val="001667C0"/>
    <w:rsid w:val="00167ED3"/>
    <w:rsid w:val="001706D6"/>
    <w:rsid w:val="001710FD"/>
    <w:rsid w:val="001714F2"/>
    <w:rsid w:val="00171A39"/>
    <w:rsid w:val="00171AB7"/>
    <w:rsid w:val="001720A3"/>
    <w:rsid w:val="00172128"/>
    <w:rsid w:val="00173F33"/>
    <w:rsid w:val="00175720"/>
    <w:rsid w:val="001764DA"/>
    <w:rsid w:val="00180AF0"/>
    <w:rsid w:val="00180B35"/>
    <w:rsid w:val="00180C3A"/>
    <w:rsid w:val="00181007"/>
    <w:rsid w:val="001810E3"/>
    <w:rsid w:val="0018265D"/>
    <w:rsid w:val="00182836"/>
    <w:rsid w:val="00182E90"/>
    <w:rsid w:val="00184B08"/>
    <w:rsid w:val="00184DA9"/>
    <w:rsid w:val="00185010"/>
    <w:rsid w:val="001859DA"/>
    <w:rsid w:val="00186298"/>
    <w:rsid w:val="00190F5D"/>
    <w:rsid w:val="001918B2"/>
    <w:rsid w:val="00192060"/>
    <w:rsid w:val="001921A2"/>
    <w:rsid w:val="001928AC"/>
    <w:rsid w:val="00192FD9"/>
    <w:rsid w:val="00193657"/>
    <w:rsid w:val="00193677"/>
    <w:rsid w:val="00196098"/>
    <w:rsid w:val="00196337"/>
    <w:rsid w:val="0019696B"/>
    <w:rsid w:val="00197101"/>
    <w:rsid w:val="001A05D8"/>
    <w:rsid w:val="001A06C3"/>
    <w:rsid w:val="001A0A6E"/>
    <w:rsid w:val="001A13AF"/>
    <w:rsid w:val="001A2D20"/>
    <w:rsid w:val="001A3486"/>
    <w:rsid w:val="001A3AF5"/>
    <w:rsid w:val="001A4D56"/>
    <w:rsid w:val="001A4E80"/>
    <w:rsid w:val="001A552F"/>
    <w:rsid w:val="001A67BF"/>
    <w:rsid w:val="001A79B9"/>
    <w:rsid w:val="001B0FE4"/>
    <w:rsid w:val="001B1027"/>
    <w:rsid w:val="001B15CC"/>
    <w:rsid w:val="001B1637"/>
    <w:rsid w:val="001B267B"/>
    <w:rsid w:val="001B2768"/>
    <w:rsid w:val="001B2A54"/>
    <w:rsid w:val="001B2CA9"/>
    <w:rsid w:val="001B3110"/>
    <w:rsid w:val="001B373F"/>
    <w:rsid w:val="001B3B75"/>
    <w:rsid w:val="001B4729"/>
    <w:rsid w:val="001B4F24"/>
    <w:rsid w:val="001B5267"/>
    <w:rsid w:val="001B5BEF"/>
    <w:rsid w:val="001B5D9B"/>
    <w:rsid w:val="001B6C09"/>
    <w:rsid w:val="001B760A"/>
    <w:rsid w:val="001B7D45"/>
    <w:rsid w:val="001C05CD"/>
    <w:rsid w:val="001C0797"/>
    <w:rsid w:val="001C0B47"/>
    <w:rsid w:val="001C0E7F"/>
    <w:rsid w:val="001C2608"/>
    <w:rsid w:val="001C26E8"/>
    <w:rsid w:val="001C3868"/>
    <w:rsid w:val="001C7478"/>
    <w:rsid w:val="001C7C35"/>
    <w:rsid w:val="001C7D93"/>
    <w:rsid w:val="001C7E4C"/>
    <w:rsid w:val="001D00F3"/>
    <w:rsid w:val="001D0882"/>
    <w:rsid w:val="001D0E9E"/>
    <w:rsid w:val="001D2643"/>
    <w:rsid w:val="001D3014"/>
    <w:rsid w:val="001D31E0"/>
    <w:rsid w:val="001D3A55"/>
    <w:rsid w:val="001D3DF1"/>
    <w:rsid w:val="001D4165"/>
    <w:rsid w:val="001D492A"/>
    <w:rsid w:val="001D68B2"/>
    <w:rsid w:val="001D69DC"/>
    <w:rsid w:val="001D7B82"/>
    <w:rsid w:val="001D7EE6"/>
    <w:rsid w:val="001D7FE0"/>
    <w:rsid w:val="001E07F5"/>
    <w:rsid w:val="001E1D8B"/>
    <w:rsid w:val="001E238F"/>
    <w:rsid w:val="001E2EF7"/>
    <w:rsid w:val="001E3828"/>
    <w:rsid w:val="001E4332"/>
    <w:rsid w:val="001E57F4"/>
    <w:rsid w:val="001E5D08"/>
    <w:rsid w:val="001E6244"/>
    <w:rsid w:val="001E79C5"/>
    <w:rsid w:val="001F0349"/>
    <w:rsid w:val="001F12FA"/>
    <w:rsid w:val="001F1388"/>
    <w:rsid w:val="001F1585"/>
    <w:rsid w:val="001F16D9"/>
    <w:rsid w:val="001F4158"/>
    <w:rsid w:val="001F4597"/>
    <w:rsid w:val="001F612F"/>
    <w:rsid w:val="001F6190"/>
    <w:rsid w:val="001F66D6"/>
    <w:rsid w:val="001F6E14"/>
    <w:rsid w:val="001F7008"/>
    <w:rsid w:val="001F7BB8"/>
    <w:rsid w:val="00200886"/>
    <w:rsid w:val="00201203"/>
    <w:rsid w:val="002013DA"/>
    <w:rsid w:val="002014A3"/>
    <w:rsid w:val="00202A2D"/>
    <w:rsid w:val="00202EB2"/>
    <w:rsid w:val="00203E1E"/>
    <w:rsid w:val="002041CD"/>
    <w:rsid w:val="00204C84"/>
    <w:rsid w:val="00205D2D"/>
    <w:rsid w:val="00206DCF"/>
    <w:rsid w:val="002070EA"/>
    <w:rsid w:val="00207344"/>
    <w:rsid w:val="00207C9D"/>
    <w:rsid w:val="00210B09"/>
    <w:rsid w:val="00211120"/>
    <w:rsid w:val="002115A9"/>
    <w:rsid w:val="00211611"/>
    <w:rsid w:val="002118B9"/>
    <w:rsid w:val="0021267E"/>
    <w:rsid w:val="002142E4"/>
    <w:rsid w:val="00214868"/>
    <w:rsid w:val="00214ED2"/>
    <w:rsid w:val="00214F7C"/>
    <w:rsid w:val="00215001"/>
    <w:rsid w:val="0021603A"/>
    <w:rsid w:val="00216B72"/>
    <w:rsid w:val="00216DA0"/>
    <w:rsid w:val="00217C5B"/>
    <w:rsid w:val="002210BD"/>
    <w:rsid w:val="00221292"/>
    <w:rsid w:val="0022139E"/>
    <w:rsid w:val="002214CF"/>
    <w:rsid w:val="002217B5"/>
    <w:rsid w:val="002220EC"/>
    <w:rsid w:val="002230DF"/>
    <w:rsid w:val="00223B46"/>
    <w:rsid w:val="00223CFB"/>
    <w:rsid w:val="00224AD1"/>
    <w:rsid w:val="002252E0"/>
    <w:rsid w:val="002255F6"/>
    <w:rsid w:val="002257AD"/>
    <w:rsid w:val="002264DE"/>
    <w:rsid w:val="00226A91"/>
    <w:rsid w:val="002276C1"/>
    <w:rsid w:val="00227766"/>
    <w:rsid w:val="00227850"/>
    <w:rsid w:val="00227A53"/>
    <w:rsid w:val="00230643"/>
    <w:rsid w:val="00230C6E"/>
    <w:rsid w:val="00230EAA"/>
    <w:rsid w:val="0023118E"/>
    <w:rsid w:val="00233109"/>
    <w:rsid w:val="00233137"/>
    <w:rsid w:val="00233DA6"/>
    <w:rsid w:val="00235806"/>
    <w:rsid w:val="00235E86"/>
    <w:rsid w:val="00236443"/>
    <w:rsid w:val="00236C95"/>
    <w:rsid w:val="00236D42"/>
    <w:rsid w:val="00237602"/>
    <w:rsid w:val="0023779C"/>
    <w:rsid w:val="002415B7"/>
    <w:rsid w:val="00241924"/>
    <w:rsid w:val="00241E94"/>
    <w:rsid w:val="002425D9"/>
    <w:rsid w:val="00243563"/>
    <w:rsid w:val="002436BA"/>
    <w:rsid w:val="00243B3A"/>
    <w:rsid w:val="002445DD"/>
    <w:rsid w:val="00244A15"/>
    <w:rsid w:val="002465D1"/>
    <w:rsid w:val="00247319"/>
    <w:rsid w:val="0024799E"/>
    <w:rsid w:val="00247C96"/>
    <w:rsid w:val="00247FB4"/>
    <w:rsid w:val="00251922"/>
    <w:rsid w:val="0025269C"/>
    <w:rsid w:val="002535BC"/>
    <w:rsid w:val="002538CE"/>
    <w:rsid w:val="00253C0F"/>
    <w:rsid w:val="002542AC"/>
    <w:rsid w:val="00254402"/>
    <w:rsid w:val="00255CD0"/>
    <w:rsid w:val="00256F7E"/>
    <w:rsid w:val="00257D71"/>
    <w:rsid w:val="002602E7"/>
    <w:rsid w:val="00261B88"/>
    <w:rsid w:val="00261FA0"/>
    <w:rsid w:val="00262B1F"/>
    <w:rsid w:val="0026319C"/>
    <w:rsid w:val="002633D1"/>
    <w:rsid w:val="00263D62"/>
    <w:rsid w:val="00263D67"/>
    <w:rsid w:val="002651FD"/>
    <w:rsid w:val="00265B9E"/>
    <w:rsid w:val="00267A0A"/>
    <w:rsid w:val="00270163"/>
    <w:rsid w:val="002709AC"/>
    <w:rsid w:val="00270AF2"/>
    <w:rsid w:val="00270D37"/>
    <w:rsid w:val="00271465"/>
    <w:rsid w:val="00271F00"/>
    <w:rsid w:val="002733D2"/>
    <w:rsid w:val="0027456E"/>
    <w:rsid w:val="0027522C"/>
    <w:rsid w:val="00275F01"/>
    <w:rsid w:val="002777BE"/>
    <w:rsid w:val="00280182"/>
    <w:rsid w:val="00280ACF"/>
    <w:rsid w:val="00280B02"/>
    <w:rsid w:val="00282237"/>
    <w:rsid w:val="002823FA"/>
    <w:rsid w:val="00282B80"/>
    <w:rsid w:val="0028381B"/>
    <w:rsid w:val="00283BE6"/>
    <w:rsid w:val="00284002"/>
    <w:rsid w:val="0028505C"/>
    <w:rsid w:val="0028535B"/>
    <w:rsid w:val="00285412"/>
    <w:rsid w:val="002856DB"/>
    <w:rsid w:val="00287859"/>
    <w:rsid w:val="00287C53"/>
    <w:rsid w:val="00290CCE"/>
    <w:rsid w:val="0029203C"/>
    <w:rsid w:val="002921A5"/>
    <w:rsid w:val="00292E29"/>
    <w:rsid w:val="00294E81"/>
    <w:rsid w:val="0029557F"/>
    <w:rsid w:val="00295582"/>
    <w:rsid w:val="002962CB"/>
    <w:rsid w:val="00296FD7"/>
    <w:rsid w:val="002A00BE"/>
    <w:rsid w:val="002A0636"/>
    <w:rsid w:val="002A074E"/>
    <w:rsid w:val="002A0A11"/>
    <w:rsid w:val="002A138B"/>
    <w:rsid w:val="002A15DC"/>
    <w:rsid w:val="002A1622"/>
    <w:rsid w:val="002A16D4"/>
    <w:rsid w:val="002A230C"/>
    <w:rsid w:val="002A245C"/>
    <w:rsid w:val="002A2746"/>
    <w:rsid w:val="002A411C"/>
    <w:rsid w:val="002A4A08"/>
    <w:rsid w:val="002A548E"/>
    <w:rsid w:val="002B0758"/>
    <w:rsid w:val="002B08E1"/>
    <w:rsid w:val="002B1785"/>
    <w:rsid w:val="002B3A9F"/>
    <w:rsid w:val="002B4097"/>
    <w:rsid w:val="002B4DD5"/>
    <w:rsid w:val="002B5656"/>
    <w:rsid w:val="002B5BEA"/>
    <w:rsid w:val="002B636D"/>
    <w:rsid w:val="002B6B6E"/>
    <w:rsid w:val="002B7648"/>
    <w:rsid w:val="002B778B"/>
    <w:rsid w:val="002B7DA7"/>
    <w:rsid w:val="002C0EA0"/>
    <w:rsid w:val="002C111E"/>
    <w:rsid w:val="002C18C3"/>
    <w:rsid w:val="002C2A05"/>
    <w:rsid w:val="002C36FB"/>
    <w:rsid w:val="002C43BD"/>
    <w:rsid w:val="002C4B6C"/>
    <w:rsid w:val="002C5C25"/>
    <w:rsid w:val="002C60D3"/>
    <w:rsid w:val="002C6538"/>
    <w:rsid w:val="002C6907"/>
    <w:rsid w:val="002C6B92"/>
    <w:rsid w:val="002C70F4"/>
    <w:rsid w:val="002C78B4"/>
    <w:rsid w:val="002D0E59"/>
    <w:rsid w:val="002D182D"/>
    <w:rsid w:val="002D19C0"/>
    <w:rsid w:val="002D1B1C"/>
    <w:rsid w:val="002D1BF7"/>
    <w:rsid w:val="002D1DE5"/>
    <w:rsid w:val="002D23AB"/>
    <w:rsid w:val="002D29A6"/>
    <w:rsid w:val="002D29BD"/>
    <w:rsid w:val="002D3B3C"/>
    <w:rsid w:val="002D41B1"/>
    <w:rsid w:val="002D539C"/>
    <w:rsid w:val="002D5FC9"/>
    <w:rsid w:val="002D612E"/>
    <w:rsid w:val="002D64AE"/>
    <w:rsid w:val="002D6E13"/>
    <w:rsid w:val="002D74C7"/>
    <w:rsid w:val="002E02A1"/>
    <w:rsid w:val="002E17AE"/>
    <w:rsid w:val="002E247C"/>
    <w:rsid w:val="002E26D6"/>
    <w:rsid w:val="002E2D1F"/>
    <w:rsid w:val="002E3CFA"/>
    <w:rsid w:val="002E3F80"/>
    <w:rsid w:val="002E4875"/>
    <w:rsid w:val="002E4E4C"/>
    <w:rsid w:val="002E5226"/>
    <w:rsid w:val="002E58C0"/>
    <w:rsid w:val="002E59FC"/>
    <w:rsid w:val="002E5F37"/>
    <w:rsid w:val="002E6D52"/>
    <w:rsid w:val="002F0C16"/>
    <w:rsid w:val="002F17ED"/>
    <w:rsid w:val="002F1BFB"/>
    <w:rsid w:val="002F3688"/>
    <w:rsid w:val="002F3B0B"/>
    <w:rsid w:val="002F41E8"/>
    <w:rsid w:val="002F47F1"/>
    <w:rsid w:val="002F558C"/>
    <w:rsid w:val="002F5A49"/>
    <w:rsid w:val="002F69A3"/>
    <w:rsid w:val="002F6C29"/>
    <w:rsid w:val="002F72C4"/>
    <w:rsid w:val="0030014C"/>
    <w:rsid w:val="00301E8A"/>
    <w:rsid w:val="00302221"/>
    <w:rsid w:val="0030240C"/>
    <w:rsid w:val="0030251C"/>
    <w:rsid w:val="00302A46"/>
    <w:rsid w:val="00303A31"/>
    <w:rsid w:val="00303A8C"/>
    <w:rsid w:val="00304771"/>
    <w:rsid w:val="00304AB8"/>
    <w:rsid w:val="003052D4"/>
    <w:rsid w:val="00305760"/>
    <w:rsid w:val="003064B9"/>
    <w:rsid w:val="00306AFC"/>
    <w:rsid w:val="00306C5B"/>
    <w:rsid w:val="003107F5"/>
    <w:rsid w:val="00312793"/>
    <w:rsid w:val="00312D27"/>
    <w:rsid w:val="00313C5D"/>
    <w:rsid w:val="00313CE8"/>
    <w:rsid w:val="00314672"/>
    <w:rsid w:val="00314806"/>
    <w:rsid w:val="003149F2"/>
    <w:rsid w:val="00314F7B"/>
    <w:rsid w:val="0031553A"/>
    <w:rsid w:val="00316BB8"/>
    <w:rsid w:val="00316DF1"/>
    <w:rsid w:val="003179AB"/>
    <w:rsid w:val="003209D6"/>
    <w:rsid w:val="00321184"/>
    <w:rsid w:val="00321924"/>
    <w:rsid w:val="00322668"/>
    <w:rsid w:val="0032270C"/>
    <w:rsid w:val="0032326A"/>
    <w:rsid w:val="00323469"/>
    <w:rsid w:val="00323B86"/>
    <w:rsid w:val="00323E14"/>
    <w:rsid w:val="00324B63"/>
    <w:rsid w:val="0032519A"/>
    <w:rsid w:val="00325C6E"/>
    <w:rsid w:val="00325F75"/>
    <w:rsid w:val="0032656E"/>
    <w:rsid w:val="00327CB2"/>
    <w:rsid w:val="00327CB6"/>
    <w:rsid w:val="0033084C"/>
    <w:rsid w:val="00330ACA"/>
    <w:rsid w:val="00331500"/>
    <w:rsid w:val="003315D6"/>
    <w:rsid w:val="00331F80"/>
    <w:rsid w:val="00332190"/>
    <w:rsid w:val="003323A1"/>
    <w:rsid w:val="00333182"/>
    <w:rsid w:val="00333894"/>
    <w:rsid w:val="0033440D"/>
    <w:rsid w:val="0033478D"/>
    <w:rsid w:val="003347EF"/>
    <w:rsid w:val="00336618"/>
    <w:rsid w:val="00337DB8"/>
    <w:rsid w:val="00340268"/>
    <w:rsid w:val="00340799"/>
    <w:rsid w:val="0034095F"/>
    <w:rsid w:val="00341C24"/>
    <w:rsid w:val="00341D4B"/>
    <w:rsid w:val="00341E22"/>
    <w:rsid w:val="00343A00"/>
    <w:rsid w:val="00344668"/>
    <w:rsid w:val="003456FB"/>
    <w:rsid w:val="00345CBF"/>
    <w:rsid w:val="003462D9"/>
    <w:rsid w:val="003469A7"/>
    <w:rsid w:val="0034745A"/>
    <w:rsid w:val="00347B39"/>
    <w:rsid w:val="00350828"/>
    <w:rsid w:val="00350C8D"/>
    <w:rsid w:val="00351746"/>
    <w:rsid w:val="003518C1"/>
    <w:rsid w:val="003529CC"/>
    <w:rsid w:val="00352ACA"/>
    <w:rsid w:val="0035303F"/>
    <w:rsid w:val="00354158"/>
    <w:rsid w:val="00354B7E"/>
    <w:rsid w:val="00354DF0"/>
    <w:rsid w:val="003559B3"/>
    <w:rsid w:val="003568B8"/>
    <w:rsid w:val="003572D9"/>
    <w:rsid w:val="003576A7"/>
    <w:rsid w:val="00357A9C"/>
    <w:rsid w:val="00360C86"/>
    <w:rsid w:val="00361C42"/>
    <w:rsid w:val="003630D1"/>
    <w:rsid w:val="0036391F"/>
    <w:rsid w:val="00363CE9"/>
    <w:rsid w:val="00363E22"/>
    <w:rsid w:val="003641C9"/>
    <w:rsid w:val="0036435D"/>
    <w:rsid w:val="003657F3"/>
    <w:rsid w:val="00365CC1"/>
    <w:rsid w:val="00366D15"/>
    <w:rsid w:val="00367C55"/>
    <w:rsid w:val="00367EFD"/>
    <w:rsid w:val="00370F6F"/>
    <w:rsid w:val="0037191E"/>
    <w:rsid w:val="00371955"/>
    <w:rsid w:val="00371F82"/>
    <w:rsid w:val="00372A3C"/>
    <w:rsid w:val="0037313F"/>
    <w:rsid w:val="003731F2"/>
    <w:rsid w:val="003747A9"/>
    <w:rsid w:val="00375265"/>
    <w:rsid w:val="00375A1E"/>
    <w:rsid w:val="0037628A"/>
    <w:rsid w:val="00376DED"/>
    <w:rsid w:val="00377D23"/>
    <w:rsid w:val="00380129"/>
    <w:rsid w:val="003818DC"/>
    <w:rsid w:val="00383B35"/>
    <w:rsid w:val="00384327"/>
    <w:rsid w:val="00384853"/>
    <w:rsid w:val="003849B1"/>
    <w:rsid w:val="00385324"/>
    <w:rsid w:val="00385CF8"/>
    <w:rsid w:val="00385D98"/>
    <w:rsid w:val="00385F7B"/>
    <w:rsid w:val="00386026"/>
    <w:rsid w:val="003865D4"/>
    <w:rsid w:val="00386648"/>
    <w:rsid w:val="00386890"/>
    <w:rsid w:val="00386913"/>
    <w:rsid w:val="0038765F"/>
    <w:rsid w:val="00390B55"/>
    <w:rsid w:val="003911F6"/>
    <w:rsid w:val="00391461"/>
    <w:rsid w:val="003920E0"/>
    <w:rsid w:val="0039216A"/>
    <w:rsid w:val="00393B69"/>
    <w:rsid w:val="003940DD"/>
    <w:rsid w:val="00394628"/>
    <w:rsid w:val="00394935"/>
    <w:rsid w:val="00396009"/>
    <w:rsid w:val="003A00BC"/>
    <w:rsid w:val="003A0AD5"/>
    <w:rsid w:val="003A2B4D"/>
    <w:rsid w:val="003A3808"/>
    <w:rsid w:val="003A3897"/>
    <w:rsid w:val="003A3BF4"/>
    <w:rsid w:val="003A4117"/>
    <w:rsid w:val="003A4175"/>
    <w:rsid w:val="003A478C"/>
    <w:rsid w:val="003A4975"/>
    <w:rsid w:val="003A52A3"/>
    <w:rsid w:val="003A5525"/>
    <w:rsid w:val="003A62B2"/>
    <w:rsid w:val="003A672D"/>
    <w:rsid w:val="003A6B38"/>
    <w:rsid w:val="003A7054"/>
    <w:rsid w:val="003A73ED"/>
    <w:rsid w:val="003A78F5"/>
    <w:rsid w:val="003B0994"/>
    <w:rsid w:val="003B09D0"/>
    <w:rsid w:val="003B177C"/>
    <w:rsid w:val="003B194B"/>
    <w:rsid w:val="003B3BDD"/>
    <w:rsid w:val="003B3D82"/>
    <w:rsid w:val="003B4194"/>
    <w:rsid w:val="003B41E7"/>
    <w:rsid w:val="003B5A32"/>
    <w:rsid w:val="003B5DE1"/>
    <w:rsid w:val="003B6803"/>
    <w:rsid w:val="003B7A27"/>
    <w:rsid w:val="003C0201"/>
    <w:rsid w:val="003C1047"/>
    <w:rsid w:val="003C1626"/>
    <w:rsid w:val="003C210A"/>
    <w:rsid w:val="003C23F0"/>
    <w:rsid w:val="003C29D4"/>
    <w:rsid w:val="003C3490"/>
    <w:rsid w:val="003C60D5"/>
    <w:rsid w:val="003C670D"/>
    <w:rsid w:val="003C6725"/>
    <w:rsid w:val="003C72EB"/>
    <w:rsid w:val="003C77D2"/>
    <w:rsid w:val="003D002C"/>
    <w:rsid w:val="003D1AB2"/>
    <w:rsid w:val="003D1D17"/>
    <w:rsid w:val="003D1D86"/>
    <w:rsid w:val="003D2891"/>
    <w:rsid w:val="003D2C5E"/>
    <w:rsid w:val="003D3B6C"/>
    <w:rsid w:val="003D3E71"/>
    <w:rsid w:val="003D4408"/>
    <w:rsid w:val="003D475C"/>
    <w:rsid w:val="003D49C4"/>
    <w:rsid w:val="003D55A8"/>
    <w:rsid w:val="003D5685"/>
    <w:rsid w:val="003D57A6"/>
    <w:rsid w:val="003D623E"/>
    <w:rsid w:val="003D6580"/>
    <w:rsid w:val="003D6920"/>
    <w:rsid w:val="003D6C8E"/>
    <w:rsid w:val="003D6DD5"/>
    <w:rsid w:val="003D75F8"/>
    <w:rsid w:val="003E088E"/>
    <w:rsid w:val="003E1B34"/>
    <w:rsid w:val="003E1C65"/>
    <w:rsid w:val="003E399E"/>
    <w:rsid w:val="003E423A"/>
    <w:rsid w:val="003E4C91"/>
    <w:rsid w:val="003E544A"/>
    <w:rsid w:val="003E614F"/>
    <w:rsid w:val="003E6406"/>
    <w:rsid w:val="003F00C0"/>
    <w:rsid w:val="003F03F3"/>
    <w:rsid w:val="003F042C"/>
    <w:rsid w:val="003F21C9"/>
    <w:rsid w:val="003F313C"/>
    <w:rsid w:val="003F32BA"/>
    <w:rsid w:val="003F4AD5"/>
    <w:rsid w:val="003F4B2C"/>
    <w:rsid w:val="003F551C"/>
    <w:rsid w:val="003F69AB"/>
    <w:rsid w:val="003F79D4"/>
    <w:rsid w:val="003F7CBF"/>
    <w:rsid w:val="003F7D23"/>
    <w:rsid w:val="00400AB7"/>
    <w:rsid w:val="0040115E"/>
    <w:rsid w:val="00401BDE"/>
    <w:rsid w:val="004021EF"/>
    <w:rsid w:val="004064C7"/>
    <w:rsid w:val="004064CE"/>
    <w:rsid w:val="00406BFC"/>
    <w:rsid w:val="004078AB"/>
    <w:rsid w:val="00407A3A"/>
    <w:rsid w:val="00407C13"/>
    <w:rsid w:val="00410638"/>
    <w:rsid w:val="004122AC"/>
    <w:rsid w:val="00412D31"/>
    <w:rsid w:val="00413E1C"/>
    <w:rsid w:val="00414002"/>
    <w:rsid w:val="004148A0"/>
    <w:rsid w:val="004148D5"/>
    <w:rsid w:val="0041531C"/>
    <w:rsid w:val="004154EA"/>
    <w:rsid w:val="00415543"/>
    <w:rsid w:val="004159AB"/>
    <w:rsid w:val="00415C5A"/>
    <w:rsid w:val="00415DC8"/>
    <w:rsid w:val="0041678D"/>
    <w:rsid w:val="0042049A"/>
    <w:rsid w:val="0042072E"/>
    <w:rsid w:val="004212A0"/>
    <w:rsid w:val="004217B2"/>
    <w:rsid w:val="00422398"/>
    <w:rsid w:val="00424838"/>
    <w:rsid w:val="004259A4"/>
    <w:rsid w:val="00425ED7"/>
    <w:rsid w:val="004277D2"/>
    <w:rsid w:val="004279CC"/>
    <w:rsid w:val="00427F43"/>
    <w:rsid w:val="004306B2"/>
    <w:rsid w:val="00430D4D"/>
    <w:rsid w:val="004312B1"/>
    <w:rsid w:val="0043159F"/>
    <w:rsid w:val="00431664"/>
    <w:rsid w:val="00432466"/>
    <w:rsid w:val="00432A58"/>
    <w:rsid w:val="004333D3"/>
    <w:rsid w:val="00433688"/>
    <w:rsid w:val="00433FAA"/>
    <w:rsid w:val="004340E2"/>
    <w:rsid w:val="00434617"/>
    <w:rsid w:val="0043524B"/>
    <w:rsid w:val="00435A4B"/>
    <w:rsid w:val="00435E99"/>
    <w:rsid w:val="004361CB"/>
    <w:rsid w:val="004370BF"/>
    <w:rsid w:val="00437F64"/>
    <w:rsid w:val="0044021E"/>
    <w:rsid w:val="00440553"/>
    <w:rsid w:val="00440900"/>
    <w:rsid w:val="00440B62"/>
    <w:rsid w:val="00441212"/>
    <w:rsid w:val="004414E2"/>
    <w:rsid w:val="00442BA0"/>
    <w:rsid w:val="00443026"/>
    <w:rsid w:val="00443055"/>
    <w:rsid w:val="00443C54"/>
    <w:rsid w:val="00443FCB"/>
    <w:rsid w:val="004441A0"/>
    <w:rsid w:val="004452E3"/>
    <w:rsid w:val="00445EAB"/>
    <w:rsid w:val="00446283"/>
    <w:rsid w:val="004462FB"/>
    <w:rsid w:val="004469F3"/>
    <w:rsid w:val="00450719"/>
    <w:rsid w:val="00450D65"/>
    <w:rsid w:val="00450FAB"/>
    <w:rsid w:val="00451257"/>
    <w:rsid w:val="00451517"/>
    <w:rsid w:val="0045190F"/>
    <w:rsid w:val="004519A4"/>
    <w:rsid w:val="00452788"/>
    <w:rsid w:val="00453B74"/>
    <w:rsid w:val="00454D57"/>
    <w:rsid w:val="0045502E"/>
    <w:rsid w:val="0045598A"/>
    <w:rsid w:val="00456626"/>
    <w:rsid w:val="00456635"/>
    <w:rsid w:val="00460FB3"/>
    <w:rsid w:val="004615E9"/>
    <w:rsid w:val="00461962"/>
    <w:rsid w:val="00461F84"/>
    <w:rsid w:val="0046244A"/>
    <w:rsid w:val="00465AD1"/>
    <w:rsid w:val="004674B4"/>
    <w:rsid w:val="004676AB"/>
    <w:rsid w:val="00467B66"/>
    <w:rsid w:val="00467C2E"/>
    <w:rsid w:val="00470072"/>
    <w:rsid w:val="0047094F"/>
    <w:rsid w:val="004710EF"/>
    <w:rsid w:val="00471995"/>
    <w:rsid w:val="00472920"/>
    <w:rsid w:val="00472C32"/>
    <w:rsid w:val="0047385C"/>
    <w:rsid w:val="00474C68"/>
    <w:rsid w:val="00474DB2"/>
    <w:rsid w:val="0047521B"/>
    <w:rsid w:val="004759BC"/>
    <w:rsid w:val="00476240"/>
    <w:rsid w:val="00476432"/>
    <w:rsid w:val="00476439"/>
    <w:rsid w:val="00476555"/>
    <w:rsid w:val="00476632"/>
    <w:rsid w:val="0047671E"/>
    <w:rsid w:val="00476D99"/>
    <w:rsid w:val="0047735C"/>
    <w:rsid w:val="0047768D"/>
    <w:rsid w:val="004776BC"/>
    <w:rsid w:val="004777C3"/>
    <w:rsid w:val="0047789C"/>
    <w:rsid w:val="004808C5"/>
    <w:rsid w:val="00480931"/>
    <w:rsid w:val="0048139F"/>
    <w:rsid w:val="00481E40"/>
    <w:rsid w:val="00482A74"/>
    <w:rsid w:val="00482D4C"/>
    <w:rsid w:val="0048304D"/>
    <w:rsid w:val="0048310F"/>
    <w:rsid w:val="004845F6"/>
    <w:rsid w:val="00484ECE"/>
    <w:rsid w:val="00485633"/>
    <w:rsid w:val="004859DF"/>
    <w:rsid w:val="00485E1A"/>
    <w:rsid w:val="004864B7"/>
    <w:rsid w:val="00486535"/>
    <w:rsid w:val="004868C1"/>
    <w:rsid w:val="00487577"/>
    <w:rsid w:val="004876F1"/>
    <w:rsid w:val="00487E3F"/>
    <w:rsid w:val="004900FF"/>
    <w:rsid w:val="00490CE7"/>
    <w:rsid w:val="004915CB"/>
    <w:rsid w:val="004924DC"/>
    <w:rsid w:val="00493FB0"/>
    <w:rsid w:val="00494032"/>
    <w:rsid w:val="00494CE2"/>
    <w:rsid w:val="00496EF6"/>
    <w:rsid w:val="004A0765"/>
    <w:rsid w:val="004A1095"/>
    <w:rsid w:val="004A14E4"/>
    <w:rsid w:val="004A29A0"/>
    <w:rsid w:val="004A2C68"/>
    <w:rsid w:val="004A3212"/>
    <w:rsid w:val="004A3B7D"/>
    <w:rsid w:val="004A4CD3"/>
    <w:rsid w:val="004A61C5"/>
    <w:rsid w:val="004A6219"/>
    <w:rsid w:val="004A6769"/>
    <w:rsid w:val="004A77DF"/>
    <w:rsid w:val="004B1190"/>
    <w:rsid w:val="004B11C6"/>
    <w:rsid w:val="004B1417"/>
    <w:rsid w:val="004B257C"/>
    <w:rsid w:val="004B2FD2"/>
    <w:rsid w:val="004B3710"/>
    <w:rsid w:val="004B3A63"/>
    <w:rsid w:val="004B4219"/>
    <w:rsid w:val="004B4398"/>
    <w:rsid w:val="004B4A61"/>
    <w:rsid w:val="004B55B7"/>
    <w:rsid w:val="004B5727"/>
    <w:rsid w:val="004B59BC"/>
    <w:rsid w:val="004B6468"/>
    <w:rsid w:val="004B6681"/>
    <w:rsid w:val="004B6906"/>
    <w:rsid w:val="004B74A6"/>
    <w:rsid w:val="004B7D50"/>
    <w:rsid w:val="004B7EF6"/>
    <w:rsid w:val="004C048E"/>
    <w:rsid w:val="004C0561"/>
    <w:rsid w:val="004C07FA"/>
    <w:rsid w:val="004C08D4"/>
    <w:rsid w:val="004C0AD8"/>
    <w:rsid w:val="004C171D"/>
    <w:rsid w:val="004C1A1B"/>
    <w:rsid w:val="004C22B4"/>
    <w:rsid w:val="004C274B"/>
    <w:rsid w:val="004C384C"/>
    <w:rsid w:val="004C3867"/>
    <w:rsid w:val="004C3B46"/>
    <w:rsid w:val="004C3F87"/>
    <w:rsid w:val="004C4CD0"/>
    <w:rsid w:val="004C540F"/>
    <w:rsid w:val="004C5D51"/>
    <w:rsid w:val="004C5F00"/>
    <w:rsid w:val="004C6E5B"/>
    <w:rsid w:val="004C70DC"/>
    <w:rsid w:val="004C737D"/>
    <w:rsid w:val="004D0211"/>
    <w:rsid w:val="004D0794"/>
    <w:rsid w:val="004D0963"/>
    <w:rsid w:val="004D17E1"/>
    <w:rsid w:val="004D17F6"/>
    <w:rsid w:val="004D1CCB"/>
    <w:rsid w:val="004D22C0"/>
    <w:rsid w:val="004D2910"/>
    <w:rsid w:val="004D2A8C"/>
    <w:rsid w:val="004D3712"/>
    <w:rsid w:val="004D3C55"/>
    <w:rsid w:val="004D556B"/>
    <w:rsid w:val="004D5B7D"/>
    <w:rsid w:val="004D60D5"/>
    <w:rsid w:val="004E0056"/>
    <w:rsid w:val="004E0A54"/>
    <w:rsid w:val="004E169F"/>
    <w:rsid w:val="004E346A"/>
    <w:rsid w:val="004E48DF"/>
    <w:rsid w:val="004E4B10"/>
    <w:rsid w:val="004E543C"/>
    <w:rsid w:val="004E55D7"/>
    <w:rsid w:val="004E5A65"/>
    <w:rsid w:val="004E66F1"/>
    <w:rsid w:val="004E6B07"/>
    <w:rsid w:val="004E6C86"/>
    <w:rsid w:val="004E79A9"/>
    <w:rsid w:val="004F06F5"/>
    <w:rsid w:val="004F092A"/>
    <w:rsid w:val="004F11A0"/>
    <w:rsid w:val="004F19A0"/>
    <w:rsid w:val="004F1B02"/>
    <w:rsid w:val="004F1EBD"/>
    <w:rsid w:val="004F33A0"/>
    <w:rsid w:val="004F476E"/>
    <w:rsid w:val="004F4C68"/>
    <w:rsid w:val="004F5AE3"/>
    <w:rsid w:val="004F6FD4"/>
    <w:rsid w:val="004F747D"/>
    <w:rsid w:val="004F77D6"/>
    <w:rsid w:val="00500A8A"/>
    <w:rsid w:val="005019F7"/>
    <w:rsid w:val="005021BD"/>
    <w:rsid w:val="00502CB8"/>
    <w:rsid w:val="00503D39"/>
    <w:rsid w:val="00504DF0"/>
    <w:rsid w:val="00505884"/>
    <w:rsid w:val="00505A3F"/>
    <w:rsid w:val="00505AEB"/>
    <w:rsid w:val="0050610D"/>
    <w:rsid w:val="00506AF6"/>
    <w:rsid w:val="00506B7E"/>
    <w:rsid w:val="00506EA4"/>
    <w:rsid w:val="005075AB"/>
    <w:rsid w:val="00510068"/>
    <w:rsid w:val="00510840"/>
    <w:rsid w:val="005108C0"/>
    <w:rsid w:val="00511873"/>
    <w:rsid w:val="00512A2F"/>
    <w:rsid w:val="0051310E"/>
    <w:rsid w:val="00513B7E"/>
    <w:rsid w:val="00515AD4"/>
    <w:rsid w:val="00515C74"/>
    <w:rsid w:val="00515C9F"/>
    <w:rsid w:val="00516090"/>
    <w:rsid w:val="0051644E"/>
    <w:rsid w:val="005166A1"/>
    <w:rsid w:val="0052007E"/>
    <w:rsid w:val="00520319"/>
    <w:rsid w:val="005207AA"/>
    <w:rsid w:val="00521013"/>
    <w:rsid w:val="00522D7D"/>
    <w:rsid w:val="0052337A"/>
    <w:rsid w:val="005239EA"/>
    <w:rsid w:val="00525137"/>
    <w:rsid w:val="005251DD"/>
    <w:rsid w:val="005257ED"/>
    <w:rsid w:val="00525CEF"/>
    <w:rsid w:val="00525FFC"/>
    <w:rsid w:val="00526384"/>
    <w:rsid w:val="00526565"/>
    <w:rsid w:val="00527897"/>
    <w:rsid w:val="00527F80"/>
    <w:rsid w:val="005302AB"/>
    <w:rsid w:val="00530D76"/>
    <w:rsid w:val="00532CE7"/>
    <w:rsid w:val="00532E6A"/>
    <w:rsid w:val="0053324C"/>
    <w:rsid w:val="00533B1A"/>
    <w:rsid w:val="00534151"/>
    <w:rsid w:val="00534A28"/>
    <w:rsid w:val="00535DB8"/>
    <w:rsid w:val="00536B9B"/>
    <w:rsid w:val="00537086"/>
    <w:rsid w:val="005370C4"/>
    <w:rsid w:val="005371CE"/>
    <w:rsid w:val="005372CF"/>
    <w:rsid w:val="00537DAF"/>
    <w:rsid w:val="00541508"/>
    <w:rsid w:val="00541A82"/>
    <w:rsid w:val="00541BBF"/>
    <w:rsid w:val="00541C4C"/>
    <w:rsid w:val="00541CED"/>
    <w:rsid w:val="005422E2"/>
    <w:rsid w:val="005432F2"/>
    <w:rsid w:val="00543A02"/>
    <w:rsid w:val="005442CC"/>
    <w:rsid w:val="00545528"/>
    <w:rsid w:val="00545E45"/>
    <w:rsid w:val="005465CB"/>
    <w:rsid w:val="00550EA0"/>
    <w:rsid w:val="005524F6"/>
    <w:rsid w:val="005525D0"/>
    <w:rsid w:val="00552D10"/>
    <w:rsid w:val="0055327E"/>
    <w:rsid w:val="00554CFE"/>
    <w:rsid w:val="0055553C"/>
    <w:rsid w:val="005556E4"/>
    <w:rsid w:val="0055586A"/>
    <w:rsid w:val="0055599F"/>
    <w:rsid w:val="00555ABA"/>
    <w:rsid w:val="00556B98"/>
    <w:rsid w:val="00556D68"/>
    <w:rsid w:val="0055728A"/>
    <w:rsid w:val="00557A73"/>
    <w:rsid w:val="00557FDA"/>
    <w:rsid w:val="00560FD5"/>
    <w:rsid w:val="00561F02"/>
    <w:rsid w:val="0056217C"/>
    <w:rsid w:val="00562411"/>
    <w:rsid w:val="00562680"/>
    <w:rsid w:val="005647BF"/>
    <w:rsid w:val="00564AA1"/>
    <w:rsid w:val="00564B8A"/>
    <w:rsid w:val="005658FE"/>
    <w:rsid w:val="00565F8E"/>
    <w:rsid w:val="0056647F"/>
    <w:rsid w:val="00566C30"/>
    <w:rsid w:val="00566DB2"/>
    <w:rsid w:val="0056714A"/>
    <w:rsid w:val="00567BF8"/>
    <w:rsid w:val="00567C89"/>
    <w:rsid w:val="00570A11"/>
    <w:rsid w:val="00570A93"/>
    <w:rsid w:val="00571E5F"/>
    <w:rsid w:val="0057364B"/>
    <w:rsid w:val="00573A3B"/>
    <w:rsid w:val="00574773"/>
    <w:rsid w:val="00574CB1"/>
    <w:rsid w:val="00575722"/>
    <w:rsid w:val="00576730"/>
    <w:rsid w:val="00576D54"/>
    <w:rsid w:val="00581E84"/>
    <w:rsid w:val="00582B45"/>
    <w:rsid w:val="00582D45"/>
    <w:rsid w:val="00583885"/>
    <w:rsid w:val="00583FFD"/>
    <w:rsid w:val="00584360"/>
    <w:rsid w:val="00584F85"/>
    <w:rsid w:val="00585357"/>
    <w:rsid w:val="005859FB"/>
    <w:rsid w:val="00585E51"/>
    <w:rsid w:val="0058622A"/>
    <w:rsid w:val="00586579"/>
    <w:rsid w:val="00590212"/>
    <w:rsid w:val="005911BE"/>
    <w:rsid w:val="00591F79"/>
    <w:rsid w:val="00593152"/>
    <w:rsid w:val="0059439A"/>
    <w:rsid w:val="00594553"/>
    <w:rsid w:val="00594CCF"/>
    <w:rsid w:val="00594F9D"/>
    <w:rsid w:val="005956BF"/>
    <w:rsid w:val="005973F7"/>
    <w:rsid w:val="00597650"/>
    <w:rsid w:val="00597A4F"/>
    <w:rsid w:val="00597F44"/>
    <w:rsid w:val="005A04B3"/>
    <w:rsid w:val="005A10F2"/>
    <w:rsid w:val="005A12A9"/>
    <w:rsid w:val="005A16D1"/>
    <w:rsid w:val="005A1896"/>
    <w:rsid w:val="005A21E0"/>
    <w:rsid w:val="005A28FF"/>
    <w:rsid w:val="005A2E08"/>
    <w:rsid w:val="005A3DF8"/>
    <w:rsid w:val="005A4018"/>
    <w:rsid w:val="005A40F7"/>
    <w:rsid w:val="005A435A"/>
    <w:rsid w:val="005A4745"/>
    <w:rsid w:val="005A4DB5"/>
    <w:rsid w:val="005A5387"/>
    <w:rsid w:val="005A5549"/>
    <w:rsid w:val="005A5A57"/>
    <w:rsid w:val="005A5F01"/>
    <w:rsid w:val="005A7595"/>
    <w:rsid w:val="005A7DC6"/>
    <w:rsid w:val="005B0664"/>
    <w:rsid w:val="005B121D"/>
    <w:rsid w:val="005B2851"/>
    <w:rsid w:val="005B2ADE"/>
    <w:rsid w:val="005B5339"/>
    <w:rsid w:val="005B6D93"/>
    <w:rsid w:val="005B7266"/>
    <w:rsid w:val="005C00E4"/>
    <w:rsid w:val="005C06ED"/>
    <w:rsid w:val="005C0816"/>
    <w:rsid w:val="005C25CE"/>
    <w:rsid w:val="005C2B85"/>
    <w:rsid w:val="005C2C7C"/>
    <w:rsid w:val="005C3526"/>
    <w:rsid w:val="005C5707"/>
    <w:rsid w:val="005C5DF4"/>
    <w:rsid w:val="005C5FA9"/>
    <w:rsid w:val="005C66D4"/>
    <w:rsid w:val="005C6A99"/>
    <w:rsid w:val="005C78CC"/>
    <w:rsid w:val="005C7E65"/>
    <w:rsid w:val="005D0A47"/>
    <w:rsid w:val="005D12D8"/>
    <w:rsid w:val="005D13D5"/>
    <w:rsid w:val="005D1AF5"/>
    <w:rsid w:val="005D1E23"/>
    <w:rsid w:val="005D213D"/>
    <w:rsid w:val="005D2CF3"/>
    <w:rsid w:val="005D2D0E"/>
    <w:rsid w:val="005D3B87"/>
    <w:rsid w:val="005D3C3F"/>
    <w:rsid w:val="005D5802"/>
    <w:rsid w:val="005D5E36"/>
    <w:rsid w:val="005D74F2"/>
    <w:rsid w:val="005D7890"/>
    <w:rsid w:val="005D7896"/>
    <w:rsid w:val="005E0D48"/>
    <w:rsid w:val="005E248C"/>
    <w:rsid w:val="005E27AB"/>
    <w:rsid w:val="005E2B98"/>
    <w:rsid w:val="005E4C42"/>
    <w:rsid w:val="005E565A"/>
    <w:rsid w:val="005E5D8D"/>
    <w:rsid w:val="005E62C0"/>
    <w:rsid w:val="005E635F"/>
    <w:rsid w:val="005E7ACB"/>
    <w:rsid w:val="005E7C78"/>
    <w:rsid w:val="005E7F0B"/>
    <w:rsid w:val="005F21D1"/>
    <w:rsid w:val="005F3EB1"/>
    <w:rsid w:val="005F425D"/>
    <w:rsid w:val="005F4803"/>
    <w:rsid w:val="005F5469"/>
    <w:rsid w:val="005F5A7F"/>
    <w:rsid w:val="0060011F"/>
    <w:rsid w:val="00600991"/>
    <w:rsid w:val="00601A76"/>
    <w:rsid w:val="00601B56"/>
    <w:rsid w:val="00601DBC"/>
    <w:rsid w:val="00602738"/>
    <w:rsid w:val="006033F3"/>
    <w:rsid w:val="006035DE"/>
    <w:rsid w:val="00603B3F"/>
    <w:rsid w:val="006040E1"/>
    <w:rsid w:val="00604307"/>
    <w:rsid w:val="0060487F"/>
    <w:rsid w:val="00604EAD"/>
    <w:rsid w:val="00605DA7"/>
    <w:rsid w:val="0060614A"/>
    <w:rsid w:val="006068B6"/>
    <w:rsid w:val="00606EB6"/>
    <w:rsid w:val="00607517"/>
    <w:rsid w:val="00607EFE"/>
    <w:rsid w:val="006104FB"/>
    <w:rsid w:val="00610A6E"/>
    <w:rsid w:val="00610DCE"/>
    <w:rsid w:val="0061139F"/>
    <w:rsid w:val="006113F2"/>
    <w:rsid w:val="00611862"/>
    <w:rsid w:val="00612868"/>
    <w:rsid w:val="00612A2F"/>
    <w:rsid w:val="00612F37"/>
    <w:rsid w:val="00612F79"/>
    <w:rsid w:val="0061355B"/>
    <w:rsid w:val="00615038"/>
    <w:rsid w:val="006156B1"/>
    <w:rsid w:val="00615EAD"/>
    <w:rsid w:val="00616E05"/>
    <w:rsid w:val="00617310"/>
    <w:rsid w:val="00617559"/>
    <w:rsid w:val="00617820"/>
    <w:rsid w:val="006224A6"/>
    <w:rsid w:val="006228D0"/>
    <w:rsid w:val="00622A88"/>
    <w:rsid w:val="00623816"/>
    <w:rsid w:val="00624093"/>
    <w:rsid w:val="00625E06"/>
    <w:rsid w:val="0062655C"/>
    <w:rsid w:val="00626B5A"/>
    <w:rsid w:val="0063152A"/>
    <w:rsid w:val="00631A36"/>
    <w:rsid w:val="006323A4"/>
    <w:rsid w:val="0063288A"/>
    <w:rsid w:val="006328A5"/>
    <w:rsid w:val="006330CA"/>
    <w:rsid w:val="00633690"/>
    <w:rsid w:val="00633BB4"/>
    <w:rsid w:val="006346BB"/>
    <w:rsid w:val="00635B0D"/>
    <w:rsid w:val="0063655E"/>
    <w:rsid w:val="0063694F"/>
    <w:rsid w:val="00637C49"/>
    <w:rsid w:val="006401AF"/>
    <w:rsid w:val="006404A7"/>
    <w:rsid w:val="006405F3"/>
    <w:rsid w:val="00640A36"/>
    <w:rsid w:val="00641312"/>
    <w:rsid w:val="00642B69"/>
    <w:rsid w:val="00642E65"/>
    <w:rsid w:val="00643F07"/>
    <w:rsid w:val="00644505"/>
    <w:rsid w:val="00644652"/>
    <w:rsid w:val="00644E4F"/>
    <w:rsid w:val="006451E4"/>
    <w:rsid w:val="00645B33"/>
    <w:rsid w:val="00647176"/>
    <w:rsid w:val="00647202"/>
    <w:rsid w:val="006474CA"/>
    <w:rsid w:val="00647B42"/>
    <w:rsid w:val="0065031F"/>
    <w:rsid w:val="00651007"/>
    <w:rsid w:val="006516CB"/>
    <w:rsid w:val="00651766"/>
    <w:rsid w:val="00652057"/>
    <w:rsid w:val="006526C8"/>
    <w:rsid w:val="006542B9"/>
    <w:rsid w:val="00654C2C"/>
    <w:rsid w:val="006554E1"/>
    <w:rsid w:val="00655A7E"/>
    <w:rsid w:val="006571DE"/>
    <w:rsid w:val="0065797A"/>
    <w:rsid w:val="00657E87"/>
    <w:rsid w:val="00657FC5"/>
    <w:rsid w:val="006601F2"/>
    <w:rsid w:val="006602B2"/>
    <w:rsid w:val="00660E9F"/>
    <w:rsid w:val="00661484"/>
    <w:rsid w:val="0066180D"/>
    <w:rsid w:val="00661A5F"/>
    <w:rsid w:val="00661BF2"/>
    <w:rsid w:val="0066204E"/>
    <w:rsid w:val="00663890"/>
    <w:rsid w:val="00664803"/>
    <w:rsid w:val="00664C80"/>
    <w:rsid w:val="00665590"/>
    <w:rsid w:val="00665BA4"/>
    <w:rsid w:val="00665D83"/>
    <w:rsid w:val="00666763"/>
    <w:rsid w:val="00667954"/>
    <w:rsid w:val="006679B7"/>
    <w:rsid w:val="00667AF2"/>
    <w:rsid w:val="00670F73"/>
    <w:rsid w:val="006710C9"/>
    <w:rsid w:val="00671A24"/>
    <w:rsid w:val="0067425E"/>
    <w:rsid w:val="0067441C"/>
    <w:rsid w:val="00674483"/>
    <w:rsid w:val="00674938"/>
    <w:rsid w:val="00674ADC"/>
    <w:rsid w:val="00674D89"/>
    <w:rsid w:val="00675844"/>
    <w:rsid w:val="00675A30"/>
    <w:rsid w:val="00675E37"/>
    <w:rsid w:val="00676AA2"/>
    <w:rsid w:val="00677072"/>
    <w:rsid w:val="00680269"/>
    <w:rsid w:val="0068051C"/>
    <w:rsid w:val="00680CF4"/>
    <w:rsid w:val="0068174E"/>
    <w:rsid w:val="00681DCE"/>
    <w:rsid w:val="006824C6"/>
    <w:rsid w:val="0068260E"/>
    <w:rsid w:val="00682FEB"/>
    <w:rsid w:val="00683F3C"/>
    <w:rsid w:val="00686382"/>
    <w:rsid w:val="00686D74"/>
    <w:rsid w:val="00686FBD"/>
    <w:rsid w:val="00690DB2"/>
    <w:rsid w:val="00691399"/>
    <w:rsid w:val="00692076"/>
    <w:rsid w:val="00692667"/>
    <w:rsid w:val="00692F27"/>
    <w:rsid w:val="0069347A"/>
    <w:rsid w:val="00693910"/>
    <w:rsid w:val="00694677"/>
    <w:rsid w:val="00695398"/>
    <w:rsid w:val="00695BEF"/>
    <w:rsid w:val="006964CE"/>
    <w:rsid w:val="006965F2"/>
    <w:rsid w:val="0069693B"/>
    <w:rsid w:val="0069706C"/>
    <w:rsid w:val="00697448"/>
    <w:rsid w:val="00697750"/>
    <w:rsid w:val="006977F6"/>
    <w:rsid w:val="00697A13"/>
    <w:rsid w:val="00697D69"/>
    <w:rsid w:val="006A071F"/>
    <w:rsid w:val="006A0E34"/>
    <w:rsid w:val="006A109C"/>
    <w:rsid w:val="006A10D9"/>
    <w:rsid w:val="006A140D"/>
    <w:rsid w:val="006A3A1C"/>
    <w:rsid w:val="006A3A46"/>
    <w:rsid w:val="006A50F0"/>
    <w:rsid w:val="006A574B"/>
    <w:rsid w:val="006A5807"/>
    <w:rsid w:val="006A6F1E"/>
    <w:rsid w:val="006A787D"/>
    <w:rsid w:val="006B155E"/>
    <w:rsid w:val="006B3132"/>
    <w:rsid w:val="006B344A"/>
    <w:rsid w:val="006B354C"/>
    <w:rsid w:val="006B3EFC"/>
    <w:rsid w:val="006B4CFE"/>
    <w:rsid w:val="006B4D4F"/>
    <w:rsid w:val="006B5118"/>
    <w:rsid w:val="006B51B8"/>
    <w:rsid w:val="006B5B78"/>
    <w:rsid w:val="006B6F44"/>
    <w:rsid w:val="006B784C"/>
    <w:rsid w:val="006B78D8"/>
    <w:rsid w:val="006B791E"/>
    <w:rsid w:val="006B7FF7"/>
    <w:rsid w:val="006C02D4"/>
    <w:rsid w:val="006C045E"/>
    <w:rsid w:val="006C098E"/>
    <w:rsid w:val="006C113F"/>
    <w:rsid w:val="006C1225"/>
    <w:rsid w:val="006C123E"/>
    <w:rsid w:val="006C1714"/>
    <w:rsid w:val="006C191F"/>
    <w:rsid w:val="006C3657"/>
    <w:rsid w:val="006C40B8"/>
    <w:rsid w:val="006C435E"/>
    <w:rsid w:val="006C46E7"/>
    <w:rsid w:val="006C48E4"/>
    <w:rsid w:val="006C56D4"/>
    <w:rsid w:val="006C6924"/>
    <w:rsid w:val="006C70CB"/>
    <w:rsid w:val="006C785B"/>
    <w:rsid w:val="006C7CA6"/>
    <w:rsid w:val="006D02AC"/>
    <w:rsid w:val="006D1923"/>
    <w:rsid w:val="006D1C1C"/>
    <w:rsid w:val="006D1C4D"/>
    <w:rsid w:val="006D22F7"/>
    <w:rsid w:val="006D29E3"/>
    <w:rsid w:val="006D2F03"/>
    <w:rsid w:val="006D3D19"/>
    <w:rsid w:val="006D3E8A"/>
    <w:rsid w:val="006D431E"/>
    <w:rsid w:val="006D4462"/>
    <w:rsid w:val="006D4D82"/>
    <w:rsid w:val="006D5470"/>
    <w:rsid w:val="006D551A"/>
    <w:rsid w:val="006D55DF"/>
    <w:rsid w:val="006D5AB7"/>
    <w:rsid w:val="006D61F6"/>
    <w:rsid w:val="006D64E2"/>
    <w:rsid w:val="006D6D8D"/>
    <w:rsid w:val="006D7525"/>
    <w:rsid w:val="006D774B"/>
    <w:rsid w:val="006E0507"/>
    <w:rsid w:val="006E0594"/>
    <w:rsid w:val="006E07FD"/>
    <w:rsid w:val="006E0B4B"/>
    <w:rsid w:val="006E0F4C"/>
    <w:rsid w:val="006E1651"/>
    <w:rsid w:val="006E279A"/>
    <w:rsid w:val="006E2ADF"/>
    <w:rsid w:val="006E2B19"/>
    <w:rsid w:val="006E313B"/>
    <w:rsid w:val="006E32A1"/>
    <w:rsid w:val="006E3F15"/>
    <w:rsid w:val="006E4EA1"/>
    <w:rsid w:val="006E502F"/>
    <w:rsid w:val="006E54EC"/>
    <w:rsid w:val="006E5E0F"/>
    <w:rsid w:val="006E6395"/>
    <w:rsid w:val="006E63F2"/>
    <w:rsid w:val="006E6518"/>
    <w:rsid w:val="006E686C"/>
    <w:rsid w:val="006E6D7E"/>
    <w:rsid w:val="006E702A"/>
    <w:rsid w:val="006E7356"/>
    <w:rsid w:val="006E73CC"/>
    <w:rsid w:val="006E7DC2"/>
    <w:rsid w:val="006F0003"/>
    <w:rsid w:val="006F0222"/>
    <w:rsid w:val="006F049A"/>
    <w:rsid w:val="006F07EA"/>
    <w:rsid w:val="006F12D8"/>
    <w:rsid w:val="006F1D1E"/>
    <w:rsid w:val="006F2A2E"/>
    <w:rsid w:val="006F3A08"/>
    <w:rsid w:val="006F3F8E"/>
    <w:rsid w:val="006F4256"/>
    <w:rsid w:val="006F4DCF"/>
    <w:rsid w:val="006F5416"/>
    <w:rsid w:val="006F565E"/>
    <w:rsid w:val="006F5D76"/>
    <w:rsid w:val="006F7137"/>
    <w:rsid w:val="007005C1"/>
    <w:rsid w:val="00700AD4"/>
    <w:rsid w:val="00700BF3"/>
    <w:rsid w:val="007028C4"/>
    <w:rsid w:val="007034E1"/>
    <w:rsid w:val="0070384E"/>
    <w:rsid w:val="00703C14"/>
    <w:rsid w:val="00703E54"/>
    <w:rsid w:val="00704EB8"/>
    <w:rsid w:val="007050BC"/>
    <w:rsid w:val="0070548C"/>
    <w:rsid w:val="00705698"/>
    <w:rsid w:val="00705C42"/>
    <w:rsid w:val="00705CCF"/>
    <w:rsid w:val="00705CF6"/>
    <w:rsid w:val="00706789"/>
    <w:rsid w:val="00706AD4"/>
    <w:rsid w:val="0070742B"/>
    <w:rsid w:val="007078E1"/>
    <w:rsid w:val="00712EA7"/>
    <w:rsid w:val="007140BE"/>
    <w:rsid w:val="00715458"/>
    <w:rsid w:val="007164A4"/>
    <w:rsid w:val="00716502"/>
    <w:rsid w:val="00716F56"/>
    <w:rsid w:val="00717F46"/>
    <w:rsid w:val="0072037E"/>
    <w:rsid w:val="007211F5"/>
    <w:rsid w:val="00721546"/>
    <w:rsid w:val="00721E7C"/>
    <w:rsid w:val="0072209E"/>
    <w:rsid w:val="007239D4"/>
    <w:rsid w:val="0072462E"/>
    <w:rsid w:val="0072483C"/>
    <w:rsid w:val="00724FAF"/>
    <w:rsid w:val="00725699"/>
    <w:rsid w:val="00725BB5"/>
    <w:rsid w:val="00725F62"/>
    <w:rsid w:val="0072606C"/>
    <w:rsid w:val="00726317"/>
    <w:rsid w:val="00730047"/>
    <w:rsid w:val="00730183"/>
    <w:rsid w:val="00730AE8"/>
    <w:rsid w:val="00731B27"/>
    <w:rsid w:val="00733ACD"/>
    <w:rsid w:val="00736542"/>
    <w:rsid w:val="00737861"/>
    <w:rsid w:val="00737BFE"/>
    <w:rsid w:val="00737BFF"/>
    <w:rsid w:val="00740195"/>
    <w:rsid w:val="00741358"/>
    <w:rsid w:val="00741493"/>
    <w:rsid w:val="007417E5"/>
    <w:rsid w:val="00742A80"/>
    <w:rsid w:val="00742B1F"/>
    <w:rsid w:val="00742C9A"/>
    <w:rsid w:val="007431D5"/>
    <w:rsid w:val="00743769"/>
    <w:rsid w:val="00743A8F"/>
    <w:rsid w:val="00746DE3"/>
    <w:rsid w:val="00746E70"/>
    <w:rsid w:val="007479B2"/>
    <w:rsid w:val="007508C0"/>
    <w:rsid w:val="00750D9B"/>
    <w:rsid w:val="0075206D"/>
    <w:rsid w:val="00752180"/>
    <w:rsid w:val="007523AD"/>
    <w:rsid w:val="00752A1E"/>
    <w:rsid w:val="00752CE6"/>
    <w:rsid w:val="007530E2"/>
    <w:rsid w:val="0075333A"/>
    <w:rsid w:val="007535D5"/>
    <w:rsid w:val="007550FA"/>
    <w:rsid w:val="00755202"/>
    <w:rsid w:val="00755D3A"/>
    <w:rsid w:val="007564B0"/>
    <w:rsid w:val="007565CF"/>
    <w:rsid w:val="007569B6"/>
    <w:rsid w:val="00756F12"/>
    <w:rsid w:val="007578D3"/>
    <w:rsid w:val="007609C6"/>
    <w:rsid w:val="007615EC"/>
    <w:rsid w:val="0076175D"/>
    <w:rsid w:val="00761B7D"/>
    <w:rsid w:val="00761F38"/>
    <w:rsid w:val="00762AA4"/>
    <w:rsid w:val="0076309B"/>
    <w:rsid w:val="0076320E"/>
    <w:rsid w:val="007633E5"/>
    <w:rsid w:val="007634D4"/>
    <w:rsid w:val="00764826"/>
    <w:rsid w:val="00764F49"/>
    <w:rsid w:val="0076521E"/>
    <w:rsid w:val="00765856"/>
    <w:rsid w:val="007660BB"/>
    <w:rsid w:val="007661E9"/>
    <w:rsid w:val="007667B6"/>
    <w:rsid w:val="00766E66"/>
    <w:rsid w:val="0076714F"/>
    <w:rsid w:val="0076747E"/>
    <w:rsid w:val="00772FF2"/>
    <w:rsid w:val="00773731"/>
    <w:rsid w:val="00774213"/>
    <w:rsid w:val="007746A0"/>
    <w:rsid w:val="00775132"/>
    <w:rsid w:val="00775DD3"/>
    <w:rsid w:val="00776169"/>
    <w:rsid w:val="00776527"/>
    <w:rsid w:val="00777381"/>
    <w:rsid w:val="00777DE0"/>
    <w:rsid w:val="00780EF1"/>
    <w:rsid w:val="00780F58"/>
    <w:rsid w:val="00781059"/>
    <w:rsid w:val="00781313"/>
    <w:rsid w:val="00781543"/>
    <w:rsid w:val="00781971"/>
    <w:rsid w:val="007822A7"/>
    <w:rsid w:val="007825CF"/>
    <w:rsid w:val="0078356A"/>
    <w:rsid w:val="00783ABF"/>
    <w:rsid w:val="00784111"/>
    <w:rsid w:val="00784EA7"/>
    <w:rsid w:val="00786086"/>
    <w:rsid w:val="00786A92"/>
    <w:rsid w:val="00787060"/>
    <w:rsid w:val="0079044F"/>
    <w:rsid w:val="00790764"/>
    <w:rsid w:val="00790CE1"/>
    <w:rsid w:val="0079116F"/>
    <w:rsid w:val="00791CDB"/>
    <w:rsid w:val="00791E24"/>
    <w:rsid w:val="0079254D"/>
    <w:rsid w:val="007925AD"/>
    <w:rsid w:val="00792798"/>
    <w:rsid w:val="00792912"/>
    <w:rsid w:val="00793462"/>
    <w:rsid w:val="0079361F"/>
    <w:rsid w:val="00793731"/>
    <w:rsid w:val="00793BE9"/>
    <w:rsid w:val="00794071"/>
    <w:rsid w:val="0079432E"/>
    <w:rsid w:val="0079453C"/>
    <w:rsid w:val="0079466B"/>
    <w:rsid w:val="00794677"/>
    <w:rsid w:val="00794D81"/>
    <w:rsid w:val="00794FBA"/>
    <w:rsid w:val="00795460"/>
    <w:rsid w:val="007963F4"/>
    <w:rsid w:val="007968CD"/>
    <w:rsid w:val="0079704D"/>
    <w:rsid w:val="0079785C"/>
    <w:rsid w:val="007A00F0"/>
    <w:rsid w:val="007A113A"/>
    <w:rsid w:val="007A123E"/>
    <w:rsid w:val="007A3120"/>
    <w:rsid w:val="007A3852"/>
    <w:rsid w:val="007A4559"/>
    <w:rsid w:val="007A502A"/>
    <w:rsid w:val="007A64BE"/>
    <w:rsid w:val="007A6A37"/>
    <w:rsid w:val="007A71E5"/>
    <w:rsid w:val="007A7C30"/>
    <w:rsid w:val="007B2325"/>
    <w:rsid w:val="007B352D"/>
    <w:rsid w:val="007B3F02"/>
    <w:rsid w:val="007B49F7"/>
    <w:rsid w:val="007B4B2D"/>
    <w:rsid w:val="007B4E7C"/>
    <w:rsid w:val="007B5262"/>
    <w:rsid w:val="007B5543"/>
    <w:rsid w:val="007B6689"/>
    <w:rsid w:val="007B763E"/>
    <w:rsid w:val="007B7947"/>
    <w:rsid w:val="007B7EF6"/>
    <w:rsid w:val="007C0866"/>
    <w:rsid w:val="007C1652"/>
    <w:rsid w:val="007C1CF4"/>
    <w:rsid w:val="007C1D85"/>
    <w:rsid w:val="007C3D62"/>
    <w:rsid w:val="007C4476"/>
    <w:rsid w:val="007C5AD2"/>
    <w:rsid w:val="007C656A"/>
    <w:rsid w:val="007C6E00"/>
    <w:rsid w:val="007C79C9"/>
    <w:rsid w:val="007D0EEB"/>
    <w:rsid w:val="007D0F30"/>
    <w:rsid w:val="007D21BE"/>
    <w:rsid w:val="007D287E"/>
    <w:rsid w:val="007D2DDF"/>
    <w:rsid w:val="007D3BFE"/>
    <w:rsid w:val="007D40DF"/>
    <w:rsid w:val="007D61D5"/>
    <w:rsid w:val="007D6964"/>
    <w:rsid w:val="007D747C"/>
    <w:rsid w:val="007E1DAD"/>
    <w:rsid w:val="007E2849"/>
    <w:rsid w:val="007E33A1"/>
    <w:rsid w:val="007E37D3"/>
    <w:rsid w:val="007E4968"/>
    <w:rsid w:val="007E579F"/>
    <w:rsid w:val="007E60A6"/>
    <w:rsid w:val="007E722A"/>
    <w:rsid w:val="007E79A8"/>
    <w:rsid w:val="007E7DA8"/>
    <w:rsid w:val="007E7E61"/>
    <w:rsid w:val="007F00E7"/>
    <w:rsid w:val="007F0845"/>
    <w:rsid w:val="007F0B36"/>
    <w:rsid w:val="007F0C1F"/>
    <w:rsid w:val="007F0E01"/>
    <w:rsid w:val="007F0EEA"/>
    <w:rsid w:val="007F1D44"/>
    <w:rsid w:val="007F2B29"/>
    <w:rsid w:val="007F3792"/>
    <w:rsid w:val="007F3CDD"/>
    <w:rsid w:val="007F66C3"/>
    <w:rsid w:val="007F773C"/>
    <w:rsid w:val="007F7756"/>
    <w:rsid w:val="007F7A02"/>
    <w:rsid w:val="00800D34"/>
    <w:rsid w:val="008018C6"/>
    <w:rsid w:val="00801E93"/>
    <w:rsid w:val="008020EA"/>
    <w:rsid w:val="0080256A"/>
    <w:rsid w:val="008026EB"/>
    <w:rsid w:val="008029E7"/>
    <w:rsid w:val="00802E27"/>
    <w:rsid w:val="00803022"/>
    <w:rsid w:val="008032AD"/>
    <w:rsid w:val="008033E5"/>
    <w:rsid w:val="00803B38"/>
    <w:rsid w:val="00803E0A"/>
    <w:rsid w:val="008046E3"/>
    <w:rsid w:val="00805BAD"/>
    <w:rsid w:val="00806BB0"/>
    <w:rsid w:val="00807739"/>
    <w:rsid w:val="00807C82"/>
    <w:rsid w:val="0081099F"/>
    <w:rsid w:val="008111F7"/>
    <w:rsid w:val="00811FCF"/>
    <w:rsid w:val="00812A2E"/>
    <w:rsid w:val="00813CB4"/>
    <w:rsid w:val="00815282"/>
    <w:rsid w:val="00815862"/>
    <w:rsid w:val="008168F7"/>
    <w:rsid w:val="00816905"/>
    <w:rsid w:val="00820979"/>
    <w:rsid w:val="00820D0D"/>
    <w:rsid w:val="00821CC7"/>
    <w:rsid w:val="00821FF6"/>
    <w:rsid w:val="00822C4D"/>
    <w:rsid w:val="008236C2"/>
    <w:rsid w:val="008237DA"/>
    <w:rsid w:val="00823EFB"/>
    <w:rsid w:val="00824828"/>
    <w:rsid w:val="008259F4"/>
    <w:rsid w:val="00825B78"/>
    <w:rsid w:val="00825C0B"/>
    <w:rsid w:val="00825C4D"/>
    <w:rsid w:val="00825D36"/>
    <w:rsid w:val="00825E53"/>
    <w:rsid w:val="008262CE"/>
    <w:rsid w:val="0082649F"/>
    <w:rsid w:val="00827673"/>
    <w:rsid w:val="00830020"/>
    <w:rsid w:val="00830C39"/>
    <w:rsid w:val="0083143E"/>
    <w:rsid w:val="00831CDE"/>
    <w:rsid w:val="0083420B"/>
    <w:rsid w:val="00834304"/>
    <w:rsid w:val="00834FAA"/>
    <w:rsid w:val="0083518B"/>
    <w:rsid w:val="00835473"/>
    <w:rsid w:val="00835C56"/>
    <w:rsid w:val="00836086"/>
    <w:rsid w:val="00836E96"/>
    <w:rsid w:val="00837655"/>
    <w:rsid w:val="00837809"/>
    <w:rsid w:val="008378ED"/>
    <w:rsid w:val="00837B49"/>
    <w:rsid w:val="00837CCD"/>
    <w:rsid w:val="00840090"/>
    <w:rsid w:val="008401BF"/>
    <w:rsid w:val="00840579"/>
    <w:rsid w:val="008410CE"/>
    <w:rsid w:val="00842F19"/>
    <w:rsid w:val="00843694"/>
    <w:rsid w:val="008439AD"/>
    <w:rsid w:val="00843E2C"/>
    <w:rsid w:val="008440A3"/>
    <w:rsid w:val="00844AFF"/>
    <w:rsid w:val="00844D3B"/>
    <w:rsid w:val="00844F6F"/>
    <w:rsid w:val="00845028"/>
    <w:rsid w:val="00845562"/>
    <w:rsid w:val="00845951"/>
    <w:rsid w:val="00846728"/>
    <w:rsid w:val="00846BFD"/>
    <w:rsid w:val="0084700A"/>
    <w:rsid w:val="0084708F"/>
    <w:rsid w:val="008471A9"/>
    <w:rsid w:val="00847787"/>
    <w:rsid w:val="008477C8"/>
    <w:rsid w:val="008479D6"/>
    <w:rsid w:val="0085114D"/>
    <w:rsid w:val="00852217"/>
    <w:rsid w:val="00852B7E"/>
    <w:rsid w:val="00852E72"/>
    <w:rsid w:val="008544AB"/>
    <w:rsid w:val="00855408"/>
    <w:rsid w:val="00855D26"/>
    <w:rsid w:val="00856AFE"/>
    <w:rsid w:val="00856D65"/>
    <w:rsid w:val="00856E24"/>
    <w:rsid w:val="008576E9"/>
    <w:rsid w:val="00857B9B"/>
    <w:rsid w:val="008606E6"/>
    <w:rsid w:val="00861219"/>
    <w:rsid w:val="00861B41"/>
    <w:rsid w:val="00861B79"/>
    <w:rsid w:val="00861F55"/>
    <w:rsid w:val="00862B65"/>
    <w:rsid w:val="00862E24"/>
    <w:rsid w:val="00863152"/>
    <w:rsid w:val="00863434"/>
    <w:rsid w:val="00863B35"/>
    <w:rsid w:val="00863C3F"/>
    <w:rsid w:val="00864BCD"/>
    <w:rsid w:val="00864CB6"/>
    <w:rsid w:val="00865B42"/>
    <w:rsid w:val="00865E4C"/>
    <w:rsid w:val="008664AD"/>
    <w:rsid w:val="00866B8E"/>
    <w:rsid w:val="00867384"/>
    <w:rsid w:val="00867861"/>
    <w:rsid w:val="008701E4"/>
    <w:rsid w:val="0087080F"/>
    <w:rsid w:val="00870A7F"/>
    <w:rsid w:val="008716FA"/>
    <w:rsid w:val="0087206E"/>
    <w:rsid w:val="008737D3"/>
    <w:rsid w:val="00873CF4"/>
    <w:rsid w:val="00874235"/>
    <w:rsid w:val="008749E0"/>
    <w:rsid w:val="00875626"/>
    <w:rsid w:val="00875A32"/>
    <w:rsid w:val="00875AE0"/>
    <w:rsid w:val="00876086"/>
    <w:rsid w:val="0087647D"/>
    <w:rsid w:val="0087653E"/>
    <w:rsid w:val="00877281"/>
    <w:rsid w:val="0088001A"/>
    <w:rsid w:val="0088047D"/>
    <w:rsid w:val="00880CD7"/>
    <w:rsid w:val="0088120C"/>
    <w:rsid w:val="008814AF"/>
    <w:rsid w:val="0088208F"/>
    <w:rsid w:val="008821C9"/>
    <w:rsid w:val="0088366B"/>
    <w:rsid w:val="00884DC5"/>
    <w:rsid w:val="00886C33"/>
    <w:rsid w:val="00886FB3"/>
    <w:rsid w:val="008873D4"/>
    <w:rsid w:val="008874BD"/>
    <w:rsid w:val="008878CE"/>
    <w:rsid w:val="00890C63"/>
    <w:rsid w:val="0089106C"/>
    <w:rsid w:val="00891D6A"/>
    <w:rsid w:val="00891E2E"/>
    <w:rsid w:val="0089372E"/>
    <w:rsid w:val="008938B0"/>
    <w:rsid w:val="00893E85"/>
    <w:rsid w:val="00894031"/>
    <w:rsid w:val="0089426A"/>
    <w:rsid w:val="00894AE9"/>
    <w:rsid w:val="008951EA"/>
    <w:rsid w:val="0089533C"/>
    <w:rsid w:val="008954DD"/>
    <w:rsid w:val="0089618C"/>
    <w:rsid w:val="00897263"/>
    <w:rsid w:val="00897362"/>
    <w:rsid w:val="00897878"/>
    <w:rsid w:val="00897B42"/>
    <w:rsid w:val="00897D09"/>
    <w:rsid w:val="00897F49"/>
    <w:rsid w:val="00897FCC"/>
    <w:rsid w:val="008A2232"/>
    <w:rsid w:val="008A2DFF"/>
    <w:rsid w:val="008A48F9"/>
    <w:rsid w:val="008A5096"/>
    <w:rsid w:val="008A509B"/>
    <w:rsid w:val="008A5D2C"/>
    <w:rsid w:val="008A657D"/>
    <w:rsid w:val="008A662C"/>
    <w:rsid w:val="008A75BD"/>
    <w:rsid w:val="008A7A60"/>
    <w:rsid w:val="008B1102"/>
    <w:rsid w:val="008B2D7F"/>
    <w:rsid w:val="008B2F9E"/>
    <w:rsid w:val="008B3029"/>
    <w:rsid w:val="008B3E2E"/>
    <w:rsid w:val="008B4825"/>
    <w:rsid w:val="008B5760"/>
    <w:rsid w:val="008B57CF"/>
    <w:rsid w:val="008B6CBD"/>
    <w:rsid w:val="008B7B1C"/>
    <w:rsid w:val="008B7C02"/>
    <w:rsid w:val="008B7D2B"/>
    <w:rsid w:val="008B7DE0"/>
    <w:rsid w:val="008C0049"/>
    <w:rsid w:val="008C069D"/>
    <w:rsid w:val="008C0E88"/>
    <w:rsid w:val="008C0FC4"/>
    <w:rsid w:val="008C14B6"/>
    <w:rsid w:val="008C177C"/>
    <w:rsid w:val="008C2218"/>
    <w:rsid w:val="008C224B"/>
    <w:rsid w:val="008C3112"/>
    <w:rsid w:val="008C3787"/>
    <w:rsid w:val="008C5D60"/>
    <w:rsid w:val="008C5E8B"/>
    <w:rsid w:val="008C61BA"/>
    <w:rsid w:val="008C70B1"/>
    <w:rsid w:val="008C772D"/>
    <w:rsid w:val="008D0C64"/>
    <w:rsid w:val="008D130E"/>
    <w:rsid w:val="008D14F5"/>
    <w:rsid w:val="008D178B"/>
    <w:rsid w:val="008D1E6A"/>
    <w:rsid w:val="008D2A16"/>
    <w:rsid w:val="008D4594"/>
    <w:rsid w:val="008D47DD"/>
    <w:rsid w:val="008D4C38"/>
    <w:rsid w:val="008D6345"/>
    <w:rsid w:val="008D6C23"/>
    <w:rsid w:val="008D7F6C"/>
    <w:rsid w:val="008E0E9C"/>
    <w:rsid w:val="008E2325"/>
    <w:rsid w:val="008E2C57"/>
    <w:rsid w:val="008E31FF"/>
    <w:rsid w:val="008E4FDC"/>
    <w:rsid w:val="008E679C"/>
    <w:rsid w:val="008E6D38"/>
    <w:rsid w:val="008E6F06"/>
    <w:rsid w:val="008E7290"/>
    <w:rsid w:val="008E7B8B"/>
    <w:rsid w:val="008E7ECD"/>
    <w:rsid w:val="008F029B"/>
    <w:rsid w:val="008F15A4"/>
    <w:rsid w:val="008F284B"/>
    <w:rsid w:val="008F3FC9"/>
    <w:rsid w:val="008F41A4"/>
    <w:rsid w:val="008F560C"/>
    <w:rsid w:val="008F566F"/>
    <w:rsid w:val="008F585B"/>
    <w:rsid w:val="008F706B"/>
    <w:rsid w:val="008F711D"/>
    <w:rsid w:val="008F76A0"/>
    <w:rsid w:val="008F76C1"/>
    <w:rsid w:val="009003A8"/>
    <w:rsid w:val="00900E51"/>
    <w:rsid w:val="00901010"/>
    <w:rsid w:val="00901750"/>
    <w:rsid w:val="00902500"/>
    <w:rsid w:val="00902A0A"/>
    <w:rsid w:val="00902EFF"/>
    <w:rsid w:val="00904A3E"/>
    <w:rsid w:val="00905358"/>
    <w:rsid w:val="00905623"/>
    <w:rsid w:val="0090564F"/>
    <w:rsid w:val="00906401"/>
    <w:rsid w:val="00906B3E"/>
    <w:rsid w:val="00907168"/>
    <w:rsid w:val="0090753F"/>
    <w:rsid w:val="009077D9"/>
    <w:rsid w:val="00910196"/>
    <w:rsid w:val="0091155E"/>
    <w:rsid w:val="009119E1"/>
    <w:rsid w:val="00912A92"/>
    <w:rsid w:val="009137FD"/>
    <w:rsid w:val="0091435B"/>
    <w:rsid w:val="0091489A"/>
    <w:rsid w:val="00914981"/>
    <w:rsid w:val="009153A6"/>
    <w:rsid w:val="00916363"/>
    <w:rsid w:val="0091728D"/>
    <w:rsid w:val="0092016E"/>
    <w:rsid w:val="009204F9"/>
    <w:rsid w:val="00920B74"/>
    <w:rsid w:val="0092171C"/>
    <w:rsid w:val="0092180B"/>
    <w:rsid w:val="00921F14"/>
    <w:rsid w:val="009222CC"/>
    <w:rsid w:val="0092269D"/>
    <w:rsid w:val="009232E2"/>
    <w:rsid w:val="00924243"/>
    <w:rsid w:val="00924AC8"/>
    <w:rsid w:val="0092597A"/>
    <w:rsid w:val="009260ED"/>
    <w:rsid w:val="00927074"/>
    <w:rsid w:val="00927F1E"/>
    <w:rsid w:val="0093045A"/>
    <w:rsid w:val="0093090E"/>
    <w:rsid w:val="00931216"/>
    <w:rsid w:val="00931E2D"/>
    <w:rsid w:val="00932443"/>
    <w:rsid w:val="00932C43"/>
    <w:rsid w:val="00932CF9"/>
    <w:rsid w:val="009334D3"/>
    <w:rsid w:val="00933A78"/>
    <w:rsid w:val="00934640"/>
    <w:rsid w:val="00934CB7"/>
    <w:rsid w:val="00935505"/>
    <w:rsid w:val="00937AE2"/>
    <w:rsid w:val="0094006F"/>
    <w:rsid w:val="00941056"/>
    <w:rsid w:val="009411BF"/>
    <w:rsid w:val="009413C3"/>
    <w:rsid w:val="0094153B"/>
    <w:rsid w:val="0094427A"/>
    <w:rsid w:val="0094591D"/>
    <w:rsid w:val="00946019"/>
    <w:rsid w:val="00946C2B"/>
    <w:rsid w:val="0095105D"/>
    <w:rsid w:val="0095179C"/>
    <w:rsid w:val="00953BC7"/>
    <w:rsid w:val="00954CD6"/>
    <w:rsid w:val="00955ED8"/>
    <w:rsid w:val="0095613B"/>
    <w:rsid w:val="00956B96"/>
    <w:rsid w:val="00956FCF"/>
    <w:rsid w:val="00957206"/>
    <w:rsid w:val="00960451"/>
    <w:rsid w:val="00960A67"/>
    <w:rsid w:val="00961B51"/>
    <w:rsid w:val="00961D85"/>
    <w:rsid w:val="00962D52"/>
    <w:rsid w:val="00963599"/>
    <w:rsid w:val="00964897"/>
    <w:rsid w:val="009650EA"/>
    <w:rsid w:val="0096524B"/>
    <w:rsid w:val="00965C99"/>
    <w:rsid w:val="009666A6"/>
    <w:rsid w:val="00967556"/>
    <w:rsid w:val="009716B7"/>
    <w:rsid w:val="00971D2C"/>
    <w:rsid w:val="00971D5F"/>
    <w:rsid w:val="0097368A"/>
    <w:rsid w:val="00973AB4"/>
    <w:rsid w:val="00973ED6"/>
    <w:rsid w:val="009746BF"/>
    <w:rsid w:val="00974923"/>
    <w:rsid w:val="00974C26"/>
    <w:rsid w:val="009758E1"/>
    <w:rsid w:val="009801DA"/>
    <w:rsid w:val="00980A74"/>
    <w:rsid w:val="00980D3D"/>
    <w:rsid w:val="00980E0D"/>
    <w:rsid w:val="009810AD"/>
    <w:rsid w:val="00981B06"/>
    <w:rsid w:val="009821A9"/>
    <w:rsid w:val="00983686"/>
    <w:rsid w:val="00983847"/>
    <w:rsid w:val="00984B93"/>
    <w:rsid w:val="00985CFA"/>
    <w:rsid w:val="00986217"/>
    <w:rsid w:val="00986E0F"/>
    <w:rsid w:val="00987317"/>
    <w:rsid w:val="009873D7"/>
    <w:rsid w:val="00987A30"/>
    <w:rsid w:val="009900AC"/>
    <w:rsid w:val="0099086B"/>
    <w:rsid w:val="00990AD8"/>
    <w:rsid w:val="009919D2"/>
    <w:rsid w:val="00992B46"/>
    <w:rsid w:val="00992B76"/>
    <w:rsid w:val="00992CF3"/>
    <w:rsid w:val="00994128"/>
    <w:rsid w:val="00994385"/>
    <w:rsid w:val="009943A7"/>
    <w:rsid w:val="0099493D"/>
    <w:rsid w:val="009968D6"/>
    <w:rsid w:val="00997154"/>
    <w:rsid w:val="0099746B"/>
    <w:rsid w:val="00997D1B"/>
    <w:rsid w:val="009A08D1"/>
    <w:rsid w:val="009A0F7E"/>
    <w:rsid w:val="009A1475"/>
    <w:rsid w:val="009A1CAB"/>
    <w:rsid w:val="009A1F93"/>
    <w:rsid w:val="009A31BD"/>
    <w:rsid w:val="009A33AF"/>
    <w:rsid w:val="009A60D1"/>
    <w:rsid w:val="009A72FB"/>
    <w:rsid w:val="009B0A72"/>
    <w:rsid w:val="009B15CB"/>
    <w:rsid w:val="009B314E"/>
    <w:rsid w:val="009B42BA"/>
    <w:rsid w:val="009B431C"/>
    <w:rsid w:val="009B5030"/>
    <w:rsid w:val="009B545D"/>
    <w:rsid w:val="009B54FC"/>
    <w:rsid w:val="009B63BB"/>
    <w:rsid w:val="009B682E"/>
    <w:rsid w:val="009B6FD3"/>
    <w:rsid w:val="009B7784"/>
    <w:rsid w:val="009B7B22"/>
    <w:rsid w:val="009C0334"/>
    <w:rsid w:val="009C03FE"/>
    <w:rsid w:val="009C161E"/>
    <w:rsid w:val="009C1750"/>
    <w:rsid w:val="009C1899"/>
    <w:rsid w:val="009C1924"/>
    <w:rsid w:val="009C1BF6"/>
    <w:rsid w:val="009C2E29"/>
    <w:rsid w:val="009C2F39"/>
    <w:rsid w:val="009C43F4"/>
    <w:rsid w:val="009C5365"/>
    <w:rsid w:val="009C554B"/>
    <w:rsid w:val="009C5728"/>
    <w:rsid w:val="009C58D3"/>
    <w:rsid w:val="009C719E"/>
    <w:rsid w:val="009C75AC"/>
    <w:rsid w:val="009C76C6"/>
    <w:rsid w:val="009D0EEB"/>
    <w:rsid w:val="009D29B8"/>
    <w:rsid w:val="009D3312"/>
    <w:rsid w:val="009D384B"/>
    <w:rsid w:val="009D3ACD"/>
    <w:rsid w:val="009D465D"/>
    <w:rsid w:val="009D4B0B"/>
    <w:rsid w:val="009D5451"/>
    <w:rsid w:val="009D5E94"/>
    <w:rsid w:val="009D6447"/>
    <w:rsid w:val="009D76C5"/>
    <w:rsid w:val="009E0C36"/>
    <w:rsid w:val="009E0D38"/>
    <w:rsid w:val="009E1E30"/>
    <w:rsid w:val="009E22C3"/>
    <w:rsid w:val="009E28B0"/>
    <w:rsid w:val="009E2B1F"/>
    <w:rsid w:val="009E2DFC"/>
    <w:rsid w:val="009E34DE"/>
    <w:rsid w:val="009E3798"/>
    <w:rsid w:val="009E4708"/>
    <w:rsid w:val="009E47D2"/>
    <w:rsid w:val="009E4D9A"/>
    <w:rsid w:val="009E4F4B"/>
    <w:rsid w:val="009E5273"/>
    <w:rsid w:val="009E5353"/>
    <w:rsid w:val="009E5757"/>
    <w:rsid w:val="009E5B0F"/>
    <w:rsid w:val="009E5DDB"/>
    <w:rsid w:val="009E6027"/>
    <w:rsid w:val="009E685E"/>
    <w:rsid w:val="009E78FB"/>
    <w:rsid w:val="009E7EBC"/>
    <w:rsid w:val="009F0181"/>
    <w:rsid w:val="009F0F9B"/>
    <w:rsid w:val="009F2213"/>
    <w:rsid w:val="009F2DDE"/>
    <w:rsid w:val="009F420E"/>
    <w:rsid w:val="009F4311"/>
    <w:rsid w:val="009F4646"/>
    <w:rsid w:val="009F496E"/>
    <w:rsid w:val="009F4A16"/>
    <w:rsid w:val="009F4CA7"/>
    <w:rsid w:val="009F4FF3"/>
    <w:rsid w:val="009F5F1A"/>
    <w:rsid w:val="009F7060"/>
    <w:rsid w:val="009F77E6"/>
    <w:rsid w:val="00A001DC"/>
    <w:rsid w:val="00A007BE"/>
    <w:rsid w:val="00A01694"/>
    <w:rsid w:val="00A019D7"/>
    <w:rsid w:val="00A0215E"/>
    <w:rsid w:val="00A0237F"/>
    <w:rsid w:val="00A02C6B"/>
    <w:rsid w:val="00A02EC2"/>
    <w:rsid w:val="00A04FF2"/>
    <w:rsid w:val="00A06ACB"/>
    <w:rsid w:val="00A07DDE"/>
    <w:rsid w:val="00A10C0A"/>
    <w:rsid w:val="00A10D66"/>
    <w:rsid w:val="00A1213F"/>
    <w:rsid w:val="00A12895"/>
    <w:rsid w:val="00A13141"/>
    <w:rsid w:val="00A13266"/>
    <w:rsid w:val="00A137DA"/>
    <w:rsid w:val="00A13997"/>
    <w:rsid w:val="00A14114"/>
    <w:rsid w:val="00A153D6"/>
    <w:rsid w:val="00A16413"/>
    <w:rsid w:val="00A16AA6"/>
    <w:rsid w:val="00A16B2D"/>
    <w:rsid w:val="00A200A0"/>
    <w:rsid w:val="00A20649"/>
    <w:rsid w:val="00A21E7D"/>
    <w:rsid w:val="00A223DF"/>
    <w:rsid w:val="00A2281F"/>
    <w:rsid w:val="00A22821"/>
    <w:rsid w:val="00A22ADD"/>
    <w:rsid w:val="00A23943"/>
    <w:rsid w:val="00A2397C"/>
    <w:rsid w:val="00A23E43"/>
    <w:rsid w:val="00A23EB2"/>
    <w:rsid w:val="00A23EC6"/>
    <w:rsid w:val="00A2415A"/>
    <w:rsid w:val="00A2440B"/>
    <w:rsid w:val="00A24565"/>
    <w:rsid w:val="00A24FFF"/>
    <w:rsid w:val="00A253BB"/>
    <w:rsid w:val="00A257A1"/>
    <w:rsid w:val="00A26719"/>
    <w:rsid w:val="00A26CAF"/>
    <w:rsid w:val="00A272D1"/>
    <w:rsid w:val="00A278D8"/>
    <w:rsid w:val="00A301F0"/>
    <w:rsid w:val="00A302E6"/>
    <w:rsid w:val="00A303E5"/>
    <w:rsid w:val="00A30F65"/>
    <w:rsid w:val="00A315CE"/>
    <w:rsid w:val="00A31F6F"/>
    <w:rsid w:val="00A32242"/>
    <w:rsid w:val="00A32746"/>
    <w:rsid w:val="00A32860"/>
    <w:rsid w:val="00A32AB8"/>
    <w:rsid w:val="00A3606B"/>
    <w:rsid w:val="00A3783A"/>
    <w:rsid w:val="00A37E6D"/>
    <w:rsid w:val="00A40E97"/>
    <w:rsid w:val="00A418BC"/>
    <w:rsid w:val="00A44A95"/>
    <w:rsid w:val="00A44AB1"/>
    <w:rsid w:val="00A46DE0"/>
    <w:rsid w:val="00A47E15"/>
    <w:rsid w:val="00A50D73"/>
    <w:rsid w:val="00A50F93"/>
    <w:rsid w:val="00A52505"/>
    <w:rsid w:val="00A526A8"/>
    <w:rsid w:val="00A52B55"/>
    <w:rsid w:val="00A52CAD"/>
    <w:rsid w:val="00A53EA7"/>
    <w:rsid w:val="00A53FC7"/>
    <w:rsid w:val="00A54049"/>
    <w:rsid w:val="00A547D5"/>
    <w:rsid w:val="00A549B5"/>
    <w:rsid w:val="00A551F4"/>
    <w:rsid w:val="00A55AD2"/>
    <w:rsid w:val="00A56736"/>
    <w:rsid w:val="00A57781"/>
    <w:rsid w:val="00A61F79"/>
    <w:rsid w:val="00A62973"/>
    <w:rsid w:val="00A62CE1"/>
    <w:rsid w:val="00A62D4A"/>
    <w:rsid w:val="00A6312A"/>
    <w:rsid w:val="00A63BD8"/>
    <w:rsid w:val="00A63DBF"/>
    <w:rsid w:val="00A63F9F"/>
    <w:rsid w:val="00A64358"/>
    <w:rsid w:val="00A651B7"/>
    <w:rsid w:val="00A65D20"/>
    <w:rsid w:val="00A65D75"/>
    <w:rsid w:val="00A6741E"/>
    <w:rsid w:val="00A675A2"/>
    <w:rsid w:val="00A675CE"/>
    <w:rsid w:val="00A67C12"/>
    <w:rsid w:val="00A70867"/>
    <w:rsid w:val="00A7163A"/>
    <w:rsid w:val="00A71967"/>
    <w:rsid w:val="00A73E6E"/>
    <w:rsid w:val="00A74F9F"/>
    <w:rsid w:val="00A7580C"/>
    <w:rsid w:val="00A7597A"/>
    <w:rsid w:val="00A75E40"/>
    <w:rsid w:val="00A760DA"/>
    <w:rsid w:val="00A77AC1"/>
    <w:rsid w:val="00A77D1D"/>
    <w:rsid w:val="00A77DAE"/>
    <w:rsid w:val="00A8049F"/>
    <w:rsid w:val="00A81F47"/>
    <w:rsid w:val="00A82704"/>
    <w:rsid w:val="00A8279E"/>
    <w:rsid w:val="00A83811"/>
    <w:rsid w:val="00A83D70"/>
    <w:rsid w:val="00A83D86"/>
    <w:rsid w:val="00A8427E"/>
    <w:rsid w:val="00A846E8"/>
    <w:rsid w:val="00A84A16"/>
    <w:rsid w:val="00A84CFC"/>
    <w:rsid w:val="00A8566E"/>
    <w:rsid w:val="00A857C0"/>
    <w:rsid w:val="00A85952"/>
    <w:rsid w:val="00A86046"/>
    <w:rsid w:val="00A8629B"/>
    <w:rsid w:val="00A87415"/>
    <w:rsid w:val="00A87568"/>
    <w:rsid w:val="00A87643"/>
    <w:rsid w:val="00A90149"/>
    <w:rsid w:val="00A905FD"/>
    <w:rsid w:val="00A911FA"/>
    <w:rsid w:val="00A918A5"/>
    <w:rsid w:val="00A9246D"/>
    <w:rsid w:val="00A93ECC"/>
    <w:rsid w:val="00A94DA8"/>
    <w:rsid w:val="00A95388"/>
    <w:rsid w:val="00A970E0"/>
    <w:rsid w:val="00A97EBD"/>
    <w:rsid w:val="00AA0BD9"/>
    <w:rsid w:val="00AA2850"/>
    <w:rsid w:val="00AA2996"/>
    <w:rsid w:val="00AA2A4B"/>
    <w:rsid w:val="00AA3CCD"/>
    <w:rsid w:val="00AA4283"/>
    <w:rsid w:val="00AA4FBB"/>
    <w:rsid w:val="00AA52A7"/>
    <w:rsid w:val="00AA52BF"/>
    <w:rsid w:val="00AA559A"/>
    <w:rsid w:val="00AA5630"/>
    <w:rsid w:val="00AA6078"/>
    <w:rsid w:val="00AA765A"/>
    <w:rsid w:val="00AB070A"/>
    <w:rsid w:val="00AB0787"/>
    <w:rsid w:val="00AB0BD2"/>
    <w:rsid w:val="00AB1A99"/>
    <w:rsid w:val="00AB1C66"/>
    <w:rsid w:val="00AB1DD2"/>
    <w:rsid w:val="00AB2AF1"/>
    <w:rsid w:val="00AB2C96"/>
    <w:rsid w:val="00AB362F"/>
    <w:rsid w:val="00AB4548"/>
    <w:rsid w:val="00AB5CB7"/>
    <w:rsid w:val="00AB5E95"/>
    <w:rsid w:val="00AB6565"/>
    <w:rsid w:val="00AB6CDA"/>
    <w:rsid w:val="00AB71A5"/>
    <w:rsid w:val="00AB73B3"/>
    <w:rsid w:val="00AB7BDE"/>
    <w:rsid w:val="00AB7E90"/>
    <w:rsid w:val="00AB7F8F"/>
    <w:rsid w:val="00AC0E45"/>
    <w:rsid w:val="00AC1AA3"/>
    <w:rsid w:val="00AC39E7"/>
    <w:rsid w:val="00AC4B87"/>
    <w:rsid w:val="00AC7933"/>
    <w:rsid w:val="00AC7DE1"/>
    <w:rsid w:val="00AD1220"/>
    <w:rsid w:val="00AD157F"/>
    <w:rsid w:val="00AD19D1"/>
    <w:rsid w:val="00AD306C"/>
    <w:rsid w:val="00AD3C1C"/>
    <w:rsid w:val="00AD425D"/>
    <w:rsid w:val="00AD43A0"/>
    <w:rsid w:val="00AD4BEB"/>
    <w:rsid w:val="00AD4D36"/>
    <w:rsid w:val="00AD4F5D"/>
    <w:rsid w:val="00AD53D8"/>
    <w:rsid w:val="00AD5482"/>
    <w:rsid w:val="00AD5D4C"/>
    <w:rsid w:val="00AD68AD"/>
    <w:rsid w:val="00AD6B02"/>
    <w:rsid w:val="00AD6F93"/>
    <w:rsid w:val="00AD7091"/>
    <w:rsid w:val="00AD7B1C"/>
    <w:rsid w:val="00AD7CDF"/>
    <w:rsid w:val="00AE081E"/>
    <w:rsid w:val="00AE09B3"/>
    <w:rsid w:val="00AE13E3"/>
    <w:rsid w:val="00AE1478"/>
    <w:rsid w:val="00AE1A83"/>
    <w:rsid w:val="00AE2487"/>
    <w:rsid w:val="00AE37DE"/>
    <w:rsid w:val="00AE39B0"/>
    <w:rsid w:val="00AE5AF3"/>
    <w:rsid w:val="00AE6DBA"/>
    <w:rsid w:val="00AF1130"/>
    <w:rsid w:val="00AF1D39"/>
    <w:rsid w:val="00AF332B"/>
    <w:rsid w:val="00AF388B"/>
    <w:rsid w:val="00AF50E3"/>
    <w:rsid w:val="00AF5EA5"/>
    <w:rsid w:val="00AF7377"/>
    <w:rsid w:val="00AF7A65"/>
    <w:rsid w:val="00B00913"/>
    <w:rsid w:val="00B013C9"/>
    <w:rsid w:val="00B01436"/>
    <w:rsid w:val="00B01593"/>
    <w:rsid w:val="00B01F64"/>
    <w:rsid w:val="00B02382"/>
    <w:rsid w:val="00B02D21"/>
    <w:rsid w:val="00B04AE7"/>
    <w:rsid w:val="00B055AA"/>
    <w:rsid w:val="00B07173"/>
    <w:rsid w:val="00B10827"/>
    <w:rsid w:val="00B10A4D"/>
    <w:rsid w:val="00B1170B"/>
    <w:rsid w:val="00B11E54"/>
    <w:rsid w:val="00B130C2"/>
    <w:rsid w:val="00B13743"/>
    <w:rsid w:val="00B1434A"/>
    <w:rsid w:val="00B16C12"/>
    <w:rsid w:val="00B17124"/>
    <w:rsid w:val="00B17B4A"/>
    <w:rsid w:val="00B17E71"/>
    <w:rsid w:val="00B17FDE"/>
    <w:rsid w:val="00B202AE"/>
    <w:rsid w:val="00B20843"/>
    <w:rsid w:val="00B224C2"/>
    <w:rsid w:val="00B22645"/>
    <w:rsid w:val="00B22B13"/>
    <w:rsid w:val="00B2346F"/>
    <w:rsid w:val="00B2379C"/>
    <w:rsid w:val="00B2426E"/>
    <w:rsid w:val="00B24764"/>
    <w:rsid w:val="00B254E9"/>
    <w:rsid w:val="00B25AE7"/>
    <w:rsid w:val="00B25BE0"/>
    <w:rsid w:val="00B2687D"/>
    <w:rsid w:val="00B26D77"/>
    <w:rsid w:val="00B270AD"/>
    <w:rsid w:val="00B2747E"/>
    <w:rsid w:val="00B277E5"/>
    <w:rsid w:val="00B30607"/>
    <w:rsid w:val="00B30BF2"/>
    <w:rsid w:val="00B30D77"/>
    <w:rsid w:val="00B30FF3"/>
    <w:rsid w:val="00B319BF"/>
    <w:rsid w:val="00B31A9E"/>
    <w:rsid w:val="00B322B8"/>
    <w:rsid w:val="00B32316"/>
    <w:rsid w:val="00B32662"/>
    <w:rsid w:val="00B32DDB"/>
    <w:rsid w:val="00B34138"/>
    <w:rsid w:val="00B34528"/>
    <w:rsid w:val="00B35583"/>
    <w:rsid w:val="00B35603"/>
    <w:rsid w:val="00B35EBA"/>
    <w:rsid w:val="00B36665"/>
    <w:rsid w:val="00B375FB"/>
    <w:rsid w:val="00B37720"/>
    <w:rsid w:val="00B37E7E"/>
    <w:rsid w:val="00B402FC"/>
    <w:rsid w:val="00B4044D"/>
    <w:rsid w:val="00B414E6"/>
    <w:rsid w:val="00B4167E"/>
    <w:rsid w:val="00B43B29"/>
    <w:rsid w:val="00B457F9"/>
    <w:rsid w:val="00B46604"/>
    <w:rsid w:val="00B46FAF"/>
    <w:rsid w:val="00B500F5"/>
    <w:rsid w:val="00B50212"/>
    <w:rsid w:val="00B519B3"/>
    <w:rsid w:val="00B530CD"/>
    <w:rsid w:val="00B53263"/>
    <w:rsid w:val="00B53DD0"/>
    <w:rsid w:val="00B5462B"/>
    <w:rsid w:val="00B546C2"/>
    <w:rsid w:val="00B54D31"/>
    <w:rsid w:val="00B55B2B"/>
    <w:rsid w:val="00B55F5E"/>
    <w:rsid w:val="00B5747B"/>
    <w:rsid w:val="00B5752E"/>
    <w:rsid w:val="00B576E5"/>
    <w:rsid w:val="00B577DB"/>
    <w:rsid w:val="00B57926"/>
    <w:rsid w:val="00B57DC4"/>
    <w:rsid w:val="00B62DF6"/>
    <w:rsid w:val="00B63879"/>
    <w:rsid w:val="00B63A11"/>
    <w:rsid w:val="00B64393"/>
    <w:rsid w:val="00B64671"/>
    <w:rsid w:val="00B64C24"/>
    <w:rsid w:val="00B64FC3"/>
    <w:rsid w:val="00B65961"/>
    <w:rsid w:val="00B6608F"/>
    <w:rsid w:val="00B66E68"/>
    <w:rsid w:val="00B678DE"/>
    <w:rsid w:val="00B679FB"/>
    <w:rsid w:val="00B67F8E"/>
    <w:rsid w:val="00B705AA"/>
    <w:rsid w:val="00B710B4"/>
    <w:rsid w:val="00B72563"/>
    <w:rsid w:val="00B72A0A"/>
    <w:rsid w:val="00B735DA"/>
    <w:rsid w:val="00B73C78"/>
    <w:rsid w:val="00B74104"/>
    <w:rsid w:val="00B744C2"/>
    <w:rsid w:val="00B74518"/>
    <w:rsid w:val="00B74B8F"/>
    <w:rsid w:val="00B74F7C"/>
    <w:rsid w:val="00B75A6F"/>
    <w:rsid w:val="00B7617F"/>
    <w:rsid w:val="00B7631E"/>
    <w:rsid w:val="00B7682E"/>
    <w:rsid w:val="00B76D1E"/>
    <w:rsid w:val="00B7794F"/>
    <w:rsid w:val="00B80BFE"/>
    <w:rsid w:val="00B80EC6"/>
    <w:rsid w:val="00B81138"/>
    <w:rsid w:val="00B82599"/>
    <w:rsid w:val="00B827F5"/>
    <w:rsid w:val="00B836A2"/>
    <w:rsid w:val="00B838C1"/>
    <w:rsid w:val="00B83941"/>
    <w:rsid w:val="00B83A3F"/>
    <w:rsid w:val="00B84C86"/>
    <w:rsid w:val="00B85002"/>
    <w:rsid w:val="00B850BB"/>
    <w:rsid w:val="00B85965"/>
    <w:rsid w:val="00B86080"/>
    <w:rsid w:val="00B8770C"/>
    <w:rsid w:val="00B879B8"/>
    <w:rsid w:val="00B9104B"/>
    <w:rsid w:val="00B91D10"/>
    <w:rsid w:val="00B91E8F"/>
    <w:rsid w:val="00B9263A"/>
    <w:rsid w:val="00B92A24"/>
    <w:rsid w:val="00B92D1D"/>
    <w:rsid w:val="00B92E48"/>
    <w:rsid w:val="00B93526"/>
    <w:rsid w:val="00B938C5"/>
    <w:rsid w:val="00B93BDF"/>
    <w:rsid w:val="00B941A5"/>
    <w:rsid w:val="00B94C0A"/>
    <w:rsid w:val="00B95940"/>
    <w:rsid w:val="00B95BBC"/>
    <w:rsid w:val="00B97292"/>
    <w:rsid w:val="00BA002F"/>
    <w:rsid w:val="00BA16F7"/>
    <w:rsid w:val="00BA1C90"/>
    <w:rsid w:val="00BA2ED0"/>
    <w:rsid w:val="00BA33BD"/>
    <w:rsid w:val="00BA3BF9"/>
    <w:rsid w:val="00BA4060"/>
    <w:rsid w:val="00BA51C2"/>
    <w:rsid w:val="00BA62EE"/>
    <w:rsid w:val="00BA74FC"/>
    <w:rsid w:val="00BB073E"/>
    <w:rsid w:val="00BB3181"/>
    <w:rsid w:val="00BB46F3"/>
    <w:rsid w:val="00BB4CB1"/>
    <w:rsid w:val="00BB4F98"/>
    <w:rsid w:val="00BB5500"/>
    <w:rsid w:val="00BB5D0E"/>
    <w:rsid w:val="00BB650A"/>
    <w:rsid w:val="00BB79B0"/>
    <w:rsid w:val="00BB7E73"/>
    <w:rsid w:val="00BC05D1"/>
    <w:rsid w:val="00BC1EB9"/>
    <w:rsid w:val="00BC1F07"/>
    <w:rsid w:val="00BC36BD"/>
    <w:rsid w:val="00BC375B"/>
    <w:rsid w:val="00BC40EB"/>
    <w:rsid w:val="00BC47BA"/>
    <w:rsid w:val="00BC5623"/>
    <w:rsid w:val="00BC5BC4"/>
    <w:rsid w:val="00BC650D"/>
    <w:rsid w:val="00BC68D0"/>
    <w:rsid w:val="00BC6B40"/>
    <w:rsid w:val="00BC6C8D"/>
    <w:rsid w:val="00BC7154"/>
    <w:rsid w:val="00BC7B5B"/>
    <w:rsid w:val="00BC7C96"/>
    <w:rsid w:val="00BD0155"/>
    <w:rsid w:val="00BD12F7"/>
    <w:rsid w:val="00BD1A3A"/>
    <w:rsid w:val="00BD215A"/>
    <w:rsid w:val="00BD2217"/>
    <w:rsid w:val="00BD3339"/>
    <w:rsid w:val="00BD366B"/>
    <w:rsid w:val="00BD3D66"/>
    <w:rsid w:val="00BD3DB6"/>
    <w:rsid w:val="00BD536B"/>
    <w:rsid w:val="00BD6D50"/>
    <w:rsid w:val="00BD723D"/>
    <w:rsid w:val="00BE01A0"/>
    <w:rsid w:val="00BE0228"/>
    <w:rsid w:val="00BE04CB"/>
    <w:rsid w:val="00BE0761"/>
    <w:rsid w:val="00BE1230"/>
    <w:rsid w:val="00BE18B9"/>
    <w:rsid w:val="00BE2424"/>
    <w:rsid w:val="00BE2427"/>
    <w:rsid w:val="00BE2495"/>
    <w:rsid w:val="00BE4825"/>
    <w:rsid w:val="00BE5673"/>
    <w:rsid w:val="00BE5C27"/>
    <w:rsid w:val="00BE5EAB"/>
    <w:rsid w:val="00BE65BD"/>
    <w:rsid w:val="00BE6BD1"/>
    <w:rsid w:val="00BE6ECE"/>
    <w:rsid w:val="00BF0EF8"/>
    <w:rsid w:val="00BF1578"/>
    <w:rsid w:val="00BF17D5"/>
    <w:rsid w:val="00BF2253"/>
    <w:rsid w:val="00BF3795"/>
    <w:rsid w:val="00BF4AC4"/>
    <w:rsid w:val="00BF4B10"/>
    <w:rsid w:val="00BF631C"/>
    <w:rsid w:val="00BF6435"/>
    <w:rsid w:val="00BF668B"/>
    <w:rsid w:val="00BF7F41"/>
    <w:rsid w:val="00C00D76"/>
    <w:rsid w:val="00C0105C"/>
    <w:rsid w:val="00C01061"/>
    <w:rsid w:val="00C018F3"/>
    <w:rsid w:val="00C019FF"/>
    <w:rsid w:val="00C0347C"/>
    <w:rsid w:val="00C03ADC"/>
    <w:rsid w:val="00C07DEE"/>
    <w:rsid w:val="00C10572"/>
    <w:rsid w:val="00C11A0B"/>
    <w:rsid w:val="00C1452B"/>
    <w:rsid w:val="00C14AD1"/>
    <w:rsid w:val="00C151F0"/>
    <w:rsid w:val="00C15656"/>
    <w:rsid w:val="00C159CB"/>
    <w:rsid w:val="00C15F04"/>
    <w:rsid w:val="00C164FA"/>
    <w:rsid w:val="00C16859"/>
    <w:rsid w:val="00C200FA"/>
    <w:rsid w:val="00C20769"/>
    <w:rsid w:val="00C209C1"/>
    <w:rsid w:val="00C21ACE"/>
    <w:rsid w:val="00C21B0F"/>
    <w:rsid w:val="00C21F94"/>
    <w:rsid w:val="00C22AC1"/>
    <w:rsid w:val="00C22DC5"/>
    <w:rsid w:val="00C22E3D"/>
    <w:rsid w:val="00C24392"/>
    <w:rsid w:val="00C25884"/>
    <w:rsid w:val="00C25935"/>
    <w:rsid w:val="00C25C1F"/>
    <w:rsid w:val="00C270EE"/>
    <w:rsid w:val="00C27913"/>
    <w:rsid w:val="00C27ECC"/>
    <w:rsid w:val="00C30B6E"/>
    <w:rsid w:val="00C31450"/>
    <w:rsid w:val="00C321F3"/>
    <w:rsid w:val="00C3368F"/>
    <w:rsid w:val="00C33851"/>
    <w:rsid w:val="00C33B68"/>
    <w:rsid w:val="00C33CD5"/>
    <w:rsid w:val="00C350BB"/>
    <w:rsid w:val="00C35ABD"/>
    <w:rsid w:val="00C36343"/>
    <w:rsid w:val="00C3647D"/>
    <w:rsid w:val="00C36590"/>
    <w:rsid w:val="00C36A79"/>
    <w:rsid w:val="00C36AE9"/>
    <w:rsid w:val="00C36DD5"/>
    <w:rsid w:val="00C36ECC"/>
    <w:rsid w:val="00C377A5"/>
    <w:rsid w:val="00C377DC"/>
    <w:rsid w:val="00C405D4"/>
    <w:rsid w:val="00C41EE8"/>
    <w:rsid w:val="00C41EF8"/>
    <w:rsid w:val="00C42590"/>
    <w:rsid w:val="00C42661"/>
    <w:rsid w:val="00C435E2"/>
    <w:rsid w:val="00C435F3"/>
    <w:rsid w:val="00C43835"/>
    <w:rsid w:val="00C43F18"/>
    <w:rsid w:val="00C440A8"/>
    <w:rsid w:val="00C4513B"/>
    <w:rsid w:val="00C5058F"/>
    <w:rsid w:val="00C50C66"/>
    <w:rsid w:val="00C513DA"/>
    <w:rsid w:val="00C518C2"/>
    <w:rsid w:val="00C529B5"/>
    <w:rsid w:val="00C529FE"/>
    <w:rsid w:val="00C5305A"/>
    <w:rsid w:val="00C535EE"/>
    <w:rsid w:val="00C53BD5"/>
    <w:rsid w:val="00C53C00"/>
    <w:rsid w:val="00C54697"/>
    <w:rsid w:val="00C54948"/>
    <w:rsid w:val="00C54C03"/>
    <w:rsid w:val="00C5591F"/>
    <w:rsid w:val="00C56D37"/>
    <w:rsid w:val="00C57E2E"/>
    <w:rsid w:val="00C63203"/>
    <w:rsid w:val="00C635EE"/>
    <w:rsid w:val="00C63A95"/>
    <w:rsid w:val="00C6409E"/>
    <w:rsid w:val="00C6429D"/>
    <w:rsid w:val="00C6455D"/>
    <w:rsid w:val="00C655C0"/>
    <w:rsid w:val="00C656AA"/>
    <w:rsid w:val="00C67100"/>
    <w:rsid w:val="00C674BA"/>
    <w:rsid w:val="00C67551"/>
    <w:rsid w:val="00C67F74"/>
    <w:rsid w:val="00C71000"/>
    <w:rsid w:val="00C719C3"/>
    <w:rsid w:val="00C734DA"/>
    <w:rsid w:val="00C73885"/>
    <w:rsid w:val="00C73895"/>
    <w:rsid w:val="00C740CD"/>
    <w:rsid w:val="00C747B1"/>
    <w:rsid w:val="00C75024"/>
    <w:rsid w:val="00C76518"/>
    <w:rsid w:val="00C76869"/>
    <w:rsid w:val="00C76C60"/>
    <w:rsid w:val="00C778C6"/>
    <w:rsid w:val="00C77964"/>
    <w:rsid w:val="00C77CF8"/>
    <w:rsid w:val="00C80E75"/>
    <w:rsid w:val="00C8143B"/>
    <w:rsid w:val="00C81593"/>
    <w:rsid w:val="00C81F13"/>
    <w:rsid w:val="00C82191"/>
    <w:rsid w:val="00C8311E"/>
    <w:rsid w:val="00C83C52"/>
    <w:rsid w:val="00C842AC"/>
    <w:rsid w:val="00C86052"/>
    <w:rsid w:val="00C862A7"/>
    <w:rsid w:val="00C87E10"/>
    <w:rsid w:val="00C90604"/>
    <w:rsid w:val="00C90824"/>
    <w:rsid w:val="00C90CF4"/>
    <w:rsid w:val="00C9124A"/>
    <w:rsid w:val="00C913D4"/>
    <w:rsid w:val="00C91DD5"/>
    <w:rsid w:val="00C92523"/>
    <w:rsid w:val="00C9253E"/>
    <w:rsid w:val="00C9265F"/>
    <w:rsid w:val="00C92EB6"/>
    <w:rsid w:val="00C9317D"/>
    <w:rsid w:val="00C93389"/>
    <w:rsid w:val="00C93DAD"/>
    <w:rsid w:val="00C94FC3"/>
    <w:rsid w:val="00C9584A"/>
    <w:rsid w:val="00C95AD8"/>
    <w:rsid w:val="00C97566"/>
    <w:rsid w:val="00C9760F"/>
    <w:rsid w:val="00C97ACE"/>
    <w:rsid w:val="00CA1EAF"/>
    <w:rsid w:val="00CA26C6"/>
    <w:rsid w:val="00CA3F86"/>
    <w:rsid w:val="00CA3FF4"/>
    <w:rsid w:val="00CA4D0C"/>
    <w:rsid w:val="00CA5374"/>
    <w:rsid w:val="00CA54C8"/>
    <w:rsid w:val="00CA6088"/>
    <w:rsid w:val="00CA663A"/>
    <w:rsid w:val="00CA6949"/>
    <w:rsid w:val="00CA6E63"/>
    <w:rsid w:val="00CA77E6"/>
    <w:rsid w:val="00CA7BA6"/>
    <w:rsid w:val="00CB0332"/>
    <w:rsid w:val="00CB0820"/>
    <w:rsid w:val="00CB1944"/>
    <w:rsid w:val="00CB1D1E"/>
    <w:rsid w:val="00CB2810"/>
    <w:rsid w:val="00CB30CE"/>
    <w:rsid w:val="00CB381A"/>
    <w:rsid w:val="00CB4229"/>
    <w:rsid w:val="00CB47C0"/>
    <w:rsid w:val="00CB4930"/>
    <w:rsid w:val="00CB5FDE"/>
    <w:rsid w:val="00CB6743"/>
    <w:rsid w:val="00CB7204"/>
    <w:rsid w:val="00CB724B"/>
    <w:rsid w:val="00CC05BF"/>
    <w:rsid w:val="00CC0F51"/>
    <w:rsid w:val="00CC1230"/>
    <w:rsid w:val="00CC2A83"/>
    <w:rsid w:val="00CC2E7D"/>
    <w:rsid w:val="00CC6003"/>
    <w:rsid w:val="00CD067E"/>
    <w:rsid w:val="00CD0AB6"/>
    <w:rsid w:val="00CD10A5"/>
    <w:rsid w:val="00CD1661"/>
    <w:rsid w:val="00CD1BD7"/>
    <w:rsid w:val="00CD1CF3"/>
    <w:rsid w:val="00CD2020"/>
    <w:rsid w:val="00CD2076"/>
    <w:rsid w:val="00CD2C82"/>
    <w:rsid w:val="00CD374B"/>
    <w:rsid w:val="00CD43FB"/>
    <w:rsid w:val="00CD4965"/>
    <w:rsid w:val="00CD5ED1"/>
    <w:rsid w:val="00CD6C14"/>
    <w:rsid w:val="00CD7BEB"/>
    <w:rsid w:val="00CE01D4"/>
    <w:rsid w:val="00CE1234"/>
    <w:rsid w:val="00CE147C"/>
    <w:rsid w:val="00CE1D97"/>
    <w:rsid w:val="00CE21B0"/>
    <w:rsid w:val="00CE236C"/>
    <w:rsid w:val="00CE2E77"/>
    <w:rsid w:val="00CE2E85"/>
    <w:rsid w:val="00CE3254"/>
    <w:rsid w:val="00CE3554"/>
    <w:rsid w:val="00CE3862"/>
    <w:rsid w:val="00CE427F"/>
    <w:rsid w:val="00CE5495"/>
    <w:rsid w:val="00CE5869"/>
    <w:rsid w:val="00CE670B"/>
    <w:rsid w:val="00CE6C40"/>
    <w:rsid w:val="00CE72A2"/>
    <w:rsid w:val="00CF0747"/>
    <w:rsid w:val="00CF0EEF"/>
    <w:rsid w:val="00CF1998"/>
    <w:rsid w:val="00CF2338"/>
    <w:rsid w:val="00CF27F9"/>
    <w:rsid w:val="00CF2AB4"/>
    <w:rsid w:val="00CF4455"/>
    <w:rsid w:val="00CF4ADA"/>
    <w:rsid w:val="00CF51EC"/>
    <w:rsid w:val="00CF5FA9"/>
    <w:rsid w:val="00CF6172"/>
    <w:rsid w:val="00CF6778"/>
    <w:rsid w:val="00CF68F6"/>
    <w:rsid w:val="00CF6BBF"/>
    <w:rsid w:val="00CF7159"/>
    <w:rsid w:val="00CF72A7"/>
    <w:rsid w:val="00CF73AE"/>
    <w:rsid w:val="00CF7401"/>
    <w:rsid w:val="00D01EE5"/>
    <w:rsid w:val="00D0203C"/>
    <w:rsid w:val="00D0291B"/>
    <w:rsid w:val="00D040DD"/>
    <w:rsid w:val="00D04DCE"/>
    <w:rsid w:val="00D05238"/>
    <w:rsid w:val="00D05DD3"/>
    <w:rsid w:val="00D05F98"/>
    <w:rsid w:val="00D06A5E"/>
    <w:rsid w:val="00D06DA3"/>
    <w:rsid w:val="00D077FD"/>
    <w:rsid w:val="00D105FB"/>
    <w:rsid w:val="00D10873"/>
    <w:rsid w:val="00D10B73"/>
    <w:rsid w:val="00D10FE5"/>
    <w:rsid w:val="00D1194E"/>
    <w:rsid w:val="00D12107"/>
    <w:rsid w:val="00D12ED9"/>
    <w:rsid w:val="00D12F18"/>
    <w:rsid w:val="00D13080"/>
    <w:rsid w:val="00D13103"/>
    <w:rsid w:val="00D13986"/>
    <w:rsid w:val="00D147BA"/>
    <w:rsid w:val="00D15BED"/>
    <w:rsid w:val="00D15C54"/>
    <w:rsid w:val="00D168A1"/>
    <w:rsid w:val="00D16C00"/>
    <w:rsid w:val="00D17008"/>
    <w:rsid w:val="00D21B68"/>
    <w:rsid w:val="00D21C8C"/>
    <w:rsid w:val="00D222BB"/>
    <w:rsid w:val="00D235B7"/>
    <w:rsid w:val="00D23CB7"/>
    <w:rsid w:val="00D23D3E"/>
    <w:rsid w:val="00D251CD"/>
    <w:rsid w:val="00D25F28"/>
    <w:rsid w:val="00D265CF"/>
    <w:rsid w:val="00D26867"/>
    <w:rsid w:val="00D26AEA"/>
    <w:rsid w:val="00D26C4E"/>
    <w:rsid w:val="00D27515"/>
    <w:rsid w:val="00D27973"/>
    <w:rsid w:val="00D279FE"/>
    <w:rsid w:val="00D27C4D"/>
    <w:rsid w:val="00D30CC4"/>
    <w:rsid w:val="00D30F9D"/>
    <w:rsid w:val="00D310D1"/>
    <w:rsid w:val="00D33C33"/>
    <w:rsid w:val="00D34261"/>
    <w:rsid w:val="00D3434E"/>
    <w:rsid w:val="00D343F5"/>
    <w:rsid w:val="00D3469F"/>
    <w:rsid w:val="00D347A6"/>
    <w:rsid w:val="00D35512"/>
    <w:rsid w:val="00D3576C"/>
    <w:rsid w:val="00D36129"/>
    <w:rsid w:val="00D368AB"/>
    <w:rsid w:val="00D37541"/>
    <w:rsid w:val="00D37886"/>
    <w:rsid w:val="00D417AD"/>
    <w:rsid w:val="00D4181F"/>
    <w:rsid w:val="00D4320A"/>
    <w:rsid w:val="00D446A6"/>
    <w:rsid w:val="00D44E0F"/>
    <w:rsid w:val="00D4579E"/>
    <w:rsid w:val="00D4645C"/>
    <w:rsid w:val="00D469C1"/>
    <w:rsid w:val="00D46E9B"/>
    <w:rsid w:val="00D46EA5"/>
    <w:rsid w:val="00D47B79"/>
    <w:rsid w:val="00D47E5F"/>
    <w:rsid w:val="00D5097D"/>
    <w:rsid w:val="00D50F46"/>
    <w:rsid w:val="00D51A94"/>
    <w:rsid w:val="00D5363B"/>
    <w:rsid w:val="00D53DCF"/>
    <w:rsid w:val="00D549EB"/>
    <w:rsid w:val="00D54D3E"/>
    <w:rsid w:val="00D54FF6"/>
    <w:rsid w:val="00D55479"/>
    <w:rsid w:val="00D55B06"/>
    <w:rsid w:val="00D55DB1"/>
    <w:rsid w:val="00D561C3"/>
    <w:rsid w:val="00D564E0"/>
    <w:rsid w:val="00D56752"/>
    <w:rsid w:val="00D56CD4"/>
    <w:rsid w:val="00D56DBD"/>
    <w:rsid w:val="00D56EB1"/>
    <w:rsid w:val="00D57F33"/>
    <w:rsid w:val="00D60538"/>
    <w:rsid w:val="00D61155"/>
    <w:rsid w:val="00D6249A"/>
    <w:rsid w:val="00D64050"/>
    <w:rsid w:val="00D6444F"/>
    <w:rsid w:val="00D64541"/>
    <w:rsid w:val="00D652AB"/>
    <w:rsid w:val="00D65631"/>
    <w:rsid w:val="00D66223"/>
    <w:rsid w:val="00D66AA4"/>
    <w:rsid w:val="00D72E09"/>
    <w:rsid w:val="00D72EAB"/>
    <w:rsid w:val="00D74140"/>
    <w:rsid w:val="00D74353"/>
    <w:rsid w:val="00D7485A"/>
    <w:rsid w:val="00D74A8A"/>
    <w:rsid w:val="00D74CAF"/>
    <w:rsid w:val="00D74D79"/>
    <w:rsid w:val="00D765E4"/>
    <w:rsid w:val="00D773B1"/>
    <w:rsid w:val="00D80035"/>
    <w:rsid w:val="00D80743"/>
    <w:rsid w:val="00D8084C"/>
    <w:rsid w:val="00D80BF8"/>
    <w:rsid w:val="00D8240D"/>
    <w:rsid w:val="00D830E8"/>
    <w:rsid w:val="00D8357D"/>
    <w:rsid w:val="00D83ED8"/>
    <w:rsid w:val="00D84A46"/>
    <w:rsid w:val="00D861CC"/>
    <w:rsid w:val="00D86831"/>
    <w:rsid w:val="00D87284"/>
    <w:rsid w:val="00D87693"/>
    <w:rsid w:val="00D908DE"/>
    <w:rsid w:val="00D90C09"/>
    <w:rsid w:val="00D91045"/>
    <w:rsid w:val="00D91139"/>
    <w:rsid w:val="00D9113E"/>
    <w:rsid w:val="00D91B71"/>
    <w:rsid w:val="00D92018"/>
    <w:rsid w:val="00D92ECC"/>
    <w:rsid w:val="00D94BA0"/>
    <w:rsid w:val="00D9514C"/>
    <w:rsid w:val="00D951D0"/>
    <w:rsid w:val="00D96D3A"/>
    <w:rsid w:val="00D96DD0"/>
    <w:rsid w:val="00D9725E"/>
    <w:rsid w:val="00D972A3"/>
    <w:rsid w:val="00D97835"/>
    <w:rsid w:val="00D97CE0"/>
    <w:rsid w:val="00DA0972"/>
    <w:rsid w:val="00DA114F"/>
    <w:rsid w:val="00DA17E9"/>
    <w:rsid w:val="00DA1F73"/>
    <w:rsid w:val="00DA3D5C"/>
    <w:rsid w:val="00DA42AC"/>
    <w:rsid w:val="00DA4497"/>
    <w:rsid w:val="00DA46A4"/>
    <w:rsid w:val="00DA491A"/>
    <w:rsid w:val="00DA59F1"/>
    <w:rsid w:val="00DA5C77"/>
    <w:rsid w:val="00DA6216"/>
    <w:rsid w:val="00DA6250"/>
    <w:rsid w:val="00DA666C"/>
    <w:rsid w:val="00DA7A30"/>
    <w:rsid w:val="00DA7C0C"/>
    <w:rsid w:val="00DB0A08"/>
    <w:rsid w:val="00DB135E"/>
    <w:rsid w:val="00DB200A"/>
    <w:rsid w:val="00DB2053"/>
    <w:rsid w:val="00DB2EC8"/>
    <w:rsid w:val="00DB3D28"/>
    <w:rsid w:val="00DB560E"/>
    <w:rsid w:val="00DB5CF0"/>
    <w:rsid w:val="00DB5D5B"/>
    <w:rsid w:val="00DB6DB5"/>
    <w:rsid w:val="00DC017F"/>
    <w:rsid w:val="00DC16DD"/>
    <w:rsid w:val="00DC1A31"/>
    <w:rsid w:val="00DC1C8F"/>
    <w:rsid w:val="00DC1D4C"/>
    <w:rsid w:val="00DC2A28"/>
    <w:rsid w:val="00DC2C40"/>
    <w:rsid w:val="00DC3846"/>
    <w:rsid w:val="00DC3A95"/>
    <w:rsid w:val="00DC4FB4"/>
    <w:rsid w:val="00DC5B3B"/>
    <w:rsid w:val="00DC6DEB"/>
    <w:rsid w:val="00DD0A11"/>
    <w:rsid w:val="00DD129F"/>
    <w:rsid w:val="00DD2702"/>
    <w:rsid w:val="00DD2DEC"/>
    <w:rsid w:val="00DD2F6B"/>
    <w:rsid w:val="00DD39AD"/>
    <w:rsid w:val="00DD4EA5"/>
    <w:rsid w:val="00DD51D4"/>
    <w:rsid w:val="00DD5695"/>
    <w:rsid w:val="00DD56D9"/>
    <w:rsid w:val="00DD5F3A"/>
    <w:rsid w:val="00DD60DD"/>
    <w:rsid w:val="00DD7093"/>
    <w:rsid w:val="00DE0131"/>
    <w:rsid w:val="00DE1B3B"/>
    <w:rsid w:val="00DE2B8D"/>
    <w:rsid w:val="00DE3364"/>
    <w:rsid w:val="00DE461E"/>
    <w:rsid w:val="00DE4933"/>
    <w:rsid w:val="00DE4D44"/>
    <w:rsid w:val="00DE5304"/>
    <w:rsid w:val="00DE6B7C"/>
    <w:rsid w:val="00DE6E08"/>
    <w:rsid w:val="00DE76C0"/>
    <w:rsid w:val="00DF1418"/>
    <w:rsid w:val="00DF3477"/>
    <w:rsid w:val="00DF40F7"/>
    <w:rsid w:val="00DF42FF"/>
    <w:rsid w:val="00DF4636"/>
    <w:rsid w:val="00DF4680"/>
    <w:rsid w:val="00DF495F"/>
    <w:rsid w:val="00DF4FB7"/>
    <w:rsid w:val="00DF5C90"/>
    <w:rsid w:val="00DF603C"/>
    <w:rsid w:val="00DF62FC"/>
    <w:rsid w:val="00DF6738"/>
    <w:rsid w:val="00E009CD"/>
    <w:rsid w:val="00E01B2A"/>
    <w:rsid w:val="00E01C0E"/>
    <w:rsid w:val="00E02CAC"/>
    <w:rsid w:val="00E03F9A"/>
    <w:rsid w:val="00E04694"/>
    <w:rsid w:val="00E048E2"/>
    <w:rsid w:val="00E053DF"/>
    <w:rsid w:val="00E06A97"/>
    <w:rsid w:val="00E074C6"/>
    <w:rsid w:val="00E07C9D"/>
    <w:rsid w:val="00E10733"/>
    <w:rsid w:val="00E12199"/>
    <w:rsid w:val="00E1221E"/>
    <w:rsid w:val="00E12B1E"/>
    <w:rsid w:val="00E12C34"/>
    <w:rsid w:val="00E1368B"/>
    <w:rsid w:val="00E13D22"/>
    <w:rsid w:val="00E14A62"/>
    <w:rsid w:val="00E15503"/>
    <w:rsid w:val="00E16105"/>
    <w:rsid w:val="00E17262"/>
    <w:rsid w:val="00E1747A"/>
    <w:rsid w:val="00E20D1A"/>
    <w:rsid w:val="00E20E76"/>
    <w:rsid w:val="00E24A9E"/>
    <w:rsid w:val="00E24E4A"/>
    <w:rsid w:val="00E2501D"/>
    <w:rsid w:val="00E253A2"/>
    <w:rsid w:val="00E25A61"/>
    <w:rsid w:val="00E25D6F"/>
    <w:rsid w:val="00E268B3"/>
    <w:rsid w:val="00E276D1"/>
    <w:rsid w:val="00E27CE6"/>
    <w:rsid w:val="00E27D6C"/>
    <w:rsid w:val="00E30151"/>
    <w:rsid w:val="00E30ECA"/>
    <w:rsid w:val="00E30F00"/>
    <w:rsid w:val="00E31618"/>
    <w:rsid w:val="00E3175A"/>
    <w:rsid w:val="00E317EF"/>
    <w:rsid w:val="00E32873"/>
    <w:rsid w:val="00E3309D"/>
    <w:rsid w:val="00E337F5"/>
    <w:rsid w:val="00E337FB"/>
    <w:rsid w:val="00E34002"/>
    <w:rsid w:val="00E34866"/>
    <w:rsid w:val="00E34B4A"/>
    <w:rsid w:val="00E34BE6"/>
    <w:rsid w:val="00E34FDA"/>
    <w:rsid w:val="00E3543A"/>
    <w:rsid w:val="00E35689"/>
    <w:rsid w:val="00E3621C"/>
    <w:rsid w:val="00E3792E"/>
    <w:rsid w:val="00E37E33"/>
    <w:rsid w:val="00E37EC9"/>
    <w:rsid w:val="00E40EDE"/>
    <w:rsid w:val="00E41A97"/>
    <w:rsid w:val="00E425E3"/>
    <w:rsid w:val="00E4390D"/>
    <w:rsid w:val="00E4498A"/>
    <w:rsid w:val="00E44BA2"/>
    <w:rsid w:val="00E45675"/>
    <w:rsid w:val="00E45E2A"/>
    <w:rsid w:val="00E47E16"/>
    <w:rsid w:val="00E50156"/>
    <w:rsid w:val="00E524FA"/>
    <w:rsid w:val="00E53470"/>
    <w:rsid w:val="00E539F6"/>
    <w:rsid w:val="00E53E70"/>
    <w:rsid w:val="00E54004"/>
    <w:rsid w:val="00E5443E"/>
    <w:rsid w:val="00E54455"/>
    <w:rsid w:val="00E54A2F"/>
    <w:rsid w:val="00E5516A"/>
    <w:rsid w:val="00E55BF1"/>
    <w:rsid w:val="00E560A9"/>
    <w:rsid w:val="00E5623C"/>
    <w:rsid w:val="00E56294"/>
    <w:rsid w:val="00E57F14"/>
    <w:rsid w:val="00E6024C"/>
    <w:rsid w:val="00E60853"/>
    <w:rsid w:val="00E622A4"/>
    <w:rsid w:val="00E62459"/>
    <w:rsid w:val="00E62996"/>
    <w:rsid w:val="00E63E64"/>
    <w:rsid w:val="00E64A4E"/>
    <w:rsid w:val="00E6519D"/>
    <w:rsid w:val="00E659A8"/>
    <w:rsid w:val="00E666C3"/>
    <w:rsid w:val="00E6673A"/>
    <w:rsid w:val="00E66D62"/>
    <w:rsid w:val="00E67696"/>
    <w:rsid w:val="00E71A16"/>
    <w:rsid w:val="00E71A58"/>
    <w:rsid w:val="00E725AB"/>
    <w:rsid w:val="00E726D5"/>
    <w:rsid w:val="00E7272C"/>
    <w:rsid w:val="00E72A7A"/>
    <w:rsid w:val="00E72E53"/>
    <w:rsid w:val="00E735B9"/>
    <w:rsid w:val="00E73C13"/>
    <w:rsid w:val="00E75C94"/>
    <w:rsid w:val="00E75CB2"/>
    <w:rsid w:val="00E75E92"/>
    <w:rsid w:val="00E7658F"/>
    <w:rsid w:val="00E7691C"/>
    <w:rsid w:val="00E77711"/>
    <w:rsid w:val="00E77B55"/>
    <w:rsid w:val="00E77C07"/>
    <w:rsid w:val="00E81A83"/>
    <w:rsid w:val="00E82AA4"/>
    <w:rsid w:val="00E82E32"/>
    <w:rsid w:val="00E83223"/>
    <w:rsid w:val="00E8343F"/>
    <w:rsid w:val="00E83560"/>
    <w:rsid w:val="00E85F38"/>
    <w:rsid w:val="00E86775"/>
    <w:rsid w:val="00E86E4A"/>
    <w:rsid w:val="00E87117"/>
    <w:rsid w:val="00E878C4"/>
    <w:rsid w:val="00E90549"/>
    <w:rsid w:val="00E9070E"/>
    <w:rsid w:val="00E90836"/>
    <w:rsid w:val="00E90D90"/>
    <w:rsid w:val="00E92137"/>
    <w:rsid w:val="00E92235"/>
    <w:rsid w:val="00E93820"/>
    <w:rsid w:val="00E941F4"/>
    <w:rsid w:val="00E94344"/>
    <w:rsid w:val="00E94690"/>
    <w:rsid w:val="00E94780"/>
    <w:rsid w:val="00E956AE"/>
    <w:rsid w:val="00E96034"/>
    <w:rsid w:val="00E96ACA"/>
    <w:rsid w:val="00EA0C68"/>
    <w:rsid w:val="00EA1042"/>
    <w:rsid w:val="00EA15B8"/>
    <w:rsid w:val="00EA2C94"/>
    <w:rsid w:val="00EA32BC"/>
    <w:rsid w:val="00EA43FD"/>
    <w:rsid w:val="00EA4AE7"/>
    <w:rsid w:val="00EA5C81"/>
    <w:rsid w:val="00EA62A4"/>
    <w:rsid w:val="00EA64C7"/>
    <w:rsid w:val="00EA6CB1"/>
    <w:rsid w:val="00EB02BC"/>
    <w:rsid w:val="00EB1AEB"/>
    <w:rsid w:val="00EB1C38"/>
    <w:rsid w:val="00EB2621"/>
    <w:rsid w:val="00EB3140"/>
    <w:rsid w:val="00EB3C65"/>
    <w:rsid w:val="00EB4511"/>
    <w:rsid w:val="00EB5489"/>
    <w:rsid w:val="00EB5A25"/>
    <w:rsid w:val="00EB70EC"/>
    <w:rsid w:val="00EC03D7"/>
    <w:rsid w:val="00EC0BFA"/>
    <w:rsid w:val="00EC0FF3"/>
    <w:rsid w:val="00EC1885"/>
    <w:rsid w:val="00EC20E8"/>
    <w:rsid w:val="00EC214F"/>
    <w:rsid w:val="00EC31DB"/>
    <w:rsid w:val="00EC3220"/>
    <w:rsid w:val="00EC3A74"/>
    <w:rsid w:val="00EC4AFC"/>
    <w:rsid w:val="00EC5218"/>
    <w:rsid w:val="00EC53A0"/>
    <w:rsid w:val="00EC5EF6"/>
    <w:rsid w:val="00EC639B"/>
    <w:rsid w:val="00EC67A4"/>
    <w:rsid w:val="00EC750A"/>
    <w:rsid w:val="00EC7E98"/>
    <w:rsid w:val="00ED0547"/>
    <w:rsid w:val="00ED14E5"/>
    <w:rsid w:val="00ED161E"/>
    <w:rsid w:val="00ED1D90"/>
    <w:rsid w:val="00ED2C74"/>
    <w:rsid w:val="00ED4166"/>
    <w:rsid w:val="00ED4D0E"/>
    <w:rsid w:val="00ED62C6"/>
    <w:rsid w:val="00ED64C1"/>
    <w:rsid w:val="00ED76BB"/>
    <w:rsid w:val="00EE06BC"/>
    <w:rsid w:val="00EE0D40"/>
    <w:rsid w:val="00EE15E8"/>
    <w:rsid w:val="00EE1A4D"/>
    <w:rsid w:val="00EE1B52"/>
    <w:rsid w:val="00EE3446"/>
    <w:rsid w:val="00EE39B7"/>
    <w:rsid w:val="00EE3E78"/>
    <w:rsid w:val="00EE4B1B"/>
    <w:rsid w:val="00EE4E5E"/>
    <w:rsid w:val="00EE5C81"/>
    <w:rsid w:val="00EE743A"/>
    <w:rsid w:val="00EE7EAD"/>
    <w:rsid w:val="00EF0135"/>
    <w:rsid w:val="00EF05B5"/>
    <w:rsid w:val="00EF05F9"/>
    <w:rsid w:val="00EF0CF6"/>
    <w:rsid w:val="00EF1109"/>
    <w:rsid w:val="00EF13AE"/>
    <w:rsid w:val="00EF150D"/>
    <w:rsid w:val="00EF1975"/>
    <w:rsid w:val="00EF1F5A"/>
    <w:rsid w:val="00EF467D"/>
    <w:rsid w:val="00EF47BF"/>
    <w:rsid w:val="00EF4BD9"/>
    <w:rsid w:val="00EF4C92"/>
    <w:rsid w:val="00EF6922"/>
    <w:rsid w:val="00EF73DD"/>
    <w:rsid w:val="00EF7D91"/>
    <w:rsid w:val="00F00C8B"/>
    <w:rsid w:val="00F01056"/>
    <w:rsid w:val="00F024CB"/>
    <w:rsid w:val="00F025AC"/>
    <w:rsid w:val="00F02C35"/>
    <w:rsid w:val="00F04811"/>
    <w:rsid w:val="00F0488C"/>
    <w:rsid w:val="00F05F5E"/>
    <w:rsid w:val="00F06CE2"/>
    <w:rsid w:val="00F07B5F"/>
    <w:rsid w:val="00F07BDE"/>
    <w:rsid w:val="00F10927"/>
    <w:rsid w:val="00F10F11"/>
    <w:rsid w:val="00F112A1"/>
    <w:rsid w:val="00F11AAF"/>
    <w:rsid w:val="00F13389"/>
    <w:rsid w:val="00F13BAC"/>
    <w:rsid w:val="00F14B7E"/>
    <w:rsid w:val="00F15AAA"/>
    <w:rsid w:val="00F15BEF"/>
    <w:rsid w:val="00F160A2"/>
    <w:rsid w:val="00F16D65"/>
    <w:rsid w:val="00F16F36"/>
    <w:rsid w:val="00F1715D"/>
    <w:rsid w:val="00F21755"/>
    <w:rsid w:val="00F21AE9"/>
    <w:rsid w:val="00F21E2A"/>
    <w:rsid w:val="00F224C1"/>
    <w:rsid w:val="00F22798"/>
    <w:rsid w:val="00F229CF"/>
    <w:rsid w:val="00F22AA8"/>
    <w:rsid w:val="00F22C15"/>
    <w:rsid w:val="00F240A9"/>
    <w:rsid w:val="00F24407"/>
    <w:rsid w:val="00F244A4"/>
    <w:rsid w:val="00F24782"/>
    <w:rsid w:val="00F24FAA"/>
    <w:rsid w:val="00F2534C"/>
    <w:rsid w:val="00F258C3"/>
    <w:rsid w:val="00F25ADA"/>
    <w:rsid w:val="00F26D00"/>
    <w:rsid w:val="00F27093"/>
    <w:rsid w:val="00F27863"/>
    <w:rsid w:val="00F30709"/>
    <w:rsid w:val="00F31090"/>
    <w:rsid w:val="00F32735"/>
    <w:rsid w:val="00F32E8C"/>
    <w:rsid w:val="00F32F52"/>
    <w:rsid w:val="00F332EF"/>
    <w:rsid w:val="00F3364D"/>
    <w:rsid w:val="00F33AAA"/>
    <w:rsid w:val="00F341B2"/>
    <w:rsid w:val="00F35931"/>
    <w:rsid w:val="00F36ECA"/>
    <w:rsid w:val="00F40195"/>
    <w:rsid w:val="00F40ECF"/>
    <w:rsid w:val="00F4172A"/>
    <w:rsid w:val="00F41A27"/>
    <w:rsid w:val="00F424D3"/>
    <w:rsid w:val="00F42674"/>
    <w:rsid w:val="00F43204"/>
    <w:rsid w:val="00F437CC"/>
    <w:rsid w:val="00F4384B"/>
    <w:rsid w:val="00F45E4C"/>
    <w:rsid w:val="00F46888"/>
    <w:rsid w:val="00F47067"/>
    <w:rsid w:val="00F47682"/>
    <w:rsid w:val="00F476BD"/>
    <w:rsid w:val="00F50488"/>
    <w:rsid w:val="00F50800"/>
    <w:rsid w:val="00F50D49"/>
    <w:rsid w:val="00F50F9C"/>
    <w:rsid w:val="00F51A59"/>
    <w:rsid w:val="00F525EB"/>
    <w:rsid w:val="00F5271A"/>
    <w:rsid w:val="00F52DDE"/>
    <w:rsid w:val="00F533EE"/>
    <w:rsid w:val="00F54510"/>
    <w:rsid w:val="00F557C6"/>
    <w:rsid w:val="00F562DC"/>
    <w:rsid w:val="00F5645E"/>
    <w:rsid w:val="00F56E07"/>
    <w:rsid w:val="00F57536"/>
    <w:rsid w:val="00F57735"/>
    <w:rsid w:val="00F619A9"/>
    <w:rsid w:val="00F62279"/>
    <w:rsid w:val="00F62818"/>
    <w:rsid w:val="00F63C10"/>
    <w:rsid w:val="00F63DDE"/>
    <w:rsid w:val="00F63FB7"/>
    <w:rsid w:val="00F646F7"/>
    <w:rsid w:val="00F649D2"/>
    <w:rsid w:val="00F64A2E"/>
    <w:rsid w:val="00F64BCC"/>
    <w:rsid w:val="00F65359"/>
    <w:rsid w:val="00F655E5"/>
    <w:rsid w:val="00F6602B"/>
    <w:rsid w:val="00F66871"/>
    <w:rsid w:val="00F66C16"/>
    <w:rsid w:val="00F67275"/>
    <w:rsid w:val="00F674B7"/>
    <w:rsid w:val="00F708F5"/>
    <w:rsid w:val="00F70FAD"/>
    <w:rsid w:val="00F710DF"/>
    <w:rsid w:val="00F713B3"/>
    <w:rsid w:val="00F71565"/>
    <w:rsid w:val="00F7181C"/>
    <w:rsid w:val="00F71C04"/>
    <w:rsid w:val="00F7260E"/>
    <w:rsid w:val="00F72E1C"/>
    <w:rsid w:val="00F73A0C"/>
    <w:rsid w:val="00F73C46"/>
    <w:rsid w:val="00F747F7"/>
    <w:rsid w:val="00F7524D"/>
    <w:rsid w:val="00F756DB"/>
    <w:rsid w:val="00F759C1"/>
    <w:rsid w:val="00F7650F"/>
    <w:rsid w:val="00F76B17"/>
    <w:rsid w:val="00F77C0C"/>
    <w:rsid w:val="00F77C2A"/>
    <w:rsid w:val="00F80CA3"/>
    <w:rsid w:val="00F81355"/>
    <w:rsid w:val="00F81C62"/>
    <w:rsid w:val="00F81D2E"/>
    <w:rsid w:val="00F8241E"/>
    <w:rsid w:val="00F8377E"/>
    <w:rsid w:val="00F83B06"/>
    <w:rsid w:val="00F84568"/>
    <w:rsid w:val="00F84BB6"/>
    <w:rsid w:val="00F85066"/>
    <w:rsid w:val="00F85073"/>
    <w:rsid w:val="00F85243"/>
    <w:rsid w:val="00F85CBA"/>
    <w:rsid w:val="00F86B92"/>
    <w:rsid w:val="00F86F09"/>
    <w:rsid w:val="00F900F5"/>
    <w:rsid w:val="00F90247"/>
    <w:rsid w:val="00F90500"/>
    <w:rsid w:val="00F9129D"/>
    <w:rsid w:val="00F92054"/>
    <w:rsid w:val="00F9212D"/>
    <w:rsid w:val="00F928F4"/>
    <w:rsid w:val="00F93AE3"/>
    <w:rsid w:val="00F96DEA"/>
    <w:rsid w:val="00F96EC7"/>
    <w:rsid w:val="00F9748B"/>
    <w:rsid w:val="00F9780B"/>
    <w:rsid w:val="00F97AA1"/>
    <w:rsid w:val="00F97AB8"/>
    <w:rsid w:val="00FA003F"/>
    <w:rsid w:val="00FA104E"/>
    <w:rsid w:val="00FA11D4"/>
    <w:rsid w:val="00FA1BC1"/>
    <w:rsid w:val="00FA1C75"/>
    <w:rsid w:val="00FA20BF"/>
    <w:rsid w:val="00FA29C5"/>
    <w:rsid w:val="00FA3371"/>
    <w:rsid w:val="00FA3561"/>
    <w:rsid w:val="00FA3640"/>
    <w:rsid w:val="00FA43FB"/>
    <w:rsid w:val="00FA4FC9"/>
    <w:rsid w:val="00FA5C16"/>
    <w:rsid w:val="00FA5D4D"/>
    <w:rsid w:val="00FA7769"/>
    <w:rsid w:val="00FA7981"/>
    <w:rsid w:val="00FB02C7"/>
    <w:rsid w:val="00FB0947"/>
    <w:rsid w:val="00FB0DE1"/>
    <w:rsid w:val="00FB0EE2"/>
    <w:rsid w:val="00FB0FFC"/>
    <w:rsid w:val="00FB1537"/>
    <w:rsid w:val="00FB509F"/>
    <w:rsid w:val="00FB542E"/>
    <w:rsid w:val="00FB55A4"/>
    <w:rsid w:val="00FB625B"/>
    <w:rsid w:val="00FB74A7"/>
    <w:rsid w:val="00FC03F1"/>
    <w:rsid w:val="00FC070C"/>
    <w:rsid w:val="00FC0E27"/>
    <w:rsid w:val="00FC0E5F"/>
    <w:rsid w:val="00FC1A95"/>
    <w:rsid w:val="00FC2BB4"/>
    <w:rsid w:val="00FC393F"/>
    <w:rsid w:val="00FC3D5B"/>
    <w:rsid w:val="00FC43AD"/>
    <w:rsid w:val="00FC4FD9"/>
    <w:rsid w:val="00FC54AF"/>
    <w:rsid w:val="00FC56DE"/>
    <w:rsid w:val="00FC684B"/>
    <w:rsid w:val="00FD095C"/>
    <w:rsid w:val="00FD1C01"/>
    <w:rsid w:val="00FD1C6E"/>
    <w:rsid w:val="00FD1E73"/>
    <w:rsid w:val="00FD25CE"/>
    <w:rsid w:val="00FD3265"/>
    <w:rsid w:val="00FD5197"/>
    <w:rsid w:val="00FD5721"/>
    <w:rsid w:val="00FD6260"/>
    <w:rsid w:val="00FD763A"/>
    <w:rsid w:val="00FE090A"/>
    <w:rsid w:val="00FE1249"/>
    <w:rsid w:val="00FE1FDB"/>
    <w:rsid w:val="00FE2718"/>
    <w:rsid w:val="00FE2F78"/>
    <w:rsid w:val="00FE2FDF"/>
    <w:rsid w:val="00FE3AFE"/>
    <w:rsid w:val="00FE3EA2"/>
    <w:rsid w:val="00FE478B"/>
    <w:rsid w:val="00FE5881"/>
    <w:rsid w:val="00FE6465"/>
    <w:rsid w:val="00FE7186"/>
    <w:rsid w:val="00FE7756"/>
    <w:rsid w:val="00FF0857"/>
    <w:rsid w:val="00FF1DFF"/>
    <w:rsid w:val="00FF23D7"/>
    <w:rsid w:val="00FF33A4"/>
    <w:rsid w:val="00FF462C"/>
    <w:rsid w:val="00FF6B7E"/>
    <w:rsid w:val="00FF7372"/>
    <w:rsid w:val="00FF755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8B6EB46"/>
  <w15:docId w15:val="{B88752AC-985B-4031-8676-15B5293C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78B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900F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0000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4900F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4900F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900F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BC091B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00FF"/>
    <w:rPr>
      <w:rFonts w:ascii="Arial" w:eastAsia="MS Gothic" w:hAnsi="Arial"/>
      <w:b/>
      <w:bCs/>
      <w:color w:val="C00000"/>
      <w:sz w:val="32"/>
      <w:szCs w:val="28"/>
    </w:rPr>
  </w:style>
  <w:style w:type="character" w:customStyle="1" w:styleId="Nadpis2Char">
    <w:name w:val="Nadpis 2 Char"/>
    <w:link w:val="Nadpis2"/>
    <w:uiPriority w:val="9"/>
    <w:rsid w:val="004900FF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uiPriority w:val="9"/>
    <w:rsid w:val="004900FF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uiPriority w:val="9"/>
    <w:rsid w:val="004900FF"/>
    <w:rPr>
      <w:rFonts w:ascii="Arial" w:eastAsia="MS Gothic" w:hAnsi="Arial"/>
      <w:b/>
      <w:bCs/>
      <w:iCs/>
      <w:color w:val="BC091B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4900FF"/>
    <w:pPr>
      <w:spacing w:after="80" w:line="288" w:lineRule="auto"/>
    </w:pPr>
    <w:rPr>
      <w:rFonts w:ascii="Arial" w:eastAsia="Times New Roman" w:hAnsi="Arial"/>
      <w:b/>
      <w:color w:val="BC091B"/>
      <w:sz w:val="32"/>
      <w:szCs w:val="24"/>
      <w:lang w:eastAsia="cs-CZ"/>
    </w:rPr>
  </w:style>
  <w:style w:type="paragraph" w:customStyle="1" w:styleId="Box1">
    <w:name w:val="Box 1"/>
    <w:next w:val="Normln"/>
    <w:qFormat/>
    <w:rsid w:val="004900FF"/>
    <w:pPr>
      <w:shd w:val="clear" w:color="auto" w:fill="F5DADD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4900FF"/>
    <w:pPr>
      <w:spacing w:before="240" w:after="240" w:line="288" w:lineRule="auto"/>
      <w:ind w:left="709"/>
      <w:contextualSpacing/>
    </w:pPr>
    <w:rPr>
      <w:rFonts w:ascii="Arial" w:hAnsi="Arial" w:cs="Arial"/>
      <w:color w:val="BC091B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4900FF"/>
    <w:pPr>
      <w:spacing w:line="288" w:lineRule="auto"/>
    </w:pPr>
    <w:rPr>
      <w:rFonts w:ascii="Arial" w:eastAsia="Times New Roman" w:hAnsi="Arial"/>
      <w:b/>
      <w:bCs/>
      <w:caps/>
      <w:color w:val="BC091B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4900FF"/>
    <w:rPr>
      <w:rFonts w:ascii="Arial" w:eastAsia="Times New Roman" w:hAnsi="Arial"/>
      <w:b/>
      <w:bCs/>
      <w:caps/>
      <w:color w:val="BC091B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4900FF"/>
    <w:pPr>
      <w:spacing w:line="288" w:lineRule="auto"/>
    </w:pPr>
    <w:rPr>
      <w:rFonts w:ascii="Arial" w:eastAsia="Times New Roman" w:hAnsi="Arial" w:cs="Arial"/>
      <w:b/>
      <w:color w:val="BC091B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4900FF"/>
    <w:rPr>
      <w:rFonts w:ascii="Arial" w:eastAsia="Times New Roman" w:hAnsi="Arial" w:cs="Arial"/>
      <w:b/>
      <w:color w:val="BC091B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Odstavecseseznamem">
    <w:name w:val="List Paragraph"/>
    <w:basedOn w:val="Normln"/>
    <w:uiPriority w:val="34"/>
    <w:qFormat/>
    <w:rsid w:val="00A67C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A67C12"/>
    <w:pPr>
      <w:spacing w:after="0"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67C12"/>
    <w:rPr>
      <w:rFonts w:asciiTheme="minorHAnsi" w:eastAsia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A67C12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67C12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67C12"/>
    <w:pPr>
      <w:widowControl w:val="0"/>
      <w:tabs>
        <w:tab w:val="left" w:pos="0"/>
        <w:tab w:val="left" w:pos="60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85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9F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9FB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9FB"/>
    <w:rPr>
      <w:rFonts w:ascii="Arial" w:eastAsia="Times New Roman" w:hAnsi="Arial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6B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character" w:styleId="AkronymHTML">
    <w:name w:val="HTML Acronym"/>
    <w:basedOn w:val="Standardnpsmoodstavce"/>
    <w:uiPriority w:val="99"/>
    <w:semiHidden/>
    <w:unhideWhenUsed/>
    <w:rsid w:val="00FF6B7E"/>
  </w:style>
  <w:style w:type="character" w:styleId="Sledovanodkaz">
    <w:name w:val="FollowedHyperlink"/>
    <w:basedOn w:val="Standardnpsmoodstavce"/>
    <w:uiPriority w:val="99"/>
    <w:semiHidden/>
    <w:unhideWhenUsed/>
    <w:rsid w:val="00FF6B7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F6B7E"/>
    <w:rPr>
      <w:rFonts w:asciiTheme="minorHAnsi" w:eastAsiaTheme="minorHAnsi" w:hAnsiTheme="minorHAnsi" w:cstheme="minorBidi"/>
      <w:sz w:val="22"/>
      <w:szCs w:val="22"/>
    </w:rPr>
  </w:style>
  <w:style w:type="table" w:customStyle="1" w:styleId="Tabulkasmkou4zvraznn21">
    <w:name w:val="Tabulka s mřížkou 4 – zvýraznění 21"/>
    <w:basedOn w:val="Normlntabulka"/>
    <w:uiPriority w:val="49"/>
    <w:rsid w:val="00FF6B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FA77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A77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0068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sparova3676\Downloads\Publikace%20bar%20CZ_lide%20a%20spolecnost_2017-08-14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sparova3676\Desktop\&#352;A&#352;Z\&#352;A&#352;Z_2023\&#352;A&#352;Z_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sparova3676\Desktop\&#352;A&#352;Z\&#352;A&#352;Z_2023\&#352;A&#352;Z_graf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sparova3676\Desktop\&#352;A&#352;Z\&#352;A&#352;Z_2023\&#352;A&#352;Z_graf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sparova3676\Desktop\&#352;A&#352;Z\&#352;A&#352;Z_2023\&#352;A&#352;Z_graf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sparova3676\Desktop\&#352;A&#352;Z\&#352;A&#352;Z_2023\&#352;A&#352;Z_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'4.1'!$B$1</c:f>
              <c:strCache>
                <c:ptCount val="1"/>
                <c:pt idx="0">
                  <c:v>počet žáků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'4.1'!$A$2:$A$12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'4.1'!$B$2:$B$12</c:f>
              <c:numCache>
                <c:formatCode>#\ ##0_ ;\-#\ ##0\ </c:formatCode>
                <c:ptCount val="11"/>
                <c:pt idx="0">
                  <c:v>3655</c:v>
                </c:pt>
                <c:pt idx="1">
                  <c:v>3690</c:v>
                </c:pt>
                <c:pt idx="2">
                  <c:v>3752</c:v>
                </c:pt>
                <c:pt idx="3">
                  <c:v>3733</c:v>
                </c:pt>
                <c:pt idx="4">
                  <c:v>3795</c:v>
                </c:pt>
                <c:pt idx="5">
                  <c:v>3781</c:v>
                </c:pt>
                <c:pt idx="6">
                  <c:v>3813</c:v>
                </c:pt>
                <c:pt idx="7">
                  <c:v>3836</c:v>
                </c:pt>
                <c:pt idx="8">
                  <c:v>3902</c:v>
                </c:pt>
                <c:pt idx="9">
                  <c:v>3880</c:v>
                </c:pt>
                <c:pt idx="10">
                  <c:v>3837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F5-4EC6-8FFC-9361F39752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302091776"/>
        <c:axId val="355161152"/>
      </c:barChart>
      <c:lineChart>
        <c:grouping val="standard"/>
        <c:varyColors val="0"/>
        <c:ser>
          <c:idx val="1"/>
          <c:order val="1"/>
          <c:tx>
            <c:strRef>
              <c:f>'4.1'!$C$1</c:f>
              <c:strCache>
                <c:ptCount val="1"/>
                <c:pt idx="0">
                  <c:v>z toho dívky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'4.1'!$A$2:$A$12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'4.1'!$C$2:$C$12</c:f>
              <c:numCache>
                <c:formatCode>0.0%</c:formatCode>
                <c:ptCount val="11"/>
                <c:pt idx="0">
                  <c:v>0.61477428180574556</c:v>
                </c:pt>
                <c:pt idx="1">
                  <c:v>0.6192411924119241</c:v>
                </c:pt>
                <c:pt idx="2">
                  <c:v>0.61380597014925375</c:v>
                </c:pt>
                <c:pt idx="3">
                  <c:v>0.61987677471202784</c:v>
                </c:pt>
                <c:pt idx="4">
                  <c:v>0.62608695652173918</c:v>
                </c:pt>
                <c:pt idx="5">
                  <c:v>0.64268711980957416</c:v>
                </c:pt>
                <c:pt idx="6">
                  <c:v>0.64096511932861266</c:v>
                </c:pt>
                <c:pt idx="7">
                  <c:v>0.62930135557872779</c:v>
                </c:pt>
                <c:pt idx="8">
                  <c:v>0.637109174782163</c:v>
                </c:pt>
                <c:pt idx="9">
                  <c:v>0.63994845360824737</c:v>
                </c:pt>
                <c:pt idx="10">
                  <c:v>0.63851967683085742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F5-4EC6-8FFC-9361F39752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8524032"/>
        <c:axId val="355161728"/>
      </c:lineChart>
      <c:catAx>
        <c:axId val="30209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55161152"/>
        <c:crosses val="autoZero"/>
        <c:auto val="1"/>
        <c:lblAlgn val="ctr"/>
        <c:lblOffset val="100"/>
        <c:noMultiLvlLbl val="0"/>
      </c:catAx>
      <c:valAx>
        <c:axId val="355161152"/>
        <c:scaling>
          <c:orientation val="minMax"/>
          <c:max val="7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#\ ##0_ ;\-#\ ##0\ 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02091776"/>
        <c:crosses val="autoZero"/>
        <c:crossBetween val="between"/>
      </c:valAx>
      <c:valAx>
        <c:axId val="355161728"/>
        <c:scaling>
          <c:orientation val="minMax"/>
          <c:min val="0"/>
        </c:scaling>
        <c:delete val="0"/>
        <c:axPos val="r"/>
        <c:numFmt formatCode="0\ %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08524032"/>
        <c:crosses val="max"/>
        <c:crossBetween val="between"/>
      </c:valAx>
      <c:catAx>
        <c:axId val="308524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5161728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7.3527237666720244E-2"/>
          <c:y val="0.90846495984409137"/>
          <c:w val="0.87754834217151445"/>
          <c:h val="9.1535040155908659E-2"/>
        </c:manualLayout>
      </c:layout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658503317006637E-2"/>
          <c:y val="0"/>
          <c:w val="0.5496062992125984"/>
          <c:h val="0.9775910364145657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4721-4A73-A750-DE6FC9CCB699}"/>
              </c:ext>
            </c:extLst>
          </c:dPt>
          <c:dPt>
            <c:idx val="1"/>
            <c:bubble3D val="0"/>
            <c:spPr>
              <a:solidFill>
                <a:srgbClr val="3078BA"/>
              </a:solidFill>
            </c:spPr>
            <c:extLst>
              <c:ext xmlns:c16="http://schemas.microsoft.com/office/drawing/2014/chart" uri="{C3380CC4-5D6E-409C-BE32-E72D297353CC}">
                <c16:uniqueId val="{00000003-4721-4A73-A750-DE6FC9CCB699}"/>
              </c:ext>
            </c:extLst>
          </c:dPt>
          <c:dPt>
            <c:idx val="2"/>
            <c:bubble3D val="0"/>
            <c:spPr>
              <a:solidFill>
                <a:srgbClr val="98C0E4"/>
              </a:solidFill>
            </c:spPr>
            <c:extLst>
              <c:ext xmlns:c16="http://schemas.microsoft.com/office/drawing/2014/chart" uri="{C3380CC4-5D6E-409C-BE32-E72D297353CC}">
                <c16:uniqueId val="{00000005-4721-4A73-A750-DE6FC9CCB699}"/>
              </c:ext>
            </c:extLst>
          </c:dPt>
          <c:dPt>
            <c:idx val="3"/>
            <c:bubble3D val="0"/>
            <c:spPr>
              <a:solidFill>
                <a:srgbClr val="613607"/>
              </a:solidFill>
            </c:spPr>
            <c:extLst>
              <c:ext xmlns:c16="http://schemas.microsoft.com/office/drawing/2014/chart" uri="{C3380CC4-5D6E-409C-BE32-E72D297353CC}">
                <c16:uniqueId val="{00000007-4721-4A73-A750-DE6FC9CCB699}"/>
              </c:ext>
            </c:extLst>
          </c:dPt>
          <c:dPt>
            <c:idx val="4"/>
            <c:bubble3D val="0"/>
            <c:spPr>
              <a:solidFill>
                <a:srgbClr val="A05A0C"/>
              </a:solidFill>
            </c:spPr>
            <c:extLst>
              <c:ext xmlns:c16="http://schemas.microsoft.com/office/drawing/2014/chart" uri="{C3380CC4-5D6E-409C-BE32-E72D297353CC}">
                <c16:uniqueId val="{00000009-4721-4A73-A750-DE6FC9CCB699}"/>
              </c:ext>
            </c:extLst>
          </c:dPt>
          <c:dPt>
            <c:idx val="5"/>
            <c:bubble3D val="0"/>
            <c:spPr>
              <a:solidFill>
                <a:srgbClr val="EC8412"/>
              </a:solidFill>
            </c:spPr>
            <c:extLst>
              <c:ext xmlns:c16="http://schemas.microsoft.com/office/drawing/2014/chart" uri="{C3380CC4-5D6E-409C-BE32-E72D297353CC}">
                <c16:uniqueId val="{0000000B-4721-4A73-A750-DE6FC9CCB699}"/>
              </c:ext>
            </c:extLst>
          </c:dPt>
          <c:dPt>
            <c:idx val="6"/>
            <c:bubble3D val="0"/>
            <c:spPr>
              <a:solidFill>
                <a:schemeClr val="accent6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D-4721-4A73-A750-DE6FC9CCB699}"/>
              </c:ext>
            </c:extLst>
          </c:dPt>
          <c:dPt>
            <c:idx val="7"/>
            <c:bubble3D val="0"/>
            <c:spPr>
              <a:solidFill>
                <a:srgbClr val="60943C"/>
              </a:solidFill>
            </c:spPr>
            <c:extLst>
              <c:ext xmlns:c16="http://schemas.microsoft.com/office/drawing/2014/chart" uri="{C3380CC4-5D6E-409C-BE32-E72D297353CC}">
                <c16:uniqueId val="{0000000F-4721-4A73-A750-DE6FC9CCB699}"/>
              </c:ext>
            </c:extLst>
          </c:dPt>
          <c:dPt>
            <c:idx val="8"/>
            <c:bubble3D val="0"/>
            <c:spPr>
              <a:solidFill>
                <a:srgbClr val="9CCA7C"/>
              </a:solidFill>
            </c:spPr>
            <c:extLst>
              <c:ext xmlns:c16="http://schemas.microsoft.com/office/drawing/2014/chart" uri="{C3380CC4-5D6E-409C-BE32-E72D297353CC}">
                <c16:uniqueId val="{00000011-4721-4A73-A750-DE6FC9CCB699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21-4A73-A750-DE6FC9CCB699}"/>
                </c:ext>
              </c:extLst>
            </c:dLbl>
            <c:dLbl>
              <c:idx val="1"/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21-4A73-A750-DE6FC9CCB699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21-4A73-A750-DE6FC9CCB699}"/>
                </c:ext>
              </c:extLst>
            </c:dLbl>
            <c:dLbl>
              <c:idx val="3"/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21-4A73-A750-DE6FC9CCB699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21-4A73-A750-DE6FC9CCB699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21-4A73-A750-DE6FC9CCB699}"/>
                </c:ext>
              </c:extLst>
            </c:dLbl>
            <c:dLbl>
              <c:idx val="6"/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721-4A73-A750-DE6FC9CCB699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721-4A73-A750-DE6FC9CCB699}"/>
                </c:ext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721-4A73-A750-DE6FC9CCB699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'4.2'!$A$3:$A$11</c:f>
              <c:strCache>
                <c:ptCount val="9"/>
                <c:pt idx="0">
                  <c:v>Hlavní město Praha</c:v>
                </c:pt>
                <c:pt idx="1">
                  <c:v>Jihomoravský kraj</c:v>
                </c:pt>
                <c:pt idx="2">
                  <c:v>Moravskoslezský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Ústecký kraj</c:v>
                </c:pt>
                <c:pt idx="6">
                  <c:v>Zlínský kraj</c:v>
                </c:pt>
                <c:pt idx="7">
                  <c:v>Jihočeský kraj</c:v>
                </c:pt>
                <c:pt idx="8">
                  <c:v>Olomoucký kraj</c:v>
                </c:pt>
              </c:strCache>
            </c:strRef>
          </c:cat>
          <c:val>
            <c:numRef>
              <c:f>'4.2'!$C$3:$C$11</c:f>
              <c:numCache>
                <c:formatCode>0.0%</c:formatCode>
                <c:ptCount val="9"/>
                <c:pt idx="0">
                  <c:v>0.45738858483189992</c:v>
                </c:pt>
                <c:pt idx="1">
                  <c:v>0.1266614542611415</c:v>
                </c:pt>
                <c:pt idx="2">
                  <c:v>0.12197028928850664</c:v>
                </c:pt>
                <c:pt idx="3">
                  <c:v>6.4894448788115719E-2</c:v>
                </c:pt>
                <c:pt idx="4">
                  <c:v>5.5772739119103465E-2</c:v>
                </c:pt>
                <c:pt idx="5">
                  <c:v>5.3166536356528536E-2</c:v>
                </c:pt>
                <c:pt idx="6">
                  <c:v>4.847537138389367E-2</c:v>
                </c:pt>
                <c:pt idx="7">
                  <c:v>3.98749022673964E-2</c:v>
                </c:pt>
                <c:pt idx="8">
                  <c:v>3.1795673703414129E-2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721-4A73-A750-DE6FC9CCB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99729266125195"/>
          <c:y val="6.909521726450861E-2"/>
          <c:w val="0.3203242193151053"/>
          <c:h val="0.91409662027540672"/>
        </c:manualLayout>
      </c:layout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61045142669068E-2"/>
          <c:y val="2.6953124072160665E-2"/>
          <c:w val="0.89650015613000145"/>
          <c:h val="0.662524457170126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CCA7C"/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'4.3'!$A$2:$A$11</c:f>
              <c:strCache>
                <c:ptCount val="10"/>
                <c:pt idx="0">
                  <c:v>Praha</c:v>
                </c:pt>
                <c:pt idx="1">
                  <c:v>Jihomoravský</c:v>
                </c:pt>
                <c:pt idx="2">
                  <c:v>Plzeňský</c:v>
                </c:pt>
                <c:pt idx="3">
                  <c:v>ČR</c:v>
                </c:pt>
                <c:pt idx="4">
                  <c:v>Olomoucký</c:v>
                </c:pt>
                <c:pt idx="5">
                  <c:v>Jihočeský</c:v>
                </c:pt>
                <c:pt idx="6">
                  <c:v>Zlínský</c:v>
                </c:pt>
                <c:pt idx="7">
                  <c:v>Moravskoslezský</c:v>
                </c:pt>
                <c:pt idx="8">
                  <c:v>Pardubický</c:v>
                </c:pt>
                <c:pt idx="9">
                  <c:v>Ústecký</c:v>
                </c:pt>
              </c:strCache>
            </c:strRef>
          </c:cat>
          <c:val>
            <c:numRef>
              <c:f>'4.3'!$B$2:$B$11</c:f>
              <c:numCache>
                <c:formatCode>0.0%</c:formatCode>
                <c:ptCount val="10"/>
                <c:pt idx="0">
                  <c:v>0.10484330484330485</c:v>
                </c:pt>
                <c:pt idx="1">
                  <c:v>7.6131687242798354E-2</c:v>
                </c:pt>
                <c:pt idx="2">
                  <c:v>7.476635514018691E-2</c:v>
                </c:pt>
                <c:pt idx="3">
                  <c:v>7.3234297628355483E-2</c:v>
                </c:pt>
                <c:pt idx="4">
                  <c:v>4.9180327868852458E-2</c:v>
                </c:pt>
                <c:pt idx="5">
                  <c:v>3.9215686274509803E-2</c:v>
                </c:pt>
                <c:pt idx="6">
                  <c:v>3.2258064516129031E-2</c:v>
                </c:pt>
                <c:pt idx="7">
                  <c:v>2.9914529914529916E-2</c:v>
                </c:pt>
                <c:pt idx="8">
                  <c:v>2.8112449799196786E-2</c:v>
                </c:pt>
                <c:pt idx="9">
                  <c:v>2.4509803921568631E-2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5-4B9B-8C01-1413EBFB15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2"/>
        <c:overlap val="-22"/>
        <c:axId val="606931599"/>
        <c:axId val="606932847"/>
      </c:barChart>
      <c:catAx>
        <c:axId val="606931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06932847"/>
        <c:crosses val="autoZero"/>
        <c:auto val="1"/>
        <c:lblAlgn val="ctr"/>
        <c:lblOffset val="100"/>
        <c:noMultiLvlLbl val="0"/>
      </c:catAx>
      <c:valAx>
        <c:axId val="606932847"/>
        <c:scaling>
          <c:orientation val="minMax"/>
        </c:scaling>
        <c:delete val="0"/>
        <c:axPos val="l"/>
        <c:numFmt formatCode="0\ %" sourceLinked="0"/>
        <c:majorTickMark val="none"/>
        <c:minorTickMark val="none"/>
        <c:tickLblPos val="nextTo"/>
        <c:spPr>
          <a:noFill/>
          <a:ln w="2540"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06931599"/>
        <c:crosses val="autoZero"/>
        <c:crossBetween val="between"/>
        <c:majorUnit val="2.0000000000000004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023298013674222E-2"/>
          <c:y val="5.1643192488262914E-2"/>
          <c:w val="0.94972619163345318"/>
          <c:h val="0.7218351913931551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'4.4'!$B$9</c:f>
              <c:strCache>
                <c:ptCount val="1"/>
                <c:pt idx="0">
                  <c:v>do 14 let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3F-48EC-889A-2D36622778A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3F-48EC-889A-2D36622778A2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'4.4'!$A$10:$A$14</c:f>
              <c:strCache>
                <c:ptCount val="5"/>
                <c:pt idx="0">
                  <c:v>celkem</c:v>
                </c:pt>
                <c:pt idx="1">
                  <c:v>denní</c:v>
                </c:pt>
                <c:pt idx="2">
                  <c:v>ostatní</c:v>
                </c:pt>
                <c:pt idx="3">
                  <c:v>nižší ročníky 8letých</c:v>
                </c:pt>
                <c:pt idx="4">
                  <c:v>vyšší ročníky 8letých a 6letých</c:v>
                </c:pt>
              </c:strCache>
            </c:strRef>
          </c:cat>
          <c:val>
            <c:numRef>
              <c:f>'4.4'!$B$10:$B$14</c:f>
              <c:numCache>
                <c:formatCode>0.0%</c:formatCode>
                <c:ptCount val="5"/>
                <c:pt idx="0">
                  <c:v>6.5445026178010471E-2</c:v>
                </c:pt>
                <c:pt idx="1">
                  <c:v>6.9003588186585696E-2</c:v>
                </c:pt>
                <c:pt idx="2">
                  <c:v>0</c:v>
                </c:pt>
                <c:pt idx="3">
                  <c:v>0.87412587412587417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3F-48EC-889A-2D36622778A2}"/>
            </c:ext>
          </c:extLst>
        </c:ser>
        <c:ser>
          <c:idx val="1"/>
          <c:order val="1"/>
          <c:tx>
            <c:strRef>
              <c:f>'4.4'!$C$9</c:f>
              <c:strCache>
                <c:ptCount val="1"/>
                <c:pt idx="0">
                  <c:v>15-19 let</c:v>
                </c:pt>
              </c:strCache>
            </c:strRef>
          </c:tx>
          <c:spPr>
            <a:solidFill>
              <a:srgbClr val="A05A0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'4.4'!$A$10:$A$14</c:f>
              <c:strCache>
                <c:ptCount val="5"/>
                <c:pt idx="0">
                  <c:v>celkem</c:v>
                </c:pt>
                <c:pt idx="1">
                  <c:v>denní</c:v>
                </c:pt>
                <c:pt idx="2">
                  <c:v>ostatní</c:v>
                </c:pt>
                <c:pt idx="3">
                  <c:v>nižší ročníky 8letých</c:v>
                </c:pt>
                <c:pt idx="4">
                  <c:v>vyšší ročníky 8letých a 6letých</c:v>
                </c:pt>
              </c:strCache>
            </c:strRef>
          </c:cat>
          <c:val>
            <c:numRef>
              <c:f>'4.4'!$C$10:$C$14</c:f>
              <c:numCache>
                <c:formatCode>0.0%</c:formatCode>
                <c:ptCount val="5"/>
                <c:pt idx="0">
                  <c:v>0.52931937172774868</c:v>
                </c:pt>
                <c:pt idx="1">
                  <c:v>0.55340877725641735</c:v>
                </c:pt>
                <c:pt idx="2">
                  <c:v>8.6294416243654817E-2</c:v>
                </c:pt>
                <c:pt idx="3">
                  <c:v>0.12587412587412589</c:v>
                </c:pt>
                <c:pt idx="4">
                  <c:v>0.56196943972835312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3F-48EC-889A-2D36622778A2}"/>
            </c:ext>
          </c:extLst>
        </c:ser>
        <c:ser>
          <c:idx val="2"/>
          <c:order val="2"/>
          <c:tx>
            <c:strRef>
              <c:f>'4.4'!$D$9</c:f>
              <c:strCache>
                <c:ptCount val="1"/>
                <c:pt idx="0">
                  <c:v>20-24 let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3F-48EC-889A-2D36622778A2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'4.4'!$A$10:$A$14</c:f>
              <c:strCache>
                <c:ptCount val="5"/>
                <c:pt idx="0">
                  <c:v>celkem</c:v>
                </c:pt>
                <c:pt idx="1">
                  <c:v>denní</c:v>
                </c:pt>
                <c:pt idx="2">
                  <c:v>ostatní</c:v>
                </c:pt>
                <c:pt idx="3">
                  <c:v>nižší ročníky 8letých</c:v>
                </c:pt>
                <c:pt idx="4">
                  <c:v>vyšší ročníky 8letých a 6letých</c:v>
                </c:pt>
              </c:strCache>
            </c:strRef>
          </c:cat>
          <c:val>
            <c:numRef>
              <c:f>'4.4'!$D$10:$D$14</c:f>
              <c:numCache>
                <c:formatCode>0.0%</c:formatCode>
                <c:ptCount val="5"/>
                <c:pt idx="0">
                  <c:v>0.30471204188481676</c:v>
                </c:pt>
                <c:pt idx="1">
                  <c:v>0.30471984543196245</c:v>
                </c:pt>
                <c:pt idx="2">
                  <c:v>0.30456852791878175</c:v>
                </c:pt>
                <c:pt idx="3">
                  <c:v>0</c:v>
                </c:pt>
                <c:pt idx="4">
                  <c:v>0.32937181663837012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3F-48EC-889A-2D36622778A2}"/>
            </c:ext>
          </c:extLst>
        </c:ser>
        <c:ser>
          <c:idx val="3"/>
          <c:order val="3"/>
          <c:tx>
            <c:strRef>
              <c:f>'4.4'!$E$9</c:f>
              <c:strCache>
                <c:ptCount val="1"/>
                <c:pt idx="0">
                  <c:v>25 let a více</c:v>
                </c:pt>
              </c:strCache>
            </c:strRef>
          </c:tx>
          <c:spPr>
            <a:solidFill>
              <a:srgbClr val="2969A3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E3F-48EC-889A-2D36622778A2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'4.4'!$A$10:$A$14</c:f>
              <c:strCache>
                <c:ptCount val="5"/>
                <c:pt idx="0">
                  <c:v>celkem</c:v>
                </c:pt>
                <c:pt idx="1">
                  <c:v>denní</c:v>
                </c:pt>
                <c:pt idx="2">
                  <c:v>ostatní</c:v>
                </c:pt>
                <c:pt idx="3">
                  <c:v>nižší ročníky 8letých</c:v>
                </c:pt>
                <c:pt idx="4">
                  <c:v>vyšší ročníky 8letých a 6letých</c:v>
                </c:pt>
              </c:strCache>
            </c:strRef>
          </c:cat>
          <c:val>
            <c:numRef>
              <c:f>'4.4'!$E$10:$E$14</c:f>
              <c:numCache>
                <c:formatCode>0.0%</c:formatCode>
                <c:ptCount val="5"/>
                <c:pt idx="0">
                  <c:v>0.10052356020942409</c:v>
                </c:pt>
                <c:pt idx="1">
                  <c:v>7.2867789125034499E-2</c:v>
                </c:pt>
                <c:pt idx="2">
                  <c:v>0.6091370558375635</c:v>
                </c:pt>
                <c:pt idx="3">
                  <c:v>0</c:v>
                </c:pt>
                <c:pt idx="4">
                  <c:v>0.10865874363327674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3F-48EC-889A-2D3662277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100"/>
        <c:axId val="201491536"/>
        <c:axId val="201489872"/>
      </c:barChart>
      <c:catAx>
        <c:axId val="20149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201489872"/>
        <c:crosses val="autoZero"/>
        <c:auto val="1"/>
        <c:lblAlgn val="ctr"/>
        <c:lblOffset val="100"/>
        <c:noMultiLvlLbl val="0"/>
      </c:catAx>
      <c:valAx>
        <c:axId val="201489872"/>
        <c:scaling>
          <c:orientation val="minMax"/>
          <c:max val="1"/>
        </c:scaling>
        <c:delete val="0"/>
        <c:axPos val="l"/>
        <c:numFmt formatCode="0\ %" sourceLinked="0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201491536"/>
        <c:crosses val="autoZero"/>
        <c:crossBetween val="between"/>
      </c:valAx>
      <c:spPr>
        <a:noFill/>
        <a:ln>
          <a:solidFill>
            <a:schemeClr val="bg1">
              <a:lumMod val="7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0982329492663334"/>
          <c:y val="0.87968184827960338"/>
          <c:w val="0.75031209190205217"/>
          <c:h val="8.7896795919378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7203271078718465E-2"/>
          <c:y val="5.2009456264775412E-2"/>
          <c:w val="0.95855430467885727"/>
          <c:h val="0.7869693288338958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'4.5'!$B$19</c:f>
              <c:strCache>
                <c:ptCount val="1"/>
                <c:pt idx="0">
                  <c:v>hudba</c:v>
                </c:pt>
              </c:strCache>
            </c:strRef>
          </c:tx>
          <c:spPr>
            <a:solidFill>
              <a:srgbClr val="2969A3"/>
            </a:solidFill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'4.5'!$A$20:$A$30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'4.5'!$B$20:$B$30</c:f>
              <c:numCache>
                <c:formatCode>0.0%</c:formatCode>
                <c:ptCount val="11"/>
                <c:pt idx="0">
                  <c:v>0.61231190150478798</c:v>
                </c:pt>
                <c:pt idx="1">
                  <c:v>0.60406504065040656</c:v>
                </c:pt>
                <c:pt idx="2">
                  <c:v>0.59754797441364604</c:v>
                </c:pt>
                <c:pt idx="3">
                  <c:v>0.57621216180016077</c:v>
                </c:pt>
                <c:pt idx="4">
                  <c:v>0.55942028985507242</c:v>
                </c:pt>
                <c:pt idx="5">
                  <c:v>0.5519703782068236</c:v>
                </c:pt>
                <c:pt idx="6">
                  <c:v>0.55337004982953053</c:v>
                </c:pt>
                <c:pt idx="7">
                  <c:v>0.55735140771637126</c:v>
                </c:pt>
                <c:pt idx="8">
                  <c:v>0.55381855458739104</c:v>
                </c:pt>
                <c:pt idx="9">
                  <c:v>0.5561855670103093</c:v>
                </c:pt>
                <c:pt idx="10">
                  <c:v>0.55955173312483708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28-4437-8333-F9D2005F08D7}"/>
            </c:ext>
          </c:extLst>
        </c:ser>
        <c:ser>
          <c:idx val="1"/>
          <c:order val="1"/>
          <c:tx>
            <c:strRef>
              <c:f>'4.5'!$C$19</c:f>
              <c:strCache>
                <c:ptCount val="1"/>
                <c:pt idx="0">
                  <c:v>zpěv</c:v>
                </c:pt>
              </c:strCache>
            </c:strRef>
          </c:tx>
          <c:spPr>
            <a:solidFill>
              <a:srgbClr val="5B9CD7"/>
            </a:solidFill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'4.5'!$A$20:$A$30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'4.5'!$C$20:$C$30</c:f>
              <c:numCache>
                <c:formatCode>0.0%</c:formatCode>
                <c:ptCount val="11"/>
                <c:pt idx="0">
                  <c:v>0.1493844049247606</c:v>
                </c:pt>
                <c:pt idx="1">
                  <c:v>0.15392953929539296</c:v>
                </c:pt>
                <c:pt idx="2">
                  <c:v>0.15218550106609807</c:v>
                </c:pt>
                <c:pt idx="3">
                  <c:v>0.16072863648540048</c:v>
                </c:pt>
                <c:pt idx="4">
                  <c:v>0.17444005270092228</c:v>
                </c:pt>
                <c:pt idx="5">
                  <c:v>0.17825971965088602</c:v>
                </c:pt>
                <c:pt idx="6">
                  <c:v>0.18069761342774718</c:v>
                </c:pt>
                <c:pt idx="7">
                  <c:v>0.18196037539103233</c:v>
                </c:pt>
                <c:pt idx="8">
                  <c:v>0.17580727831881088</c:v>
                </c:pt>
                <c:pt idx="9">
                  <c:v>0.17809278350515464</c:v>
                </c:pt>
                <c:pt idx="10">
                  <c:v>0.17357310398749023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28-4437-8333-F9D2005F08D7}"/>
            </c:ext>
          </c:extLst>
        </c:ser>
        <c:ser>
          <c:idx val="2"/>
          <c:order val="2"/>
          <c:tx>
            <c:strRef>
              <c:f>'4.5'!$D$19</c:f>
              <c:strCache>
                <c:ptCount val="1"/>
                <c:pt idx="0">
                  <c:v>tanec</c:v>
                </c:pt>
              </c:strCache>
            </c:strRef>
          </c:tx>
          <c:spPr>
            <a:solidFill>
              <a:srgbClr val="F6BD8E"/>
            </a:solidFill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'4.5'!$A$20:$A$30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'4.5'!$D$20:$D$30</c:f>
              <c:numCache>
                <c:formatCode>0.0%</c:formatCode>
                <c:ptCount val="11"/>
                <c:pt idx="0">
                  <c:v>0.1409028727770178</c:v>
                </c:pt>
                <c:pt idx="1">
                  <c:v>0.14850948509485096</c:v>
                </c:pt>
                <c:pt idx="2">
                  <c:v>0.15831556503198294</c:v>
                </c:pt>
                <c:pt idx="3">
                  <c:v>0.18135547816769354</c:v>
                </c:pt>
                <c:pt idx="4">
                  <c:v>0.18418972332015809</c:v>
                </c:pt>
                <c:pt idx="5">
                  <c:v>0.1864586088336419</c:v>
                </c:pt>
                <c:pt idx="6">
                  <c:v>0.18358248098610019</c:v>
                </c:pt>
                <c:pt idx="7">
                  <c:v>0.17805005213764338</c:v>
                </c:pt>
                <c:pt idx="8">
                  <c:v>0.18375192209123525</c:v>
                </c:pt>
                <c:pt idx="9">
                  <c:v>0.1847938144329897</c:v>
                </c:pt>
                <c:pt idx="10">
                  <c:v>0.18477977586656241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28-4437-8333-F9D2005F08D7}"/>
            </c:ext>
          </c:extLst>
        </c:ser>
        <c:ser>
          <c:idx val="3"/>
          <c:order val="3"/>
          <c:tx>
            <c:strRef>
              <c:f>'4.5'!$E$19</c:f>
              <c:strCache>
                <c:ptCount val="1"/>
                <c:pt idx="0">
                  <c:v>dramatické umění</c:v>
                </c:pt>
              </c:strCache>
            </c:strRef>
          </c:tx>
          <c:spPr>
            <a:solidFill>
              <a:srgbClr val="C1600F"/>
            </a:solidFill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'4.5'!$A$20:$A$30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'4.5'!$E$20:$E$30</c:f>
              <c:numCache>
                <c:formatCode>0.0%</c:formatCode>
                <c:ptCount val="11"/>
                <c:pt idx="0">
                  <c:v>9.7400820793433651E-2</c:v>
                </c:pt>
                <c:pt idx="1">
                  <c:v>9.3495934959349589E-2</c:v>
                </c:pt>
                <c:pt idx="2">
                  <c:v>9.1950959488272921E-2</c:v>
                </c:pt>
                <c:pt idx="3">
                  <c:v>8.1703723546745238E-2</c:v>
                </c:pt>
                <c:pt idx="4">
                  <c:v>8.1949934123847171E-2</c:v>
                </c:pt>
                <c:pt idx="5">
                  <c:v>8.3311293308648504E-2</c:v>
                </c:pt>
                <c:pt idx="6">
                  <c:v>8.2349855756622084E-2</c:v>
                </c:pt>
                <c:pt idx="7">
                  <c:v>8.2638164754953072E-2</c:v>
                </c:pt>
                <c:pt idx="8">
                  <c:v>8.6622245002562784E-2</c:v>
                </c:pt>
                <c:pt idx="9">
                  <c:v>8.0927835051546396E-2</c:v>
                </c:pt>
                <c:pt idx="10">
                  <c:v>8.2095387021110244E-2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28-4437-8333-F9D2005F0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overlap val="100"/>
        <c:axId val="285023744"/>
        <c:axId val="355180544"/>
      </c:barChart>
      <c:catAx>
        <c:axId val="285023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55180544"/>
        <c:crosses val="autoZero"/>
        <c:auto val="1"/>
        <c:lblAlgn val="ctr"/>
        <c:lblOffset val="100"/>
        <c:noMultiLvlLbl val="0"/>
      </c:catAx>
      <c:valAx>
        <c:axId val="35518054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\ %" sourceLinked="0"/>
        <c:majorTickMark val="none"/>
        <c:minorTickMark val="none"/>
        <c:tickLblPos val="none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285023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5214866862391027E-3"/>
          <c:y val="0.91627716535433068"/>
          <c:w val="0.98983478079280651"/>
          <c:h val="5.8565579302587177E-2"/>
        </c:manualLayout>
      </c:layout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0.35119</cdr:x>
      <cdr:y>0.25326</cdr:y>
    </cdr:from>
    <cdr:to>
      <cdr:x>0.42361</cdr:x>
      <cdr:y>0.77143</cdr:y>
    </cdr:to>
    <cdr:sp macro="" textlink="">
      <cdr:nvSpPr>
        <cdr:cNvPr id="2" name="Obdélník 1"/>
        <cdr:cNvSpPr/>
      </cdr:nvSpPr>
      <cdr:spPr>
        <a:xfrm xmlns:a="http://schemas.openxmlformats.org/drawingml/2006/main">
          <a:off x="2149328" y="759875"/>
          <a:ext cx="443220" cy="15547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5875">
          <a:solidFill>
            <a:srgbClr val="FFC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DCAD-7ED2-4BD7-BC0A-5E639277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CZ_lide a spolecnost_2017-08-14.dotx</Template>
  <TotalTime>3</TotalTime>
  <Pages>5</Pages>
  <Words>1730</Words>
  <Characters>10210</Characters>
  <Application>Microsoft Office Word</Application>
  <DocSecurity>0</DocSecurity>
  <Lines>85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Analýza - celá</vt:lpstr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Company>CSU</Company>
  <LinksUpToDate>false</LinksUpToDate>
  <CharactersWithSpaces>11917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- celá</dc:title>
  <dc:subject/>
  <dc:creator>hykysova23070</dc:creator>
  <cp:keywords/>
  <dc:description/>
  <cp:lastModifiedBy>Kašparová Vendula</cp:lastModifiedBy>
  <cp:revision>4</cp:revision>
  <cp:lastPrinted>2022-08-30T10:14:00Z</cp:lastPrinted>
  <dcterms:created xsi:type="dcterms:W3CDTF">2023-08-09T08:03:00Z</dcterms:created>
  <dcterms:modified xsi:type="dcterms:W3CDTF">2023-08-09T08:13:00Z</dcterms:modified>
</cp:coreProperties>
</file>