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C779" w14:textId="77777777" w:rsidR="00917C71" w:rsidRPr="00EF6044" w:rsidRDefault="00917C71" w:rsidP="00E06B1B">
      <w:pPr>
        <w:pStyle w:val="nadpisvelik"/>
        <w:pageBreakBefore/>
        <w:spacing w:after="720"/>
        <w:rPr>
          <w:sz w:val="28"/>
          <w:szCs w:val="28"/>
        </w:rPr>
      </w:pPr>
      <w:bookmarkStart w:id="0" w:name="_GoBack"/>
      <w:bookmarkEnd w:id="0"/>
      <w:r w:rsidRPr="00EF6044">
        <w:t>Poznámky k časovým řadám</w:t>
      </w:r>
    </w:p>
    <w:p w14:paraId="6A301E68" w14:textId="77777777" w:rsidR="00917C71" w:rsidRPr="00EF6044" w:rsidRDefault="00917C71">
      <w:pPr>
        <w:pStyle w:val="nadpismal"/>
        <w:spacing w:after="600"/>
      </w:pPr>
      <w:r w:rsidRPr="00EF6044">
        <w:rPr>
          <w:sz w:val="32"/>
          <w:szCs w:val="32"/>
        </w:rPr>
        <w:tab/>
      </w:r>
      <w:r w:rsidRPr="00EF6044">
        <w:t>Odhady intervalů spolehlivosti</w:t>
      </w:r>
    </w:p>
    <w:p w14:paraId="530B777D" w14:textId="77777777" w:rsidR="00917C71" w:rsidRPr="00EF6044" w:rsidRDefault="00917C71">
      <w:pPr>
        <w:pStyle w:val="odstavecbn"/>
      </w:pPr>
      <w:r w:rsidRPr="00EF6044">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 interval spolehlivosti (vynásobením příslušného kvantilu normovaného normálního rozdělení a</w:t>
      </w:r>
      <w:r w:rsidR="00FD4352" w:rsidRPr="00EF6044">
        <w:t> </w:t>
      </w:r>
      <w:r w:rsidRPr="00EF6044">
        <w:t>směrodatné odchylky odhadu), tedy interval, v němž s 95 % pravděpodobností leží skutečná hodnota odhadované charakteristiky.</w:t>
      </w:r>
    </w:p>
    <w:p w14:paraId="79F3CBFA" w14:textId="77777777" w:rsidR="00917C71" w:rsidRPr="00EF6044" w:rsidRDefault="00917C71">
      <w:pPr>
        <w:pStyle w:val="odstavecbn"/>
      </w:pPr>
      <w:r w:rsidRPr="00EF6044">
        <w:t xml:space="preserve">V teorii výběrových šetření se rozlišují dva nejčastější typy úhrnů, a to úhrny základní a dílčí. </w:t>
      </w:r>
      <w:r w:rsidRPr="00EF6044">
        <w:rPr>
          <w:b/>
          <w:bCs/>
        </w:rPr>
        <w:t>Základní úhrny</w:t>
      </w:r>
      <w:r w:rsidRPr="00EF6044">
        <w:t xml:space="preserve"> jsou nějaké primární úhrny (zaměstnanost, nezaměstnanost ...) za určitý základní soubor (muži, ženy, osoby v produktivním věku, 20-24 letí muži, ...). </w:t>
      </w:r>
      <w:r w:rsidRPr="00EF6044">
        <w:rPr>
          <w:b/>
          <w:bCs/>
        </w:rPr>
        <w:t>Dílčí úhrny</w:t>
      </w:r>
      <w:r w:rsidRPr="00EF6044">
        <w:t xml:space="preserve"> jsou potom </w:t>
      </w:r>
      <w:proofErr w:type="spellStart"/>
      <w:r w:rsidRPr="00EF6044">
        <w:t>podúhrny</w:t>
      </w:r>
      <w:proofErr w:type="spellEnd"/>
      <w:r w:rsidRPr="00EF6044">
        <w:t xml:space="preserve"> v základním úhrnu (např. členění </w:t>
      </w:r>
      <w:r w:rsidR="001B671D" w:rsidRPr="00EF6044">
        <w:t xml:space="preserve">CZ-NACE </w:t>
      </w:r>
      <w:r w:rsidRPr="00EF6044">
        <w:t>v souboru zaměstnaných osob jsou dílčí úhrny). Úhrny podle věkových skupin nejsou dílčí úhrny, ale základní úhrny v populaci 15-19leté, v populaci 20</w:t>
      </w:r>
      <w:r w:rsidR="000544A4" w:rsidRPr="00EF6044">
        <w:noBreakHyphen/>
      </w:r>
      <w:r w:rsidRPr="00EF6044">
        <w:t>24leté atd.</w:t>
      </w:r>
    </w:p>
    <w:p w14:paraId="18E5204C" w14:textId="77777777" w:rsidR="00917C71" w:rsidRPr="00EF6044" w:rsidRDefault="00917C71">
      <w:pPr>
        <w:pStyle w:val="odstavecbn"/>
      </w:pPr>
      <w:r w:rsidRPr="00EF6044">
        <w:t>Intervaly spolehlivosti v </w:t>
      </w:r>
      <w:r w:rsidRPr="00EF6044">
        <w:rPr>
          <w:b/>
          <w:bCs/>
        </w:rPr>
        <w:t>přílohových tabulkách</w:t>
      </w:r>
      <w:r w:rsidRPr="00EF6044">
        <w:t xml:space="preserve"> </w:t>
      </w:r>
      <w:r w:rsidRPr="00EF6044">
        <w:rPr>
          <w:b/>
          <w:bCs/>
        </w:rPr>
        <w:t>I</w:t>
      </w:r>
      <w:r w:rsidRPr="00EF6044">
        <w:t xml:space="preserve"> a </w:t>
      </w:r>
      <w:r w:rsidRPr="00EF6044">
        <w:rPr>
          <w:b/>
          <w:bCs/>
        </w:rPr>
        <w:t>II</w:t>
      </w:r>
      <w:r w:rsidRPr="00EF6044">
        <w:t xml:space="preserve"> jsou počítány pro průměrnou velikost výběru v roce 20</w:t>
      </w:r>
      <w:r w:rsidR="00D27CD5" w:rsidRPr="00EF6044">
        <w:t>11</w:t>
      </w:r>
      <w:r w:rsidRPr="00EF6044">
        <w:t>. Pro výpočet intervalů spolehlivosti úhrnů za jiné roky a čtvrtletí a dílčích úhrnů za kraje a</w:t>
      </w:r>
      <w:r w:rsidR="00FD4352" w:rsidRPr="00EF6044">
        <w:t> </w:t>
      </w:r>
      <w:r w:rsidR="00EE082E" w:rsidRPr="00EF6044">
        <w:t>regiony soudržnosti</w:t>
      </w:r>
      <w:r w:rsidRPr="00EF6044">
        <w:t xml:space="preserve"> je třeba použít následující vzorce a tabulku </w:t>
      </w:r>
      <w:r w:rsidRPr="00EF6044">
        <w:rPr>
          <w:b/>
          <w:bCs/>
        </w:rPr>
        <w:t>III</w:t>
      </w:r>
      <w:r w:rsidRPr="00EF6044">
        <w:t>.</w:t>
      </w:r>
    </w:p>
    <w:p w14:paraId="2914BB6F" w14:textId="77777777" w:rsidR="00917C71" w:rsidRPr="00EF6044" w:rsidRDefault="00917C71">
      <w:pPr>
        <w:pStyle w:val="odstavecbn"/>
        <w:spacing w:after="0"/>
        <w:rPr>
          <w:b/>
          <w:bCs/>
        </w:rPr>
      </w:pPr>
      <w:r w:rsidRPr="00EF6044">
        <w:t xml:space="preserve">a) Pro </w:t>
      </w:r>
      <w:r w:rsidRPr="00EF6044">
        <w:rPr>
          <w:b/>
          <w:bCs/>
        </w:rPr>
        <w:t>základní úhrn</w:t>
      </w:r>
    </w:p>
    <w:p w14:paraId="1B67512A"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95 % interval spolehlivosti odhadu Y =</w:t>
      </w:r>
      <w:r w:rsidRPr="00EF6044">
        <w:rPr>
          <w:rFonts w:ascii="Arial" w:hAnsi="Arial"/>
          <w:position w:val="-14"/>
          <w:sz w:val="20"/>
        </w:rPr>
        <w:object w:dxaOrig="1579" w:dyaOrig="380" w14:anchorId="50B34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19.4pt" o:ole="">
            <v:imagedata r:id="rId8" o:title=""/>
          </v:shape>
          <o:OLEObject Type="Embed" ProgID="Equation.3" ShapeID="_x0000_i1025" DrawAspect="Content" ObjectID="_1763749237" r:id="rId9"/>
        </w:object>
      </w:r>
      <w:r w:rsidRPr="00EF6044">
        <w:rPr>
          <w:rFonts w:ascii="Arial" w:hAnsi="Arial"/>
          <w:position w:val="-30"/>
          <w:sz w:val="20"/>
        </w:rPr>
        <w:object w:dxaOrig="2940" w:dyaOrig="1020" w14:anchorId="08CA5E14">
          <v:shape id="_x0000_i1026" type="#_x0000_t75" style="width:147.3pt;height:50.95pt" o:ole="">
            <v:imagedata r:id="rId10" o:title=""/>
          </v:shape>
          <o:OLEObject Type="Embed" ProgID="Equation.3" ShapeID="_x0000_i1026" DrawAspect="Content" ObjectID="_1763749238" r:id="rId11"/>
        </w:object>
      </w:r>
    </w:p>
    <w:p w14:paraId="65A188CE"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p>
    <w:p w14:paraId="010A2ACB" w14:textId="77777777" w:rsidR="00917C71" w:rsidRPr="00EF6044" w:rsidRDefault="00917C71">
      <w:pPr>
        <w:pStyle w:val="odstavecbn"/>
        <w:tabs>
          <w:tab w:val="clear" w:pos="1416"/>
          <w:tab w:val="clear" w:pos="2124"/>
          <w:tab w:val="clear" w:pos="8787"/>
          <w:tab w:val="left" w:pos="1473"/>
          <w:tab w:val="left" w:pos="12744"/>
          <w:tab w:val="left" w:pos="13452"/>
        </w:tabs>
        <w:spacing w:after="0"/>
      </w:pPr>
      <w:r w:rsidRPr="00EF6044">
        <w:t>kde :</w:t>
      </w:r>
      <w:r w:rsidRPr="00EF6044">
        <w:tab/>
        <w:t>N</w:t>
      </w:r>
      <w:r w:rsidRPr="00EF6044">
        <w:tab/>
        <w:t>je velikost základního souboru,</w:t>
      </w:r>
    </w:p>
    <w:p w14:paraId="7E186D0F"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ab/>
        <w:t>y</w:t>
      </w:r>
      <w:r w:rsidRPr="00EF6044">
        <w:rPr>
          <w:rFonts w:ascii="Arial" w:hAnsi="Arial"/>
          <w:sz w:val="20"/>
        </w:rPr>
        <w:tab/>
        <w:t>je odhad úhrnu Y v základním souboru,</w:t>
      </w:r>
    </w:p>
    <w:p w14:paraId="0A1CC4F3"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ab/>
        <w:t>f</w:t>
      </w:r>
      <w:r w:rsidRPr="00EF6044">
        <w:rPr>
          <w:rFonts w:ascii="Arial" w:hAnsi="Arial"/>
          <w:sz w:val="20"/>
        </w:rPr>
        <w:tab/>
        <w:t>je příslušná relativní velikost výběrového souboru.</w:t>
      </w:r>
    </w:p>
    <w:p w14:paraId="0CBC5DE5"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p>
    <w:p w14:paraId="316AD5D6"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p>
    <w:p w14:paraId="6A9A3CB2"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 xml:space="preserve">b) Pro </w:t>
      </w:r>
      <w:r w:rsidRPr="00EF6044">
        <w:rPr>
          <w:rFonts w:ascii="Arial" w:hAnsi="Arial"/>
          <w:b/>
          <w:bCs/>
          <w:sz w:val="20"/>
        </w:rPr>
        <w:t>dílčí úhrn</w:t>
      </w:r>
      <w:r w:rsidRPr="00EF6044">
        <w:rPr>
          <w:rFonts w:ascii="Arial" w:hAnsi="Arial"/>
          <w:sz w:val="20"/>
        </w:rPr>
        <w:t>,</w:t>
      </w:r>
    </w:p>
    <w:p w14:paraId="3A175D38"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p>
    <w:p w14:paraId="2D5FFE0B"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kde :</w:t>
      </w:r>
      <w:r w:rsidRPr="00EF6044">
        <w:rPr>
          <w:rFonts w:ascii="Arial" w:hAnsi="Arial"/>
          <w:sz w:val="20"/>
        </w:rPr>
        <w:tab/>
        <w:t>N</w:t>
      </w:r>
      <w:r w:rsidRPr="00EF6044">
        <w:rPr>
          <w:rFonts w:ascii="Arial" w:hAnsi="Arial"/>
          <w:sz w:val="20"/>
        </w:rPr>
        <w:tab/>
        <w:t>je nahraz</w:t>
      </w:r>
      <w:r w:rsidR="00DB0EAD" w:rsidRPr="00EF6044">
        <w:rPr>
          <w:rFonts w:ascii="Arial" w:hAnsi="Arial"/>
          <w:sz w:val="20"/>
        </w:rPr>
        <w:t>eno odhadem základního úhrnu y</w:t>
      </w:r>
    </w:p>
    <w:p w14:paraId="56A1B786"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ab/>
        <w:t>y</w:t>
      </w:r>
      <w:r w:rsidRPr="00EF6044">
        <w:rPr>
          <w:rFonts w:ascii="Arial" w:hAnsi="Arial"/>
          <w:sz w:val="20"/>
        </w:rPr>
        <w:tab/>
        <w:t xml:space="preserve">je nahrazeno dílčím úhrnem </w:t>
      </w:r>
      <w:proofErr w:type="spellStart"/>
      <w:r w:rsidRPr="00EF6044">
        <w:rPr>
          <w:rFonts w:ascii="Arial" w:hAnsi="Arial"/>
          <w:sz w:val="20"/>
        </w:rPr>
        <w:t>y</w:t>
      </w:r>
      <w:r w:rsidRPr="00EF6044">
        <w:rPr>
          <w:rFonts w:ascii="Arial" w:hAnsi="Arial"/>
          <w:sz w:val="20"/>
          <w:vertAlign w:val="subscript"/>
        </w:rPr>
        <w:t>A</w:t>
      </w:r>
      <w:proofErr w:type="spellEnd"/>
      <w:r w:rsidRPr="00EF6044">
        <w:rPr>
          <w:rFonts w:ascii="Arial" w:hAnsi="Arial"/>
          <w:sz w:val="20"/>
        </w:rPr>
        <w:t>,</w:t>
      </w:r>
    </w:p>
    <w:p w14:paraId="150A6D1E"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p>
    <w:p w14:paraId="4C08DEC8"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vypadá vzorec takto:</w:t>
      </w:r>
    </w:p>
    <w:p w14:paraId="0B57720E" w14:textId="77777777" w:rsidR="00917C71" w:rsidRPr="00EF6044" w:rsidRDefault="00917C71">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rPr>
      </w:pPr>
      <w:r w:rsidRPr="00EF6044">
        <w:rPr>
          <w:rFonts w:ascii="Arial" w:hAnsi="Arial"/>
          <w:sz w:val="20"/>
        </w:rPr>
        <w:t xml:space="preserve">95 % </w:t>
      </w:r>
      <w:proofErr w:type="spellStart"/>
      <w:r w:rsidRPr="00EF6044">
        <w:rPr>
          <w:rFonts w:ascii="Arial" w:hAnsi="Arial"/>
          <w:sz w:val="20"/>
        </w:rPr>
        <w:t>int</w:t>
      </w:r>
      <w:proofErr w:type="spellEnd"/>
      <w:r w:rsidRPr="00EF6044">
        <w:rPr>
          <w:rFonts w:ascii="Arial" w:hAnsi="Arial"/>
          <w:sz w:val="20"/>
        </w:rPr>
        <w:t xml:space="preserve">. spol. dílčího odhadu </w:t>
      </w:r>
      <w:r w:rsidRPr="00EF6044">
        <w:rPr>
          <w:rFonts w:ascii="Arial" w:hAnsi="Arial"/>
          <w:position w:val="-14"/>
          <w:sz w:val="20"/>
        </w:rPr>
        <w:object w:dxaOrig="2299" w:dyaOrig="380" w14:anchorId="5687ECAC">
          <v:shape id="_x0000_i1027" type="#_x0000_t75" style="width:114.65pt;height:19.4pt" o:ole="">
            <v:imagedata r:id="rId12" o:title=""/>
          </v:shape>
          <o:OLEObject Type="Embed" ProgID="Equation.3" ShapeID="_x0000_i1027" DrawAspect="Content" ObjectID="_1763749239" r:id="rId13"/>
        </w:object>
      </w:r>
      <w:r w:rsidRPr="00EF6044">
        <w:rPr>
          <w:rFonts w:ascii="Arial" w:hAnsi="Arial"/>
          <w:position w:val="-30"/>
          <w:sz w:val="20"/>
        </w:rPr>
        <w:object w:dxaOrig="3040" w:dyaOrig="1080" w14:anchorId="378F604C">
          <v:shape id="_x0000_i1028" type="#_x0000_t75" style="width:152.3pt;height:55.4pt" o:ole="">
            <v:imagedata r:id="rId14" o:title=""/>
          </v:shape>
          <o:OLEObject Type="Embed" ProgID="Equation.3" ShapeID="_x0000_i1028" DrawAspect="Content" ObjectID="_1763749240" r:id="rId15"/>
        </w:object>
      </w:r>
    </w:p>
    <w:p w14:paraId="34BF3CEE" w14:textId="77777777" w:rsidR="00917C71" w:rsidRPr="00EF6044" w:rsidRDefault="00917C71">
      <w:pPr>
        <w:pStyle w:val="odstavecbn"/>
        <w:spacing w:before="360" w:after="0"/>
      </w:pPr>
      <w:r w:rsidRPr="00EF6044">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14:paraId="279158FE" w14:textId="77777777" w:rsidR="00917C71" w:rsidRPr="00B16BFC" w:rsidRDefault="00917C71">
      <w:pPr>
        <w:pStyle w:val="odstavecbn"/>
      </w:pPr>
      <w:r w:rsidRPr="00EF6044">
        <w:lastRenderedPageBreak/>
        <w:t xml:space="preserve">Všeobecně v celé publikaci platí, že </w:t>
      </w:r>
      <w:r w:rsidR="002C169B" w:rsidRPr="002C169B">
        <w:rPr>
          <w:b/>
        </w:rPr>
        <w:t>roční průměry menší než 3000 osob a čtvrtletní úhrny menší než 4500 osob</w:t>
      </w:r>
      <w:r w:rsidRPr="00EF6044">
        <w:t xml:space="preserve"> se považují za údaje s </w:t>
      </w:r>
      <w:r w:rsidRPr="00EF6044">
        <w:rPr>
          <w:b/>
          <w:bCs/>
        </w:rPr>
        <w:t>nízkou spolehlivostí</w:t>
      </w:r>
      <w:r w:rsidRPr="00EF6044">
        <w:t xml:space="preserve">. V praxi to znamená, že jejich relativní </w:t>
      </w:r>
      <w:r w:rsidRPr="00B16BFC">
        <w:t xml:space="preserve">směrodatná odchylka (tj. variační koeficient) je vyšší než 20%. </w:t>
      </w:r>
      <w:r w:rsidR="002C169B" w:rsidRPr="00B16BFC">
        <w:rPr>
          <w:b/>
        </w:rPr>
        <w:t>Roční údaje menší než 500 osob a</w:t>
      </w:r>
      <w:r w:rsidR="00FD4352" w:rsidRPr="00B16BFC">
        <w:rPr>
          <w:b/>
        </w:rPr>
        <w:t> </w:t>
      </w:r>
      <w:r w:rsidR="002C169B" w:rsidRPr="00B16BFC">
        <w:rPr>
          <w:b/>
        </w:rPr>
        <w:t>čtvrtletní údaje menší než 750 osob</w:t>
      </w:r>
      <w:r w:rsidRPr="00B16BFC">
        <w:t xml:space="preserve"> nejsou publikovány vůbec, neboť jejich relativní směrodatná odchylka je vyšší než 50%. Místo nich je v tabulkách tečka, v případě, že údaj vůbec nebyl zjištěn, je místo čísla uvedena vodorovná čárka.</w:t>
      </w:r>
    </w:p>
    <w:p w14:paraId="0E0FDCA5" w14:textId="77777777" w:rsidR="002C4C00" w:rsidRPr="00B16BFC" w:rsidRDefault="00917C71" w:rsidP="000D0274">
      <w:pPr>
        <w:pStyle w:val="Nadpis5"/>
        <w:tabs>
          <w:tab w:val="clear" w:pos="-1076"/>
          <w:tab w:val="clear" w:pos="-720"/>
          <w:tab w:val="clear" w:pos="720"/>
          <w:tab w:val="clear" w:pos="11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720"/>
        <w:ind w:left="743" w:hanging="743"/>
        <w:jc w:val="both"/>
        <w:rPr>
          <w:szCs w:val="32"/>
        </w:rPr>
      </w:pPr>
      <w:r w:rsidRPr="00B16BFC">
        <w:tab/>
      </w:r>
      <w:r w:rsidR="002C4C00" w:rsidRPr="00B16BFC">
        <w:t>Způsob použití přílohových tabulek</w:t>
      </w:r>
    </w:p>
    <w:p w14:paraId="11906DA7" w14:textId="77777777" w:rsidR="007E4F76" w:rsidRPr="00B16BFC" w:rsidRDefault="007E4F76" w:rsidP="007E4F76">
      <w:pPr>
        <w:tabs>
          <w:tab w:val="left" w:pos="720"/>
          <w:tab w:val="right" w:pos="9073"/>
        </w:tabs>
        <w:suppressAutoHyphens/>
        <w:ind w:left="1077" w:hanging="1077"/>
        <w:jc w:val="both"/>
        <w:rPr>
          <w:rFonts w:ascii="Arial" w:hAnsi="Arial" w:cs="Arial"/>
          <w:sz w:val="20"/>
          <w:szCs w:val="28"/>
        </w:rPr>
      </w:pPr>
      <w:proofErr w:type="spellStart"/>
      <w:r w:rsidRPr="00B16BFC">
        <w:rPr>
          <w:rFonts w:ascii="Arial" w:hAnsi="Arial" w:cs="Arial"/>
          <w:b/>
          <w:bCs/>
          <w:sz w:val="20"/>
          <w:szCs w:val="28"/>
        </w:rPr>
        <w:t>Tab</w:t>
      </w:r>
      <w:proofErr w:type="spellEnd"/>
      <w:r w:rsidRPr="00B16BFC">
        <w:rPr>
          <w:rFonts w:ascii="Arial" w:hAnsi="Arial" w:cs="Arial"/>
          <w:b/>
          <w:bCs/>
          <w:sz w:val="20"/>
          <w:szCs w:val="28"/>
        </w:rPr>
        <w:t xml:space="preserve"> I</w:t>
      </w:r>
      <w:r w:rsidRPr="00B16BFC">
        <w:rPr>
          <w:rFonts w:ascii="Arial" w:hAnsi="Arial" w:cs="Arial"/>
          <w:b/>
          <w:bCs/>
          <w:sz w:val="20"/>
          <w:szCs w:val="28"/>
        </w:rPr>
        <w:tab/>
      </w:r>
      <w:r w:rsidRPr="00B16BFC">
        <w:rPr>
          <w:rFonts w:ascii="Arial" w:hAnsi="Arial" w:cs="Arial"/>
          <w:b/>
          <w:bCs/>
          <w:sz w:val="20"/>
          <w:szCs w:val="28"/>
        </w:rPr>
        <w:tab/>
        <w:t>Odhady 95% intervalu spolehlivosti odhadů základních úhrnů za populaci 15letých a</w:t>
      </w:r>
      <w:r w:rsidR="004070C8" w:rsidRPr="00B16BFC">
        <w:rPr>
          <w:rFonts w:ascii="Arial" w:hAnsi="Arial" w:cs="Arial"/>
          <w:b/>
          <w:bCs/>
          <w:sz w:val="20"/>
          <w:szCs w:val="28"/>
        </w:rPr>
        <w:t> </w:t>
      </w:r>
      <w:r w:rsidRPr="00B16BFC">
        <w:rPr>
          <w:rFonts w:ascii="Arial" w:hAnsi="Arial" w:cs="Arial"/>
          <w:b/>
          <w:bCs/>
          <w:sz w:val="20"/>
          <w:szCs w:val="28"/>
        </w:rPr>
        <w:t>starších</w:t>
      </w:r>
      <w:r w:rsidRPr="00B16BFC">
        <w:rPr>
          <w:rFonts w:ascii="Arial" w:hAnsi="Arial" w:cs="Arial"/>
          <w:sz w:val="20"/>
          <w:szCs w:val="28"/>
        </w:rPr>
        <w:tab/>
        <w:t>(v tisících)</w:t>
      </w:r>
    </w:p>
    <w:p w14:paraId="6CCB4C9F"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16BFC">
        <w:rPr>
          <w:rFonts w:ascii="Arial" w:hAnsi="Arial" w:cs="Arial"/>
          <w:sz w:val="20"/>
          <w:szCs w:val="28"/>
        </w:rPr>
        <w:tab/>
        <w:t xml:space="preserve"> Varianty:</w:t>
      </w:r>
      <w:r w:rsidRPr="00B16BFC">
        <w:rPr>
          <w:rFonts w:ascii="Arial" w:hAnsi="Arial" w:cs="Arial"/>
          <w:sz w:val="20"/>
          <w:szCs w:val="28"/>
        </w:rPr>
        <w:tab/>
        <w:t>1a</w:t>
      </w:r>
      <w:r w:rsidRPr="00B16BFC">
        <w:rPr>
          <w:rFonts w:ascii="Arial" w:hAnsi="Arial" w:cs="Arial"/>
          <w:sz w:val="20"/>
          <w:szCs w:val="28"/>
        </w:rPr>
        <w:tab/>
        <w:t>pro čtvrtletní úhrny celkem</w:t>
      </w:r>
    </w:p>
    <w:p w14:paraId="4E476F5D"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B16BFC">
        <w:rPr>
          <w:rFonts w:ascii="Arial" w:hAnsi="Arial" w:cs="Arial"/>
          <w:sz w:val="20"/>
          <w:szCs w:val="28"/>
        </w:rPr>
        <w:tab/>
      </w:r>
      <w:r w:rsidRPr="00B16BFC">
        <w:rPr>
          <w:rFonts w:ascii="Arial" w:hAnsi="Arial" w:cs="Arial"/>
          <w:sz w:val="20"/>
          <w:szCs w:val="28"/>
        </w:rPr>
        <w:tab/>
      </w:r>
      <w:r w:rsidRPr="00B16BFC">
        <w:rPr>
          <w:rFonts w:ascii="Arial" w:hAnsi="Arial" w:cs="Arial"/>
          <w:sz w:val="20"/>
          <w:szCs w:val="28"/>
        </w:rPr>
        <w:tab/>
        <w:t>1b</w:t>
      </w:r>
      <w:r w:rsidRPr="00B16BFC">
        <w:rPr>
          <w:rFonts w:ascii="Arial" w:hAnsi="Arial" w:cs="Arial"/>
          <w:sz w:val="20"/>
          <w:szCs w:val="28"/>
        </w:rPr>
        <w:tab/>
        <w:t>pro čtvrtletní úhrny za muže a ženy</w:t>
      </w:r>
    </w:p>
    <w:p w14:paraId="25882984"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B16BFC">
        <w:rPr>
          <w:rFonts w:ascii="Arial" w:hAnsi="Arial" w:cs="Arial"/>
          <w:sz w:val="20"/>
          <w:szCs w:val="28"/>
        </w:rPr>
        <w:tab/>
      </w:r>
      <w:r w:rsidRPr="00B16BFC">
        <w:rPr>
          <w:rFonts w:ascii="Arial" w:hAnsi="Arial" w:cs="Arial"/>
          <w:sz w:val="20"/>
          <w:szCs w:val="28"/>
        </w:rPr>
        <w:tab/>
      </w:r>
      <w:r w:rsidRPr="00B16BFC">
        <w:rPr>
          <w:rFonts w:ascii="Arial" w:hAnsi="Arial" w:cs="Arial"/>
          <w:sz w:val="20"/>
          <w:szCs w:val="28"/>
        </w:rPr>
        <w:tab/>
        <w:t>2a</w:t>
      </w:r>
      <w:r w:rsidRPr="00B16BFC">
        <w:rPr>
          <w:rFonts w:ascii="Arial" w:hAnsi="Arial" w:cs="Arial"/>
          <w:sz w:val="20"/>
          <w:szCs w:val="28"/>
        </w:rPr>
        <w:tab/>
        <w:t>pro roční úhrny celkem</w:t>
      </w:r>
    </w:p>
    <w:p w14:paraId="73AD618D"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B16BFC">
        <w:rPr>
          <w:rFonts w:ascii="Arial" w:hAnsi="Arial" w:cs="Arial"/>
          <w:sz w:val="20"/>
          <w:szCs w:val="28"/>
        </w:rPr>
        <w:tab/>
      </w:r>
      <w:r w:rsidRPr="00B16BFC">
        <w:rPr>
          <w:rFonts w:ascii="Arial" w:hAnsi="Arial" w:cs="Arial"/>
          <w:sz w:val="20"/>
          <w:szCs w:val="28"/>
        </w:rPr>
        <w:tab/>
      </w:r>
      <w:r w:rsidRPr="00B16BFC">
        <w:rPr>
          <w:rFonts w:ascii="Arial" w:hAnsi="Arial" w:cs="Arial"/>
          <w:sz w:val="20"/>
          <w:szCs w:val="28"/>
        </w:rPr>
        <w:tab/>
        <w:t>2b</w:t>
      </w:r>
      <w:r w:rsidRPr="00B16BFC">
        <w:rPr>
          <w:rFonts w:ascii="Arial" w:hAnsi="Arial" w:cs="Arial"/>
          <w:sz w:val="20"/>
          <w:szCs w:val="28"/>
        </w:rPr>
        <w:tab/>
        <w:t>pro roční úhrny za muže a ženy</w:t>
      </w:r>
    </w:p>
    <w:p w14:paraId="5D844BB1" w14:textId="0E1A048F" w:rsidR="007E4F76" w:rsidRPr="00B16BFC" w:rsidRDefault="007E4F76" w:rsidP="007E4F76">
      <w:pPr>
        <w:jc w:val="both"/>
        <w:rPr>
          <w:rFonts w:ascii="Arial" w:hAnsi="Arial" w:cs="Arial"/>
          <w:sz w:val="20"/>
          <w:szCs w:val="20"/>
        </w:rPr>
      </w:pPr>
      <w:r w:rsidRPr="00B16BFC">
        <w:rPr>
          <w:rFonts w:ascii="Arial" w:hAnsi="Arial" w:cs="Arial"/>
          <w:sz w:val="20"/>
          <w:szCs w:val="28"/>
        </w:rPr>
        <w:t xml:space="preserve">Tabulka je určena ke zjištění přibližného 95% intervalu spolehlivosti </w:t>
      </w:r>
      <w:r w:rsidRPr="00B16BFC">
        <w:rPr>
          <w:rFonts w:ascii="Arial" w:hAnsi="Arial" w:cs="Arial"/>
          <w:b/>
          <w:bCs/>
          <w:sz w:val="20"/>
          <w:szCs w:val="28"/>
        </w:rPr>
        <w:t>základních úhrnů</w:t>
      </w:r>
      <w:r w:rsidRPr="00B16BFC">
        <w:rPr>
          <w:rFonts w:ascii="Arial" w:hAnsi="Arial" w:cs="Arial"/>
          <w:sz w:val="20"/>
          <w:szCs w:val="28"/>
        </w:rPr>
        <w:t xml:space="preserve"> za základní soubor populace 15leté a starší ve všech </w:t>
      </w:r>
      <w:r w:rsidRPr="00B16BFC">
        <w:rPr>
          <w:rFonts w:ascii="Arial" w:hAnsi="Arial" w:cs="Arial"/>
          <w:b/>
          <w:sz w:val="20"/>
          <w:szCs w:val="28"/>
        </w:rPr>
        <w:t>krajích a České republice</w:t>
      </w:r>
      <w:r w:rsidRPr="00B16BFC">
        <w:rPr>
          <w:rFonts w:ascii="Arial" w:hAnsi="Arial" w:cs="Arial"/>
          <w:sz w:val="20"/>
          <w:szCs w:val="28"/>
        </w:rPr>
        <w:t>. Chceme-li se například dozvědět, jaká je spolehlivost odhadu počtu nezaměstnaných osob, jichž bylo ve 3. čtvrtletí 20</w:t>
      </w:r>
      <w:r w:rsidR="009779D8" w:rsidRPr="00B16BFC">
        <w:rPr>
          <w:rFonts w:ascii="Arial" w:hAnsi="Arial" w:cs="Arial"/>
          <w:sz w:val="20"/>
          <w:szCs w:val="28"/>
        </w:rPr>
        <w:t>2</w:t>
      </w:r>
      <w:r w:rsidR="00B916CD" w:rsidRPr="00B16BFC">
        <w:rPr>
          <w:rFonts w:ascii="Arial" w:hAnsi="Arial" w:cs="Arial"/>
          <w:sz w:val="20"/>
          <w:szCs w:val="28"/>
        </w:rPr>
        <w:t>2</w:t>
      </w:r>
      <w:r w:rsidRPr="00B16BFC">
        <w:rPr>
          <w:rFonts w:ascii="Arial" w:hAnsi="Arial" w:cs="Arial"/>
          <w:sz w:val="20"/>
          <w:szCs w:val="28"/>
        </w:rPr>
        <w:t xml:space="preserve"> </w:t>
      </w:r>
      <w:r w:rsidR="00C00523" w:rsidRPr="00B16BFC">
        <w:rPr>
          <w:rFonts w:ascii="Arial" w:hAnsi="Arial" w:cs="Arial"/>
          <w:sz w:val="20"/>
          <w:szCs w:val="20"/>
        </w:rPr>
        <w:t>1</w:t>
      </w:r>
      <w:r w:rsidR="00B916CD" w:rsidRPr="00B16BFC">
        <w:rPr>
          <w:rFonts w:ascii="Arial" w:hAnsi="Arial" w:cs="Arial"/>
          <w:sz w:val="20"/>
          <w:szCs w:val="20"/>
        </w:rPr>
        <w:t>17,7</w:t>
      </w:r>
      <w:r w:rsidRPr="00B16BFC">
        <w:rPr>
          <w:rFonts w:ascii="Arial" w:hAnsi="Arial" w:cs="Arial"/>
          <w:sz w:val="20"/>
          <w:szCs w:val="20"/>
        </w:rPr>
        <w:t> </w:t>
      </w:r>
      <w:r w:rsidRPr="00B16BFC">
        <w:rPr>
          <w:rFonts w:ascii="Arial" w:hAnsi="Arial" w:cs="Arial"/>
          <w:sz w:val="20"/>
          <w:szCs w:val="28"/>
        </w:rPr>
        <w:t xml:space="preserve">tis., najdeme si v tabulce 1a ve sloupci Česká republika řádek nejbližší číslu </w:t>
      </w:r>
      <w:r w:rsidR="00E76DE7" w:rsidRPr="00B16BFC">
        <w:rPr>
          <w:rFonts w:ascii="Arial" w:hAnsi="Arial" w:cs="Arial"/>
          <w:sz w:val="20"/>
          <w:szCs w:val="20"/>
        </w:rPr>
        <w:t>117,7</w:t>
      </w:r>
      <w:r w:rsidRPr="00B16BFC">
        <w:rPr>
          <w:rFonts w:ascii="Arial" w:hAnsi="Arial" w:cs="Arial"/>
          <w:sz w:val="20"/>
          <w:szCs w:val="28"/>
        </w:rPr>
        <w:t xml:space="preserve">. Pro velikost odhadu </w:t>
      </w:r>
      <w:r w:rsidR="00FC3C17" w:rsidRPr="00B16BFC">
        <w:rPr>
          <w:rFonts w:ascii="Arial" w:hAnsi="Arial" w:cs="Arial"/>
          <w:sz w:val="20"/>
        </w:rPr>
        <w:t>1</w:t>
      </w:r>
      <w:r w:rsidR="00E76DE7" w:rsidRPr="00B16BFC">
        <w:rPr>
          <w:rFonts w:ascii="Arial" w:hAnsi="Arial" w:cs="Arial"/>
          <w:sz w:val="20"/>
        </w:rPr>
        <w:t>00</w:t>
      </w:r>
      <w:r w:rsidRPr="00B16BFC">
        <w:rPr>
          <w:rFonts w:ascii="Arial" w:hAnsi="Arial" w:cs="Arial"/>
          <w:sz w:val="20"/>
        </w:rPr>
        <w:t>,0 </w:t>
      </w:r>
      <w:r w:rsidR="009779D8" w:rsidRPr="00B16BFC">
        <w:rPr>
          <w:rFonts w:ascii="Arial" w:hAnsi="Arial" w:cs="Arial"/>
          <w:sz w:val="20"/>
          <w:szCs w:val="28"/>
        </w:rPr>
        <w:t xml:space="preserve">tis. je to </w:t>
      </w:r>
      <w:r w:rsidR="00E76DE7" w:rsidRPr="00B16BFC">
        <w:rPr>
          <w:rFonts w:ascii="Arial" w:hAnsi="Arial" w:cs="Arial"/>
          <w:sz w:val="20"/>
          <w:szCs w:val="28"/>
        </w:rPr>
        <w:t>8,9</w:t>
      </w:r>
      <w:r w:rsidRPr="00B16BFC">
        <w:rPr>
          <w:rFonts w:ascii="Arial" w:hAnsi="Arial" w:cs="Arial"/>
          <w:sz w:val="20"/>
        </w:rPr>
        <w:t> </w:t>
      </w:r>
      <w:r w:rsidRPr="00B16BFC">
        <w:rPr>
          <w:rFonts w:ascii="Arial" w:hAnsi="Arial" w:cs="Arial"/>
          <w:sz w:val="20"/>
          <w:szCs w:val="28"/>
        </w:rPr>
        <w:t xml:space="preserve">tis. Další sousední hodnota je uvedena pro odhad o velikosti </w:t>
      </w:r>
      <w:r w:rsidR="00973C7A" w:rsidRPr="00B16BFC">
        <w:rPr>
          <w:rFonts w:ascii="Arial" w:hAnsi="Arial" w:cs="Arial"/>
          <w:sz w:val="20"/>
        </w:rPr>
        <w:t>1</w:t>
      </w:r>
      <w:r w:rsidR="00E76DE7" w:rsidRPr="00B16BFC">
        <w:rPr>
          <w:rFonts w:ascii="Arial" w:hAnsi="Arial" w:cs="Arial"/>
          <w:sz w:val="20"/>
        </w:rPr>
        <w:t>25</w:t>
      </w:r>
      <w:r w:rsidRPr="00B16BFC">
        <w:rPr>
          <w:rFonts w:ascii="Arial" w:hAnsi="Arial" w:cs="Arial"/>
          <w:sz w:val="20"/>
        </w:rPr>
        <w:t>,0 </w:t>
      </w:r>
      <w:r w:rsidRPr="00B16BFC">
        <w:rPr>
          <w:rFonts w:ascii="Arial" w:hAnsi="Arial" w:cs="Arial"/>
          <w:sz w:val="20"/>
          <w:szCs w:val="28"/>
        </w:rPr>
        <w:t xml:space="preserve">tis., což je </w:t>
      </w:r>
      <w:r w:rsidR="00E76DE7" w:rsidRPr="00B16BFC">
        <w:rPr>
          <w:rFonts w:ascii="Arial" w:hAnsi="Arial" w:cs="Arial"/>
          <w:sz w:val="20"/>
        </w:rPr>
        <w:t>9,9</w:t>
      </w:r>
      <w:r w:rsidRPr="00B16BFC">
        <w:rPr>
          <w:rFonts w:ascii="Arial" w:hAnsi="Arial" w:cs="Arial"/>
          <w:sz w:val="20"/>
        </w:rPr>
        <w:t> </w:t>
      </w:r>
      <w:r w:rsidRPr="00B16BFC">
        <w:rPr>
          <w:rFonts w:ascii="Arial" w:hAnsi="Arial" w:cs="Arial"/>
          <w:sz w:val="20"/>
          <w:szCs w:val="28"/>
        </w:rPr>
        <w:t xml:space="preserve">tis. Protože rozdíl čísel </w:t>
      </w:r>
      <w:r w:rsidR="00E76DE7" w:rsidRPr="00B16BFC">
        <w:rPr>
          <w:rFonts w:ascii="Arial" w:hAnsi="Arial" w:cs="Arial"/>
          <w:sz w:val="20"/>
          <w:szCs w:val="20"/>
        </w:rPr>
        <w:t>117,7</w:t>
      </w:r>
      <w:r w:rsidR="009779D8" w:rsidRPr="00B16BFC">
        <w:rPr>
          <w:rFonts w:ascii="Arial" w:hAnsi="Arial" w:cs="Arial"/>
          <w:sz w:val="20"/>
          <w:szCs w:val="20"/>
        </w:rPr>
        <w:t> </w:t>
      </w:r>
      <w:r w:rsidRPr="00B16BFC">
        <w:rPr>
          <w:rFonts w:ascii="Arial" w:hAnsi="Arial" w:cs="Arial"/>
          <w:sz w:val="20"/>
          <w:szCs w:val="28"/>
        </w:rPr>
        <w:t xml:space="preserve">a </w:t>
      </w:r>
      <w:r w:rsidR="00FC3C17" w:rsidRPr="00B16BFC">
        <w:rPr>
          <w:rFonts w:ascii="Arial" w:hAnsi="Arial" w:cs="Arial"/>
          <w:sz w:val="20"/>
          <w:szCs w:val="28"/>
        </w:rPr>
        <w:t>1</w:t>
      </w:r>
      <w:r w:rsidR="00E76DE7" w:rsidRPr="00B16BFC">
        <w:rPr>
          <w:rFonts w:ascii="Arial" w:hAnsi="Arial" w:cs="Arial"/>
          <w:sz w:val="20"/>
          <w:szCs w:val="28"/>
        </w:rPr>
        <w:t>00</w:t>
      </w:r>
      <w:r w:rsidRPr="00B16BFC">
        <w:rPr>
          <w:rFonts w:ascii="Arial" w:hAnsi="Arial" w:cs="Arial"/>
          <w:sz w:val="20"/>
          <w:szCs w:val="28"/>
        </w:rPr>
        <w:t>,0</w:t>
      </w:r>
      <w:r w:rsidRPr="00B16BFC">
        <w:rPr>
          <w:rFonts w:ascii="Arial" w:hAnsi="Arial" w:cs="Arial"/>
          <w:sz w:val="20"/>
        </w:rPr>
        <w:t> </w:t>
      </w:r>
      <w:r w:rsidRPr="00B16BFC">
        <w:rPr>
          <w:rFonts w:ascii="Arial" w:hAnsi="Arial" w:cs="Arial"/>
          <w:sz w:val="20"/>
          <w:szCs w:val="28"/>
        </w:rPr>
        <w:t xml:space="preserve">tvoří přibližně </w:t>
      </w:r>
      <w:r w:rsidR="006B0306" w:rsidRPr="00B16BFC">
        <w:rPr>
          <w:rFonts w:ascii="Arial" w:hAnsi="Arial" w:cs="Arial"/>
          <w:sz w:val="20"/>
          <w:szCs w:val="28"/>
        </w:rPr>
        <w:t>tři pětiny</w:t>
      </w:r>
      <w:r w:rsidRPr="00B16BFC">
        <w:rPr>
          <w:rFonts w:ascii="Arial" w:hAnsi="Arial" w:cs="Arial"/>
          <w:sz w:val="20"/>
          <w:szCs w:val="28"/>
        </w:rPr>
        <w:t xml:space="preserve"> rozdílu </w:t>
      </w:r>
      <w:r w:rsidR="00973C7A" w:rsidRPr="00B16BFC">
        <w:rPr>
          <w:rFonts w:ascii="Arial" w:hAnsi="Arial" w:cs="Arial"/>
          <w:sz w:val="20"/>
        </w:rPr>
        <w:t>1</w:t>
      </w:r>
      <w:r w:rsidR="00E76DE7" w:rsidRPr="00B16BFC">
        <w:rPr>
          <w:rFonts w:ascii="Arial" w:hAnsi="Arial" w:cs="Arial"/>
          <w:sz w:val="20"/>
        </w:rPr>
        <w:t>25</w:t>
      </w:r>
      <w:r w:rsidRPr="00B16BFC">
        <w:rPr>
          <w:rFonts w:ascii="Arial" w:hAnsi="Arial" w:cs="Arial"/>
          <w:sz w:val="20"/>
        </w:rPr>
        <w:t>,0 </w:t>
      </w:r>
      <w:r w:rsidRPr="00B16BFC">
        <w:rPr>
          <w:rFonts w:ascii="Arial" w:hAnsi="Arial" w:cs="Arial"/>
          <w:sz w:val="20"/>
          <w:szCs w:val="28"/>
        </w:rPr>
        <w:t>a</w:t>
      </w:r>
      <w:r w:rsidR="008908A7" w:rsidRPr="00B16BFC">
        <w:rPr>
          <w:rFonts w:ascii="Arial" w:hAnsi="Arial" w:cs="Arial"/>
          <w:sz w:val="20"/>
          <w:szCs w:val="28"/>
        </w:rPr>
        <w:t> </w:t>
      </w:r>
      <w:r w:rsidR="00FC3C17" w:rsidRPr="00B16BFC">
        <w:rPr>
          <w:rFonts w:ascii="Arial" w:hAnsi="Arial" w:cs="Arial"/>
          <w:sz w:val="20"/>
        </w:rPr>
        <w:t>1</w:t>
      </w:r>
      <w:r w:rsidR="00E76DE7" w:rsidRPr="00B16BFC">
        <w:rPr>
          <w:rFonts w:ascii="Arial" w:hAnsi="Arial" w:cs="Arial"/>
          <w:sz w:val="20"/>
        </w:rPr>
        <w:t>00</w:t>
      </w:r>
      <w:r w:rsidRPr="00B16BFC">
        <w:rPr>
          <w:rFonts w:ascii="Arial" w:hAnsi="Arial" w:cs="Arial"/>
          <w:sz w:val="20"/>
        </w:rPr>
        <w:t>,0</w:t>
      </w:r>
      <w:r w:rsidRPr="00B16BFC">
        <w:rPr>
          <w:rFonts w:ascii="Arial" w:hAnsi="Arial" w:cs="Arial"/>
          <w:sz w:val="20"/>
          <w:szCs w:val="28"/>
        </w:rPr>
        <w:t xml:space="preserve">, přičteme k číslu </w:t>
      </w:r>
      <w:r w:rsidR="00E76DE7" w:rsidRPr="00B16BFC">
        <w:rPr>
          <w:rFonts w:ascii="Arial" w:hAnsi="Arial" w:cs="Arial"/>
          <w:sz w:val="20"/>
        </w:rPr>
        <w:t>9</w:t>
      </w:r>
      <w:r w:rsidR="00FC3C17" w:rsidRPr="00B16BFC">
        <w:rPr>
          <w:rFonts w:ascii="Arial" w:hAnsi="Arial" w:cs="Arial"/>
          <w:sz w:val="20"/>
        </w:rPr>
        <w:t>,</w:t>
      </w:r>
      <w:r w:rsidR="009779D8" w:rsidRPr="00B16BFC">
        <w:rPr>
          <w:rFonts w:ascii="Arial" w:hAnsi="Arial" w:cs="Arial"/>
          <w:sz w:val="20"/>
        </w:rPr>
        <w:t>9</w:t>
      </w:r>
      <w:r w:rsidRPr="00B16BFC">
        <w:rPr>
          <w:rFonts w:ascii="Arial" w:hAnsi="Arial" w:cs="Arial"/>
          <w:sz w:val="20"/>
        </w:rPr>
        <w:t> </w:t>
      </w:r>
      <w:r w:rsidRPr="00B16BFC">
        <w:rPr>
          <w:rFonts w:ascii="Arial" w:hAnsi="Arial" w:cs="Arial"/>
          <w:sz w:val="20"/>
          <w:szCs w:val="28"/>
        </w:rPr>
        <w:t xml:space="preserve">odpovídající část rozdílu </w:t>
      </w:r>
      <w:r w:rsidR="00E76DE7" w:rsidRPr="00B16BFC">
        <w:rPr>
          <w:rFonts w:ascii="Arial" w:hAnsi="Arial" w:cs="Arial"/>
          <w:sz w:val="20"/>
        </w:rPr>
        <w:t>9</w:t>
      </w:r>
      <w:r w:rsidR="009779D8" w:rsidRPr="00B16BFC">
        <w:rPr>
          <w:rFonts w:ascii="Arial" w:hAnsi="Arial" w:cs="Arial"/>
          <w:sz w:val="20"/>
        </w:rPr>
        <w:t>,9</w:t>
      </w:r>
      <w:r w:rsidR="006B0306" w:rsidRPr="00B16BFC">
        <w:rPr>
          <w:rFonts w:ascii="Arial" w:hAnsi="Arial" w:cs="Arial"/>
          <w:sz w:val="20"/>
        </w:rPr>
        <w:t xml:space="preserve"> </w:t>
      </w:r>
      <w:r w:rsidRPr="00B16BFC">
        <w:rPr>
          <w:rFonts w:ascii="Arial" w:hAnsi="Arial" w:cs="Arial"/>
          <w:sz w:val="20"/>
          <w:szCs w:val="28"/>
        </w:rPr>
        <w:t xml:space="preserve">a </w:t>
      </w:r>
      <w:r w:rsidR="00E76DE7" w:rsidRPr="00B16BFC">
        <w:rPr>
          <w:rFonts w:ascii="Arial" w:hAnsi="Arial" w:cs="Arial"/>
          <w:sz w:val="20"/>
        </w:rPr>
        <w:t>8,9</w:t>
      </w:r>
      <w:r w:rsidR="006B0306" w:rsidRPr="00B16BFC">
        <w:rPr>
          <w:rFonts w:ascii="Arial" w:hAnsi="Arial" w:cs="Arial"/>
          <w:sz w:val="20"/>
        </w:rPr>
        <w:t xml:space="preserve"> </w:t>
      </w:r>
      <w:r w:rsidRPr="00B16BFC">
        <w:rPr>
          <w:rFonts w:ascii="Arial" w:hAnsi="Arial" w:cs="Arial"/>
          <w:sz w:val="20"/>
          <w:szCs w:val="28"/>
        </w:rPr>
        <w:t xml:space="preserve">a získáme nakonec hodnotu </w:t>
      </w:r>
      <w:r w:rsidR="00E76DE7" w:rsidRPr="00B16BFC">
        <w:rPr>
          <w:rFonts w:ascii="Arial" w:hAnsi="Arial" w:cs="Arial"/>
          <w:sz w:val="20"/>
        </w:rPr>
        <w:t>9,6</w:t>
      </w:r>
      <w:r w:rsidRPr="00B16BFC">
        <w:rPr>
          <w:rFonts w:ascii="Arial" w:hAnsi="Arial" w:cs="Arial"/>
          <w:sz w:val="20"/>
          <w:szCs w:val="28"/>
        </w:rPr>
        <w:t>. Výsledný 95% interval spolehlivosti pro odhad počtu nezaměs</w:t>
      </w:r>
      <w:r w:rsidR="009779D8" w:rsidRPr="00B16BFC">
        <w:rPr>
          <w:rFonts w:ascii="Arial" w:hAnsi="Arial" w:cs="Arial"/>
          <w:sz w:val="20"/>
          <w:szCs w:val="28"/>
        </w:rPr>
        <w:t>tnaných osob ve 3. čtvrtletí 202</w:t>
      </w:r>
      <w:r w:rsidR="00E76DE7" w:rsidRPr="00B16BFC">
        <w:rPr>
          <w:rFonts w:ascii="Arial" w:hAnsi="Arial" w:cs="Arial"/>
          <w:sz w:val="20"/>
          <w:szCs w:val="28"/>
        </w:rPr>
        <w:t>2</w:t>
      </w:r>
      <w:r w:rsidRPr="00B16BFC">
        <w:rPr>
          <w:rFonts w:ascii="Arial" w:hAnsi="Arial" w:cs="Arial"/>
          <w:sz w:val="20"/>
          <w:szCs w:val="28"/>
        </w:rPr>
        <w:t xml:space="preserve"> je cca </w:t>
      </w:r>
      <w:r w:rsidR="00E76DE7" w:rsidRPr="00B16BFC">
        <w:rPr>
          <w:rFonts w:ascii="Arial" w:hAnsi="Arial" w:cs="Arial"/>
          <w:sz w:val="20"/>
          <w:szCs w:val="20"/>
        </w:rPr>
        <w:t>117,7</w:t>
      </w:r>
      <w:r w:rsidR="009779D8" w:rsidRPr="00B16BFC">
        <w:rPr>
          <w:rFonts w:ascii="Arial" w:hAnsi="Arial" w:cs="Arial"/>
          <w:sz w:val="20"/>
          <w:szCs w:val="20"/>
        </w:rPr>
        <w:t> </w:t>
      </w:r>
      <w:r w:rsidRPr="00B16BFC">
        <w:rPr>
          <w:rFonts w:ascii="Arial" w:hAnsi="Arial" w:cs="Arial"/>
          <w:sz w:val="20"/>
        </w:rPr>
        <w:t xml:space="preserve">+/- </w:t>
      </w:r>
      <w:r w:rsidR="00E76DE7" w:rsidRPr="00B16BFC">
        <w:rPr>
          <w:rFonts w:ascii="Arial" w:hAnsi="Arial" w:cs="Arial"/>
          <w:sz w:val="20"/>
        </w:rPr>
        <w:t>9,6</w:t>
      </w:r>
      <w:r w:rsidRPr="00B16BFC">
        <w:rPr>
          <w:rFonts w:ascii="Arial" w:hAnsi="Arial" w:cs="Arial"/>
          <w:sz w:val="20"/>
        </w:rPr>
        <w:t> </w:t>
      </w:r>
      <w:r w:rsidRPr="00B16BFC">
        <w:rPr>
          <w:rFonts w:ascii="Arial" w:hAnsi="Arial" w:cs="Arial"/>
          <w:sz w:val="20"/>
          <w:szCs w:val="28"/>
        </w:rPr>
        <w:t xml:space="preserve">tis., tzn., že s 95% pravděpodobností nebyl skutečný počet nezaměstnaných osob v ČR nižší než </w:t>
      </w:r>
      <w:r w:rsidR="00E76DE7" w:rsidRPr="00B16BFC">
        <w:rPr>
          <w:rFonts w:ascii="Arial" w:hAnsi="Arial" w:cs="Arial"/>
          <w:sz w:val="20"/>
          <w:szCs w:val="28"/>
        </w:rPr>
        <w:t>108,1</w:t>
      </w:r>
      <w:r w:rsidRPr="00B16BFC">
        <w:rPr>
          <w:rFonts w:ascii="Arial" w:hAnsi="Arial" w:cs="Arial"/>
          <w:sz w:val="20"/>
        </w:rPr>
        <w:t> </w:t>
      </w:r>
      <w:r w:rsidR="00741180" w:rsidRPr="00B16BFC">
        <w:rPr>
          <w:rFonts w:ascii="Arial" w:hAnsi="Arial" w:cs="Arial"/>
          <w:sz w:val="20"/>
          <w:szCs w:val="28"/>
        </w:rPr>
        <w:t>tis. a</w:t>
      </w:r>
      <w:r w:rsidR="00792C8D" w:rsidRPr="00B16BFC">
        <w:rPr>
          <w:rFonts w:ascii="Arial" w:hAnsi="Arial" w:cs="Arial"/>
          <w:sz w:val="20"/>
          <w:szCs w:val="28"/>
        </w:rPr>
        <w:t> </w:t>
      </w:r>
      <w:r w:rsidR="00741180" w:rsidRPr="00B16BFC">
        <w:rPr>
          <w:rFonts w:ascii="Arial" w:hAnsi="Arial" w:cs="Arial"/>
          <w:sz w:val="20"/>
          <w:szCs w:val="28"/>
        </w:rPr>
        <w:t xml:space="preserve">zároveň vyšší než </w:t>
      </w:r>
      <w:r w:rsidR="00E76DE7" w:rsidRPr="00B16BFC">
        <w:rPr>
          <w:rFonts w:ascii="Arial" w:hAnsi="Arial" w:cs="Arial"/>
          <w:sz w:val="20"/>
        </w:rPr>
        <w:t>127,3</w:t>
      </w:r>
      <w:r w:rsidRPr="00B16BFC">
        <w:rPr>
          <w:rFonts w:ascii="Arial" w:hAnsi="Arial" w:cs="Arial"/>
          <w:sz w:val="20"/>
        </w:rPr>
        <w:t> </w:t>
      </w:r>
      <w:r w:rsidRPr="00B16BFC">
        <w:rPr>
          <w:rFonts w:ascii="Arial" w:hAnsi="Arial" w:cs="Arial"/>
          <w:sz w:val="20"/>
          <w:szCs w:val="28"/>
        </w:rPr>
        <w:t xml:space="preserve">tis. osob. </w:t>
      </w:r>
    </w:p>
    <w:p w14:paraId="3758ADAD"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p>
    <w:p w14:paraId="600BA0A9" w14:textId="77777777" w:rsidR="007E4F76" w:rsidRPr="00B16BFC" w:rsidRDefault="007E4F76" w:rsidP="007E4F76">
      <w:pPr>
        <w:spacing w:before="480" w:line="233" w:lineRule="auto"/>
        <w:ind w:left="1077" w:hanging="1077"/>
        <w:jc w:val="both"/>
        <w:rPr>
          <w:rFonts w:ascii="Arial" w:hAnsi="Arial" w:cs="Arial"/>
          <w:b/>
          <w:bCs/>
          <w:sz w:val="20"/>
        </w:rPr>
      </w:pPr>
      <w:proofErr w:type="spellStart"/>
      <w:r w:rsidRPr="00B16BFC">
        <w:rPr>
          <w:rFonts w:ascii="Arial" w:hAnsi="Arial" w:cs="Arial"/>
          <w:b/>
          <w:bCs/>
          <w:sz w:val="20"/>
        </w:rPr>
        <w:t>Tab</w:t>
      </w:r>
      <w:proofErr w:type="spellEnd"/>
      <w:r w:rsidRPr="00B16BFC">
        <w:rPr>
          <w:rFonts w:ascii="Arial" w:hAnsi="Arial" w:cs="Arial"/>
          <w:b/>
          <w:bCs/>
          <w:sz w:val="20"/>
        </w:rPr>
        <w:t xml:space="preserve"> II</w:t>
      </w:r>
      <w:r w:rsidRPr="00B16BFC">
        <w:rPr>
          <w:rFonts w:ascii="Arial" w:hAnsi="Arial" w:cs="Arial"/>
          <w:b/>
          <w:bCs/>
          <w:sz w:val="20"/>
        </w:rPr>
        <w:tab/>
        <w:t>Odhady 95% intervalu spolehlivosti odhadů dílčích úhrnů za populaci 15letých a</w:t>
      </w:r>
      <w:r w:rsidR="0059300B" w:rsidRPr="00B16BFC">
        <w:rPr>
          <w:rFonts w:ascii="Arial" w:hAnsi="Arial" w:cs="Arial"/>
          <w:b/>
          <w:bCs/>
          <w:sz w:val="20"/>
        </w:rPr>
        <w:t> </w:t>
      </w:r>
      <w:r w:rsidRPr="00B16BFC">
        <w:rPr>
          <w:rFonts w:ascii="Arial" w:hAnsi="Arial" w:cs="Arial"/>
          <w:b/>
          <w:bCs/>
          <w:sz w:val="20"/>
        </w:rPr>
        <w:t>starších na úrovni ČR</w:t>
      </w:r>
    </w:p>
    <w:p w14:paraId="391F52EE"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16BFC">
        <w:rPr>
          <w:rFonts w:ascii="Arial" w:hAnsi="Arial" w:cs="Arial"/>
          <w:sz w:val="20"/>
          <w:szCs w:val="28"/>
        </w:rPr>
        <w:tab/>
        <w:t>Varianty:</w:t>
      </w:r>
      <w:r w:rsidRPr="00B16BFC">
        <w:rPr>
          <w:rFonts w:ascii="Arial" w:hAnsi="Arial" w:cs="Arial"/>
          <w:sz w:val="20"/>
          <w:szCs w:val="28"/>
        </w:rPr>
        <w:tab/>
        <w:t>1a</w:t>
      </w:r>
      <w:r w:rsidRPr="00B16BFC">
        <w:rPr>
          <w:rFonts w:ascii="Arial" w:hAnsi="Arial" w:cs="Arial"/>
          <w:sz w:val="20"/>
          <w:szCs w:val="28"/>
        </w:rPr>
        <w:tab/>
        <w:t>pro roční úhrny celkem</w:t>
      </w:r>
    </w:p>
    <w:p w14:paraId="01BD3EA5"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B16BFC">
        <w:rPr>
          <w:rFonts w:ascii="Arial" w:hAnsi="Arial" w:cs="Arial"/>
          <w:sz w:val="20"/>
          <w:szCs w:val="28"/>
        </w:rPr>
        <w:tab/>
      </w:r>
      <w:r w:rsidRPr="00B16BFC">
        <w:rPr>
          <w:rFonts w:ascii="Arial" w:hAnsi="Arial" w:cs="Arial"/>
          <w:sz w:val="20"/>
          <w:szCs w:val="28"/>
        </w:rPr>
        <w:tab/>
      </w:r>
      <w:r w:rsidRPr="00B16BFC">
        <w:rPr>
          <w:rFonts w:ascii="Arial" w:hAnsi="Arial" w:cs="Arial"/>
          <w:sz w:val="20"/>
          <w:szCs w:val="28"/>
        </w:rPr>
        <w:tab/>
        <w:t>1b</w:t>
      </w:r>
      <w:r w:rsidRPr="00B16BFC">
        <w:rPr>
          <w:rFonts w:ascii="Arial" w:hAnsi="Arial" w:cs="Arial"/>
          <w:sz w:val="20"/>
          <w:szCs w:val="28"/>
        </w:rPr>
        <w:tab/>
        <w:t>pro roční úhrny za muže a ženy</w:t>
      </w:r>
    </w:p>
    <w:p w14:paraId="5418ECAC" w14:textId="161DB7D5"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rPr>
      </w:pPr>
      <w:r w:rsidRPr="00B16BFC">
        <w:rPr>
          <w:rFonts w:ascii="Arial" w:hAnsi="Arial" w:cs="Arial"/>
          <w:sz w:val="20"/>
          <w:szCs w:val="28"/>
        </w:rPr>
        <w:t xml:space="preserve">Tabulka je určena ke zjištění přibližného 95% intervalu spolehlivosti </w:t>
      </w:r>
      <w:r w:rsidRPr="00B16BFC">
        <w:rPr>
          <w:rFonts w:ascii="Arial" w:hAnsi="Arial" w:cs="Arial"/>
          <w:b/>
          <w:bCs/>
          <w:sz w:val="20"/>
          <w:szCs w:val="28"/>
        </w:rPr>
        <w:t>dílčích úhrnů</w:t>
      </w:r>
      <w:r w:rsidRPr="00B16BFC">
        <w:rPr>
          <w:rFonts w:ascii="Arial" w:hAnsi="Arial" w:cs="Arial"/>
          <w:sz w:val="20"/>
          <w:szCs w:val="28"/>
        </w:rPr>
        <w:t xml:space="preserve"> za základní soubor populace 15leté a starší, a to </w:t>
      </w:r>
      <w:r w:rsidRPr="00B16BFC">
        <w:rPr>
          <w:rFonts w:ascii="Arial" w:hAnsi="Arial" w:cs="Arial"/>
          <w:b/>
          <w:bCs/>
          <w:sz w:val="20"/>
          <w:szCs w:val="28"/>
        </w:rPr>
        <w:t>pouze na úrovni České republiky</w:t>
      </w:r>
      <w:r w:rsidRPr="00B16BFC">
        <w:rPr>
          <w:rFonts w:ascii="Arial" w:hAnsi="Arial" w:cs="Arial"/>
          <w:sz w:val="20"/>
          <w:szCs w:val="28"/>
        </w:rPr>
        <w:t>. Chceme-li například zjistit spolehlivost odhadu zaměstnaných ve zpracovatelském průmyslu v roce 20</w:t>
      </w:r>
      <w:r w:rsidR="009779D8" w:rsidRPr="00B16BFC">
        <w:rPr>
          <w:rFonts w:ascii="Arial" w:hAnsi="Arial" w:cs="Arial"/>
          <w:sz w:val="20"/>
          <w:szCs w:val="28"/>
        </w:rPr>
        <w:t>2</w:t>
      </w:r>
      <w:r w:rsidR="00FC196C" w:rsidRPr="00B16BFC">
        <w:rPr>
          <w:rFonts w:ascii="Arial" w:hAnsi="Arial" w:cs="Arial"/>
          <w:sz w:val="20"/>
          <w:szCs w:val="28"/>
        </w:rPr>
        <w:t>2</w:t>
      </w:r>
      <w:r w:rsidRPr="00B16BFC">
        <w:rPr>
          <w:rFonts w:ascii="Arial" w:hAnsi="Arial" w:cs="Arial"/>
          <w:sz w:val="20"/>
          <w:szCs w:val="28"/>
        </w:rPr>
        <w:t xml:space="preserve">, jichž bylo </w:t>
      </w:r>
      <w:r w:rsidR="00FC196C" w:rsidRPr="00B16BFC">
        <w:rPr>
          <w:rFonts w:ascii="Arial" w:hAnsi="Arial" w:cs="Arial"/>
          <w:sz w:val="20"/>
        </w:rPr>
        <w:t>1339,8</w:t>
      </w:r>
      <w:r w:rsidRPr="00B16BFC">
        <w:rPr>
          <w:rFonts w:ascii="Arial" w:hAnsi="Arial" w:cs="Arial"/>
          <w:sz w:val="20"/>
        </w:rPr>
        <w:t> </w:t>
      </w:r>
      <w:r w:rsidRPr="00B16BFC">
        <w:rPr>
          <w:rFonts w:ascii="Arial" w:hAnsi="Arial" w:cs="Arial"/>
          <w:sz w:val="20"/>
          <w:szCs w:val="28"/>
        </w:rPr>
        <w:t>tis. z</w:t>
      </w:r>
      <w:r w:rsidR="004A5FFF" w:rsidRPr="00B16BFC">
        <w:rPr>
          <w:rFonts w:ascii="Arial" w:hAnsi="Arial" w:cs="Arial"/>
          <w:sz w:val="20"/>
          <w:szCs w:val="28"/>
        </w:rPr>
        <w:t> </w:t>
      </w:r>
      <w:r w:rsidR="00FC196C" w:rsidRPr="00B16BFC">
        <w:rPr>
          <w:rFonts w:ascii="Arial" w:hAnsi="Arial" w:cs="Arial"/>
          <w:sz w:val="20"/>
          <w:szCs w:val="28"/>
        </w:rPr>
        <w:t>5173,5</w:t>
      </w:r>
      <w:r w:rsidRPr="00B16BFC">
        <w:rPr>
          <w:rFonts w:ascii="Arial" w:hAnsi="Arial" w:cs="Arial"/>
          <w:sz w:val="20"/>
        </w:rPr>
        <w:t> </w:t>
      </w:r>
      <w:r w:rsidRPr="00B16BFC">
        <w:rPr>
          <w:rFonts w:ascii="Arial" w:hAnsi="Arial" w:cs="Arial"/>
          <w:sz w:val="20"/>
          <w:szCs w:val="28"/>
        </w:rPr>
        <w:t xml:space="preserve">tis. zaměstnaných (tedy </w:t>
      </w:r>
      <w:r w:rsidR="00FC196C" w:rsidRPr="00B16BFC">
        <w:rPr>
          <w:rFonts w:ascii="Arial" w:hAnsi="Arial" w:cs="Arial"/>
          <w:sz w:val="20"/>
          <w:szCs w:val="28"/>
        </w:rPr>
        <w:t>25,9</w:t>
      </w:r>
      <w:r w:rsidRPr="00B16BFC">
        <w:rPr>
          <w:rFonts w:ascii="Arial" w:hAnsi="Arial" w:cs="Arial"/>
          <w:sz w:val="20"/>
        </w:rPr>
        <w:t> </w:t>
      </w:r>
      <w:r w:rsidRPr="00B16BFC">
        <w:rPr>
          <w:rFonts w:ascii="Arial" w:hAnsi="Arial" w:cs="Arial"/>
          <w:sz w:val="20"/>
          <w:szCs w:val="28"/>
        </w:rPr>
        <w:t xml:space="preserve">% všech zaměstnaných), vyhledáme v tabulce hodnotu v řádku přibližně odpovídajícímu hodnotě </w:t>
      </w:r>
      <w:r w:rsidR="00FC196C" w:rsidRPr="00B16BFC">
        <w:rPr>
          <w:rFonts w:ascii="Arial" w:hAnsi="Arial" w:cs="Arial"/>
          <w:sz w:val="20"/>
          <w:szCs w:val="28"/>
        </w:rPr>
        <w:t>5173,5</w:t>
      </w:r>
      <w:r w:rsidR="009779D8" w:rsidRPr="00B16BFC">
        <w:rPr>
          <w:rFonts w:ascii="Arial" w:hAnsi="Arial" w:cs="Arial"/>
          <w:sz w:val="20"/>
        </w:rPr>
        <w:t> </w:t>
      </w:r>
      <w:r w:rsidRPr="00B16BFC">
        <w:rPr>
          <w:rFonts w:ascii="Arial" w:hAnsi="Arial" w:cs="Arial"/>
          <w:sz w:val="20"/>
          <w:szCs w:val="28"/>
        </w:rPr>
        <w:t xml:space="preserve">a ve sloupci přibližně odpovídajícímu hodnotě </w:t>
      </w:r>
      <w:r w:rsidR="00FC196C" w:rsidRPr="00B16BFC">
        <w:rPr>
          <w:rFonts w:ascii="Arial" w:hAnsi="Arial" w:cs="Arial"/>
          <w:sz w:val="20"/>
        </w:rPr>
        <w:t>25,9</w:t>
      </w:r>
      <w:r w:rsidRPr="00B16BFC">
        <w:rPr>
          <w:rFonts w:ascii="Arial" w:hAnsi="Arial" w:cs="Arial"/>
          <w:sz w:val="20"/>
          <w:szCs w:val="28"/>
        </w:rPr>
        <w:t>. Můžeme provést i následující korekci jednoduchou lineární interpolací:</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FC196C" w:rsidRPr="00B16BFC" w14:paraId="29828BBC" w14:textId="77777777" w:rsidTr="00B23908">
        <w:trPr>
          <w:cantSplit/>
          <w:jc w:val="center"/>
        </w:trPr>
        <w:tc>
          <w:tcPr>
            <w:tcW w:w="1140" w:type="dxa"/>
            <w:tcBorders>
              <w:top w:val="single" w:sz="12" w:space="0" w:color="auto"/>
              <w:bottom w:val="single" w:sz="8" w:space="0" w:color="auto"/>
              <w:right w:val="single" w:sz="8" w:space="0" w:color="auto"/>
            </w:tcBorders>
            <w:vAlign w:val="center"/>
          </w:tcPr>
          <w:p w14:paraId="5B3C6D2F" w14:textId="77777777" w:rsidR="00FC196C" w:rsidRPr="00B16BFC" w:rsidRDefault="00FC196C" w:rsidP="00FC196C">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bottom"/>
          </w:tcPr>
          <w:p w14:paraId="383587BB" w14:textId="627DA02B" w:rsidR="00FC196C" w:rsidRPr="00B16BFC" w:rsidRDefault="00FC196C" w:rsidP="00FC196C">
            <w:pPr>
              <w:keepNext/>
              <w:keepLines/>
              <w:spacing w:before="79" w:after="28"/>
              <w:jc w:val="center"/>
              <w:rPr>
                <w:rFonts w:ascii="Arial" w:hAnsi="Arial" w:cs="Arial"/>
                <w:sz w:val="20"/>
              </w:rPr>
            </w:pPr>
            <w:r w:rsidRPr="00B16BFC">
              <w:rPr>
                <w:rFonts w:ascii="Arial" w:hAnsi="Arial" w:cs="Arial"/>
                <w:sz w:val="20"/>
                <w:szCs w:val="20"/>
              </w:rPr>
              <w:t>25</w:t>
            </w:r>
          </w:p>
        </w:tc>
        <w:tc>
          <w:tcPr>
            <w:tcW w:w="2700" w:type="dxa"/>
            <w:tcBorders>
              <w:top w:val="single" w:sz="12" w:space="0" w:color="auto"/>
              <w:left w:val="dotted" w:sz="4" w:space="0" w:color="auto"/>
              <w:bottom w:val="single" w:sz="8" w:space="0" w:color="auto"/>
              <w:right w:val="dotted" w:sz="4" w:space="0" w:color="auto"/>
            </w:tcBorders>
            <w:vAlign w:val="bottom"/>
          </w:tcPr>
          <w:p w14:paraId="78A4DABC" w14:textId="466C2CD8" w:rsidR="00FC196C" w:rsidRPr="00B16BFC" w:rsidRDefault="00FC196C" w:rsidP="00FC196C">
            <w:pPr>
              <w:keepNext/>
              <w:keepLines/>
              <w:spacing w:before="79" w:after="28"/>
              <w:jc w:val="center"/>
              <w:rPr>
                <w:rFonts w:ascii="Arial" w:hAnsi="Arial" w:cs="Arial"/>
                <w:b/>
                <w:sz w:val="20"/>
              </w:rPr>
            </w:pPr>
            <w:r w:rsidRPr="00B16BFC">
              <w:rPr>
                <w:rFonts w:ascii="Arial" w:hAnsi="Arial" w:cs="Arial"/>
                <w:b/>
                <w:bCs/>
                <w:sz w:val="20"/>
                <w:szCs w:val="20"/>
              </w:rPr>
              <w:t>25,9</w:t>
            </w:r>
          </w:p>
        </w:tc>
        <w:tc>
          <w:tcPr>
            <w:tcW w:w="2520" w:type="dxa"/>
            <w:tcBorders>
              <w:top w:val="single" w:sz="12" w:space="0" w:color="auto"/>
              <w:left w:val="dotted" w:sz="4" w:space="0" w:color="auto"/>
              <w:bottom w:val="single" w:sz="8" w:space="0" w:color="auto"/>
            </w:tcBorders>
            <w:vAlign w:val="bottom"/>
          </w:tcPr>
          <w:p w14:paraId="67685B46" w14:textId="2B8E5464" w:rsidR="00FC196C" w:rsidRPr="00B16BFC" w:rsidRDefault="00FC196C" w:rsidP="00FC196C">
            <w:pPr>
              <w:keepNext/>
              <w:keepLines/>
              <w:spacing w:before="79" w:after="28"/>
              <w:jc w:val="center"/>
              <w:rPr>
                <w:rFonts w:ascii="Arial" w:hAnsi="Arial" w:cs="Arial"/>
                <w:sz w:val="20"/>
              </w:rPr>
            </w:pPr>
            <w:r w:rsidRPr="00B16BFC">
              <w:rPr>
                <w:rFonts w:ascii="Arial" w:hAnsi="Arial" w:cs="Arial"/>
                <w:sz w:val="20"/>
                <w:szCs w:val="20"/>
              </w:rPr>
              <w:t>30</w:t>
            </w:r>
          </w:p>
        </w:tc>
      </w:tr>
      <w:tr w:rsidR="00FC196C" w:rsidRPr="00B16BFC" w14:paraId="7DCFFC2D" w14:textId="77777777" w:rsidTr="001169BE">
        <w:trPr>
          <w:cantSplit/>
          <w:jc w:val="center"/>
        </w:trPr>
        <w:tc>
          <w:tcPr>
            <w:tcW w:w="1140" w:type="dxa"/>
            <w:tcBorders>
              <w:top w:val="single" w:sz="8" w:space="0" w:color="auto"/>
              <w:bottom w:val="dotted" w:sz="4" w:space="0" w:color="auto"/>
              <w:right w:val="single" w:sz="8" w:space="0" w:color="auto"/>
            </w:tcBorders>
            <w:vAlign w:val="bottom"/>
          </w:tcPr>
          <w:p w14:paraId="10377614" w14:textId="25DC1F28" w:rsidR="00FC196C" w:rsidRPr="00B16BFC" w:rsidRDefault="00FC196C" w:rsidP="00FC196C">
            <w:pPr>
              <w:keepNext/>
              <w:keepLines/>
              <w:spacing w:before="79" w:after="28"/>
              <w:jc w:val="center"/>
              <w:rPr>
                <w:rFonts w:ascii="Arial" w:hAnsi="Arial" w:cs="Arial"/>
                <w:sz w:val="20"/>
              </w:rPr>
            </w:pPr>
            <w:r w:rsidRPr="00B16BFC">
              <w:rPr>
                <w:rFonts w:ascii="Arial" w:hAnsi="Arial" w:cs="Arial"/>
                <w:sz w:val="20"/>
                <w:szCs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14:paraId="3AB99B62" w14:textId="77777777" w:rsidR="00FC196C" w:rsidRPr="00B16BFC" w:rsidRDefault="00FC196C" w:rsidP="00FC196C">
            <w:pPr>
              <w:keepNext/>
              <w:keepLines/>
              <w:spacing w:before="79" w:after="28"/>
              <w:jc w:val="center"/>
              <w:rPr>
                <w:rFonts w:ascii="Arial" w:hAnsi="Arial" w:cs="Arial"/>
                <w:sz w:val="20"/>
              </w:rPr>
            </w:pPr>
            <w:r w:rsidRPr="00B16BFC">
              <w:rPr>
                <w:rFonts w:ascii="Arial" w:hAnsi="Arial"/>
                <w:sz w:val="20"/>
              </w:rPr>
              <w:t>0,43</w:t>
            </w:r>
          </w:p>
        </w:tc>
        <w:tc>
          <w:tcPr>
            <w:tcW w:w="2700" w:type="dxa"/>
            <w:tcBorders>
              <w:top w:val="single" w:sz="8" w:space="0" w:color="auto"/>
              <w:left w:val="dotted" w:sz="4" w:space="0" w:color="auto"/>
              <w:bottom w:val="dotted" w:sz="4" w:space="0" w:color="auto"/>
              <w:right w:val="dotted" w:sz="4" w:space="0" w:color="auto"/>
            </w:tcBorders>
            <w:vAlign w:val="center"/>
          </w:tcPr>
          <w:p w14:paraId="7D8AC854" w14:textId="77777777" w:rsidR="00FC196C" w:rsidRPr="00B16BFC" w:rsidRDefault="00FC196C" w:rsidP="00FC196C">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14:paraId="50343487" w14:textId="7AD654EC" w:rsidR="00FC196C" w:rsidRPr="00B16BFC" w:rsidRDefault="00FC196C" w:rsidP="00FC196C">
            <w:pPr>
              <w:keepNext/>
              <w:keepLines/>
              <w:spacing w:before="79" w:after="28"/>
              <w:jc w:val="center"/>
              <w:rPr>
                <w:rFonts w:ascii="Arial" w:hAnsi="Arial" w:cs="Arial"/>
                <w:sz w:val="20"/>
              </w:rPr>
            </w:pPr>
            <w:r w:rsidRPr="00B16BFC">
              <w:rPr>
                <w:rFonts w:ascii="Arial" w:hAnsi="Arial"/>
                <w:sz w:val="20"/>
              </w:rPr>
              <w:t>0,46</w:t>
            </w:r>
          </w:p>
        </w:tc>
      </w:tr>
      <w:tr w:rsidR="00FC196C" w:rsidRPr="00B16BFC" w14:paraId="63AB6ED0" w14:textId="77777777" w:rsidTr="00973C7A">
        <w:trPr>
          <w:cantSplit/>
          <w:jc w:val="center"/>
        </w:trPr>
        <w:tc>
          <w:tcPr>
            <w:tcW w:w="1140" w:type="dxa"/>
            <w:tcBorders>
              <w:top w:val="dotted" w:sz="4" w:space="0" w:color="auto"/>
              <w:bottom w:val="dotted" w:sz="4" w:space="0" w:color="auto"/>
              <w:right w:val="single" w:sz="8" w:space="0" w:color="auto"/>
            </w:tcBorders>
            <w:vAlign w:val="center"/>
          </w:tcPr>
          <w:p w14:paraId="2F0A4216" w14:textId="175F63DB" w:rsidR="00FC196C" w:rsidRPr="00B16BFC" w:rsidRDefault="00FC196C" w:rsidP="00FC196C">
            <w:pPr>
              <w:keepNext/>
              <w:keepLines/>
              <w:spacing w:before="79" w:after="28"/>
              <w:jc w:val="center"/>
              <w:rPr>
                <w:rFonts w:ascii="Arial" w:hAnsi="Arial" w:cs="Arial"/>
                <w:sz w:val="20"/>
              </w:rPr>
            </w:pPr>
            <w:r w:rsidRPr="00B16BFC">
              <w:rPr>
                <w:rFonts w:ascii="Arial" w:hAnsi="Arial" w:cs="Arial"/>
                <w:b/>
                <w:bCs/>
                <w:sz w:val="20"/>
                <w:szCs w:val="20"/>
              </w:rPr>
              <w:t>5173,5</w:t>
            </w:r>
          </w:p>
        </w:tc>
        <w:tc>
          <w:tcPr>
            <w:tcW w:w="2640" w:type="dxa"/>
            <w:tcBorders>
              <w:top w:val="dotted" w:sz="4" w:space="0" w:color="auto"/>
              <w:left w:val="single" w:sz="8" w:space="0" w:color="auto"/>
              <w:bottom w:val="dotted" w:sz="4" w:space="0" w:color="auto"/>
              <w:right w:val="dotted" w:sz="4" w:space="0" w:color="auto"/>
            </w:tcBorders>
            <w:vAlign w:val="center"/>
          </w:tcPr>
          <w:p w14:paraId="379603A9" w14:textId="6F0CA50F" w:rsidR="00FC196C" w:rsidRPr="00B16BFC" w:rsidRDefault="00FC196C" w:rsidP="00FC196C">
            <w:pPr>
              <w:keepNext/>
              <w:keepLines/>
              <w:spacing w:before="79"/>
              <w:jc w:val="center"/>
              <w:rPr>
                <w:rFonts w:ascii="Arial" w:hAnsi="Arial" w:cs="Arial"/>
                <w:sz w:val="20"/>
              </w:rPr>
            </w:pPr>
            <w:r w:rsidRPr="00B16BFC">
              <w:rPr>
                <w:rFonts w:ascii="Arial" w:hAnsi="Arial" w:cs="Arial"/>
                <w:sz w:val="20"/>
              </w:rPr>
              <w:t>cca 0,423</w:t>
            </w:r>
          </w:p>
          <w:p w14:paraId="111730AE" w14:textId="7D42289D" w:rsidR="00FC196C" w:rsidRPr="00B16BFC" w:rsidRDefault="00FC196C" w:rsidP="00FC196C">
            <w:pPr>
              <w:keepNext/>
              <w:keepLines/>
              <w:spacing w:before="79"/>
              <w:jc w:val="center"/>
              <w:rPr>
                <w:rFonts w:ascii="Arial" w:hAnsi="Arial" w:cs="Arial"/>
                <w:sz w:val="20"/>
              </w:rPr>
            </w:pPr>
            <w:r w:rsidRPr="00B16BFC">
              <w:rPr>
                <w:rFonts w:ascii="Arial" w:hAnsi="Arial" w:cs="Arial"/>
                <w:sz w:val="20"/>
              </w:rPr>
              <w:t>=0,43-(</w:t>
            </w:r>
            <w:r w:rsidRPr="00B16BFC">
              <w:rPr>
                <w:rFonts w:ascii="Arial" w:hAnsi="Arial" w:cs="Arial"/>
                <w:sz w:val="20"/>
                <w:szCs w:val="28"/>
              </w:rPr>
              <w:t>5173,5</w:t>
            </w:r>
          </w:p>
          <w:p w14:paraId="41B34539" w14:textId="77777777" w:rsidR="00FC196C" w:rsidRPr="00B16BFC" w:rsidRDefault="00FC196C" w:rsidP="00FC196C">
            <w:pPr>
              <w:keepNext/>
              <w:keepLines/>
              <w:spacing w:after="28"/>
              <w:jc w:val="center"/>
              <w:rPr>
                <w:rFonts w:ascii="Arial" w:hAnsi="Arial" w:cs="Arial"/>
                <w:sz w:val="20"/>
              </w:rPr>
            </w:pPr>
            <w:r w:rsidRPr="00B16BFC">
              <w:rPr>
                <w:rFonts w:ascii="Arial" w:hAnsi="Arial" w:cs="Arial"/>
                <w:sz w:val="20"/>
              </w:rPr>
              <w:t xml:space="preserve">-5000) / (5500-5000) * </w:t>
            </w:r>
          </w:p>
          <w:p w14:paraId="15737686" w14:textId="77777777" w:rsidR="00FC196C" w:rsidRPr="00B16BFC" w:rsidRDefault="00FC196C" w:rsidP="00FC196C">
            <w:pPr>
              <w:keepNext/>
              <w:keepLines/>
              <w:spacing w:after="28"/>
              <w:jc w:val="center"/>
              <w:rPr>
                <w:rFonts w:ascii="Arial" w:hAnsi="Arial" w:cs="Arial"/>
                <w:sz w:val="20"/>
              </w:rPr>
            </w:pPr>
            <w:r w:rsidRPr="00B16BFC">
              <w:rPr>
                <w:rFonts w:ascii="Arial" w:hAnsi="Arial" w:cs="Arial"/>
                <w:sz w:val="20"/>
              </w:rPr>
              <w:t>(0,43-0,41)</w:t>
            </w:r>
          </w:p>
        </w:tc>
        <w:tc>
          <w:tcPr>
            <w:tcW w:w="2700" w:type="dxa"/>
            <w:tcBorders>
              <w:top w:val="dotted" w:sz="4" w:space="0" w:color="auto"/>
              <w:left w:val="dotted" w:sz="4" w:space="0" w:color="auto"/>
              <w:bottom w:val="dotted" w:sz="4" w:space="0" w:color="auto"/>
              <w:right w:val="dotted" w:sz="4" w:space="0" w:color="auto"/>
            </w:tcBorders>
            <w:vAlign w:val="center"/>
          </w:tcPr>
          <w:p w14:paraId="0996ABDB" w14:textId="62F0E294" w:rsidR="00FC196C" w:rsidRPr="00B16BFC" w:rsidRDefault="00FC196C" w:rsidP="00FC196C">
            <w:pPr>
              <w:keepNext/>
              <w:keepLines/>
              <w:spacing w:before="79"/>
              <w:jc w:val="center"/>
              <w:rPr>
                <w:rFonts w:ascii="Arial" w:hAnsi="Arial" w:cs="Arial"/>
                <w:b/>
                <w:bCs/>
                <w:sz w:val="20"/>
              </w:rPr>
            </w:pPr>
            <w:r w:rsidRPr="00B16BFC">
              <w:rPr>
                <w:rFonts w:ascii="Arial" w:hAnsi="Arial" w:cs="Arial"/>
                <w:b/>
                <w:bCs/>
                <w:sz w:val="20"/>
              </w:rPr>
              <w:t>cca 0,428</w:t>
            </w:r>
          </w:p>
          <w:p w14:paraId="744B945F" w14:textId="050E7970" w:rsidR="00FC196C" w:rsidRPr="00B16BFC" w:rsidRDefault="00FC196C" w:rsidP="005F318D">
            <w:pPr>
              <w:keepNext/>
              <w:keepLines/>
              <w:spacing w:after="28"/>
              <w:jc w:val="center"/>
              <w:rPr>
                <w:rFonts w:ascii="Arial" w:hAnsi="Arial" w:cs="Arial"/>
                <w:sz w:val="20"/>
              </w:rPr>
            </w:pPr>
            <w:r w:rsidRPr="00B16BFC">
              <w:rPr>
                <w:rFonts w:ascii="Arial" w:hAnsi="Arial" w:cs="Arial"/>
                <w:b/>
                <w:bCs/>
                <w:sz w:val="20"/>
              </w:rPr>
              <w:t>=0,4</w:t>
            </w:r>
            <w:r w:rsidR="005F318D" w:rsidRPr="00B16BFC">
              <w:rPr>
                <w:rFonts w:ascii="Arial" w:hAnsi="Arial" w:cs="Arial"/>
                <w:b/>
                <w:bCs/>
                <w:sz w:val="20"/>
              </w:rPr>
              <w:t>23</w:t>
            </w:r>
            <w:r w:rsidRPr="00B16BFC">
              <w:rPr>
                <w:rFonts w:ascii="Arial" w:hAnsi="Arial" w:cs="Arial"/>
                <w:b/>
                <w:bCs/>
                <w:sz w:val="20"/>
              </w:rPr>
              <w:t>+(</w:t>
            </w:r>
            <w:r w:rsidRPr="00B16BFC">
              <w:rPr>
                <w:rFonts w:ascii="Arial" w:hAnsi="Arial" w:cs="Arial"/>
                <w:b/>
                <w:bCs/>
                <w:sz w:val="20"/>
                <w:szCs w:val="20"/>
              </w:rPr>
              <w:t>2</w:t>
            </w:r>
            <w:r w:rsidR="005F318D" w:rsidRPr="00B16BFC">
              <w:rPr>
                <w:rFonts w:ascii="Arial" w:hAnsi="Arial" w:cs="Arial"/>
                <w:b/>
                <w:bCs/>
                <w:sz w:val="20"/>
                <w:szCs w:val="20"/>
              </w:rPr>
              <w:t>5,9</w:t>
            </w:r>
            <w:r w:rsidRPr="00B16BFC">
              <w:rPr>
                <w:rFonts w:ascii="Arial" w:hAnsi="Arial" w:cs="Arial"/>
                <w:b/>
                <w:bCs/>
                <w:sz w:val="20"/>
              </w:rPr>
              <w:t>-</w:t>
            </w:r>
            <w:r w:rsidRPr="00B16BFC">
              <w:rPr>
                <w:rFonts w:ascii="Arial" w:hAnsi="Arial" w:cs="Arial"/>
                <w:b/>
                <w:sz w:val="20"/>
                <w:szCs w:val="20"/>
              </w:rPr>
              <w:t>25</w:t>
            </w:r>
            <w:r w:rsidRPr="00B16BFC">
              <w:rPr>
                <w:rFonts w:ascii="Arial" w:hAnsi="Arial" w:cs="Arial"/>
                <w:b/>
                <w:bCs/>
                <w:sz w:val="20"/>
              </w:rPr>
              <w:t>) / (</w:t>
            </w:r>
            <w:r w:rsidRPr="00B16BFC">
              <w:rPr>
                <w:rFonts w:ascii="Arial" w:hAnsi="Arial" w:cs="Arial"/>
                <w:b/>
                <w:sz w:val="20"/>
                <w:szCs w:val="20"/>
              </w:rPr>
              <w:t>30</w:t>
            </w:r>
            <w:r w:rsidRPr="00B16BFC">
              <w:rPr>
                <w:rFonts w:ascii="Arial" w:hAnsi="Arial" w:cs="Arial"/>
                <w:b/>
                <w:bCs/>
                <w:sz w:val="20"/>
              </w:rPr>
              <w:t>-</w:t>
            </w:r>
            <w:r w:rsidRPr="00B16BFC">
              <w:rPr>
                <w:rFonts w:ascii="Arial" w:hAnsi="Arial"/>
                <w:b/>
                <w:sz w:val="20"/>
              </w:rPr>
              <w:t>25</w:t>
            </w:r>
            <w:r w:rsidRPr="00B16BFC">
              <w:rPr>
                <w:rFonts w:ascii="Arial" w:hAnsi="Arial" w:cs="Arial"/>
                <w:b/>
                <w:bCs/>
                <w:sz w:val="20"/>
              </w:rPr>
              <w:t>)* (</w:t>
            </w:r>
            <w:r w:rsidRPr="00B16BFC">
              <w:rPr>
                <w:rFonts w:ascii="Arial" w:hAnsi="Arial"/>
                <w:b/>
                <w:sz w:val="20"/>
              </w:rPr>
              <w:t>0,441</w:t>
            </w:r>
            <w:r w:rsidRPr="00B16BFC">
              <w:rPr>
                <w:rFonts w:ascii="Arial" w:hAnsi="Arial" w:cs="Arial"/>
                <w:b/>
                <w:bCs/>
                <w:sz w:val="20"/>
              </w:rPr>
              <w:t>-0,4</w:t>
            </w:r>
            <w:r w:rsidR="005F318D" w:rsidRPr="00B16BFC">
              <w:rPr>
                <w:rFonts w:ascii="Arial" w:hAnsi="Arial" w:cs="Arial"/>
                <w:b/>
                <w:bCs/>
                <w:sz w:val="20"/>
              </w:rPr>
              <w:t>23</w:t>
            </w:r>
            <w:r w:rsidRPr="00B16BFC">
              <w:rPr>
                <w:rFonts w:ascii="Arial" w:hAnsi="Arial" w:cs="Arial"/>
                <w:b/>
                <w:bCs/>
                <w:sz w:val="20"/>
              </w:rPr>
              <w:t>)</w:t>
            </w:r>
          </w:p>
        </w:tc>
        <w:tc>
          <w:tcPr>
            <w:tcW w:w="2520" w:type="dxa"/>
            <w:tcBorders>
              <w:top w:val="dotted" w:sz="4" w:space="0" w:color="auto"/>
              <w:left w:val="dotted" w:sz="4" w:space="0" w:color="auto"/>
              <w:bottom w:val="dotted" w:sz="4" w:space="0" w:color="auto"/>
            </w:tcBorders>
            <w:vAlign w:val="center"/>
          </w:tcPr>
          <w:p w14:paraId="1287F9F9" w14:textId="7A96CD13" w:rsidR="00FC196C" w:rsidRPr="00B16BFC" w:rsidRDefault="00FC196C" w:rsidP="00FC196C">
            <w:pPr>
              <w:keepNext/>
              <w:keepLines/>
              <w:spacing w:before="79"/>
              <w:jc w:val="center"/>
              <w:rPr>
                <w:rFonts w:ascii="Arial" w:hAnsi="Arial" w:cs="Arial"/>
                <w:sz w:val="20"/>
              </w:rPr>
            </w:pPr>
            <w:r w:rsidRPr="00B16BFC">
              <w:rPr>
                <w:rFonts w:ascii="Arial" w:hAnsi="Arial" w:cs="Arial"/>
                <w:sz w:val="20"/>
              </w:rPr>
              <w:t>cca 0,4</w:t>
            </w:r>
            <w:r w:rsidR="005F318D" w:rsidRPr="00B16BFC">
              <w:rPr>
                <w:rFonts w:ascii="Arial" w:hAnsi="Arial" w:cs="Arial"/>
                <w:sz w:val="20"/>
              </w:rPr>
              <w:t>53</w:t>
            </w:r>
          </w:p>
          <w:p w14:paraId="058D89DF" w14:textId="154BAFB6" w:rsidR="00FC196C" w:rsidRPr="00B16BFC" w:rsidRDefault="005F318D" w:rsidP="00FC196C">
            <w:pPr>
              <w:keepNext/>
              <w:keepLines/>
              <w:spacing w:before="79"/>
              <w:jc w:val="center"/>
              <w:rPr>
                <w:rFonts w:ascii="Arial" w:hAnsi="Arial" w:cs="Arial"/>
                <w:sz w:val="20"/>
              </w:rPr>
            </w:pPr>
            <w:r w:rsidRPr="00B16BFC">
              <w:rPr>
                <w:rFonts w:ascii="Arial" w:hAnsi="Arial" w:cs="Arial"/>
                <w:sz w:val="20"/>
              </w:rPr>
              <w:t>=0,46</w:t>
            </w:r>
            <w:r w:rsidR="00FC196C" w:rsidRPr="00B16BFC">
              <w:rPr>
                <w:rFonts w:ascii="Arial" w:hAnsi="Arial" w:cs="Arial"/>
                <w:sz w:val="20"/>
              </w:rPr>
              <w:t>-(</w:t>
            </w:r>
            <w:r w:rsidRPr="00B16BFC">
              <w:rPr>
                <w:rFonts w:ascii="Arial" w:hAnsi="Arial" w:cs="Arial"/>
                <w:sz w:val="20"/>
                <w:szCs w:val="28"/>
              </w:rPr>
              <w:t>5173,5</w:t>
            </w:r>
          </w:p>
          <w:p w14:paraId="21EEDD45" w14:textId="24172838" w:rsidR="00FC196C" w:rsidRPr="00B16BFC" w:rsidRDefault="00FC196C" w:rsidP="00FC196C">
            <w:pPr>
              <w:keepNext/>
              <w:keepLines/>
              <w:spacing w:before="79"/>
              <w:jc w:val="center"/>
              <w:rPr>
                <w:rFonts w:ascii="Arial" w:hAnsi="Arial" w:cs="Arial"/>
                <w:sz w:val="20"/>
              </w:rPr>
            </w:pPr>
            <w:r w:rsidRPr="00B16BFC">
              <w:rPr>
                <w:rFonts w:ascii="Arial" w:hAnsi="Arial" w:cs="Arial"/>
                <w:sz w:val="20"/>
              </w:rPr>
              <w:t xml:space="preserve">-5000) / (5500-5000) * </w:t>
            </w:r>
            <w:r w:rsidR="005F318D" w:rsidRPr="00B16BFC">
              <w:rPr>
                <w:rFonts w:ascii="Arial" w:hAnsi="Arial" w:cs="Arial"/>
                <w:sz w:val="20"/>
              </w:rPr>
              <w:t>(0,46</w:t>
            </w:r>
            <w:r w:rsidRPr="00B16BFC">
              <w:rPr>
                <w:rFonts w:ascii="Arial" w:hAnsi="Arial" w:cs="Arial"/>
                <w:sz w:val="20"/>
              </w:rPr>
              <w:t>-0,43)</w:t>
            </w:r>
          </w:p>
        </w:tc>
      </w:tr>
      <w:tr w:rsidR="00FC196C" w:rsidRPr="00B16BFC" w14:paraId="793382A1" w14:textId="77777777" w:rsidTr="00973C7A">
        <w:trPr>
          <w:cantSplit/>
          <w:jc w:val="center"/>
        </w:trPr>
        <w:tc>
          <w:tcPr>
            <w:tcW w:w="1140" w:type="dxa"/>
            <w:tcBorders>
              <w:top w:val="dotted" w:sz="4" w:space="0" w:color="auto"/>
              <w:bottom w:val="single" w:sz="12" w:space="0" w:color="auto"/>
              <w:right w:val="single" w:sz="8" w:space="0" w:color="auto"/>
            </w:tcBorders>
            <w:vAlign w:val="center"/>
          </w:tcPr>
          <w:p w14:paraId="42C71E18" w14:textId="77777777" w:rsidR="00FC196C" w:rsidRPr="00B16BFC" w:rsidRDefault="00FC196C" w:rsidP="00FC196C">
            <w:pPr>
              <w:keepNext/>
              <w:keepLines/>
              <w:spacing w:before="79" w:after="28"/>
              <w:jc w:val="center"/>
              <w:rPr>
                <w:rFonts w:ascii="Arial" w:hAnsi="Arial" w:cs="Arial"/>
                <w:sz w:val="20"/>
              </w:rPr>
            </w:pPr>
            <w:r w:rsidRPr="00B16BFC">
              <w:rPr>
                <w:rFonts w:ascii="Arial" w:hAnsi="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14:paraId="6BDA5436" w14:textId="77777777" w:rsidR="00FC196C" w:rsidRPr="00B16BFC" w:rsidRDefault="00FC196C" w:rsidP="00FC196C">
            <w:pPr>
              <w:keepNext/>
              <w:keepLines/>
              <w:spacing w:before="79" w:after="28"/>
              <w:jc w:val="center"/>
              <w:rPr>
                <w:rFonts w:ascii="Arial" w:hAnsi="Arial" w:cs="Arial"/>
                <w:sz w:val="20"/>
              </w:rPr>
            </w:pPr>
            <w:r w:rsidRPr="00B16BFC">
              <w:rPr>
                <w:rFonts w:ascii="Arial" w:hAnsi="Arial"/>
                <w:sz w:val="20"/>
              </w:rPr>
              <w:t>0,41</w:t>
            </w:r>
          </w:p>
        </w:tc>
        <w:tc>
          <w:tcPr>
            <w:tcW w:w="2700" w:type="dxa"/>
            <w:tcBorders>
              <w:top w:val="dotted" w:sz="4" w:space="0" w:color="auto"/>
              <w:left w:val="dotted" w:sz="4" w:space="0" w:color="auto"/>
              <w:bottom w:val="single" w:sz="12" w:space="0" w:color="auto"/>
              <w:right w:val="dotted" w:sz="4" w:space="0" w:color="auto"/>
            </w:tcBorders>
            <w:vAlign w:val="center"/>
          </w:tcPr>
          <w:p w14:paraId="31DD7F20" w14:textId="77777777" w:rsidR="00FC196C" w:rsidRPr="00B16BFC" w:rsidRDefault="00FC196C" w:rsidP="00FC196C">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14:paraId="1962AA7F" w14:textId="213791F7" w:rsidR="00FC196C" w:rsidRPr="00B16BFC" w:rsidRDefault="00FC196C" w:rsidP="00FC196C">
            <w:pPr>
              <w:keepNext/>
              <w:keepLines/>
              <w:spacing w:before="79" w:after="28"/>
              <w:jc w:val="center"/>
              <w:rPr>
                <w:rFonts w:ascii="Arial" w:hAnsi="Arial" w:cs="Arial"/>
                <w:sz w:val="20"/>
              </w:rPr>
            </w:pPr>
            <w:r w:rsidRPr="00B16BFC">
              <w:rPr>
                <w:rFonts w:ascii="Arial" w:hAnsi="Arial"/>
                <w:sz w:val="20"/>
              </w:rPr>
              <w:t>0,44</w:t>
            </w:r>
          </w:p>
        </w:tc>
      </w:tr>
    </w:tbl>
    <w:p w14:paraId="4827590B" w14:textId="4DF63E72" w:rsidR="007E4F76" w:rsidRPr="00B16BFC" w:rsidRDefault="007E4F76" w:rsidP="007E4F76">
      <w:pPr>
        <w:widowControl w:val="0"/>
        <w:spacing w:before="840"/>
        <w:jc w:val="both"/>
        <w:rPr>
          <w:rFonts w:ascii="Arial" w:hAnsi="Arial" w:cs="Arial"/>
          <w:sz w:val="20"/>
        </w:rPr>
      </w:pPr>
      <w:r w:rsidRPr="00B16BFC">
        <w:rPr>
          <w:rFonts w:ascii="Arial" w:hAnsi="Arial" w:cs="Arial"/>
          <w:sz w:val="20"/>
        </w:rPr>
        <w:t xml:space="preserve">Tzn., že s 95% pravděpodobností nebylo zaměstnaných ve zpracovatelském průmyslu méně než </w:t>
      </w:r>
      <w:r w:rsidR="00907A69" w:rsidRPr="00B16BFC">
        <w:rPr>
          <w:rFonts w:ascii="Arial" w:hAnsi="Arial" w:cs="Arial"/>
          <w:sz w:val="20"/>
        </w:rPr>
        <w:t>25,9</w:t>
      </w:r>
      <w:r w:rsidRPr="00B16BFC">
        <w:rPr>
          <w:rFonts w:ascii="Arial" w:hAnsi="Arial" w:cs="Arial"/>
          <w:sz w:val="20"/>
        </w:rPr>
        <w:t> %</w:t>
      </w:r>
      <w:r w:rsidR="004B55CB" w:rsidRPr="00B16BFC">
        <w:rPr>
          <w:rFonts w:ascii="Arial" w:hAnsi="Arial" w:cs="Arial"/>
          <w:sz w:val="20"/>
        </w:rPr>
        <w:t> </w:t>
      </w:r>
      <w:r w:rsidRPr="00B16BFC">
        <w:rPr>
          <w:rFonts w:ascii="Arial" w:hAnsi="Arial" w:cs="Arial"/>
          <w:sz w:val="20"/>
        </w:rPr>
        <w:t>-</w:t>
      </w:r>
      <w:r w:rsidR="004B55CB" w:rsidRPr="00B16BFC">
        <w:rPr>
          <w:rFonts w:ascii="Arial" w:hAnsi="Arial" w:cs="Arial"/>
          <w:sz w:val="20"/>
        </w:rPr>
        <w:t> </w:t>
      </w:r>
      <w:r w:rsidRPr="00B16BFC">
        <w:rPr>
          <w:rFonts w:ascii="Arial" w:hAnsi="Arial" w:cs="Arial"/>
          <w:sz w:val="20"/>
        </w:rPr>
        <w:t>cca 0,4</w:t>
      </w:r>
      <w:r w:rsidR="00907A69" w:rsidRPr="00B16BFC">
        <w:rPr>
          <w:rFonts w:ascii="Arial" w:hAnsi="Arial" w:cs="Arial"/>
          <w:sz w:val="20"/>
        </w:rPr>
        <w:t>28</w:t>
      </w:r>
      <w:r w:rsidRPr="00B16BFC">
        <w:rPr>
          <w:rFonts w:ascii="Arial" w:hAnsi="Arial" w:cs="Arial"/>
          <w:sz w:val="20"/>
        </w:rPr>
        <w:t> % (</w:t>
      </w:r>
      <w:r w:rsidR="00907A69" w:rsidRPr="00B16BFC">
        <w:rPr>
          <w:rFonts w:ascii="Arial" w:hAnsi="Arial" w:cs="Arial"/>
          <w:sz w:val="20"/>
        </w:rPr>
        <w:t>1317,6</w:t>
      </w:r>
      <w:r w:rsidR="00EF74CD" w:rsidRPr="00B16BFC">
        <w:rPr>
          <w:rFonts w:ascii="Arial" w:hAnsi="Arial" w:cs="Arial"/>
          <w:sz w:val="20"/>
        </w:rPr>
        <w:t xml:space="preserve"> </w:t>
      </w:r>
      <w:r w:rsidRPr="00B16BFC">
        <w:rPr>
          <w:rFonts w:ascii="Arial" w:hAnsi="Arial" w:cs="Arial"/>
          <w:sz w:val="20"/>
        </w:rPr>
        <w:t xml:space="preserve">tis.) a více než </w:t>
      </w:r>
      <w:r w:rsidR="00907A69" w:rsidRPr="00B16BFC">
        <w:rPr>
          <w:rFonts w:ascii="Arial" w:hAnsi="Arial" w:cs="Arial"/>
          <w:sz w:val="20"/>
        </w:rPr>
        <w:t>25,9</w:t>
      </w:r>
      <w:r w:rsidRPr="00B16BFC">
        <w:rPr>
          <w:rFonts w:ascii="Arial" w:hAnsi="Arial" w:cs="Arial"/>
          <w:sz w:val="20"/>
        </w:rPr>
        <w:t xml:space="preserve"> %</w:t>
      </w:r>
      <w:r w:rsidR="004B55CB" w:rsidRPr="00B16BFC">
        <w:rPr>
          <w:rFonts w:ascii="Arial" w:hAnsi="Arial" w:cs="Arial"/>
          <w:sz w:val="20"/>
        </w:rPr>
        <w:t> + </w:t>
      </w:r>
      <w:r w:rsidRPr="00B16BFC">
        <w:rPr>
          <w:rFonts w:ascii="Arial" w:hAnsi="Arial" w:cs="Arial"/>
          <w:sz w:val="20"/>
        </w:rPr>
        <w:t>cca 0,4</w:t>
      </w:r>
      <w:r w:rsidR="00AD46DC" w:rsidRPr="00B16BFC">
        <w:rPr>
          <w:rFonts w:ascii="Arial" w:hAnsi="Arial" w:cs="Arial"/>
          <w:sz w:val="20"/>
        </w:rPr>
        <w:t>2</w:t>
      </w:r>
      <w:r w:rsidR="00907A69" w:rsidRPr="00B16BFC">
        <w:rPr>
          <w:rFonts w:ascii="Arial" w:hAnsi="Arial" w:cs="Arial"/>
          <w:sz w:val="20"/>
        </w:rPr>
        <w:t>8</w:t>
      </w:r>
      <w:r w:rsidRPr="00B16BFC">
        <w:rPr>
          <w:rFonts w:ascii="Arial" w:hAnsi="Arial" w:cs="Arial"/>
          <w:sz w:val="20"/>
        </w:rPr>
        <w:t> % (</w:t>
      </w:r>
      <w:r w:rsidR="00907A69" w:rsidRPr="00B16BFC">
        <w:rPr>
          <w:rFonts w:ascii="Arial" w:hAnsi="Arial" w:cs="Arial"/>
          <w:sz w:val="20"/>
        </w:rPr>
        <w:t>1362,0</w:t>
      </w:r>
      <w:r w:rsidR="00DD70EC" w:rsidRPr="00B16BFC">
        <w:rPr>
          <w:rFonts w:ascii="Arial" w:hAnsi="Arial" w:cs="Arial"/>
          <w:sz w:val="20"/>
        </w:rPr>
        <w:t> </w:t>
      </w:r>
      <w:r w:rsidRPr="00B16BFC">
        <w:rPr>
          <w:rFonts w:ascii="Arial" w:hAnsi="Arial" w:cs="Arial"/>
          <w:sz w:val="20"/>
        </w:rPr>
        <w:t>tis.).</w:t>
      </w:r>
    </w:p>
    <w:p w14:paraId="288FCCE5" w14:textId="40A49C56"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16BFC">
        <w:rPr>
          <w:rFonts w:ascii="Arial" w:hAnsi="Arial" w:cs="Arial"/>
          <w:sz w:val="20"/>
          <w:szCs w:val="28"/>
        </w:rPr>
        <w:t xml:space="preserve">Pro srovnání: Dosazením do uvedeného vzorce získáme </w:t>
      </w:r>
      <w:r w:rsidR="00907A69" w:rsidRPr="00B16BFC">
        <w:rPr>
          <w:rFonts w:ascii="Arial" w:hAnsi="Arial" w:cs="Arial"/>
          <w:sz w:val="20"/>
          <w:szCs w:val="28"/>
        </w:rPr>
        <w:t>stejný</w:t>
      </w:r>
      <w:r w:rsidR="00AF21E0" w:rsidRPr="00B16BFC">
        <w:rPr>
          <w:rFonts w:ascii="Arial" w:hAnsi="Arial" w:cs="Arial"/>
          <w:sz w:val="20"/>
          <w:szCs w:val="28"/>
        </w:rPr>
        <w:t xml:space="preserve"> </w:t>
      </w:r>
      <w:r w:rsidRPr="00B16BFC">
        <w:rPr>
          <w:rFonts w:ascii="Arial" w:hAnsi="Arial" w:cs="Arial"/>
          <w:sz w:val="20"/>
          <w:szCs w:val="28"/>
        </w:rPr>
        <w:t xml:space="preserve">interval od </w:t>
      </w:r>
      <w:r w:rsidR="00907A69" w:rsidRPr="00B16BFC">
        <w:rPr>
          <w:rFonts w:ascii="Arial" w:hAnsi="Arial" w:cs="Arial"/>
          <w:sz w:val="20"/>
        </w:rPr>
        <w:t>1317,6</w:t>
      </w:r>
      <w:r w:rsidR="00DD70EC" w:rsidRPr="00B16BFC">
        <w:rPr>
          <w:rFonts w:ascii="Arial" w:hAnsi="Arial" w:cs="Arial"/>
          <w:sz w:val="20"/>
        </w:rPr>
        <w:t xml:space="preserve"> do </w:t>
      </w:r>
      <w:r w:rsidR="00907A69" w:rsidRPr="00B16BFC">
        <w:rPr>
          <w:rFonts w:ascii="Arial" w:hAnsi="Arial" w:cs="Arial"/>
          <w:sz w:val="20"/>
        </w:rPr>
        <w:t>1362,0</w:t>
      </w:r>
      <w:r w:rsidRPr="00B16BFC">
        <w:rPr>
          <w:rFonts w:ascii="Arial" w:hAnsi="Arial" w:cs="Arial"/>
          <w:sz w:val="20"/>
          <w:szCs w:val="28"/>
        </w:rPr>
        <w:t>.</w:t>
      </w:r>
    </w:p>
    <w:p w14:paraId="2FB43520" w14:textId="77777777" w:rsidR="007E4F76" w:rsidRPr="00B16BFC" w:rsidRDefault="007E4F76" w:rsidP="007E4F7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200"/>
        <w:jc w:val="both"/>
        <w:rPr>
          <w:rFonts w:ascii="Arial" w:hAnsi="Arial" w:cs="Arial"/>
          <w:sz w:val="20"/>
        </w:rPr>
      </w:pPr>
      <w:r w:rsidRPr="00B16BFC">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14:paraId="2F66CE7D" w14:textId="77777777" w:rsidR="007E4F76" w:rsidRPr="00B16BFC" w:rsidRDefault="007E4F76" w:rsidP="007E4F76">
      <w:pPr>
        <w:jc w:val="both"/>
        <w:rPr>
          <w:rFonts w:ascii="Arial" w:hAnsi="Arial"/>
          <w:sz w:val="20"/>
        </w:rPr>
      </w:pPr>
    </w:p>
    <w:p w14:paraId="160C5E4A" w14:textId="77777777" w:rsidR="004A24CC" w:rsidRPr="00B16BFC" w:rsidRDefault="007E4F76" w:rsidP="007E4F76">
      <w:pPr>
        <w:pStyle w:val="Nadpis5"/>
        <w:tabs>
          <w:tab w:val="clear" w:pos="-1076"/>
          <w:tab w:val="clear" w:pos="-720"/>
          <w:tab w:val="clear" w:pos="0"/>
          <w:tab w:val="clear" w:pos="720"/>
          <w:tab w:val="clear" w:pos="11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26"/>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0" w:firstLine="0"/>
        <w:jc w:val="both"/>
        <w:rPr>
          <w:rFonts w:cs="Arial"/>
          <w:sz w:val="20"/>
        </w:rPr>
      </w:pPr>
      <w:r w:rsidRPr="00B16BFC">
        <w:rPr>
          <w:b w:val="0"/>
          <w:bCs w:val="0"/>
          <w:i w:val="0"/>
          <w:iCs w:val="0"/>
          <w:sz w:val="20"/>
          <w:szCs w:val="24"/>
        </w:rPr>
        <w:t xml:space="preserve">V této kapitole jsme chtěli čtenáři podat </w:t>
      </w:r>
      <w:r w:rsidRPr="00B16BFC">
        <w:rPr>
          <w:bCs w:val="0"/>
          <w:i w:val="0"/>
          <w:iCs w:val="0"/>
          <w:sz w:val="20"/>
          <w:szCs w:val="24"/>
        </w:rPr>
        <w:t>přibližný návod, jak zhruba určit chybu, která vzniká vztažením charakteristik výběrového souboru na soubor základní</w:t>
      </w:r>
      <w:r w:rsidRPr="00B16BFC">
        <w:rPr>
          <w:b w:val="0"/>
          <w:bCs w:val="0"/>
          <w:i w:val="0"/>
          <w:iCs w:val="0"/>
          <w:sz w:val="20"/>
          <w:szCs w:val="24"/>
        </w:rPr>
        <w:t>.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14:paraId="7389FE4B" w14:textId="77777777" w:rsidR="004A24CC" w:rsidRDefault="00917C71" w:rsidP="003B6EEE">
      <w:pPr>
        <w:pStyle w:val="Nadpis5"/>
        <w:tabs>
          <w:tab w:val="clear" w:pos="-1076"/>
          <w:tab w:val="clear" w:pos="-720"/>
          <w:tab w:val="clear" w:pos="0"/>
          <w:tab w:val="clear" w:pos="720"/>
          <w:tab w:val="clear" w:pos="11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26"/>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720"/>
        <w:jc w:val="both"/>
      </w:pPr>
      <w:r w:rsidRPr="00B16BFC">
        <w:t>Použité zdroje a číselníky</w:t>
      </w:r>
    </w:p>
    <w:p w14:paraId="0FED730B" w14:textId="77777777" w:rsidR="001359B4" w:rsidRDefault="00917C71" w:rsidP="001359B4">
      <w:pPr>
        <w:tabs>
          <w:tab w:val="left" w:pos="-1076"/>
          <w:tab w:val="left" w:pos="-720"/>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34" w:hanging="1134"/>
        <w:jc w:val="both"/>
        <w:rPr>
          <w:rFonts w:ascii="Arial" w:hAnsi="Arial"/>
          <w:sz w:val="20"/>
        </w:rPr>
      </w:pPr>
      <w:r w:rsidRPr="00EF6044">
        <w:rPr>
          <w:rFonts w:ascii="Arial" w:hAnsi="Arial"/>
          <w:b/>
          <w:bCs/>
          <w:sz w:val="20"/>
        </w:rPr>
        <w:t xml:space="preserve">Obyvatelstvo  </w:t>
      </w:r>
      <w:r w:rsidRPr="00EF6044">
        <w:rPr>
          <w:rFonts w:ascii="Arial" w:hAnsi="Arial"/>
          <w:sz w:val="20"/>
        </w:rPr>
        <w:t>Údaje o počtu a struktuře obyvatelstva vycházejí z demografické statistiky (trvale bydlící obyvatelstvo a dlouhodobě bydlící cizinci).</w:t>
      </w:r>
    </w:p>
    <w:p w14:paraId="236320C6"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134"/>
        <w:jc w:val="both"/>
        <w:rPr>
          <w:rFonts w:ascii="Arial" w:hAnsi="Arial"/>
          <w:sz w:val="20"/>
        </w:rPr>
      </w:pPr>
    </w:p>
    <w:p w14:paraId="2CED131D" w14:textId="77777777" w:rsidR="001359B4" w:rsidRDefault="007D414C" w:rsidP="001359B4">
      <w:pPr>
        <w:tabs>
          <w:tab w:val="left" w:pos="-1076"/>
          <w:tab w:val="left" w:pos="-720"/>
          <w:tab w:val="left" w:pos="0"/>
          <w:tab w:val="left" w:pos="1418"/>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134" w:hanging="1134"/>
        <w:jc w:val="both"/>
        <w:rPr>
          <w:rFonts w:ascii="Arial" w:hAnsi="Arial" w:cs="Arial"/>
          <w:sz w:val="20"/>
          <w:szCs w:val="28"/>
        </w:rPr>
      </w:pPr>
      <w:r>
        <w:rPr>
          <w:rFonts w:ascii="Arial" w:hAnsi="Arial" w:cs="Arial"/>
          <w:b/>
          <w:bCs/>
          <w:sz w:val="20"/>
          <w:szCs w:val="28"/>
        </w:rPr>
        <w:t>CZ-ISCED 2011</w:t>
      </w:r>
      <w:r>
        <w:rPr>
          <w:rFonts w:ascii="Arial" w:hAnsi="Arial" w:cs="Arial"/>
          <w:b/>
          <w:bCs/>
          <w:sz w:val="20"/>
          <w:szCs w:val="28"/>
        </w:rPr>
        <w:tab/>
      </w:r>
      <w:r w:rsidRPr="00AD4102">
        <w:rPr>
          <w:rFonts w:ascii="Arial" w:hAnsi="Arial" w:cs="Arial"/>
          <w:bCs/>
          <w:sz w:val="20"/>
          <w:szCs w:val="28"/>
        </w:rPr>
        <w:t>Údaje o úrovni (stupni) vzdělání podle Mezinárodní klasifikace vzdělání (ISCED 2011)</w:t>
      </w:r>
      <w:r>
        <w:rPr>
          <w:rFonts w:ascii="Arial" w:hAnsi="Arial" w:cs="Arial"/>
          <w:bCs/>
          <w:sz w:val="20"/>
          <w:szCs w:val="28"/>
        </w:rPr>
        <w:t>, UNESCO, listopad 2011</w:t>
      </w:r>
      <w:r w:rsidRPr="00AD4102">
        <w:rPr>
          <w:rFonts w:ascii="Arial" w:hAnsi="Arial" w:cs="Arial"/>
          <w:bCs/>
          <w:sz w:val="20"/>
          <w:szCs w:val="28"/>
        </w:rPr>
        <w:t>.</w:t>
      </w:r>
      <w:r w:rsidRPr="00A662C0">
        <w:rPr>
          <w:rFonts w:ascii="Arial" w:hAnsi="Arial"/>
          <w:sz w:val="20"/>
          <w:szCs w:val="17"/>
        </w:rPr>
        <w:t xml:space="preserve"> </w:t>
      </w:r>
    </w:p>
    <w:p w14:paraId="1E030871" w14:textId="77777777" w:rsidR="007D414C" w:rsidRDefault="007D414C">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34" w:hanging="1134"/>
        <w:jc w:val="both"/>
        <w:rPr>
          <w:rFonts w:ascii="Arial" w:hAnsi="Arial"/>
          <w:b/>
          <w:bCs/>
          <w:sz w:val="20"/>
        </w:rPr>
      </w:pPr>
    </w:p>
    <w:p w14:paraId="7567A6C6" w14:textId="77777777" w:rsidR="007D414C" w:rsidRDefault="007D414C">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34" w:hanging="1134"/>
        <w:jc w:val="both"/>
        <w:rPr>
          <w:rFonts w:ascii="Arial" w:hAnsi="Arial"/>
          <w:b/>
          <w:bCs/>
          <w:sz w:val="20"/>
        </w:rPr>
      </w:pPr>
    </w:p>
    <w:p w14:paraId="2475DDF6" w14:textId="77777777" w:rsidR="006E6DD4" w:rsidRPr="00EF6044" w:rsidRDefault="006E6DD4" w:rsidP="006E6DD4">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34" w:hanging="1134"/>
        <w:jc w:val="both"/>
        <w:rPr>
          <w:rFonts w:ascii="Arial" w:hAnsi="Arial"/>
          <w:b/>
          <w:bCs/>
          <w:sz w:val="20"/>
        </w:rPr>
      </w:pPr>
      <w:r w:rsidRPr="00EF6044">
        <w:rPr>
          <w:rFonts w:ascii="Arial" w:hAnsi="Arial"/>
          <w:b/>
          <w:bCs/>
          <w:sz w:val="20"/>
        </w:rPr>
        <w:t>CZ-NACE</w:t>
      </w:r>
      <w:r w:rsidRPr="00EF6044">
        <w:rPr>
          <w:rFonts w:ascii="Arial" w:hAnsi="Arial"/>
          <w:b/>
          <w:bCs/>
          <w:sz w:val="20"/>
        </w:rPr>
        <w:tab/>
      </w:r>
      <w:r w:rsidRPr="00EF6044">
        <w:rPr>
          <w:rFonts w:ascii="Arial" w:hAnsi="Arial"/>
          <w:bCs/>
          <w:sz w:val="20"/>
        </w:rPr>
        <w:t>Údaje o odvětví činnosti jsou členěny podle sekcí Klasifikace ekonomických činností (CZ</w:t>
      </w:r>
      <w:r w:rsidR="00792C8D">
        <w:rPr>
          <w:rFonts w:ascii="Arial" w:hAnsi="Arial"/>
          <w:bCs/>
          <w:sz w:val="20"/>
        </w:rPr>
        <w:noBreakHyphen/>
      </w:r>
      <w:r w:rsidRPr="00EF6044">
        <w:rPr>
          <w:rFonts w:ascii="Arial" w:hAnsi="Arial"/>
          <w:bCs/>
          <w:sz w:val="20"/>
        </w:rPr>
        <w:t xml:space="preserve">NACE), která nahradila Odvětvovou klasifikaci ekonomických činností (OKEČ). Klasifikace je kompatibilní s mezinárodní klasifikací NACE, </w:t>
      </w:r>
      <w:proofErr w:type="spellStart"/>
      <w:r w:rsidRPr="00EF6044">
        <w:rPr>
          <w:rFonts w:ascii="Arial" w:hAnsi="Arial"/>
          <w:bCs/>
          <w:sz w:val="20"/>
        </w:rPr>
        <w:t>rev</w:t>
      </w:r>
      <w:proofErr w:type="spellEnd"/>
      <w:r w:rsidRPr="00EF6044">
        <w:rPr>
          <w:rFonts w:ascii="Arial" w:hAnsi="Arial"/>
          <w:bCs/>
          <w:sz w:val="20"/>
        </w:rPr>
        <w:t>. 2.</w:t>
      </w:r>
    </w:p>
    <w:p w14:paraId="58D0ECB9"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134"/>
        <w:jc w:val="both"/>
        <w:rPr>
          <w:rFonts w:ascii="Arial" w:hAnsi="Arial"/>
          <w:sz w:val="20"/>
        </w:rPr>
      </w:pPr>
    </w:p>
    <w:p w14:paraId="6216648C" w14:textId="77777777" w:rsidR="00CB0314" w:rsidRPr="00EF6044" w:rsidRDefault="00CB0314" w:rsidP="00CB03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ind w:left="1076" w:hanging="1076"/>
        <w:jc w:val="both"/>
        <w:rPr>
          <w:rFonts w:ascii="Arial" w:hAnsi="Arial"/>
          <w:sz w:val="20"/>
        </w:rPr>
      </w:pPr>
      <w:r w:rsidRPr="00EF6044">
        <w:rPr>
          <w:rFonts w:ascii="Arial" w:hAnsi="Arial"/>
          <w:b/>
          <w:bCs/>
          <w:sz w:val="20"/>
        </w:rPr>
        <w:t>CZ-ISCO</w:t>
      </w:r>
      <w:r w:rsidRPr="00EF6044">
        <w:rPr>
          <w:rFonts w:ascii="Arial" w:hAnsi="Arial"/>
          <w:sz w:val="20"/>
        </w:rPr>
        <w:tab/>
        <w:t>Zaměstnání je klasifikováno podle CZ-ISCO vydané ČSÚ v roce 2011. CZ-ISCO je kompatibilní s mezinárodní klasifikací ILO ISCO-08. Tato klasifikace nahradila od roku 2011 klasifikaci zaměstnání KZAM.</w:t>
      </w:r>
    </w:p>
    <w:p w14:paraId="101C4BEB"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134"/>
        <w:jc w:val="both"/>
        <w:rPr>
          <w:rFonts w:ascii="Arial" w:hAnsi="Arial"/>
          <w:sz w:val="20"/>
        </w:rPr>
      </w:pPr>
    </w:p>
    <w:p w14:paraId="28992FEB"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34" w:hanging="1134"/>
        <w:jc w:val="both"/>
        <w:rPr>
          <w:rFonts w:ascii="Arial" w:hAnsi="Arial"/>
          <w:sz w:val="20"/>
        </w:rPr>
      </w:pPr>
      <w:r w:rsidRPr="00EF6044">
        <w:rPr>
          <w:rFonts w:ascii="Arial" w:hAnsi="Arial"/>
          <w:b/>
          <w:bCs/>
          <w:sz w:val="20"/>
        </w:rPr>
        <w:t>CZ-ICSE</w:t>
      </w:r>
      <w:r w:rsidRPr="00EF6044">
        <w:rPr>
          <w:rFonts w:ascii="Arial" w:hAnsi="Arial"/>
          <w:sz w:val="20"/>
        </w:rPr>
        <w:tab/>
        <w:t>Postavení v zaměstnání je klasifikováno podle skupin CZ-ICSE z roku 1998, které odpovídají jednotlivým kategoriím mezinárodní klasifikace ICSE-93.</w:t>
      </w:r>
    </w:p>
    <w:p w14:paraId="17D01108"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134"/>
        <w:jc w:val="both"/>
        <w:rPr>
          <w:rFonts w:ascii="Arial" w:hAnsi="Arial"/>
          <w:sz w:val="20"/>
        </w:rPr>
      </w:pPr>
    </w:p>
    <w:p w14:paraId="242A1E66"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34" w:hanging="1134"/>
        <w:jc w:val="both"/>
        <w:rPr>
          <w:rFonts w:ascii="Arial" w:hAnsi="Arial"/>
          <w:sz w:val="20"/>
        </w:rPr>
      </w:pPr>
      <w:r w:rsidRPr="00EF6044">
        <w:rPr>
          <w:rFonts w:ascii="Arial" w:hAnsi="Arial"/>
          <w:b/>
          <w:bCs/>
          <w:sz w:val="20"/>
        </w:rPr>
        <w:t>CZ-NUTS</w:t>
      </w:r>
      <w:r w:rsidRPr="00EF6044">
        <w:rPr>
          <w:rFonts w:ascii="Arial" w:hAnsi="Arial"/>
          <w:sz w:val="20"/>
        </w:rPr>
        <w:tab/>
        <w:t>Územní členění je prováděno v souladu s Klasifikací územních statistických jednotek (CZ</w:t>
      </w:r>
      <w:r w:rsidR="00792C8D">
        <w:rPr>
          <w:rFonts w:ascii="Arial" w:hAnsi="Arial"/>
          <w:sz w:val="20"/>
        </w:rPr>
        <w:noBreakHyphen/>
      </w:r>
      <w:r w:rsidRPr="00EF6044">
        <w:rPr>
          <w:rFonts w:ascii="Arial" w:hAnsi="Arial"/>
          <w:sz w:val="20"/>
        </w:rPr>
        <w:t>NUTS) platnou od 1. ledna 200</w:t>
      </w:r>
      <w:r w:rsidR="00063266" w:rsidRPr="00EF6044">
        <w:rPr>
          <w:rFonts w:ascii="Arial" w:hAnsi="Arial"/>
          <w:sz w:val="20"/>
        </w:rPr>
        <w:t>8</w:t>
      </w:r>
      <w:r w:rsidRPr="00EF6044">
        <w:rPr>
          <w:rFonts w:ascii="Arial" w:hAnsi="Arial"/>
          <w:sz w:val="20"/>
        </w:rPr>
        <w:t>.</w:t>
      </w:r>
    </w:p>
    <w:p w14:paraId="7EDCF542" w14:textId="77777777" w:rsidR="00917C71" w:rsidRPr="00EF6044" w:rsidRDefault="00917C71">
      <w:pPr>
        <w:pStyle w:val="nadpismal"/>
        <w:spacing w:before="840"/>
      </w:pPr>
      <w:r w:rsidRPr="00EF6044">
        <w:lastRenderedPageBreak/>
        <w:tab/>
        <w:t>Charakteristika číselníků</w:t>
      </w:r>
      <w:r w:rsidR="00353C9F" w:rsidRPr="00EF6044">
        <w:fldChar w:fldCharType="begin"/>
      </w:r>
      <w:r w:rsidRPr="00EF6044">
        <w:instrText>tc "CHARAKTERISTIKA  ČÍSELNÍKŮ " \l 2</w:instrText>
      </w:r>
      <w:r w:rsidR="00353C9F" w:rsidRPr="00EF6044">
        <w:fldChar w:fldCharType="end"/>
      </w:r>
    </w:p>
    <w:p w14:paraId="7DB9ECBE" w14:textId="77777777" w:rsidR="00917C71" w:rsidRPr="00EF6044" w:rsidRDefault="00917C71">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ind w:left="1441" w:hanging="1418"/>
        <w:jc w:val="both"/>
        <w:rPr>
          <w:rFonts w:ascii="Arial" w:hAnsi="Arial" w:cs="Arial"/>
          <w:sz w:val="20"/>
          <w:szCs w:val="28"/>
        </w:rPr>
      </w:pPr>
      <w:r w:rsidRPr="00EF6044">
        <w:rPr>
          <w:rFonts w:ascii="Arial" w:hAnsi="Arial" w:cs="Arial"/>
          <w:b/>
          <w:bCs/>
          <w:sz w:val="20"/>
          <w:szCs w:val="28"/>
        </w:rPr>
        <w:t>CZ-NUTS :</w:t>
      </w:r>
      <w:r w:rsidRPr="00EF6044">
        <w:rPr>
          <w:rFonts w:ascii="Arial" w:hAnsi="Arial" w:cs="Arial"/>
          <w:b/>
          <w:bCs/>
          <w:sz w:val="20"/>
          <w:szCs w:val="28"/>
        </w:rPr>
        <w:tab/>
      </w:r>
      <w:r w:rsidRPr="00EF6044">
        <w:rPr>
          <w:rFonts w:ascii="Arial" w:hAnsi="Arial" w:cs="Arial"/>
          <w:sz w:val="20"/>
          <w:szCs w:val="28"/>
        </w:rPr>
        <w:t xml:space="preserve">Klasifikace NUTS (La </w:t>
      </w:r>
      <w:proofErr w:type="spellStart"/>
      <w:r w:rsidRPr="00EF6044">
        <w:rPr>
          <w:rFonts w:ascii="Arial" w:hAnsi="Arial" w:cs="Arial"/>
          <w:sz w:val="20"/>
          <w:szCs w:val="28"/>
        </w:rPr>
        <w:t>Nomenclature</w:t>
      </w:r>
      <w:proofErr w:type="spellEnd"/>
      <w:r w:rsidRPr="00EF6044">
        <w:rPr>
          <w:rFonts w:ascii="Arial" w:hAnsi="Arial" w:cs="Arial"/>
          <w:sz w:val="20"/>
          <w:szCs w:val="28"/>
        </w:rPr>
        <w:t xml:space="preserve"> des </w:t>
      </w:r>
      <w:proofErr w:type="spellStart"/>
      <w:r w:rsidRPr="00EF6044">
        <w:rPr>
          <w:rFonts w:ascii="Arial" w:hAnsi="Arial" w:cs="Arial"/>
          <w:sz w:val="20"/>
          <w:szCs w:val="28"/>
        </w:rPr>
        <w:t>Unités</w:t>
      </w:r>
      <w:proofErr w:type="spellEnd"/>
      <w:r w:rsidRPr="00EF6044">
        <w:rPr>
          <w:rFonts w:ascii="Arial" w:hAnsi="Arial" w:cs="Arial"/>
          <w:sz w:val="20"/>
          <w:szCs w:val="28"/>
        </w:rPr>
        <w:t xml:space="preserve"> </w:t>
      </w:r>
      <w:proofErr w:type="spellStart"/>
      <w:r w:rsidRPr="00EF6044">
        <w:rPr>
          <w:rFonts w:ascii="Arial" w:hAnsi="Arial" w:cs="Arial"/>
          <w:sz w:val="20"/>
          <w:szCs w:val="28"/>
        </w:rPr>
        <w:t>Territoriales</w:t>
      </w:r>
      <w:proofErr w:type="spellEnd"/>
      <w:r w:rsidRPr="00EF6044">
        <w:rPr>
          <w:rFonts w:ascii="Arial" w:hAnsi="Arial" w:cs="Arial"/>
          <w:sz w:val="20"/>
          <w:szCs w:val="28"/>
        </w:rPr>
        <w:t xml:space="preserve"> </w:t>
      </w:r>
      <w:proofErr w:type="spellStart"/>
      <w:r w:rsidRPr="00EF6044">
        <w:rPr>
          <w:rFonts w:ascii="Arial" w:hAnsi="Arial" w:cs="Arial"/>
          <w:sz w:val="20"/>
          <w:szCs w:val="28"/>
        </w:rPr>
        <w:t>Statistiques</w:t>
      </w:r>
      <w:proofErr w:type="spellEnd"/>
      <w:r w:rsidRPr="00EF6044">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14:paraId="60BC3A52" w14:textId="4B62B4ED" w:rsidR="00917C71" w:rsidRPr="00EF6044" w:rsidRDefault="00917C71">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jc w:val="both"/>
        <w:rPr>
          <w:rFonts w:ascii="Arial" w:hAnsi="Arial" w:cs="Arial"/>
          <w:sz w:val="20"/>
          <w:szCs w:val="28"/>
        </w:rPr>
      </w:pPr>
      <w:r w:rsidRPr="00EF6044">
        <w:rPr>
          <w:rFonts w:ascii="Arial" w:hAnsi="Arial" w:cs="Arial"/>
          <w:sz w:val="20"/>
          <w:szCs w:val="28"/>
        </w:rPr>
        <w:t>Klasifika</w:t>
      </w:r>
      <w:r w:rsidR="00792C8D">
        <w:rPr>
          <w:rFonts w:ascii="Arial" w:hAnsi="Arial" w:cs="Arial"/>
          <w:sz w:val="20"/>
          <w:szCs w:val="28"/>
        </w:rPr>
        <w:t>ce obsahuje 6 úrovní NUTS (NUTS 0, NUTS 1, NUTS 2, NUTS 3, NUTS </w:t>
      </w:r>
      <w:smartTag w:uri="urn:schemas-microsoft-com:office:smarttags" w:element="metricconverter">
        <w:smartTagPr>
          <w:attr w:name="ProductID" w:val="4 a"/>
        </w:smartTagPr>
        <w:r w:rsidRPr="00EF6044">
          <w:rPr>
            <w:rFonts w:ascii="Arial" w:hAnsi="Arial" w:cs="Arial"/>
            <w:sz w:val="20"/>
            <w:szCs w:val="28"/>
          </w:rPr>
          <w:t>4 a</w:t>
        </w:r>
        <w:r w:rsidR="00792C8D">
          <w:rPr>
            <w:rFonts w:ascii="Arial" w:hAnsi="Arial" w:cs="Arial"/>
            <w:sz w:val="20"/>
            <w:szCs w:val="28"/>
          </w:rPr>
          <w:t> </w:t>
        </w:r>
      </w:smartTag>
      <w:r w:rsidR="00792C8D">
        <w:rPr>
          <w:rFonts w:ascii="Arial" w:hAnsi="Arial" w:cs="Arial"/>
          <w:sz w:val="20"/>
          <w:szCs w:val="28"/>
        </w:rPr>
        <w:t>NUTS </w:t>
      </w:r>
      <w:r w:rsidRPr="00EF6044">
        <w:rPr>
          <w:rFonts w:ascii="Arial" w:hAnsi="Arial" w:cs="Arial"/>
          <w:sz w:val="20"/>
          <w:szCs w:val="28"/>
        </w:rPr>
        <w:t xml:space="preserve">5), které představují velikostní skupiny území. Vymezení jednotlivých úrovní NUTS je charakterizováno počtem obyvatel a rozlohou. Klasifikace CZ-NUTS popisuje územní uspořádání České republiky v územních jednotkách, které vyhovují </w:t>
      </w:r>
      <w:r w:rsidR="00864CED" w:rsidRPr="00EF6044">
        <w:rPr>
          <w:rFonts w:ascii="Arial" w:hAnsi="Arial" w:cs="Arial"/>
          <w:sz w:val="20"/>
          <w:szCs w:val="28"/>
        </w:rPr>
        <w:t>kritériím</w:t>
      </w:r>
      <w:r w:rsidRPr="00EF6044">
        <w:rPr>
          <w:rFonts w:ascii="Arial" w:hAnsi="Arial" w:cs="Arial"/>
          <w:sz w:val="20"/>
          <w:szCs w:val="28"/>
        </w:rPr>
        <w:t xml:space="preserve"> Evropské unie a pro statistické účely jsou schváleny </w:t>
      </w:r>
      <w:proofErr w:type="spellStart"/>
      <w:r w:rsidRPr="00EF6044">
        <w:rPr>
          <w:rFonts w:ascii="Arial" w:hAnsi="Arial" w:cs="Arial"/>
          <w:sz w:val="20"/>
          <w:szCs w:val="28"/>
        </w:rPr>
        <w:t>Eurostatem</w:t>
      </w:r>
      <w:proofErr w:type="spellEnd"/>
      <w:r w:rsidRPr="00EF6044">
        <w:rPr>
          <w:rFonts w:ascii="Arial" w:hAnsi="Arial" w:cs="Arial"/>
          <w:sz w:val="20"/>
          <w:szCs w:val="28"/>
        </w:rPr>
        <w:t>. Pro účely této publikace jsou užity stu</w:t>
      </w:r>
      <w:r w:rsidR="00792C8D">
        <w:rPr>
          <w:rFonts w:ascii="Arial" w:hAnsi="Arial" w:cs="Arial"/>
          <w:sz w:val="20"/>
          <w:szCs w:val="28"/>
        </w:rPr>
        <w:t>pně: pro Českou republiku (NUTS </w:t>
      </w:r>
      <w:r w:rsidRPr="00EF6044">
        <w:rPr>
          <w:rFonts w:ascii="Arial" w:hAnsi="Arial" w:cs="Arial"/>
          <w:sz w:val="20"/>
          <w:szCs w:val="28"/>
        </w:rPr>
        <w:t xml:space="preserve">1), </w:t>
      </w:r>
      <w:r w:rsidR="00FE3A7B" w:rsidRPr="00EF6044">
        <w:rPr>
          <w:rFonts w:ascii="Arial" w:hAnsi="Arial" w:cs="Arial"/>
          <w:sz w:val="20"/>
          <w:szCs w:val="28"/>
        </w:rPr>
        <w:t>regiony soudržnosti</w:t>
      </w:r>
      <w:r w:rsidR="00792C8D">
        <w:rPr>
          <w:rFonts w:ascii="Arial" w:hAnsi="Arial" w:cs="Arial"/>
          <w:sz w:val="20"/>
          <w:szCs w:val="28"/>
        </w:rPr>
        <w:t xml:space="preserve"> (NUTS 2) a kraje (NUTS </w:t>
      </w:r>
      <w:r w:rsidRPr="00EF6044">
        <w:rPr>
          <w:rFonts w:ascii="Arial" w:hAnsi="Arial" w:cs="Arial"/>
          <w:sz w:val="20"/>
          <w:szCs w:val="28"/>
        </w:rPr>
        <w:t>3).</w:t>
      </w:r>
    </w:p>
    <w:p w14:paraId="30163B06" w14:textId="77777777" w:rsidR="00D812B0" w:rsidRPr="009004B5" w:rsidRDefault="00D812B0" w:rsidP="00D812B0">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7970A2">
        <w:rPr>
          <w:rFonts w:ascii="Arial" w:hAnsi="Arial" w:cs="Arial"/>
          <w:b/>
          <w:bCs/>
          <w:sz w:val="20"/>
          <w:szCs w:val="28"/>
        </w:rPr>
        <w:t>CZ-ISCED 2011</w:t>
      </w:r>
      <w:r w:rsidR="00B4761B">
        <w:rPr>
          <w:rFonts w:ascii="Arial" w:hAnsi="Arial" w:cs="Arial"/>
          <w:b/>
          <w:bCs/>
          <w:sz w:val="20"/>
          <w:szCs w:val="28"/>
        </w:rPr>
        <w:t>:</w:t>
      </w:r>
      <w:r>
        <w:rPr>
          <w:rFonts w:ascii="Arial" w:hAnsi="Arial" w:cs="Arial"/>
          <w:b/>
          <w:bCs/>
          <w:sz w:val="20"/>
          <w:szCs w:val="28"/>
        </w:rPr>
        <w:tab/>
      </w:r>
      <w:r w:rsidRPr="002C2FE8">
        <w:rPr>
          <w:rFonts w:ascii="Arial" w:hAnsi="Arial" w:cs="Arial"/>
          <w:bCs/>
          <w:sz w:val="20"/>
          <w:szCs w:val="28"/>
        </w:rPr>
        <w:t>Klasifikace CZ-ISCED</w:t>
      </w:r>
      <w:r>
        <w:rPr>
          <w:rFonts w:ascii="Arial" w:hAnsi="Arial" w:cs="Arial"/>
          <w:bCs/>
          <w:sz w:val="20"/>
          <w:szCs w:val="28"/>
        </w:rPr>
        <w:t> 2011</w:t>
      </w:r>
      <w:r w:rsidRPr="002C2FE8">
        <w:rPr>
          <w:rFonts w:ascii="Arial" w:hAnsi="Arial" w:cs="Arial"/>
          <w:bCs/>
          <w:sz w:val="20"/>
          <w:szCs w:val="28"/>
        </w:rPr>
        <w:t xml:space="preserve"> je česká verze mezinárodního standardu ISCED. Jde o</w:t>
      </w:r>
      <w:r>
        <w:rPr>
          <w:rFonts w:ascii="Arial" w:hAnsi="Arial" w:cs="Arial"/>
          <w:bCs/>
          <w:sz w:val="20"/>
          <w:szCs w:val="28"/>
        </w:rPr>
        <w:t> </w:t>
      </w:r>
      <w:r w:rsidRPr="002C2FE8">
        <w:rPr>
          <w:rFonts w:ascii="Arial" w:hAnsi="Arial" w:cs="Arial"/>
          <w:bCs/>
          <w:sz w:val="20"/>
          <w:szCs w:val="28"/>
        </w:rPr>
        <w:t>překlad tohoto mezinárodního standardu s tím, že je použita terminologie zavedená a běžně používaná v České republice.</w:t>
      </w:r>
      <w:r>
        <w:rPr>
          <w:rFonts w:ascii="Arial" w:hAnsi="Arial" w:cs="Arial"/>
          <w:bCs/>
          <w:sz w:val="20"/>
          <w:szCs w:val="28"/>
        </w:rPr>
        <w:t xml:space="preserve"> </w:t>
      </w:r>
      <w:r>
        <w:rPr>
          <w:rFonts w:ascii="StempelGaramondLTPro-Roman" w:hAnsi="StempelGaramondLTPro-Roman" w:cs="StempelGaramondLTPro-Roman"/>
          <w:sz w:val="20"/>
          <w:szCs w:val="20"/>
        </w:rPr>
        <w:t>Klasifikace ISCED slou</w:t>
      </w:r>
      <w:r>
        <w:rPr>
          <w:rFonts w:ascii="StempelGaramondLTPro-Roman+01" w:hAnsi="StempelGaramondLTPro-Roman+01" w:cs="StempelGaramondLTPro-Roman+01"/>
          <w:sz w:val="20"/>
          <w:szCs w:val="20"/>
        </w:rPr>
        <w:t>ž</w:t>
      </w:r>
      <w:r>
        <w:rPr>
          <w:rFonts w:ascii="StempelGaramondLTPro-Roman" w:hAnsi="StempelGaramondLTPro-Roman" w:cs="StempelGaramondLTPro-Roman"/>
          <w:sz w:val="20"/>
          <w:szCs w:val="20"/>
        </w:rPr>
        <w:t>í jako nástroj pro shroma</w:t>
      </w:r>
      <w:r>
        <w:rPr>
          <w:rFonts w:ascii="StempelGaramondLTPro-Roman+01" w:hAnsi="StempelGaramondLTPro-Roman+01" w:cs="StempelGaramondLTPro-Roman+01"/>
          <w:sz w:val="20"/>
          <w:szCs w:val="20"/>
        </w:rPr>
        <w:t>žď</w:t>
      </w:r>
      <w:r>
        <w:rPr>
          <w:rFonts w:ascii="StempelGaramondLTPro-Roman" w:hAnsi="StempelGaramondLTPro-Roman" w:cs="StempelGaramondLTPro-Roman"/>
          <w:sz w:val="20"/>
          <w:szCs w:val="20"/>
        </w:rPr>
        <w:t>ování a p</w:t>
      </w:r>
      <w:r>
        <w:rPr>
          <w:rFonts w:ascii="StempelGaramondLTPro-Roman+01" w:hAnsi="StempelGaramondLTPro-Roman+01" w:cs="StempelGaramondLTPro-Roman+01"/>
          <w:sz w:val="20"/>
          <w:szCs w:val="20"/>
        </w:rPr>
        <w:t>ř</w:t>
      </w:r>
      <w:r>
        <w:rPr>
          <w:rFonts w:ascii="StempelGaramondLTPro-Roman" w:hAnsi="StempelGaramondLTPro-Roman" w:cs="StempelGaramondLTPro-Roman"/>
          <w:sz w:val="20"/>
          <w:szCs w:val="20"/>
        </w:rPr>
        <w:t>edkládání statistik v oblasti vzd</w:t>
      </w:r>
      <w:r>
        <w:rPr>
          <w:rFonts w:ascii="StempelGaramondLTPro-Roman+01" w:hAnsi="StempelGaramondLTPro-Roman+01" w:cs="StempelGaramondLTPro-Roman+01"/>
          <w:sz w:val="20"/>
          <w:szCs w:val="20"/>
        </w:rPr>
        <w:t>ě</w:t>
      </w:r>
      <w:r>
        <w:rPr>
          <w:rFonts w:ascii="StempelGaramondLTPro-Roman" w:hAnsi="StempelGaramondLTPro-Roman" w:cs="StempelGaramondLTPro-Roman"/>
          <w:sz w:val="20"/>
          <w:szCs w:val="20"/>
        </w:rPr>
        <w:t>lávání jak na národní, tak i</w:t>
      </w:r>
      <w:r w:rsidR="00792C8D">
        <w:rPr>
          <w:rFonts w:ascii="StempelGaramondLTPro-Roman" w:hAnsi="StempelGaramondLTPro-Roman" w:cs="StempelGaramondLTPro-Roman"/>
          <w:sz w:val="20"/>
          <w:szCs w:val="20"/>
        </w:rPr>
        <w:t> </w:t>
      </w:r>
      <w:r>
        <w:rPr>
          <w:rFonts w:ascii="StempelGaramondLTPro-Roman" w:hAnsi="StempelGaramondLTPro-Roman" w:cs="StempelGaramondLTPro-Roman"/>
          <w:sz w:val="20"/>
          <w:szCs w:val="20"/>
        </w:rPr>
        <w:t xml:space="preserve">mezinárodní úrovni. </w:t>
      </w:r>
      <w:r>
        <w:rPr>
          <w:rFonts w:ascii="StempelGaramondLTPro-Roman+01" w:hAnsi="StempelGaramondLTPro-Roman+01" w:cs="StempelGaramondLTPro-Roman+01"/>
          <w:sz w:val="20"/>
          <w:szCs w:val="20"/>
        </w:rPr>
        <w:t>Č</w:t>
      </w:r>
      <w:r>
        <w:rPr>
          <w:rFonts w:ascii="StempelGaramondLTPro-Roman" w:hAnsi="StempelGaramondLTPro-Roman" w:cs="StempelGaramondLTPro-Roman"/>
          <w:sz w:val="20"/>
          <w:szCs w:val="20"/>
        </w:rPr>
        <w:t>lenské státy klasifikaci ISCED 2011 uplatňují ve vykazování statistik v oblasti vzd</w:t>
      </w:r>
      <w:r>
        <w:rPr>
          <w:rFonts w:ascii="StempelGaramondLTPro-Roman+01" w:hAnsi="StempelGaramondLTPro-Roman+01" w:cs="StempelGaramondLTPro-Roman+01"/>
          <w:sz w:val="20"/>
          <w:szCs w:val="20"/>
        </w:rPr>
        <w:t>ě</w:t>
      </w:r>
      <w:r>
        <w:rPr>
          <w:rFonts w:ascii="StempelGaramondLTPro-Roman" w:hAnsi="StempelGaramondLTPro-Roman" w:cs="StempelGaramondLTPro-Roman"/>
          <w:sz w:val="20"/>
          <w:szCs w:val="20"/>
        </w:rPr>
        <w:t>lávání od roku 2014.</w:t>
      </w:r>
    </w:p>
    <w:p w14:paraId="5FE329D9" w14:textId="77777777" w:rsidR="00D812B0" w:rsidRPr="00401390" w:rsidRDefault="00D812B0" w:rsidP="00D812B0">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A662C0">
        <w:rPr>
          <w:rFonts w:ascii="Arial" w:hAnsi="Arial" w:cs="Arial"/>
          <w:sz w:val="20"/>
          <w:szCs w:val="28"/>
        </w:rPr>
        <w:tab/>
      </w:r>
      <w:r w:rsidRPr="00401390">
        <w:rPr>
          <w:rFonts w:ascii="Arial" w:hAnsi="Arial" w:cs="Arial"/>
          <w:sz w:val="20"/>
          <w:szCs w:val="28"/>
        </w:rPr>
        <w:t>Dosažená (tj. dokončená) úroveň vzdělání podle ISCED-A (ISCED-</w:t>
      </w:r>
      <w:proofErr w:type="spellStart"/>
      <w:r w:rsidRPr="00401390">
        <w:rPr>
          <w:rFonts w:ascii="Arial" w:hAnsi="Arial" w:cs="Arial"/>
          <w:sz w:val="20"/>
          <w:szCs w:val="28"/>
        </w:rPr>
        <w:t>Attainment</w:t>
      </w:r>
      <w:proofErr w:type="spellEnd"/>
      <w:r w:rsidRPr="00401390">
        <w:rPr>
          <w:rFonts w:ascii="Arial" w:hAnsi="Arial" w:cs="Arial"/>
          <w:sz w:val="20"/>
          <w:szCs w:val="28"/>
        </w:rPr>
        <w:t>) má následující členění:</w:t>
      </w:r>
    </w:p>
    <w:p w14:paraId="28C94D6A" w14:textId="77777777" w:rsidR="00063866" w:rsidRPr="00043D55" w:rsidRDefault="00063866" w:rsidP="00063866">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43D55">
        <w:rPr>
          <w:rFonts w:ascii="Arial" w:hAnsi="Arial" w:cs="Arial"/>
          <w:b/>
          <w:bCs/>
          <w:sz w:val="20"/>
          <w:szCs w:val="28"/>
        </w:rPr>
        <w:t>0</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Nižší než primární vzdělání (MŠ)</w:t>
      </w:r>
    </w:p>
    <w:p w14:paraId="4DAB9E58" w14:textId="77777777" w:rsidR="00063866" w:rsidRPr="00043D55" w:rsidRDefault="00063866" w:rsidP="00063866">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1</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Primární vzdělávání (ZŠ 1. stupeň)</w:t>
      </w:r>
    </w:p>
    <w:p w14:paraId="4BE670B5" w14:textId="77777777" w:rsidR="00063866" w:rsidRPr="00043D55" w:rsidRDefault="00063866" w:rsidP="00063866">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043D55">
        <w:rPr>
          <w:rFonts w:ascii="Arial" w:hAnsi="Arial" w:cs="Arial"/>
          <w:b/>
          <w:bCs/>
          <w:i/>
          <w:iCs/>
          <w:sz w:val="20"/>
          <w:szCs w:val="28"/>
        </w:rPr>
        <w:t xml:space="preserve">2 </w:t>
      </w:r>
      <w:r w:rsidRPr="00043D55">
        <w:rPr>
          <w:rFonts w:ascii="Arial" w:hAnsi="Arial" w:cs="Arial"/>
          <w:b/>
          <w:bCs/>
          <w:i/>
          <w:iCs/>
          <w:sz w:val="20"/>
          <w:szCs w:val="28"/>
        </w:rPr>
        <w:tab/>
        <w:t>Nižší sekundární vzdělávání (ZŠ 2. stupeň)</w:t>
      </w:r>
    </w:p>
    <w:p w14:paraId="627EA851" w14:textId="77777777" w:rsidR="00063866" w:rsidRPr="00043D55" w:rsidRDefault="00063866" w:rsidP="00063866">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043D55">
        <w:rPr>
          <w:rFonts w:ascii="Arial" w:hAnsi="Arial" w:cs="Arial"/>
          <w:b/>
          <w:bCs/>
          <w:i/>
          <w:iCs/>
          <w:sz w:val="20"/>
          <w:szCs w:val="28"/>
        </w:rPr>
        <w:t xml:space="preserve">3 </w:t>
      </w:r>
      <w:r w:rsidRPr="00043D55">
        <w:rPr>
          <w:rFonts w:ascii="Arial" w:hAnsi="Arial" w:cs="Arial"/>
          <w:b/>
          <w:bCs/>
          <w:i/>
          <w:iCs/>
          <w:sz w:val="20"/>
          <w:szCs w:val="28"/>
        </w:rPr>
        <w:tab/>
        <w:t>Vyšší sekundární vzdělávání (vyučení, maturita)</w:t>
      </w:r>
    </w:p>
    <w:p w14:paraId="300C2017" w14:textId="77777777" w:rsidR="00063866" w:rsidRPr="00043D55" w:rsidRDefault="00063866" w:rsidP="00063866">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4</w:t>
      </w:r>
      <w:r w:rsidRPr="00043D55">
        <w:rPr>
          <w:rFonts w:ascii="Arial" w:hAnsi="Arial" w:cs="Arial"/>
          <w:b/>
          <w:bCs/>
          <w:sz w:val="20"/>
          <w:szCs w:val="28"/>
        </w:rPr>
        <w:tab/>
      </w:r>
      <w:r w:rsidRPr="00043D55">
        <w:rPr>
          <w:rFonts w:ascii="Arial" w:hAnsi="Arial" w:cs="Arial"/>
          <w:b/>
          <w:bCs/>
          <w:i/>
          <w:iCs/>
          <w:sz w:val="20"/>
          <w:szCs w:val="28"/>
        </w:rPr>
        <w:t>Postsekundární neterciární vzdělání (pomaturitní studium-1 rok)</w:t>
      </w:r>
    </w:p>
    <w:p w14:paraId="5C37E513" w14:textId="77777777" w:rsidR="00063866" w:rsidRPr="00043D55" w:rsidRDefault="00063866" w:rsidP="00063866">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5</w:t>
      </w:r>
      <w:r w:rsidRPr="00043D55">
        <w:rPr>
          <w:rFonts w:ascii="Arial" w:hAnsi="Arial" w:cs="Arial"/>
          <w:b/>
          <w:bCs/>
          <w:sz w:val="20"/>
          <w:szCs w:val="28"/>
        </w:rPr>
        <w:tab/>
      </w:r>
      <w:r w:rsidRPr="00043D55">
        <w:rPr>
          <w:rFonts w:ascii="Arial" w:hAnsi="Arial" w:cs="Arial"/>
          <w:b/>
          <w:bCs/>
          <w:i/>
          <w:iCs/>
          <w:sz w:val="20"/>
          <w:szCs w:val="28"/>
        </w:rPr>
        <w:t>Krátký cyklus terciárního vzdělání (konzervatoř s absolutoriem)</w:t>
      </w:r>
    </w:p>
    <w:p w14:paraId="675BF81F" w14:textId="77777777" w:rsidR="00063866" w:rsidRPr="00043D55" w:rsidRDefault="00063866" w:rsidP="00063866">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6</w:t>
      </w:r>
      <w:r w:rsidRPr="00043D55">
        <w:rPr>
          <w:rFonts w:ascii="Arial" w:hAnsi="Arial" w:cs="Arial"/>
          <w:b/>
          <w:bCs/>
          <w:sz w:val="20"/>
          <w:szCs w:val="28"/>
        </w:rPr>
        <w:tab/>
      </w:r>
      <w:r w:rsidRPr="00043D55">
        <w:rPr>
          <w:rFonts w:ascii="Arial" w:hAnsi="Arial" w:cs="Arial"/>
          <w:b/>
          <w:bCs/>
          <w:i/>
          <w:iCs/>
          <w:sz w:val="20"/>
          <w:szCs w:val="28"/>
        </w:rPr>
        <w:t>Bakalářská nebo jí odpovídající úroveň (bakalářské studium VŠ</w:t>
      </w:r>
      <w:r>
        <w:rPr>
          <w:rFonts w:ascii="Arial" w:hAnsi="Arial" w:cs="Arial"/>
          <w:b/>
          <w:bCs/>
          <w:i/>
          <w:iCs/>
          <w:sz w:val="20"/>
          <w:szCs w:val="28"/>
        </w:rPr>
        <w:t>, VOŠ</w:t>
      </w:r>
      <w:r w:rsidRPr="00043D55">
        <w:rPr>
          <w:rFonts w:ascii="Arial" w:hAnsi="Arial" w:cs="Arial"/>
          <w:b/>
          <w:bCs/>
          <w:i/>
          <w:iCs/>
          <w:sz w:val="20"/>
          <w:szCs w:val="28"/>
        </w:rPr>
        <w:t>)</w:t>
      </w:r>
    </w:p>
    <w:p w14:paraId="4E4A9E85" w14:textId="77777777" w:rsidR="00063866" w:rsidRPr="00043D55" w:rsidRDefault="00063866" w:rsidP="00063866">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7</w:t>
      </w:r>
      <w:r w:rsidRPr="00043D55">
        <w:rPr>
          <w:rFonts w:ascii="Arial" w:hAnsi="Arial" w:cs="Arial"/>
          <w:b/>
          <w:bCs/>
          <w:sz w:val="20"/>
          <w:szCs w:val="28"/>
        </w:rPr>
        <w:tab/>
      </w:r>
      <w:r w:rsidRPr="00043D55">
        <w:rPr>
          <w:rFonts w:ascii="Arial" w:hAnsi="Arial" w:cs="Arial"/>
          <w:b/>
          <w:bCs/>
          <w:i/>
          <w:iCs/>
          <w:sz w:val="20"/>
          <w:szCs w:val="28"/>
        </w:rPr>
        <w:t>Magisterská nebo jí odpovídající úroveň (magisterské studium VŠ)</w:t>
      </w:r>
    </w:p>
    <w:p w14:paraId="1FB02551" w14:textId="77777777" w:rsidR="00063866" w:rsidRPr="00043D55" w:rsidRDefault="00063866" w:rsidP="00063866">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8</w:t>
      </w:r>
      <w:r w:rsidRPr="00043D55">
        <w:rPr>
          <w:rFonts w:ascii="Arial" w:hAnsi="Arial" w:cs="Arial"/>
          <w:b/>
          <w:bCs/>
          <w:sz w:val="20"/>
          <w:szCs w:val="28"/>
        </w:rPr>
        <w:tab/>
      </w:r>
      <w:r w:rsidRPr="00043D55">
        <w:rPr>
          <w:rFonts w:ascii="Arial" w:hAnsi="Arial" w:cs="Arial"/>
          <w:b/>
          <w:bCs/>
          <w:i/>
          <w:iCs/>
          <w:sz w:val="20"/>
          <w:szCs w:val="28"/>
        </w:rPr>
        <w:t>Doktorská nebo jí odpovídající úroveň (doktorské studium VŠ)</w:t>
      </w:r>
    </w:p>
    <w:p w14:paraId="43945577" w14:textId="77777777" w:rsidR="00D812B0" w:rsidRPr="00401390" w:rsidRDefault="00D812B0" w:rsidP="00D812B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14:paraId="2C9F832F" w14:textId="77777777" w:rsidR="00D812B0" w:rsidRDefault="00D812B0" w:rsidP="00D812B0">
      <w:pPr>
        <w:pStyle w:val="ISCEDOdstavec-sslem"/>
        <w:tabs>
          <w:tab w:val="clear" w:pos="567"/>
          <w:tab w:val="left" w:pos="142"/>
        </w:tabs>
        <w:ind w:left="1560" w:firstLine="0"/>
      </w:pPr>
      <w:r>
        <w:t>Dosažené vzdělání jedince je definováno jako nejvyšší úroveň ISCED, kterou jedinec úspěšně ukončil.</w:t>
      </w:r>
    </w:p>
    <w:p w14:paraId="7E786A74" w14:textId="77777777" w:rsidR="00D812B0" w:rsidRDefault="00D812B0" w:rsidP="00D812B0">
      <w:pPr>
        <w:pStyle w:val="ISCEDOdstavec-sslem"/>
        <w:tabs>
          <w:tab w:val="clear" w:pos="567"/>
          <w:tab w:val="left" w:pos="142"/>
        </w:tabs>
        <w:ind w:left="1560" w:firstLine="0"/>
      </w:pPr>
      <w:r w:rsidRPr="00232FBC">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14:paraId="6C98CFCF" w14:textId="77777777" w:rsidR="001359B4" w:rsidRDefault="0004256D" w:rsidP="001359B4">
      <w:pPr>
        <w:keepLines/>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1" w:hanging="1418"/>
        <w:jc w:val="both"/>
        <w:rPr>
          <w:rFonts w:ascii="Arial" w:hAnsi="Arial" w:cs="Arial"/>
          <w:sz w:val="20"/>
          <w:szCs w:val="28"/>
        </w:rPr>
      </w:pPr>
      <w:r w:rsidRPr="00EF6044">
        <w:rPr>
          <w:rFonts w:ascii="Arial" w:hAnsi="Arial" w:cs="Arial"/>
          <w:b/>
          <w:bCs/>
          <w:sz w:val="20"/>
          <w:szCs w:val="28"/>
        </w:rPr>
        <w:t>CZ-NACE:</w:t>
      </w:r>
      <w:r w:rsidRPr="00EF6044">
        <w:rPr>
          <w:rFonts w:ascii="Arial" w:hAnsi="Arial" w:cs="Arial"/>
          <w:b/>
          <w:bCs/>
          <w:sz w:val="20"/>
          <w:szCs w:val="28"/>
        </w:rPr>
        <w:tab/>
      </w:r>
      <w:r w:rsidRPr="00EF6044">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r w:rsidR="00155455" w:rsidRPr="00EF6044">
        <w:rPr>
          <w:rFonts w:ascii="Arial" w:hAnsi="Arial" w:cs="Arial"/>
          <w:sz w:val="20"/>
          <w:szCs w:val="28"/>
        </w:rPr>
        <w:t>V důsledku přechodu z klasifikace OKEČ na klasifikaci CZ-NACE, byly v časových řadách zpětně přepočteny od roku 1993 všechny odvětvové údaje na novou klasifikaci CZ-NACE.</w:t>
      </w:r>
    </w:p>
    <w:p w14:paraId="3D693927" w14:textId="77777777" w:rsidR="006071F9" w:rsidRPr="00EF6044" w:rsidRDefault="006071F9" w:rsidP="006071F9">
      <w:pPr>
        <w:tabs>
          <w:tab w:val="left" w:pos="0"/>
          <w:tab w:val="left" w:pos="566"/>
          <w:tab w:val="left" w:pos="1076"/>
          <w:tab w:val="left" w:pos="1418"/>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ind w:left="1416" w:hanging="1416"/>
        <w:jc w:val="both"/>
        <w:rPr>
          <w:rFonts w:ascii="Arial" w:hAnsi="Arial"/>
          <w:sz w:val="20"/>
        </w:rPr>
      </w:pPr>
      <w:r w:rsidRPr="00EF6044">
        <w:rPr>
          <w:rFonts w:ascii="Arial" w:hAnsi="Arial"/>
          <w:b/>
          <w:bCs/>
          <w:sz w:val="20"/>
        </w:rPr>
        <w:t>CZ-ISCO:</w:t>
      </w:r>
      <w:r w:rsidRPr="00EF6044">
        <w:rPr>
          <w:rFonts w:ascii="Arial" w:hAnsi="Arial"/>
          <w:b/>
          <w:bCs/>
          <w:sz w:val="20"/>
        </w:rPr>
        <w:tab/>
      </w:r>
      <w:r w:rsidRPr="00EF6044">
        <w:rPr>
          <w:rFonts w:ascii="Arial" w:hAnsi="Arial"/>
          <w:b/>
          <w:bCs/>
          <w:sz w:val="20"/>
        </w:rPr>
        <w:tab/>
      </w:r>
      <w:r w:rsidRPr="00EF6044">
        <w:rPr>
          <w:rFonts w:ascii="Arial" w:hAnsi="Arial"/>
          <w:sz w:val="20"/>
        </w:rPr>
        <w:t xml:space="preserve">Předmětem klasifikace je zaměstnání, tj. konkrétní činnost, kterou pracovník vykonává (i když není jeho povoláním) a která je zdrojem jeho hlavních pracovních příjmů. </w:t>
      </w:r>
      <w:r w:rsidRPr="00EF6044">
        <w:rPr>
          <w:rFonts w:ascii="Arial" w:hAnsi="Arial"/>
          <w:sz w:val="20"/>
        </w:rPr>
        <w:lastRenderedPageBreak/>
        <w:t xml:space="preserve">Klasifikace zaměstnání - CZ-ISCO byla vypracována na podkladě mezinárodního standardu ISCO-08 (International Standard </w:t>
      </w:r>
      <w:proofErr w:type="spellStart"/>
      <w:r w:rsidRPr="00EF6044">
        <w:rPr>
          <w:rFonts w:ascii="Arial" w:hAnsi="Arial"/>
          <w:sz w:val="20"/>
        </w:rPr>
        <w:t>Classification</w:t>
      </w:r>
      <w:proofErr w:type="spellEnd"/>
      <w:r w:rsidRPr="00EF6044">
        <w:rPr>
          <w:rFonts w:ascii="Arial" w:hAnsi="Arial"/>
          <w:sz w:val="20"/>
        </w:rPr>
        <w:t xml:space="preserve"> </w:t>
      </w:r>
      <w:proofErr w:type="spellStart"/>
      <w:r w:rsidRPr="00EF6044">
        <w:rPr>
          <w:rFonts w:ascii="Arial" w:hAnsi="Arial"/>
          <w:sz w:val="20"/>
        </w:rPr>
        <w:t>of</w:t>
      </w:r>
      <w:proofErr w:type="spellEnd"/>
      <w:r w:rsidRPr="00EF6044">
        <w:rPr>
          <w:rFonts w:ascii="Arial" w:hAnsi="Arial"/>
          <w:sz w:val="20"/>
        </w:rPr>
        <w:t xml:space="preserve"> </w:t>
      </w:r>
      <w:proofErr w:type="spellStart"/>
      <w:r w:rsidRPr="00EF6044">
        <w:rPr>
          <w:rFonts w:ascii="Arial" w:hAnsi="Arial"/>
          <w:sz w:val="20"/>
        </w:rPr>
        <w:t>Occupations</w:t>
      </w:r>
      <w:proofErr w:type="spellEnd"/>
      <w:r w:rsidRPr="00EF6044">
        <w:rPr>
          <w:rFonts w:ascii="Arial" w:hAnsi="Arial"/>
          <w:sz w:val="20"/>
        </w:rPr>
        <w:t>).</w:t>
      </w:r>
    </w:p>
    <w:p w14:paraId="08C257E0" w14:textId="77777777" w:rsidR="00917C71" w:rsidRPr="00EF6044" w:rsidRDefault="00917C71">
      <w:pPr>
        <w:tabs>
          <w:tab w:val="left" w:pos="720"/>
          <w:tab w:val="left" w:pos="1440"/>
        </w:tabs>
        <w:spacing w:before="200"/>
        <w:ind w:left="1441" w:hanging="1418"/>
        <w:jc w:val="both"/>
        <w:rPr>
          <w:rFonts w:ascii="Arial" w:hAnsi="Arial" w:cs="Arial"/>
          <w:sz w:val="20"/>
        </w:rPr>
      </w:pPr>
      <w:r w:rsidRPr="00EF6044">
        <w:rPr>
          <w:rFonts w:ascii="Arial" w:hAnsi="Arial" w:cs="Arial"/>
          <w:b/>
          <w:bCs/>
          <w:sz w:val="20"/>
          <w:szCs w:val="28"/>
        </w:rPr>
        <w:t>CZ-ICSE:</w:t>
      </w:r>
      <w:r w:rsidRPr="00EF6044">
        <w:rPr>
          <w:rFonts w:ascii="Arial" w:hAnsi="Arial" w:cs="Arial"/>
          <w:b/>
          <w:bCs/>
          <w:sz w:val="20"/>
          <w:szCs w:val="28"/>
        </w:rPr>
        <w:tab/>
      </w:r>
      <w:r w:rsidRPr="00EF6044">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EF6044">
        <w:rPr>
          <w:rFonts w:ascii="Arial" w:hAnsi="Arial" w:cs="Arial"/>
          <w:sz w:val="20"/>
          <w:szCs w:val="28"/>
        </w:rPr>
        <w:t>Classification</w:t>
      </w:r>
      <w:proofErr w:type="spellEnd"/>
      <w:r w:rsidRPr="00EF6044">
        <w:rPr>
          <w:rFonts w:ascii="Arial" w:hAnsi="Arial" w:cs="Arial"/>
          <w:sz w:val="20"/>
          <w:szCs w:val="28"/>
        </w:rPr>
        <w:t xml:space="preserve"> </w:t>
      </w:r>
      <w:proofErr w:type="spellStart"/>
      <w:r w:rsidRPr="00EF6044">
        <w:rPr>
          <w:rFonts w:ascii="Arial" w:hAnsi="Arial" w:cs="Arial"/>
          <w:sz w:val="20"/>
          <w:szCs w:val="28"/>
        </w:rPr>
        <w:t>of</w:t>
      </w:r>
      <w:proofErr w:type="spellEnd"/>
      <w:r w:rsidRPr="00EF6044">
        <w:rPr>
          <w:rFonts w:ascii="Arial" w:hAnsi="Arial" w:cs="Arial"/>
          <w:sz w:val="20"/>
          <w:szCs w:val="28"/>
        </w:rPr>
        <w:t xml:space="preserve"> Status in </w:t>
      </w:r>
      <w:proofErr w:type="spellStart"/>
      <w:r w:rsidRPr="00EF6044">
        <w:rPr>
          <w:rFonts w:ascii="Arial" w:hAnsi="Arial" w:cs="Arial"/>
          <w:sz w:val="20"/>
          <w:szCs w:val="28"/>
        </w:rPr>
        <w:t>Employment</w:t>
      </w:r>
      <w:proofErr w:type="spellEnd"/>
      <w:r w:rsidRPr="00EF6044">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14:paraId="22B1E386" w14:textId="77777777" w:rsidR="00917C71" w:rsidRPr="00EF6044" w:rsidRDefault="00917C71">
      <w:pPr>
        <w:pStyle w:val="nadpismal"/>
      </w:pPr>
      <w:r w:rsidRPr="00EF6044">
        <w:t>Vývoj metodiky ukazatelů a charakter jejich změn</w:t>
      </w:r>
    </w:p>
    <w:p w14:paraId="1D725988" w14:textId="77777777" w:rsidR="00917C71" w:rsidRPr="00EF6044" w:rsidRDefault="00917C71">
      <w:pPr>
        <w:pStyle w:val="odstavecbn"/>
      </w:pPr>
      <w:r w:rsidRPr="00EF6044">
        <w:t xml:space="preserve">Postupem doby doznávalo VŠPS, zejména v procesu harmonizace s metodikou </w:t>
      </w:r>
      <w:proofErr w:type="spellStart"/>
      <w:r w:rsidRPr="00EF6044">
        <w:t>Eurostatu</w:t>
      </w:r>
      <w:proofErr w:type="spellEnd"/>
      <w:r w:rsidRPr="00EF6044">
        <w:t xml:space="preserve">, určitých změn, které se částečně promítly do možnosti vytvořit úplné a plně srovnatelné časové řady. V rámci </w:t>
      </w:r>
      <w:proofErr w:type="spellStart"/>
      <w:r w:rsidRPr="00EF6044">
        <w:t>transkodifikace</w:t>
      </w:r>
      <w:proofErr w:type="spellEnd"/>
      <w:r w:rsidRPr="00EF6044">
        <w:t xml:space="preserve"> primárních dat na srovnatelnou metodiku byla většina metodických změn podchycena a metodické rozdíly byly odstraněny.</w:t>
      </w:r>
      <w:r w:rsidR="005E369F" w:rsidRPr="00EF6044">
        <w:t xml:space="preserve"> Je však třeba, aby byl čtenář </w:t>
      </w:r>
      <w:r w:rsidRPr="00EF6044">
        <w:t>informován o místech, kde metodické změny úplnost a časovou srovnatelnost ovlivnily.</w:t>
      </w:r>
    </w:p>
    <w:p w14:paraId="46E185AE" w14:textId="77777777" w:rsidR="00917C71" w:rsidRPr="00EF6044" w:rsidRDefault="00917C71">
      <w:pPr>
        <w:pStyle w:val="odstavecbn"/>
      </w:pPr>
      <w:r w:rsidRPr="00EF6044">
        <w:t>Změny většího charakteru se projevily v těchto ukazatelích:</w:t>
      </w:r>
    </w:p>
    <w:p w14:paraId="54D244CB" w14:textId="70CDD226" w:rsidR="00B204C0" w:rsidRPr="00EF6044" w:rsidRDefault="00DE45D8" w:rsidP="00B204C0">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bCs/>
          <w:sz w:val="20"/>
        </w:rPr>
      </w:pPr>
      <w:r w:rsidRPr="00EF6044">
        <w:rPr>
          <w:rFonts w:ascii="Arial" w:hAnsi="Arial"/>
          <w:b/>
          <w:bCs/>
          <w:sz w:val="20"/>
        </w:rPr>
        <w:t>Obyvatelstvo</w:t>
      </w:r>
      <w:r w:rsidRPr="00EF6044">
        <w:rPr>
          <w:rFonts w:ascii="Arial" w:hAnsi="Arial"/>
          <w:bCs/>
          <w:sz w:val="20"/>
        </w:rPr>
        <w:t xml:space="preserve"> - pro roky 1993 až 1996 jsou využity koncové stavy demografie interpolované pro jednotlivá čtvrtletí. Od roku 1997 do roku 2000 byla použita metoda extrapolace vycházející z posledních známých koncových údajů. Přitom byl zohledněn vliv mechanického pohybu a</w:t>
      </w:r>
      <w:r w:rsidR="00CC3C8A">
        <w:rPr>
          <w:rFonts w:ascii="Arial" w:hAnsi="Arial"/>
          <w:bCs/>
          <w:sz w:val="20"/>
        </w:rPr>
        <w:t> </w:t>
      </w:r>
      <w:r w:rsidRPr="00EF6044">
        <w:rPr>
          <w:rFonts w:ascii="Arial" w:hAnsi="Arial"/>
          <w:bCs/>
          <w:sz w:val="20"/>
        </w:rPr>
        <w:t xml:space="preserve">přirozené měny obyvatelstva. Údaje za roky 2001 až 2002 byly konstruovány podle definitivních demografických údajů vycházejících z konečných výsledků </w:t>
      </w:r>
      <w:r w:rsidR="005331EB">
        <w:rPr>
          <w:rFonts w:ascii="Arial" w:hAnsi="Arial"/>
          <w:bCs/>
          <w:sz w:val="20"/>
        </w:rPr>
        <w:t>Sčítání lidu, domů a bytů (</w:t>
      </w:r>
      <w:r w:rsidRPr="00EF6044">
        <w:rPr>
          <w:rFonts w:ascii="Arial" w:hAnsi="Arial"/>
          <w:bCs/>
          <w:sz w:val="20"/>
        </w:rPr>
        <w:t>SLDB</w:t>
      </w:r>
      <w:r w:rsidR="005331EB">
        <w:rPr>
          <w:rFonts w:ascii="Arial" w:hAnsi="Arial"/>
          <w:bCs/>
          <w:sz w:val="20"/>
        </w:rPr>
        <w:t>)</w:t>
      </w:r>
      <w:r w:rsidRPr="00EF6044">
        <w:rPr>
          <w:rFonts w:ascii="Arial" w:hAnsi="Arial"/>
          <w:bCs/>
          <w:sz w:val="20"/>
        </w:rPr>
        <w:t xml:space="preserve"> </w:t>
      </w:r>
      <w:smartTag w:uri="urn:schemas-microsoft-com:office:smarttags" w:element="metricconverter">
        <w:smartTagPr>
          <w:attr w:name="ProductID" w:val="2001 a"/>
        </w:smartTagPr>
        <w:r w:rsidRPr="00EF6044">
          <w:rPr>
            <w:rFonts w:ascii="Arial" w:hAnsi="Arial"/>
            <w:bCs/>
            <w:sz w:val="20"/>
          </w:rPr>
          <w:t>2001 a</w:t>
        </w:r>
      </w:smartTag>
      <w:r w:rsidRPr="00EF6044">
        <w:rPr>
          <w:rFonts w:ascii="Arial" w:hAnsi="Arial"/>
          <w:bCs/>
          <w:sz w:val="20"/>
        </w:rPr>
        <w:t xml:space="preserve"> byly interpolovány pro jednotlivá čtvrtletí příslušného roku. Od roku 2003 byla použita demografická projekce středních čtvrtletních stavů pro výběrové šetření pracovních sil na základě definitivních údajů k 31. 12. příslušného roku po promítnutí změn v administrativním členění republiky a predikce vývoje přirozeného pohybu a salda migrace v jednotliv</w:t>
      </w:r>
      <w:r w:rsidR="00B204C0" w:rsidRPr="00EF6044">
        <w:rPr>
          <w:rFonts w:ascii="Arial" w:hAnsi="Arial"/>
          <w:bCs/>
          <w:sz w:val="20"/>
        </w:rPr>
        <w:t>ých čtvrtletích let 2003 až 20</w:t>
      </w:r>
      <w:r w:rsidR="007E2526">
        <w:rPr>
          <w:rFonts w:ascii="Arial" w:hAnsi="Arial"/>
          <w:bCs/>
          <w:sz w:val="20"/>
        </w:rPr>
        <w:t>2</w:t>
      </w:r>
      <w:r w:rsidR="00013CEE">
        <w:rPr>
          <w:rFonts w:ascii="Arial" w:hAnsi="Arial"/>
          <w:bCs/>
          <w:sz w:val="20"/>
        </w:rPr>
        <w:t>2</w:t>
      </w:r>
      <w:r w:rsidRPr="00EF6044">
        <w:rPr>
          <w:rFonts w:ascii="Arial" w:hAnsi="Arial"/>
          <w:bCs/>
          <w:sz w:val="20"/>
        </w:rPr>
        <w:t>.</w:t>
      </w:r>
      <w:r w:rsidR="00B204C0" w:rsidRPr="00EF6044">
        <w:rPr>
          <w:rFonts w:ascii="Arial" w:hAnsi="Arial"/>
          <w:bCs/>
          <w:sz w:val="20"/>
        </w:rPr>
        <w:t xml:space="preserve"> </w:t>
      </w:r>
      <w:r w:rsidR="005331EB">
        <w:rPr>
          <w:rFonts w:ascii="Arial" w:hAnsi="Arial"/>
          <w:bCs/>
          <w:sz w:val="20"/>
        </w:rPr>
        <w:t xml:space="preserve">V údajích za rok 2022 jsou zohledněny výsledky  SLDB 2021. </w:t>
      </w:r>
      <w:r w:rsidR="00B204C0" w:rsidRPr="00EF6044">
        <w:rPr>
          <w:rFonts w:ascii="Arial" w:hAnsi="Arial"/>
          <w:bCs/>
          <w:sz w:val="20"/>
        </w:rPr>
        <w:t>Zároveň jsou publikovány</w:t>
      </w:r>
      <w:r w:rsidR="005331EB">
        <w:rPr>
          <w:rFonts w:ascii="Arial" w:hAnsi="Arial"/>
          <w:bCs/>
          <w:sz w:val="20"/>
        </w:rPr>
        <w:t xml:space="preserve"> dvojí</w:t>
      </w:r>
      <w:r w:rsidR="00B204C0" w:rsidRPr="00EF6044">
        <w:rPr>
          <w:rFonts w:ascii="Arial" w:hAnsi="Arial"/>
          <w:bCs/>
          <w:sz w:val="20"/>
        </w:rPr>
        <w:t xml:space="preserve"> údaje za rok 2011</w:t>
      </w:r>
      <w:r w:rsidR="005331EB">
        <w:rPr>
          <w:rFonts w:ascii="Arial" w:hAnsi="Arial"/>
          <w:bCs/>
          <w:sz w:val="20"/>
        </w:rPr>
        <w:t>, údaje ve sloupci 2011</w:t>
      </w:r>
      <w:r w:rsidR="005331EB">
        <w:rPr>
          <w:rFonts w:ascii="Arial" w:hAnsi="Arial"/>
          <w:bCs/>
          <w:sz w:val="20"/>
          <w:vertAlign w:val="superscript"/>
        </w:rPr>
        <w:t>*)</w:t>
      </w:r>
      <w:r w:rsidR="00B204C0" w:rsidRPr="00EF6044">
        <w:rPr>
          <w:rFonts w:ascii="Arial" w:hAnsi="Arial"/>
          <w:bCs/>
          <w:sz w:val="20"/>
        </w:rPr>
        <w:t xml:space="preserve"> vycházejí z definitivních výsledků SL</w:t>
      </w:r>
      <w:r w:rsidR="005331EB">
        <w:rPr>
          <w:rFonts w:ascii="Arial" w:hAnsi="Arial"/>
          <w:bCs/>
          <w:sz w:val="20"/>
        </w:rPr>
        <w:t>DB</w:t>
      </w:r>
      <w:r w:rsidR="00B204C0" w:rsidRPr="00EF6044">
        <w:rPr>
          <w:rFonts w:ascii="Arial" w:hAnsi="Arial"/>
          <w:bCs/>
          <w:sz w:val="20"/>
        </w:rPr>
        <w:t xml:space="preserve"> 2011.</w:t>
      </w:r>
    </w:p>
    <w:p w14:paraId="21A5FEC2" w14:textId="77777777" w:rsidR="00DE45D8" w:rsidRPr="00EF6044" w:rsidRDefault="00DE45D8" w:rsidP="00DE45D8">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pPr>
    </w:p>
    <w:p w14:paraId="782B183D" w14:textId="77777777" w:rsidR="001359B4" w:rsidRDefault="001359B4" w:rsidP="001359B4">
      <w:pPr>
        <w:spacing w:before="120"/>
        <w:ind w:left="709" w:hanging="709"/>
        <w:jc w:val="both"/>
        <w:rPr>
          <w:rFonts w:ascii="Arial" w:hAnsi="Arial" w:cs="Arial"/>
          <w:sz w:val="20"/>
          <w:szCs w:val="20"/>
        </w:rPr>
      </w:pPr>
      <w:r w:rsidRPr="001359B4">
        <w:rPr>
          <w:rFonts w:ascii="Arial" w:hAnsi="Arial"/>
          <w:b/>
          <w:bCs/>
          <w:sz w:val="20"/>
        </w:rPr>
        <w:t>Vzdělání</w:t>
      </w:r>
      <w:r w:rsidRPr="001359B4">
        <w:rPr>
          <w:rFonts w:ascii="Arial" w:hAnsi="Arial"/>
          <w:sz w:val="20"/>
        </w:rPr>
        <w:t xml:space="preserve"> - od roku 1993 do roku 1998 byla používána stupnice vzdělání podle JKOV. Od 1998 se v šetření používá širší stupnice nejvyššího dosaženého vzdělání dle ISCED 97. Od roku 2002 </w:t>
      </w:r>
      <w:r w:rsidR="00F17824">
        <w:rPr>
          <w:rFonts w:ascii="Arial" w:hAnsi="Arial"/>
          <w:sz w:val="20"/>
        </w:rPr>
        <w:t xml:space="preserve">jsou </w:t>
      </w:r>
      <w:r w:rsidRPr="001359B4">
        <w:rPr>
          <w:rFonts w:ascii="Arial" w:hAnsi="Arial"/>
          <w:sz w:val="20"/>
        </w:rPr>
        <w:t>vyšší odborné školy zařazovány do vysokoškolského studia, zatímco v předchozích letech tvoří součást středního odborného vzdělání s maturitou.</w:t>
      </w:r>
      <w:r w:rsidR="00E849E2">
        <w:rPr>
          <w:rFonts w:ascii="Arial" w:hAnsi="Arial"/>
          <w:sz w:val="20"/>
        </w:rPr>
        <w:t xml:space="preserve"> </w:t>
      </w:r>
      <w:r w:rsidRPr="001359B4">
        <w:rPr>
          <w:rFonts w:ascii="Arial" w:hAnsi="Arial" w:cs="Arial"/>
          <w:sz w:val="20"/>
          <w:szCs w:val="20"/>
        </w:rPr>
        <w:t>Od 1. ledna 2014 byla zavedena Klasifikace vzdělání CZ-ISCED 2011. Klasifikace</w:t>
      </w:r>
      <w:r w:rsidRPr="001359B4">
        <w:rPr>
          <w:rFonts w:ascii="Arial" w:hAnsi="Arial" w:cs="Arial"/>
          <w:b/>
          <w:sz w:val="20"/>
          <w:szCs w:val="20"/>
        </w:rPr>
        <w:t xml:space="preserve"> CZ-ISCED 2011</w:t>
      </w:r>
      <w:r w:rsidRPr="001359B4">
        <w:rPr>
          <w:rFonts w:ascii="Arial" w:hAnsi="Arial" w:cs="Arial"/>
          <w:sz w:val="20"/>
          <w:szCs w:val="20"/>
        </w:rPr>
        <w:t xml:space="preserve"> nahrazuje klasifikaci ISCED 97 v částech týkajících se </w:t>
      </w:r>
      <w:r w:rsidRPr="001359B4">
        <w:rPr>
          <w:rFonts w:ascii="Arial" w:hAnsi="Arial" w:cs="Arial"/>
          <w:b/>
          <w:sz w:val="20"/>
          <w:szCs w:val="20"/>
        </w:rPr>
        <w:t>úrovní vzdělání</w:t>
      </w:r>
      <w:r w:rsidRPr="001359B4">
        <w:rPr>
          <w:rFonts w:ascii="Arial" w:hAnsi="Arial" w:cs="Arial"/>
          <w:sz w:val="20"/>
          <w:szCs w:val="20"/>
        </w:rPr>
        <w:t>.</w:t>
      </w:r>
      <w:r w:rsidR="00E849E2">
        <w:rPr>
          <w:rFonts w:ascii="Arial" w:hAnsi="Arial" w:cs="Arial"/>
          <w:sz w:val="20"/>
          <w:szCs w:val="20"/>
        </w:rPr>
        <w:t xml:space="preserve"> </w:t>
      </w:r>
    </w:p>
    <w:p w14:paraId="284DCC1B"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B9BE9AC" w14:textId="77777777" w:rsidR="00917C71" w:rsidRPr="00EF6044" w:rsidRDefault="0057037B">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pPr>
      <w:r w:rsidRPr="00EF6044">
        <w:rPr>
          <w:rFonts w:ascii="Arial" w:hAnsi="Arial"/>
          <w:b/>
          <w:bCs/>
          <w:sz w:val="20"/>
        </w:rPr>
        <w:t>CZ-NACE</w:t>
      </w:r>
      <w:r w:rsidRPr="00EF6044">
        <w:rPr>
          <w:rFonts w:ascii="Arial" w:hAnsi="Arial"/>
          <w:sz w:val="20"/>
        </w:rPr>
        <w:t xml:space="preserve"> </w:t>
      </w:r>
      <w:r w:rsidR="00837430">
        <w:rPr>
          <w:rFonts w:ascii="Arial" w:hAnsi="Arial"/>
          <w:sz w:val="20"/>
        </w:rPr>
        <w:t>-</w:t>
      </w:r>
      <w:r w:rsidR="00917C71" w:rsidRPr="00EF6044">
        <w:rPr>
          <w:rFonts w:ascii="Arial" w:hAnsi="Arial"/>
          <w:sz w:val="20"/>
        </w:rPr>
        <w:t xml:space="preserve"> </w:t>
      </w:r>
      <w:r w:rsidRPr="00EF6044">
        <w:rPr>
          <w:rFonts w:ascii="Arial" w:hAnsi="Arial"/>
          <w:sz w:val="20"/>
        </w:rPr>
        <w:t xml:space="preserve">do roku 2008 byly publikovány údaje o odvětvové příslušnosti podle klasifikace OKEČ.  </w:t>
      </w:r>
      <w:r w:rsidR="00917C71" w:rsidRPr="00EF6044">
        <w:rPr>
          <w:rFonts w:ascii="Arial" w:hAnsi="Arial"/>
          <w:sz w:val="20"/>
        </w:rPr>
        <w:t>Starší údaje, které vycházely z tehdy platné klasifikace odvětvových činností, byly překódovány na klasifikaci</w:t>
      </w:r>
      <w:r w:rsidRPr="00EF6044">
        <w:rPr>
          <w:rFonts w:ascii="Arial" w:hAnsi="Arial"/>
          <w:sz w:val="20"/>
        </w:rPr>
        <w:t xml:space="preserve"> OKEČ</w:t>
      </w:r>
      <w:r w:rsidR="00917C71" w:rsidRPr="00EF6044">
        <w:rPr>
          <w:rFonts w:ascii="Arial" w:hAnsi="Arial"/>
          <w:sz w:val="20"/>
        </w:rPr>
        <w:t>. V ojedinělých případech</w:t>
      </w:r>
      <w:r w:rsidR="00A1416F" w:rsidRPr="00EF6044">
        <w:rPr>
          <w:rFonts w:ascii="Arial" w:hAnsi="Arial"/>
          <w:sz w:val="20"/>
        </w:rPr>
        <w:t xml:space="preserve"> byly </w:t>
      </w:r>
      <w:r w:rsidR="00917C71" w:rsidRPr="00EF6044">
        <w:rPr>
          <w:rFonts w:ascii="Arial" w:hAnsi="Arial"/>
          <w:sz w:val="20"/>
        </w:rPr>
        <w:t xml:space="preserve">nepřevoditelné skupiny zahrnuty do "nezjištěných" případů. </w:t>
      </w:r>
      <w:r w:rsidR="00A1416F" w:rsidRPr="00EF6044">
        <w:rPr>
          <w:rFonts w:ascii="Arial" w:hAnsi="Arial"/>
          <w:sz w:val="20"/>
        </w:rPr>
        <w:t xml:space="preserve">S účinností od začátku roku 2009 je ve výběrovém šetření výhradně používána Klasifikace ekonomických činnosti (CZ-NACE). Z toho důvodu byly zpětně přepočítány na tuto novou klasifikaci všechny odvětvové údaje od začátku výběrového šetření, tj. od roku 1993. </w:t>
      </w:r>
      <w:r w:rsidR="00917C71" w:rsidRPr="00EF6044">
        <w:rPr>
          <w:rFonts w:ascii="Arial" w:hAnsi="Arial"/>
          <w:sz w:val="20"/>
        </w:rPr>
        <w:t xml:space="preserve">Odvětvová příslušnost je </w:t>
      </w:r>
      <w:r w:rsidR="00917C71" w:rsidRPr="00EA1833">
        <w:rPr>
          <w:rFonts w:ascii="Arial" w:hAnsi="Arial"/>
          <w:b/>
          <w:sz w:val="20"/>
        </w:rPr>
        <w:t>sledována pracovištní metodou</w:t>
      </w:r>
      <w:r w:rsidR="00A1416F" w:rsidRPr="00EF6044">
        <w:rPr>
          <w:rFonts w:ascii="Arial" w:hAnsi="Arial"/>
          <w:sz w:val="20"/>
        </w:rPr>
        <w:t>,</w:t>
      </w:r>
      <w:r w:rsidR="00917C71" w:rsidRPr="00EF6044">
        <w:rPr>
          <w:rFonts w:ascii="Arial" w:hAnsi="Arial"/>
          <w:sz w:val="20"/>
        </w:rPr>
        <w:t xml:space="preserve"> a proto poskytuje </w:t>
      </w:r>
      <w:r w:rsidR="00917C71" w:rsidRPr="00EA1833">
        <w:rPr>
          <w:rFonts w:ascii="Arial" w:hAnsi="Arial"/>
          <w:b/>
          <w:sz w:val="20"/>
        </w:rPr>
        <w:t>výsledky odlišné od výkaznictví prováděného podnikově</w:t>
      </w:r>
      <w:r w:rsidR="00917C71" w:rsidRPr="00EF6044">
        <w:rPr>
          <w:rFonts w:ascii="Arial" w:hAnsi="Arial"/>
          <w:sz w:val="20"/>
        </w:rPr>
        <w:t xml:space="preserve"> (</w:t>
      </w:r>
      <w:r w:rsidR="00EA1833">
        <w:rPr>
          <w:rFonts w:ascii="Arial" w:hAnsi="Arial"/>
          <w:sz w:val="20"/>
        </w:rPr>
        <w:t>p</w:t>
      </w:r>
      <w:r w:rsidR="00EA1833" w:rsidRPr="00EA1833">
        <w:rPr>
          <w:rFonts w:ascii="Arial" w:hAnsi="Arial"/>
          <w:sz w:val="20"/>
        </w:rPr>
        <w:t>osuzuje se odvětví činnosti pracoviště</w:t>
      </w:r>
      <w:r w:rsidR="00EA1833">
        <w:rPr>
          <w:rFonts w:ascii="Arial" w:hAnsi="Arial"/>
          <w:sz w:val="20"/>
        </w:rPr>
        <w:t xml:space="preserve"> - </w:t>
      </w:r>
      <w:r w:rsidR="00EA1833" w:rsidRPr="00EA1833">
        <w:rPr>
          <w:rFonts w:ascii="Arial" w:hAnsi="Arial"/>
          <w:sz w:val="20"/>
        </w:rPr>
        <w:t>činnost provozovny, závodu</w:t>
      </w:r>
      <w:r w:rsidR="00EA1833">
        <w:rPr>
          <w:rFonts w:ascii="Arial" w:hAnsi="Arial"/>
          <w:sz w:val="20"/>
        </w:rPr>
        <w:t xml:space="preserve"> apod.</w:t>
      </w:r>
      <w:r w:rsidR="0085582C" w:rsidRPr="00EF6044">
        <w:rPr>
          <w:rFonts w:ascii="Arial" w:hAnsi="Arial"/>
          <w:sz w:val="20"/>
        </w:rPr>
        <w:t>)</w:t>
      </w:r>
      <w:r w:rsidR="00917C71" w:rsidRPr="00EF6044">
        <w:rPr>
          <w:rFonts w:ascii="Arial" w:hAnsi="Arial"/>
          <w:sz w:val="20"/>
        </w:rPr>
        <w:t>.</w:t>
      </w:r>
    </w:p>
    <w:p w14:paraId="3760385D"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015F0934" w14:textId="77777777" w:rsidR="00FC57BF" w:rsidRPr="00EF6044" w:rsidRDefault="00FC57BF" w:rsidP="00FC57BF">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bCs/>
          <w:sz w:val="20"/>
        </w:rPr>
      </w:pPr>
      <w:r w:rsidRPr="00EF6044">
        <w:rPr>
          <w:rFonts w:ascii="Arial" w:hAnsi="Arial"/>
          <w:b/>
          <w:bCs/>
          <w:sz w:val="20"/>
        </w:rPr>
        <w:lastRenderedPageBreak/>
        <w:t>CZ-ISCO</w:t>
      </w:r>
      <w:r w:rsidRPr="00EF6044">
        <w:rPr>
          <w:rFonts w:ascii="Arial" w:hAnsi="Arial"/>
          <w:bCs/>
          <w:sz w:val="20"/>
        </w:rPr>
        <w:t xml:space="preserve"> - starší údaje, které vycházely z klasifikace zaměstnání KZAM platné do 31. 12. 2010, byly překódovány na klasifikaci CZ-ISCO, která je kompatibilní s mezinárodní klasifikací ILO ISCO</w:t>
      </w:r>
      <w:r w:rsidR="00BF4463" w:rsidRPr="00EF6044">
        <w:rPr>
          <w:rFonts w:ascii="Arial" w:hAnsi="Arial"/>
          <w:bCs/>
          <w:sz w:val="20"/>
        </w:rPr>
        <w:noBreakHyphen/>
      </w:r>
      <w:r w:rsidRPr="00EF6044">
        <w:rPr>
          <w:rFonts w:ascii="Arial" w:hAnsi="Arial"/>
          <w:bCs/>
          <w:sz w:val="20"/>
        </w:rPr>
        <w:t>08.</w:t>
      </w:r>
    </w:p>
    <w:p w14:paraId="35F0B2F5" w14:textId="77777777" w:rsidR="00773548" w:rsidRPr="00EF6044" w:rsidRDefault="00773548" w:rsidP="00773548">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25" w:hanging="1125"/>
        <w:jc w:val="both"/>
        <w:rPr>
          <w:rFonts w:ascii="Arial" w:hAnsi="Arial"/>
          <w:sz w:val="20"/>
        </w:rPr>
      </w:pPr>
    </w:p>
    <w:p w14:paraId="6E0E3B24" w14:textId="77777777" w:rsidR="00D549CA"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pPr>
      <w:r w:rsidRPr="00EF6044">
        <w:rPr>
          <w:rFonts w:ascii="Arial" w:hAnsi="Arial"/>
          <w:b/>
          <w:bCs/>
          <w:sz w:val="20"/>
        </w:rPr>
        <w:t>Způsoby hledání zaměstnání</w:t>
      </w:r>
      <w:r w:rsidRPr="00EF6044">
        <w:rPr>
          <w:rFonts w:ascii="Arial" w:hAnsi="Arial"/>
          <w:sz w:val="20"/>
        </w:rPr>
        <w:t xml:space="preserve"> - do listopadu 1994 byl uváděn pouze jeden způsob hledání zaměstnání u nezaměstnaných, resp. hledání jiného (dalšího) zaměstnání u zaměstnaných. Od prosince 1994 mohly být v obou případech uvedeny až dva způsoby. Od roku 2002 může re</w:t>
      </w:r>
      <w:r w:rsidR="00D549CA" w:rsidRPr="00EF6044">
        <w:rPr>
          <w:rFonts w:ascii="Arial" w:hAnsi="Arial"/>
          <w:sz w:val="20"/>
        </w:rPr>
        <w:t xml:space="preserve">spondent </w:t>
      </w:r>
      <w:r w:rsidRPr="00EF6044">
        <w:rPr>
          <w:rFonts w:ascii="Arial" w:hAnsi="Arial"/>
          <w:sz w:val="20"/>
        </w:rPr>
        <w:t>uvádět všec</w:t>
      </w:r>
      <w:r w:rsidR="00D549CA" w:rsidRPr="00EF6044">
        <w:rPr>
          <w:rFonts w:ascii="Arial" w:hAnsi="Arial"/>
          <w:sz w:val="20"/>
        </w:rPr>
        <w:t>hny způsoby hledání zaměstnání.</w:t>
      </w:r>
    </w:p>
    <w:p w14:paraId="32FFCD17" w14:textId="77777777" w:rsidR="00D549CA" w:rsidRPr="00EF6044" w:rsidRDefault="00D549CA">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sectPr w:rsidR="00D549CA" w:rsidRPr="00EF6044" w:rsidSect="00973C7A">
          <w:footerReference w:type="even" r:id="rId16"/>
          <w:footerReference w:type="default" r:id="rId17"/>
          <w:type w:val="oddPage"/>
          <w:pgSz w:w="11906" w:h="16838"/>
          <w:pgMar w:top="1418" w:right="1418" w:bottom="1985" w:left="1418" w:header="1134" w:footer="1134" w:gutter="0"/>
          <w:pgNumType w:start="5"/>
          <w:cols w:space="708"/>
          <w:docGrid w:linePitch="360"/>
        </w:sectPr>
      </w:pPr>
    </w:p>
    <w:p w14:paraId="1A6BAC52" w14:textId="77777777" w:rsidR="00D549CA" w:rsidRPr="00EF6044" w:rsidRDefault="006B0847">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sectPr w:rsidR="00D549CA" w:rsidRPr="00EF6044" w:rsidSect="00D549CA">
          <w:pgSz w:w="16838" w:h="11906" w:orient="landscape"/>
          <w:pgMar w:top="1418" w:right="1418" w:bottom="1418" w:left="1985" w:header="1701" w:footer="1134" w:gutter="0"/>
          <w:cols w:space="708"/>
          <w:docGrid w:linePitch="360"/>
        </w:sectPr>
      </w:pPr>
      <w:r>
        <w:rPr>
          <w:noProof/>
        </w:rPr>
        <w:lastRenderedPageBreak/>
        <w:drawing>
          <wp:anchor distT="0" distB="0" distL="114300" distR="114300" simplePos="0" relativeHeight="251658752" behindDoc="0" locked="0" layoutInCell="1" allowOverlap="1" wp14:anchorId="126E06F9" wp14:editId="220E3D40">
            <wp:simplePos x="0" y="0"/>
            <wp:positionH relativeFrom="column">
              <wp:posOffset>-1085850</wp:posOffset>
            </wp:positionH>
            <wp:positionV relativeFrom="paragraph">
              <wp:posOffset>-977265</wp:posOffset>
            </wp:positionV>
            <wp:extent cx="10461625" cy="739902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61625" cy="7399020"/>
                    </a:xfrm>
                    <a:prstGeom prst="rect">
                      <a:avLst/>
                    </a:prstGeom>
                    <a:noFill/>
                  </pic:spPr>
                </pic:pic>
              </a:graphicData>
            </a:graphic>
            <wp14:sizeRelH relativeFrom="page">
              <wp14:pctWidth>0</wp14:pctWidth>
            </wp14:sizeRelH>
            <wp14:sizeRelV relativeFrom="page">
              <wp14:pctHeight>0</wp14:pctHeight>
            </wp14:sizeRelV>
          </wp:anchor>
        </w:drawing>
      </w:r>
    </w:p>
    <w:p w14:paraId="2FBE8BC6" w14:textId="77777777" w:rsidR="00D549CA" w:rsidRPr="00EF6044" w:rsidRDefault="006B0847">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sectPr w:rsidR="00D549CA" w:rsidRPr="00EF6044" w:rsidSect="00D549CA">
          <w:pgSz w:w="16838" w:h="11906" w:orient="landscape"/>
          <w:pgMar w:top="1418" w:right="1418" w:bottom="1418" w:left="1985" w:header="1701" w:footer="1134" w:gutter="0"/>
          <w:cols w:space="708"/>
          <w:docGrid w:linePitch="360"/>
        </w:sectPr>
      </w:pPr>
      <w:r>
        <w:rPr>
          <w:rFonts w:ascii="Arial" w:hAnsi="Arial"/>
          <w:noProof/>
          <w:sz w:val="20"/>
        </w:rPr>
        <w:lastRenderedPageBreak/>
        <w:drawing>
          <wp:anchor distT="0" distB="0" distL="114300" distR="114300" simplePos="0" relativeHeight="251659776" behindDoc="1" locked="0" layoutInCell="1" allowOverlap="1" wp14:anchorId="17507BF8" wp14:editId="05B0AA05">
            <wp:simplePos x="0" y="0"/>
            <wp:positionH relativeFrom="column">
              <wp:posOffset>-971550</wp:posOffset>
            </wp:positionH>
            <wp:positionV relativeFrom="paragraph">
              <wp:posOffset>-990600</wp:posOffset>
            </wp:positionV>
            <wp:extent cx="10461625" cy="739902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61625" cy="7399020"/>
                    </a:xfrm>
                    <a:prstGeom prst="rect">
                      <a:avLst/>
                    </a:prstGeom>
                    <a:noFill/>
                  </pic:spPr>
                </pic:pic>
              </a:graphicData>
            </a:graphic>
            <wp14:sizeRelH relativeFrom="page">
              <wp14:pctWidth>0</wp14:pctWidth>
            </wp14:sizeRelH>
            <wp14:sizeRelV relativeFrom="page">
              <wp14:pctHeight>0</wp14:pctHeight>
            </wp14:sizeRelV>
          </wp:anchor>
        </w:drawing>
      </w:r>
    </w:p>
    <w:p w14:paraId="3C04F76F" w14:textId="77777777" w:rsidR="00917C71" w:rsidRPr="00EF6044" w:rsidRDefault="00917C71">
      <w:pPr>
        <w:pStyle w:val="nadpismal"/>
        <w:pageBreakBefore/>
        <w:spacing w:before="0"/>
      </w:pPr>
      <w:r w:rsidRPr="00EF6044">
        <w:lastRenderedPageBreak/>
        <w:t>Přehled tabulek</w:t>
      </w:r>
    </w:p>
    <w:p w14:paraId="25952243" w14:textId="77777777" w:rsidR="00917C71" w:rsidRPr="00EF6044" w:rsidRDefault="00917C71">
      <w:pPr>
        <w:tabs>
          <w:tab w:val="left" w:pos="-107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both"/>
        <w:rPr>
          <w:rFonts w:ascii="Arial" w:hAnsi="Arial"/>
          <w:sz w:val="20"/>
        </w:rPr>
      </w:pPr>
      <w:r w:rsidRPr="00EF6044">
        <w:rPr>
          <w:rFonts w:ascii="Arial" w:hAnsi="Arial"/>
          <w:sz w:val="20"/>
        </w:rPr>
        <w:t xml:space="preserve">Tabulky jsou rozděleny do čtyř základních </w:t>
      </w:r>
      <w:r w:rsidR="00075FAC" w:rsidRPr="00EF6044">
        <w:rPr>
          <w:rFonts w:ascii="Arial" w:hAnsi="Arial"/>
          <w:b/>
          <w:bCs/>
          <w:sz w:val="20"/>
        </w:rPr>
        <w:t>okruh</w:t>
      </w:r>
      <w:r w:rsidRPr="00EF6044">
        <w:rPr>
          <w:rFonts w:ascii="Arial" w:hAnsi="Arial"/>
          <w:b/>
          <w:bCs/>
          <w:sz w:val="20"/>
        </w:rPr>
        <w:t>ů</w:t>
      </w:r>
      <w:r w:rsidRPr="00EF6044">
        <w:rPr>
          <w:rFonts w:ascii="Arial" w:hAnsi="Arial"/>
          <w:sz w:val="20"/>
        </w:rPr>
        <w:t xml:space="preserve">, kde každý </w:t>
      </w:r>
      <w:r w:rsidR="00075FAC" w:rsidRPr="00EF6044">
        <w:rPr>
          <w:rFonts w:ascii="Arial" w:hAnsi="Arial"/>
          <w:sz w:val="20"/>
        </w:rPr>
        <w:t>okruh</w:t>
      </w:r>
      <w:r w:rsidRPr="00EF6044">
        <w:rPr>
          <w:rFonts w:ascii="Arial" w:hAnsi="Arial"/>
          <w:sz w:val="20"/>
        </w:rPr>
        <w:t xml:space="preserve"> je tematicky zaměřen na popis určité skupi</w:t>
      </w:r>
      <w:r w:rsidR="005E369F" w:rsidRPr="00EF6044">
        <w:rPr>
          <w:rFonts w:ascii="Arial" w:hAnsi="Arial"/>
          <w:sz w:val="20"/>
        </w:rPr>
        <w:t xml:space="preserve">ny obyvatelstva. Poslední </w:t>
      </w:r>
      <w:r w:rsidR="00075FAC" w:rsidRPr="00EF6044">
        <w:rPr>
          <w:rFonts w:ascii="Arial" w:hAnsi="Arial"/>
          <w:sz w:val="20"/>
        </w:rPr>
        <w:t>okruh</w:t>
      </w:r>
      <w:r w:rsidR="005E369F" w:rsidRPr="00EF6044">
        <w:rPr>
          <w:rFonts w:ascii="Arial" w:hAnsi="Arial"/>
          <w:sz w:val="20"/>
        </w:rPr>
        <w:t xml:space="preserve"> </w:t>
      </w:r>
      <w:r w:rsidRPr="00EF6044">
        <w:rPr>
          <w:rFonts w:ascii="Arial" w:hAnsi="Arial"/>
          <w:sz w:val="20"/>
        </w:rPr>
        <w:t>uvádí relativní ukazatele trhu práce. Všechny údaje jsou přepočteny na srovnatelnou metodiku (viz výše).</w:t>
      </w:r>
    </w:p>
    <w:p w14:paraId="65501C02"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744"/>
        <w:jc w:val="both"/>
        <w:rPr>
          <w:rFonts w:ascii="Arial" w:hAnsi="Arial"/>
          <w:sz w:val="20"/>
        </w:rPr>
      </w:pPr>
      <w:r w:rsidRPr="00EF6044">
        <w:rPr>
          <w:rFonts w:ascii="Arial" w:hAnsi="Arial"/>
          <w:sz w:val="20"/>
        </w:rPr>
        <w:tab/>
      </w:r>
      <w:r w:rsidRPr="00EF6044">
        <w:rPr>
          <w:rFonts w:ascii="Arial" w:hAnsi="Arial"/>
          <w:sz w:val="20"/>
        </w:rPr>
        <w:tab/>
        <w:t xml:space="preserve">Při přípravě publikace bylo snahou poskytnout uživatelům co nejvíce informací o vývoji trhu práce v České republice </w:t>
      </w:r>
      <w:r w:rsidR="00B87C9A" w:rsidRPr="00EF6044">
        <w:rPr>
          <w:rFonts w:ascii="Arial" w:hAnsi="Arial"/>
          <w:sz w:val="20"/>
        </w:rPr>
        <w:t>na úrovni NUTS</w:t>
      </w:r>
      <w:r w:rsidR="002972DE">
        <w:rPr>
          <w:rFonts w:ascii="Arial" w:hAnsi="Arial"/>
          <w:sz w:val="20"/>
        </w:rPr>
        <w:t> </w:t>
      </w:r>
      <w:r w:rsidR="00B87C9A" w:rsidRPr="00EF6044">
        <w:rPr>
          <w:rFonts w:ascii="Arial" w:hAnsi="Arial"/>
          <w:sz w:val="20"/>
        </w:rPr>
        <w:t>2 a NUTS</w:t>
      </w:r>
      <w:r w:rsidR="002972DE">
        <w:rPr>
          <w:rFonts w:ascii="Arial" w:hAnsi="Arial"/>
          <w:sz w:val="20"/>
        </w:rPr>
        <w:t> </w:t>
      </w:r>
      <w:r w:rsidR="00B87C9A" w:rsidRPr="00EF6044">
        <w:rPr>
          <w:rFonts w:ascii="Arial" w:hAnsi="Arial"/>
          <w:sz w:val="20"/>
        </w:rPr>
        <w:t>3 podle</w:t>
      </w:r>
      <w:r w:rsidRPr="00EF6044">
        <w:rPr>
          <w:rFonts w:ascii="Arial" w:hAnsi="Arial"/>
          <w:sz w:val="20"/>
        </w:rPr>
        <w:t xml:space="preserve"> </w:t>
      </w:r>
      <w:r w:rsidR="00B87C9A" w:rsidRPr="00EF6044">
        <w:rPr>
          <w:rFonts w:ascii="Arial" w:hAnsi="Arial"/>
          <w:sz w:val="20"/>
        </w:rPr>
        <w:t xml:space="preserve">platného </w:t>
      </w:r>
      <w:r w:rsidRPr="00EF6044">
        <w:rPr>
          <w:rFonts w:ascii="Arial" w:hAnsi="Arial"/>
          <w:sz w:val="20"/>
        </w:rPr>
        <w:t>územně správního uspořádání. Vzhledem k rozsahu tohoto základního členění byly upřednostněny roční průměry před podrobnějšími čtvrtletními daty, čtvrtletní údaje byly zvoleny pouze u klíčových údajů. Potlačeny jsou z téhož důvodu různé specifické pohledy na trh práce publikované v pravidelných čtvrtletních publikacích. Informace, které by však čtenář postrádal, si je možno vyžádat na Českém statistickém úřadu. V zásadě se v publikaci vyskytují dva typy tabulek s označením:</w:t>
      </w:r>
    </w:p>
    <w:p w14:paraId="4D4F775B"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pPr>
    </w:p>
    <w:p w14:paraId="7CA2B6D8"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pPr>
      <w:r w:rsidRPr="00EF6044">
        <w:rPr>
          <w:rFonts w:ascii="Arial" w:hAnsi="Arial"/>
          <w:sz w:val="20"/>
        </w:rPr>
        <w:t xml:space="preserve">   </w:t>
      </w:r>
      <w:r w:rsidRPr="00EF6044">
        <w:rPr>
          <w:rFonts w:ascii="Arial" w:hAnsi="Arial"/>
          <w:b/>
          <w:bCs/>
          <w:sz w:val="20"/>
        </w:rPr>
        <w:t>R</w:t>
      </w:r>
      <w:r w:rsidRPr="00EF6044">
        <w:rPr>
          <w:rFonts w:ascii="Arial" w:hAnsi="Arial"/>
          <w:sz w:val="20"/>
        </w:rPr>
        <w:tab/>
        <w:t>roční průměry počítané z údajů kalendářních čtvrtletí. Tabulky, které jsou samostatně za NUTS</w:t>
      </w:r>
      <w:r w:rsidR="00581BBA">
        <w:rPr>
          <w:rFonts w:ascii="Arial" w:hAnsi="Arial"/>
          <w:sz w:val="20"/>
        </w:rPr>
        <w:t> </w:t>
      </w:r>
      <w:r w:rsidRPr="00EF6044">
        <w:rPr>
          <w:rFonts w:ascii="Arial" w:hAnsi="Arial"/>
          <w:sz w:val="20"/>
        </w:rPr>
        <w:t>2 (</w:t>
      </w:r>
      <w:r w:rsidR="00FE3A7B" w:rsidRPr="00EF6044">
        <w:rPr>
          <w:rFonts w:ascii="Arial" w:hAnsi="Arial"/>
          <w:sz w:val="20"/>
        </w:rPr>
        <w:t>regiony soudržnosti</w:t>
      </w:r>
      <w:r w:rsidRPr="00EF6044">
        <w:rPr>
          <w:rFonts w:ascii="Arial" w:hAnsi="Arial"/>
          <w:sz w:val="20"/>
        </w:rPr>
        <w:t>) a NUTS</w:t>
      </w:r>
      <w:r w:rsidR="00581BBA">
        <w:rPr>
          <w:rFonts w:ascii="Arial" w:hAnsi="Arial"/>
          <w:sz w:val="20"/>
        </w:rPr>
        <w:t> </w:t>
      </w:r>
      <w:r w:rsidRPr="00EF6044">
        <w:rPr>
          <w:rFonts w:ascii="Arial" w:hAnsi="Arial"/>
          <w:sz w:val="20"/>
        </w:rPr>
        <w:t xml:space="preserve">3 (kraje) nesou v přehledu navíc označení </w:t>
      </w:r>
      <w:r w:rsidRPr="00EF6044">
        <w:rPr>
          <w:rFonts w:ascii="Arial" w:hAnsi="Arial"/>
          <w:b/>
          <w:bCs/>
          <w:sz w:val="20"/>
        </w:rPr>
        <w:t>(K)</w:t>
      </w:r>
      <w:r w:rsidRPr="00EF6044">
        <w:rPr>
          <w:rFonts w:ascii="Arial" w:hAnsi="Arial"/>
          <w:sz w:val="20"/>
        </w:rPr>
        <w:t>.</w:t>
      </w:r>
    </w:p>
    <w:p w14:paraId="094D860A"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rPr>
      </w:pPr>
      <w:r w:rsidRPr="00EF6044">
        <w:rPr>
          <w:rFonts w:ascii="Arial" w:hAnsi="Arial"/>
          <w:sz w:val="20"/>
        </w:rPr>
        <w:t xml:space="preserve">   </w:t>
      </w:r>
      <w:r w:rsidRPr="00EF6044">
        <w:rPr>
          <w:rFonts w:ascii="Arial" w:hAnsi="Arial"/>
          <w:b/>
          <w:bCs/>
          <w:sz w:val="20"/>
        </w:rPr>
        <w:t>Q</w:t>
      </w:r>
      <w:r w:rsidRPr="00EF6044">
        <w:rPr>
          <w:rFonts w:ascii="Arial" w:hAnsi="Arial"/>
          <w:sz w:val="20"/>
        </w:rPr>
        <w:tab/>
        <w:t>čtvrtletní údaje.</w:t>
      </w:r>
    </w:p>
    <w:p w14:paraId="7E1BF3FD"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116C2042" w14:textId="77777777" w:rsidR="00917C71" w:rsidRPr="00EF6044" w:rsidRDefault="00917C71">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r w:rsidRPr="00EF6044">
        <w:rPr>
          <w:rFonts w:ascii="Arial" w:hAnsi="Arial"/>
          <w:sz w:val="20"/>
        </w:rPr>
        <w:t>Všechny tabulky jsou členěny podle pohlaví.</w:t>
      </w:r>
    </w:p>
    <w:p w14:paraId="7C1E3474" w14:textId="77777777" w:rsidR="00917C71" w:rsidRPr="00EF6044" w:rsidRDefault="00917C71" w:rsidP="0083038A">
      <w:pPr>
        <w:pStyle w:val="Nadpis7"/>
        <w:tabs>
          <w:tab w:val="clear" w:pos="1132"/>
          <w:tab w:val="left" w:pos="1080"/>
          <w:tab w:val="left" w:pos="1418"/>
          <w:tab w:val="left" w:pos="1701"/>
        </w:tabs>
        <w:spacing w:before="720" w:after="480"/>
      </w:pPr>
      <w:r w:rsidRPr="00EF6044">
        <w:t xml:space="preserve">I. </w:t>
      </w:r>
      <w:r w:rsidR="00075FAC" w:rsidRPr="00EF6044">
        <w:t>okruh</w:t>
      </w:r>
      <w:r w:rsidRPr="00EF6044">
        <w:tab/>
      </w:r>
      <w:r w:rsidRPr="00EF6044">
        <w:tab/>
        <w:t>Obyvatelstvo České republiky</w:t>
      </w:r>
    </w:p>
    <w:p w14:paraId="2DCF33FD" w14:textId="77777777" w:rsidR="00917C71" w:rsidRPr="00EF6044" w:rsidRDefault="00917C71">
      <w:pPr>
        <w:pStyle w:val="Zkladntext3"/>
        <w:tabs>
          <w:tab w:val="clear" w:pos="540"/>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pPr>
      <w:r w:rsidRPr="00EF6044">
        <w:t xml:space="preserve">I. </w:t>
      </w:r>
      <w:r w:rsidR="00075FAC" w:rsidRPr="00EF6044">
        <w:t>okruh</w:t>
      </w:r>
      <w:r w:rsidRPr="00EF6044">
        <w:t xml:space="preserve"> zahrnuje celou populaci České republiky.</w:t>
      </w:r>
    </w:p>
    <w:p w14:paraId="010A2F7B"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ECC287E"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b/>
          <w:bCs/>
          <w:sz w:val="20"/>
        </w:rPr>
      </w:pPr>
      <w:r w:rsidRPr="00EF6044">
        <w:rPr>
          <w:rFonts w:ascii="Arial" w:hAnsi="Arial"/>
          <w:b/>
          <w:bCs/>
          <w:sz w:val="20"/>
        </w:rPr>
        <w:t>101</w:t>
      </w:r>
      <w:r w:rsidRPr="00EF6044">
        <w:rPr>
          <w:rFonts w:ascii="Arial" w:hAnsi="Arial"/>
          <w:b/>
          <w:bCs/>
          <w:sz w:val="20"/>
        </w:rPr>
        <w:tab/>
        <w:t>R (K)</w:t>
      </w:r>
      <w:r w:rsidRPr="00EF6044">
        <w:rPr>
          <w:rFonts w:ascii="Arial" w:hAnsi="Arial"/>
          <w:b/>
          <w:bCs/>
          <w:sz w:val="20"/>
        </w:rPr>
        <w:tab/>
        <w:t>Věk a vzdělání populace</w:t>
      </w:r>
    </w:p>
    <w:p w14:paraId="793A6D6C"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184B32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průměry demografických dat v České republice použitých pro zpracování VŠPS; nejde tedy o standardní, bilancovanou demografii. Obsahuje údaje za pětileté věkové skupiny a</w:t>
      </w:r>
      <w:r w:rsidR="004B6DF7" w:rsidRPr="00EF6044">
        <w:rPr>
          <w:rFonts w:ascii="Arial" w:hAnsi="Arial"/>
          <w:sz w:val="20"/>
        </w:rPr>
        <w:t> </w:t>
      </w:r>
      <w:r w:rsidRPr="00EF6044">
        <w:rPr>
          <w:rFonts w:ascii="Arial" w:hAnsi="Arial"/>
          <w:sz w:val="20"/>
        </w:rPr>
        <w:t xml:space="preserve">úroveň nejvyššího dosaženého vzdělání. Tabulka je zpracována za ČR, </w:t>
      </w:r>
      <w:r w:rsidR="00FE3A7B" w:rsidRPr="00EF6044">
        <w:rPr>
          <w:rFonts w:ascii="Arial" w:hAnsi="Arial"/>
          <w:sz w:val="20"/>
        </w:rPr>
        <w:t xml:space="preserve">regiony soudržnosti </w:t>
      </w:r>
      <w:r w:rsidRPr="00EF6044">
        <w:rPr>
          <w:rFonts w:ascii="Arial" w:hAnsi="Arial"/>
          <w:sz w:val="20"/>
        </w:rPr>
        <w:t>a kraje.</w:t>
      </w:r>
    </w:p>
    <w:p w14:paraId="6AD9E729"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48603BC"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102</w:t>
      </w:r>
      <w:r w:rsidRPr="00EF6044">
        <w:rPr>
          <w:rFonts w:ascii="Arial" w:hAnsi="Arial"/>
          <w:b/>
          <w:bCs/>
          <w:sz w:val="20"/>
        </w:rPr>
        <w:tab/>
        <w:t>R (K)</w:t>
      </w:r>
      <w:r w:rsidRPr="00EF6044">
        <w:rPr>
          <w:rFonts w:ascii="Arial" w:hAnsi="Arial"/>
          <w:b/>
          <w:bCs/>
          <w:sz w:val="20"/>
        </w:rPr>
        <w:tab/>
        <w:t xml:space="preserve">Věk populace </w:t>
      </w:r>
      <w:r w:rsidR="00601581" w:rsidRPr="00EF6044">
        <w:rPr>
          <w:rFonts w:ascii="Arial" w:hAnsi="Arial"/>
          <w:b/>
          <w:bCs/>
          <w:sz w:val="20"/>
        </w:rPr>
        <w:t>po</w:t>
      </w:r>
      <w:r w:rsidRPr="00EF6044">
        <w:rPr>
          <w:rFonts w:ascii="Arial" w:hAnsi="Arial"/>
          <w:b/>
          <w:bCs/>
          <w:sz w:val="20"/>
        </w:rPr>
        <w:t>dle ekonomického postavení</w:t>
      </w:r>
    </w:p>
    <w:p w14:paraId="644A163E"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0944254A"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w:t>
      </w:r>
      <w:r w:rsidR="00A93FA2" w:rsidRPr="00EF6044">
        <w:rPr>
          <w:rFonts w:ascii="Arial" w:hAnsi="Arial"/>
          <w:sz w:val="20"/>
        </w:rPr>
        <w:t>ěry rozdělení populace ČR 15</w:t>
      </w:r>
      <w:r w:rsidRPr="00EF6044">
        <w:rPr>
          <w:rFonts w:ascii="Arial" w:hAnsi="Arial"/>
          <w:sz w:val="20"/>
        </w:rPr>
        <w:t>leté a starší podle ekonomického statusu a hrubých věkových kategorií.</w:t>
      </w:r>
      <w:r w:rsidR="004B6DF7" w:rsidRPr="00EF6044">
        <w:rPr>
          <w:rFonts w:ascii="Arial" w:hAnsi="Arial"/>
          <w:sz w:val="20"/>
        </w:rPr>
        <w:t xml:space="preserve"> </w:t>
      </w:r>
      <w:r w:rsidRPr="00EF6044">
        <w:rPr>
          <w:rFonts w:ascii="Arial" w:hAnsi="Arial"/>
          <w:sz w:val="20"/>
        </w:rPr>
        <w:t xml:space="preserve">Tabulka je zpracována za ČR, </w:t>
      </w:r>
      <w:r w:rsidR="00FE3A7B" w:rsidRPr="00EF6044">
        <w:rPr>
          <w:rFonts w:ascii="Arial" w:hAnsi="Arial"/>
          <w:sz w:val="20"/>
        </w:rPr>
        <w:t xml:space="preserve">regiony soudržnosti </w:t>
      </w:r>
      <w:r w:rsidRPr="00EF6044">
        <w:rPr>
          <w:rFonts w:ascii="Arial" w:hAnsi="Arial"/>
          <w:sz w:val="20"/>
        </w:rPr>
        <w:t>a kraje.</w:t>
      </w:r>
    </w:p>
    <w:p w14:paraId="1657366B"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ACF52A1"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103</w:t>
      </w:r>
      <w:r w:rsidRPr="00EF6044">
        <w:rPr>
          <w:rFonts w:ascii="Arial" w:hAnsi="Arial"/>
          <w:b/>
          <w:bCs/>
          <w:sz w:val="20"/>
        </w:rPr>
        <w:tab/>
        <w:t>R</w:t>
      </w:r>
      <w:r w:rsidRPr="00EF6044">
        <w:rPr>
          <w:rFonts w:ascii="Arial" w:hAnsi="Arial"/>
          <w:b/>
          <w:bCs/>
          <w:sz w:val="20"/>
        </w:rPr>
        <w:tab/>
        <w:t xml:space="preserve">Pracovní síla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sz w:val="20"/>
        </w:rPr>
        <w:t>regionů soudržnosti</w:t>
      </w:r>
      <w:r w:rsidR="00FE3A7B" w:rsidRPr="00EF6044">
        <w:rPr>
          <w:rFonts w:ascii="Arial" w:hAnsi="Arial"/>
          <w:sz w:val="20"/>
        </w:rPr>
        <w:t xml:space="preserve"> </w:t>
      </w:r>
      <w:r w:rsidRPr="00EF6044">
        <w:rPr>
          <w:rFonts w:ascii="Arial" w:hAnsi="Arial"/>
          <w:b/>
          <w:bCs/>
          <w:sz w:val="20"/>
        </w:rPr>
        <w:t>a krajů</w:t>
      </w:r>
    </w:p>
    <w:p w14:paraId="6EA1C752"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F689704"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průměry rozdělení pracovní síly ČR podle NUTS</w:t>
      </w:r>
      <w:r w:rsidR="00DB6BA4">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DB6BA4">
        <w:rPr>
          <w:rFonts w:ascii="Arial" w:hAnsi="Arial"/>
          <w:sz w:val="20"/>
        </w:rPr>
        <w:t> </w:t>
      </w:r>
      <w:r w:rsidRPr="00EF6044">
        <w:rPr>
          <w:rFonts w:ascii="Arial" w:hAnsi="Arial"/>
          <w:sz w:val="20"/>
        </w:rPr>
        <w:t>3.</w:t>
      </w:r>
    </w:p>
    <w:p w14:paraId="7A76429A"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5E5F91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r w:rsidRPr="00EF6044">
        <w:rPr>
          <w:rFonts w:ascii="Arial" w:hAnsi="Arial"/>
          <w:b/>
          <w:bCs/>
          <w:sz w:val="20"/>
        </w:rPr>
        <w:t>104</w:t>
      </w:r>
      <w:r w:rsidRPr="00EF6044">
        <w:rPr>
          <w:rFonts w:ascii="Arial" w:hAnsi="Arial"/>
          <w:b/>
          <w:bCs/>
          <w:sz w:val="20"/>
        </w:rPr>
        <w:tab/>
        <w:t>Q</w:t>
      </w:r>
      <w:r w:rsidRPr="00EF6044">
        <w:rPr>
          <w:rFonts w:ascii="Arial" w:hAnsi="Arial"/>
          <w:b/>
          <w:bCs/>
          <w:sz w:val="20"/>
        </w:rPr>
        <w:tab/>
        <w:t xml:space="preserve">Pracovní síla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sz w:val="20"/>
        </w:rPr>
        <w:t>regionů soudržnosti</w:t>
      </w:r>
      <w:r w:rsidR="00FE3A7B" w:rsidRPr="00EF6044">
        <w:rPr>
          <w:rFonts w:ascii="Arial" w:hAnsi="Arial"/>
          <w:sz w:val="20"/>
        </w:rPr>
        <w:t xml:space="preserve"> </w:t>
      </w:r>
      <w:r w:rsidRPr="00EF6044">
        <w:rPr>
          <w:rFonts w:ascii="Arial" w:hAnsi="Arial"/>
          <w:b/>
          <w:bCs/>
          <w:sz w:val="20"/>
        </w:rPr>
        <w:t>a krajů</w:t>
      </w:r>
    </w:p>
    <w:p w14:paraId="0291DDF9"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30FD3B2D"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Čtvrtletní údaje rozdělení pracovní síly ČR podle NUTS</w:t>
      </w:r>
      <w:r w:rsidR="00DB6BA4">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DB6BA4">
        <w:rPr>
          <w:rFonts w:ascii="Arial" w:hAnsi="Arial"/>
          <w:sz w:val="20"/>
        </w:rPr>
        <w:t> </w:t>
      </w:r>
      <w:r w:rsidRPr="00EF6044">
        <w:rPr>
          <w:rFonts w:ascii="Arial" w:hAnsi="Arial"/>
          <w:sz w:val="20"/>
        </w:rPr>
        <w:t>3.</w:t>
      </w:r>
    </w:p>
    <w:p w14:paraId="7DD3FD25"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8A37671"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203AC96" w14:textId="77777777" w:rsidR="002C169B" w:rsidRDefault="00917C71" w:rsidP="0083038A">
      <w:pPr>
        <w:pStyle w:val="Nadpis7"/>
        <w:tabs>
          <w:tab w:val="clear" w:pos="1132"/>
          <w:tab w:val="left" w:pos="1080"/>
          <w:tab w:val="left" w:pos="1418"/>
          <w:tab w:val="left" w:pos="1701"/>
        </w:tabs>
        <w:spacing w:before="720" w:after="480"/>
      </w:pPr>
      <w:r w:rsidRPr="00EF6044">
        <w:lastRenderedPageBreak/>
        <w:t xml:space="preserve">II. </w:t>
      </w:r>
      <w:r w:rsidR="00075FAC" w:rsidRPr="00EF6044">
        <w:t>okruh</w:t>
      </w:r>
      <w:r w:rsidRPr="00EF6044">
        <w:tab/>
      </w:r>
      <w:r w:rsidRPr="00EF6044">
        <w:tab/>
        <w:t>Zaměstnaní v národním hospodářství</w:t>
      </w:r>
    </w:p>
    <w:p w14:paraId="2200C0AC"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r w:rsidRPr="00EF6044">
        <w:rPr>
          <w:rFonts w:ascii="Arial" w:hAnsi="Arial"/>
          <w:sz w:val="20"/>
        </w:rPr>
        <w:t xml:space="preserve">II. </w:t>
      </w:r>
      <w:r w:rsidR="00075FAC" w:rsidRPr="00EF6044">
        <w:rPr>
          <w:rFonts w:ascii="Arial" w:hAnsi="Arial"/>
          <w:sz w:val="20"/>
        </w:rPr>
        <w:t>okruh</w:t>
      </w:r>
      <w:r w:rsidRPr="00EF6044">
        <w:rPr>
          <w:rFonts w:ascii="Arial" w:hAnsi="Arial"/>
          <w:sz w:val="20"/>
        </w:rPr>
        <w:t xml:space="preserve"> tabulek zahrnuje všechny osoby, které jsou podle ILO klasifikovány jako zaměstnané v národním hospodářství (dále jen NH), tj.</w:t>
      </w:r>
      <w:r w:rsidR="009E5CF2" w:rsidRPr="00EF6044">
        <w:rPr>
          <w:rFonts w:ascii="Arial" w:hAnsi="Arial"/>
          <w:sz w:val="20"/>
        </w:rPr>
        <w:t xml:space="preserve"> </w:t>
      </w:r>
      <w:r w:rsidRPr="00EF6044">
        <w:rPr>
          <w:rFonts w:ascii="Arial" w:hAnsi="Arial"/>
          <w:sz w:val="20"/>
        </w:rPr>
        <w:t>včetně profesionálních příslušníků armády a do roku 2004 vojáků v základní vojenské službě.</w:t>
      </w:r>
    </w:p>
    <w:p w14:paraId="11EC5995"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33356D7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3B53AE2"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ind w:left="1610" w:hanging="1610"/>
        <w:jc w:val="both"/>
        <w:rPr>
          <w:rFonts w:ascii="Arial" w:hAnsi="Arial"/>
          <w:sz w:val="20"/>
        </w:rPr>
      </w:pPr>
      <w:r w:rsidRPr="00EF6044">
        <w:rPr>
          <w:rFonts w:ascii="Arial" w:hAnsi="Arial"/>
          <w:b/>
          <w:bCs/>
          <w:sz w:val="20"/>
        </w:rPr>
        <w:t>201</w:t>
      </w:r>
      <w:r w:rsidRPr="00EF6044">
        <w:rPr>
          <w:rFonts w:ascii="Arial" w:hAnsi="Arial"/>
          <w:b/>
          <w:bCs/>
          <w:sz w:val="20"/>
        </w:rPr>
        <w:tab/>
        <w:t>R</w:t>
      </w:r>
      <w:r w:rsidRPr="00EF6044">
        <w:rPr>
          <w:rFonts w:ascii="Arial" w:hAnsi="Arial"/>
          <w:b/>
          <w:bCs/>
          <w:sz w:val="20"/>
        </w:rPr>
        <w:tab/>
        <w:t xml:space="preserve">Zaměstnanost v NH dle </w:t>
      </w:r>
      <w:r w:rsidR="00FE3A7B" w:rsidRPr="00EF6044">
        <w:rPr>
          <w:rFonts w:ascii="Arial" w:hAnsi="Arial"/>
          <w:b/>
          <w:bCs/>
          <w:sz w:val="20"/>
        </w:rPr>
        <w:t xml:space="preserve">regionů soudržnosti </w:t>
      </w:r>
      <w:r w:rsidRPr="00EF6044">
        <w:rPr>
          <w:rFonts w:ascii="Arial" w:hAnsi="Arial"/>
          <w:b/>
          <w:bCs/>
          <w:sz w:val="20"/>
        </w:rPr>
        <w:t>a krajů</w:t>
      </w:r>
    </w:p>
    <w:p w14:paraId="7AA0C2F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0464A041"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průměry počtů osob starších 15</w:t>
      </w:r>
      <w:r w:rsidR="00A93FA2" w:rsidRPr="00EF6044">
        <w:rPr>
          <w:rFonts w:ascii="Arial" w:hAnsi="Arial"/>
          <w:sz w:val="20"/>
        </w:rPr>
        <w:t xml:space="preserve"> </w:t>
      </w:r>
      <w:r w:rsidRPr="00EF6044">
        <w:rPr>
          <w:rFonts w:ascii="Arial" w:hAnsi="Arial"/>
          <w:sz w:val="20"/>
        </w:rPr>
        <w:t>let zaměstnaných v národním hospodářství v členění dle NUTS</w:t>
      </w:r>
      <w:r w:rsidR="00DB6BA4">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DB6BA4">
        <w:rPr>
          <w:rFonts w:ascii="Arial" w:hAnsi="Arial"/>
          <w:sz w:val="20"/>
        </w:rPr>
        <w:t> </w:t>
      </w:r>
      <w:r w:rsidRPr="00EF6044">
        <w:rPr>
          <w:rFonts w:ascii="Arial" w:hAnsi="Arial"/>
          <w:sz w:val="20"/>
        </w:rPr>
        <w:t>3.</w:t>
      </w:r>
    </w:p>
    <w:p w14:paraId="2364905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64023252"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202</w:t>
      </w:r>
      <w:r w:rsidRPr="00EF6044">
        <w:rPr>
          <w:rFonts w:ascii="Arial" w:hAnsi="Arial"/>
          <w:b/>
          <w:bCs/>
          <w:sz w:val="20"/>
        </w:rPr>
        <w:tab/>
        <w:t>Q</w:t>
      </w:r>
      <w:r w:rsidRPr="00EF6044">
        <w:rPr>
          <w:rFonts w:ascii="Arial" w:hAnsi="Arial"/>
          <w:b/>
          <w:bCs/>
          <w:sz w:val="20"/>
        </w:rPr>
        <w:tab/>
        <w:t xml:space="preserve">Zaměstnanost v NH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4351500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177E706"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Čtvrtletní údaje o počtech osob starších 15 let zaměstnaných v národním hospodářství v členění dle NUTS</w:t>
      </w:r>
      <w:r w:rsidR="00DB6BA4">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DB6BA4">
        <w:rPr>
          <w:rFonts w:ascii="Arial" w:hAnsi="Arial"/>
          <w:sz w:val="20"/>
        </w:rPr>
        <w:t> </w:t>
      </w:r>
      <w:r w:rsidRPr="00EF6044">
        <w:rPr>
          <w:rFonts w:ascii="Arial" w:hAnsi="Arial"/>
          <w:sz w:val="20"/>
        </w:rPr>
        <w:t>3.</w:t>
      </w:r>
    </w:p>
    <w:p w14:paraId="0FE699CA"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1CA68E3C"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203</w:t>
      </w:r>
      <w:r w:rsidRPr="00EF6044">
        <w:rPr>
          <w:rFonts w:ascii="Arial" w:hAnsi="Arial"/>
          <w:b/>
          <w:bCs/>
          <w:sz w:val="20"/>
        </w:rPr>
        <w:tab/>
        <w:t>R (K)</w:t>
      </w:r>
      <w:r w:rsidRPr="00EF6044">
        <w:rPr>
          <w:rFonts w:ascii="Arial" w:hAnsi="Arial"/>
          <w:b/>
          <w:bCs/>
          <w:sz w:val="20"/>
        </w:rPr>
        <w:tab/>
        <w:t>Věk a vzdělání zaměstnaných v NH</w:t>
      </w:r>
    </w:p>
    <w:p w14:paraId="3CAB61F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15D96C10"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 xml:space="preserve">Roční průměry počtů osob zaměstnaných v národním hospodářství České republiky v členění podle pětiletých věkových skupin a podle úrovně nejvyššího dosaženého vzdělání. Tabulka je zpracována za Českou republiku, </w:t>
      </w:r>
      <w:r w:rsidR="00FE3A7B" w:rsidRPr="00EF6044">
        <w:rPr>
          <w:rFonts w:ascii="Arial" w:hAnsi="Arial"/>
          <w:sz w:val="20"/>
        </w:rPr>
        <w:t xml:space="preserve">regiony soudržnosti </w:t>
      </w:r>
      <w:r w:rsidRPr="00EF6044">
        <w:rPr>
          <w:rFonts w:ascii="Arial" w:hAnsi="Arial"/>
          <w:sz w:val="20"/>
        </w:rPr>
        <w:t>a kraje.</w:t>
      </w:r>
    </w:p>
    <w:p w14:paraId="511371E9"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205D826"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204</w:t>
      </w:r>
      <w:r w:rsidRPr="00EF6044">
        <w:rPr>
          <w:rFonts w:ascii="Arial" w:hAnsi="Arial"/>
          <w:b/>
          <w:bCs/>
          <w:sz w:val="20"/>
        </w:rPr>
        <w:tab/>
        <w:t>R (K)</w:t>
      </w:r>
      <w:r w:rsidRPr="00EF6044">
        <w:rPr>
          <w:rFonts w:ascii="Arial" w:hAnsi="Arial"/>
          <w:b/>
          <w:bCs/>
          <w:sz w:val="20"/>
        </w:rPr>
        <w:tab/>
        <w:t>Odvětví činnosti zaměstnaných v NH</w:t>
      </w:r>
    </w:p>
    <w:p w14:paraId="65422835"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360D6394"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 xml:space="preserve">Roční průměry počtů osob zaměstnaných v národním hospodářství České republiky v členění podle odvětví činnosti </w:t>
      </w:r>
      <w:r w:rsidR="00450ABE" w:rsidRPr="00EF6044">
        <w:rPr>
          <w:rFonts w:ascii="Arial" w:hAnsi="Arial"/>
          <w:sz w:val="20"/>
        </w:rPr>
        <w:t>CZ-NACE</w:t>
      </w:r>
      <w:r w:rsidRPr="00EF6044">
        <w:rPr>
          <w:rFonts w:ascii="Arial" w:hAnsi="Arial"/>
          <w:sz w:val="20"/>
        </w:rPr>
        <w:t xml:space="preserve">. Tabulka je zpracována za Českou republiku, </w:t>
      </w:r>
      <w:r w:rsidR="00FE3A7B" w:rsidRPr="00EF6044">
        <w:rPr>
          <w:rFonts w:ascii="Arial" w:hAnsi="Arial"/>
          <w:sz w:val="20"/>
        </w:rPr>
        <w:t xml:space="preserve">regiony soudržnosti </w:t>
      </w:r>
      <w:r w:rsidRPr="00EF6044">
        <w:rPr>
          <w:rFonts w:ascii="Arial" w:hAnsi="Arial"/>
          <w:sz w:val="20"/>
        </w:rPr>
        <w:t>a kraje.</w:t>
      </w:r>
    </w:p>
    <w:p w14:paraId="3AB1F4F1"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80E82AA"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205</w:t>
      </w:r>
      <w:r w:rsidRPr="00EF6044">
        <w:rPr>
          <w:rFonts w:ascii="Arial" w:hAnsi="Arial"/>
          <w:b/>
          <w:bCs/>
          <w:sz w:val="20"/>
        </w:rPr>
        <w:tab/>
        <w:t>R (K)</w:t>
      </w:r>
      <w:r w:rsidRPr="00EF6044">
        <w:rPr>
          <w:rFonts w:ascii="Arial" w:hAnsi="Arial"/>
          <w:b/>
          <w:bCs/>
          <w:sz w:val="20"/>
        </w:rPr>
        <w:tab/>
        <w:t>Klasifikace zaměstnání a postavení zaměstnaných v NH</w:t>
      </w:r>
    </w:p>
    <w:p w14:paraId="3FB787AE"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EDCE27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 xml:space="preserve">Roční průměry počtů osob zaměstnaných v národním hospodářství České republiky v členění podle klasifikace zaměstnání </w:t>
      </w:r>
      <w:r w:rsidR="00C41D20" w:rsidRPr="00EF6044">
        <w:rPr>
          <w:rFonts w:ascii="Arial" w:hAnsi="Arial"/>
          <w:sz w:val="20"/>
        </w:rPr>
        <w:t xml:space="preserve">CZ-ISCO </w:t>
      </w:r>
      <w:r w:rsidRPr="00EF6044">
        <w:rPr>
          <w:rFonts w:ascii="Arial" w:hAnsi="Arial"/>
          <w:sz w:val="20"/>
        </w:rPr>
        <w:t xml:space="preserve">a postavení v zaměstnání CZ-ICSE. Tabulka je zpracována za Českou republiku, </w:t>
      </w:r>
      <w:r w:rsidR="00FE3A7B" w:rsidRPr="00EF6044">
        <w:rPr>
          <w:rFonts w:ascii="Arial" w:hAnsi="Arial"/>
          <w:sz w:val="20"/>
        </w:rPr>
        <w:t xml:space="preserve">regiony soudržnosti </w:t>
      </w:r>
      <w:r w:rsidRPr="00EF6044">
        <w:rPr>
          <w:rFonts w:ascii="Arial" w:hAnsi="Arial"/>
          <w:sz w:val="20"/>
        </w:rPr>
        <w:t>a kraje.</w:t>
      </w:r>
    </w:p>
    <w:p w14:paraId="7AE901A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7F0C7B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206</w:t>
      </w:r>
      <w:r w:rsidRPr="00EF6044">
        <w:rPr>
          <w:rFonts w:ascii="Arial" w:hAnsi="Arial"/>
          <w:b/>
          <w:bCs/>
          <w:sz w:val="20"/>
        </w:rPr>
        <w:tab/>
        <w:t>R</w:t>
      </w:r>
      <w:r w:rsidRPr="00EF6044">
        <w:rPr>
          <w:rFonts w:ascii="Arial" w:hAnsi="Arial"/>
          <w:b/>
          <w:bCs/>
          <w:sz w:val="20"/>
        </w:rPr>
        <w:tab/>
        <w:t xml:space="preserve">Druhé (další) zaměstnání v NH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4B2AC146"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24575B1" w14:textId="77777777" w:rsidR="00917C71" w:rsidRPr="00EF6044" w:rsidRDefault="0034595B">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průměry počtů</w:t>
      </w:r>
      <w:r w:rsidR="00917C71" w:rsidRPr="00EF6044">
        <w:rPr>
          <w:rFonts w:ascii="Arial" w:hAnsi="Arial"/>
          <w:sz w:val="20"/>
        </w:rPr>
        <w:t xml:space="preserve"> osob zaměstnaných v národním hospodářství, pracujících ve druhém (dalším) zaměstnání, v členění dle NUTS</w:t>
      </w:r>
      <w:r w:rsidR="00DB6BA4">
        <w:rPr>
          <w:rFonts w:ascii="Arial" w:hAnsi="Arial"/>
          <w:sz w:val="20"/>
        </w:rPr>
        <w:t> </w:t>
      </w:r>
      <w:smartTag w:uri="urn:schemas-microsoft-com:office:smarttags" w:element="metricconverter">
        <w:smartTagPr>
          <w:attr w:name="ProductID" w:val="2 a"/>
        </w:smartTagPr>
        <w:r w:rsidR="00917C71" w:rsidRPr="00EF6044">
          <w:rPr>
            <w:rFonts w:ascii="Arial" w:hAnsi="Arial"/>
            <w:sz w:val="20"/>
          </w:rPr>
          <w:t>2 a</w:t>
        </w:r>
      </w:smartTag>
      <w:r w:rsidR="00917C71" w:rsidRPr="00EF6044">
        <w:rPr>
          <w:rFonts w:ascii="Arial" w:hAnsi="Arial"/>
          <w:sz w:val="20"/>
        </w:rPr>
        <w:t xml:space="preserve"> NUTS</w:t>
      </w:r>
      <w:r w:rsidR="00DB6BA4">
        <w:rPr>
          <w:rFonts w:ascii="Arial" w:hAnsi="Arial"/>
          <w:sz w:val="20"/>
        </w:rPr>
        <w:t> </w:t>
      </w:r>
      <w:r w:rsidR="00917C71" w:rsidRPr="00EF6044">
        <w:rPr>
          <w:rFonts w:ascii="Arial" w:hAnsi="Arial"/>
          <w:sz w:val="20"/>
        </w:rPr>
        <w:t>3.</w:t>
      </w:r>
    </w:p>
    <w:p w14:paraId="7DC0EA4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6CE8A3F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207</w:t>
      </w:r>
      <w:r w:rsidRPr="00EF6044">
        <w:rPr>
          <w:rFonts w:ascii="Arial" w:hAnsi="Arial"/>
          <w:b/>
          <w:bCs/>
          <w:sz w:val="20"/>
        </w:rPr>
        <w:tab/>
        <w:t>Q</w:t>
      </w:r>
      <w:r w:rsidRPr="00EF6044">
        <w:rPr>
          <w:rFonts w:ascii="Arial" w:hAnsi="Arial"/>
          <w:b/>
          <w:bCs/>
          <w:sz w:val="20"/>
        </w:rPr>
        <w:tab/>
        <w:t xml:space="preserve">Druhé (další) zaměstnání v NH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33E75CCD"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DDFFA1D"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Čtvrtletní údaje o počtu osob zaměstnaných v národním hospodářství, pracujících ve druhém (dalším) zaměstnání, v členění dle NUTS</w:t>
      </w:r>
      <w:r w:rsidR="00DB6BA4">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DB6BA4">
        <w:rPr>
          <w:rFonts w:ascii="Arial" w:hAnsi="Arial"/>
          <w:sz w:val="20"/>
        </w:rPr>
        <w:t> </w:t>
      </w:r>
      <w:r w:rsidRPr="00EF6044">
        <w:rPr>
          <w:rFonts w:ascii="Arial" w:hAnsi="Arial"/>
          <w:sz w:val="20"/>
        </w:rPr>
        <w:t>3.</w:t>
      </w:r>
    </w:p>
    <w:p w14:paraId="248B1BFB"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p>
    <w:p w14:paraId="07BD1FD0" w14:textId="77777777" w:rsidR="00917C71" w:rsidRPr="00EF6044" w:rsidRDefault="00917C71">
      <w:pPr>
        <w:pStyle w:val="Nadpis7"/>
        <w:tabs>
          <w:tab w:val="clear" w:pos="1132"/>
          <w:tab w:val="left" w:pos="1587"/>
        </w:tabs>
      </w:pPr>
      <w:r w:rsidRPr="00EF6044">
        <w:t>208</w:t>
      </w:r>
      <w:r w:rsidRPr="00EF6044">
        <w:tab/>
        <w:t>R</w:t>
      </w:r>
      <w:r w:rsidRPr="00EF6044">
        <w:tab/>
        <w:t>Postavení v zaměstnání a odvětví činnosti v druhém (dalším) zaměstnání</w:t>
      </w:r>
    </w:p>
    <w:p w14:paraId="7D7A27CE"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2560159" w14:textId="77777777" w:rsidR="00917C71" w:rsidRPr="00EF6044" w:rsidRDefault="00917C71">
      <w:pPr>
        <w:ind w:left="720" w:hanging="720"/>
        <w:jc w:val="both"/>
        <w:rPr>
          <w:rFonts w:ascii="Arial" w:hAnsi="Arial" w:cs="Arial"/>
          <w:sz w:val="20"/>
        </w:rPr>
      </w:pPr>
      <w:r w:rsidRPr="00EF6044">
        <w:tab/>
      </w:r>
      <w:r w:rsidRPr="00EF6044">
        <w:rPr>
          <w:rFonts w:ascii="Arial" w:hAnsi="Arial"/>
          <w:sz w:val="20"/>
        </w:rPr>
        <w:t>Roční pr</w:t>
      </w:r>
      <w:r w:rsidR="0034595B" w:rsidRPr="00EF6044">
        <w:rPr>
          <w:rFonts w:ascii="Arial" w:hAnsi="Arial"/>
          <w:sz w:val="20"/>
        </w:rPr>
        <w:t>ůměry počtů</w:t>
      </w:r>
      <w:r w:rsidRPr="00EF6044">
        <w:rPr>
          <w:rFonts w:ascii="Arial" w:hAnsi="Arial"/>
          <w:sz w:val="20"/>
        </w:rPr>
        <w:t xml:space="preserve"> osob zaměstnaných v národním hospodářství, pracujících ve druhém (dalším) zaměstnání, v členění podle postavení v zaměstnání CZ-ICSE a odvětví činnosti </w:t>
      </w:r>
      <w:r w:rsidR="00450ABE" w:rsidRPr="00EF6044">
        <w:rPr>
          <w:rFonts w:ascii="Arial" w:hAnsi="Arial"/>
          <w:sz w:val="20"/>
        </w:rPr>
        <w:t>CZ</w:t>
      </w:r>
      <w:r w:rsidR="004B6DF7" w:rsidRPr="00EF6044">
        <w:rPr>
          <w:rFonts w:ascii="Arial" w:hAnsi="Arial"/>
          <w:sz w:val="20"/>
        </w:rPr>
        <w:noBreakHyphen/>
      </w:r>
      <w:r w:rsidR="00450ABE" w:rsidRPr="00EF6044">
        <w:rPr>
          <w:rFonts w:ascii="Arial" w:hAnsi="Arial"/>
          <w:sz w:val="20"/>
        </w:rPr>
        <w:t>NACE</w:t>
      </w:r>
      <w:r w:rsidRPr="00EF6044">
        <w:rPr>
          <w:rFonts w:ascii="Arial" w:hAnsi="Arial"/>
          <w:sz w:val="20"/>
        </w:rPr>
        <w:t>.</w:t>
      </w:r>
    </w:p>
    <w:p w14:paraId="487E8262" w14:textId="77777777" w:rsidR="00917C71" w:rsidRPr="00EF6044" w:rsidRDefault="00917C71" w:rsidP="0083038A">
      <w:pPr>
        <w:pStyle w:val="Nadpis7"/>
        <w:tabs>
          <w:tab w:val="clear" w:pos="720"/>
          <w:tab w:val="clear" w:pos="1132"/>
          <w:tab w:val="left" w:pos="1080"/>
          <w:tab w:val="left" w:pos="1418"/>
        </w:tabs>
        <w:spacing w:before="720" w:after="480"/>
      </w:pPr>
      <w:r w:rsidRPr="00EF6044">
        <w:lastRenderedPageBreak/>
        <w:t xml:space="preserve">III. </w:t>
      </w:r>
      <w:r w:rsidR="00075FAC" w:rsidRPr="00EF6044">
        <w:t>okruh</w:t>
      </w:r>
      <w:r w:rsidRPr="00EF6044">
        <w:tab/>
      </w:r>
      <w:r w:rsidR="004B6DF7" w:rsidRPr="00EF6044">
        <w:tab/>
      </w:r>
      <w:r w:rsidRPr="00EF6044">
        <w:t>Nezaměstnaní</w:t>
      </w:r>
    </w:p>
    <w:p w14:paraId="385CB548" w14:textId="77777777" w:rsidR="00463260" w:rsidRPr="00EF6044" w:rsidRDefault="00917C71" w:rsidP="00463260">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r w:rsidRPr="00EF6044">
        <w:rPr>
          <w:rFonts w:ascii="Arial" w:hAnsi="Arial"/>
          <w:sz w:val="20"/>
        </w:rPr>
        <w:t xml:space="preserve">V tabulkách III. </w:t>
      </w:r>
      <w:r w:rsidR="00075FAC" w:rsidRPr="00EF6044">
        <w:rPr>
          <w:rFonts w:ascii="Arial" w:hAnsi="Arial"/>
          <w:sz w:val="20"/>
        </w:rPr>
        <w:t>okruh</w:t>
      </w:r>
      <w:r w:rsidRPr="00EF6044">
        <w:rPr>
          <w:rFonts w:ascii="Arial" w:hAnsi="Arial"/>
          <w:sz w:val="20"/>
        </w:rPr>
        <w:t>u jsou zahrnuty osoby, které jsou podle mezinárodních definic a</w:t>
      </w:r>
      <w:r w:rsidR="004B6DF7" w:rsidRPr="00EF6044">
        <w:rPr>
          <w:rFonts w:ascii="Arial" w:hAnsi="Arial"/>
          <w:sz w:val="20"/>
        </w:rPr>
        <w:t> </w:t>
      </w:r>
      <w:r w:rsidRPr="00EF6044">
        <w:rPr>
          <w:rFonts w:ascii="Arial" w:hAnsi="Arial"/>
          <w:sz w:val="20"/>
        </w:rPr>
        <w:t xml:space="preserve">doporučení ILO klasifikovány jako nezaměstnané, tj. které v referenčním období nepracovaly, aktivně si hledaly zaměstnání a byly schopny nástupu do 14 dnů. </w:t>
      </w:r>
      <w:r w:rsidR="00463260" w:rsidRPr="00EF6044">
        <w:rPr>
          <w:rFonts w:ascii="Arial" w:hAnsi="Arial"/>
          <w:sz w:val="20"/>
        </w:rPr>
        <w:t>Patří sem i osoby, které již zaměstnání našly, ale nástup je stanoven na dobu nejpozději do 3 měsíců.</w:t>
      </w:r>
    </w:p>
    <w:p w14:paraId="57A3502A"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F47404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B791E7C" w14:textId="77777777" w:rsidR="00917C71" w:rsidRPr="00EF6044" w:rsidRDefault="00917C71">
      <w:pPr>
        <w:pStyle w:val="Nadpis6"/>
        <w:pageBreakBefore w:val="0"/>
        <w:spacing w:line="240" w:lineRule="auto"/>
      </w:pPr>
      <w:r w:rsidRPr="00EF6044">
        <w:t>301</w:t>
      </w:r>
      <w:r w:rsidRPr="00EF6044">
        <w:tab/>
        <w:t>R</w:t>
      </w:r>
      <w:r w:rsidRPr="00EF6044">
        <w:tab/>
        <w:t xml:space="preserve">Nezaměstnanost </w:t>
      </w:r>
      <w:r w:rsidR="00601581" w:rsidRPr="00EF6044">
        <w:t>po</w:t>
      </w:r>
      <w:r w:rsidRPr="00EF6044">
        <w:t xml:space="preserve">dle </w:t>
      </w:r>
      <w:r w:rsidR="00FE3A7B" w:rsidRPr="00EF6044">
        <w:t xml:space="preserve">regionů soudržnosti </w:t>
      </w:r>
      <w:r w:rsidRPr="00EF6044">
        <w:t>a krajů</w:t>
      </w:r>
    </w:p>
    <w:p w14:paraId="50935436"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3F127B4D" w14:textId="77777777" w:rsidR="00917C71" w:rsidRPr="00EF6044" w:rsidRDefault="0034595B">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průměry počtů</w:t>
      </w:r>
      <w:r w:rsidR="00917C71" w:rsidRPr="00EF6044">
        <w:rPr>
          <w:rFonts w:ascii="Arial" w:hAnsi="Arial"/>
          <w:sz w:val="20"/>
        </w:rPr>
        <w:t xml:space="preserve"> nezaměstnaných podle ILO v členění dle NUTS</w:t>
      </w:r>
      <w:r w:rsidR="008D0466">
        <w:rPr>
          <w:rFonts w:ascii="Arial" w:hAnsi="Arial"/>
          <w:sz w:val="20"/>
        </w:rPr>
        <w:t> </w:t>
      </w:r>
      <w:r w:rsidR="00917C71" w:rsidRPr="00EF6044">
        <w:rPr>
          <w:rFonts w:ascii="Arial" w:hAnsi="Arial"/>
          <w:sz w:val="20"/>
        </w:rPr>
        <w:t>2 a NUTS</w:t>
      </w:r>
      <w:r w:rsidR="008D0466">
        <w:rPr>
          <w:rFonts w:ascii="Arial" w:hAnsi="Arial"/>
          <w:sz w:val="20"/>
        </w:rPr>
        <w:t> </w:t>
      </w:r>
      <w:r w:rsidR="00917C71" w:rsidRPr="00EF6044">
        <w:rPr>
          <w:rFonts w:ascii="Arial" w:hAnsi="Arial"/>
          <w:sz w:val="20"/>
        </w:rPr>
        <w:t>3.</w:t>
      </w:r>
    </w:p>
    <w:p w14:paraId="4311111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00C96A3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r w:rsidRPr="00EF6044">
        <w:rPr>
          <w:rFonts w:ascii="Arial" w:hAnsi="Arial"/>
          <w:b/>
          <w:bCs/>
          <w:sz w:val="20"/>
        </w:rPr>
        <w:t>302</w:t>
      </w:r>
      <w:r w:rsidRPr="00EF6044">
        <w:rPr>
          <w:rFonts w:ascii="Arial" w:hAnsi="Arial"/>
          <w:b/>
          <w:bCs/>
          <w:sz w:val="20"/>
        </w:rPr>
        <w:tab/>
        <w:t>Q</w:t>
      </w:r>
      <w:r w:rsidRPr="00EF6044">
        <w:rPr>
          <w:rFonts w:ascii="Arial" w:hAnsi="Arial"/>
          <w:b/>
          <w:bCs/>
          <w:sz w:val="20"/>
        </w:rPr>
        <w:tab/>
        <w:t xml:space="preserve">Nezaměstnanost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regionů soudržnosti</w:t>
      </w:r>
      <w:r w:rsidRPr="00EF6044">
        <w:rPr>
          <w:rFonts w:ascii="Arial" w:hAnsi="Arial"/>
          <w:b/>
          <w:bCs/>
          <w:sz w:val="20"/>
        </w:rPr>
        <w:t xml:space="preserve"> a krajů</w:t>
      </w:r>
    </w:p>
    <w:p w14:paraId="49FC5EB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1C9E4FF"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Čtvrtletní údaje o počtu nezaměstnaných podle ILO v členění dle NUTS</w:t>
      </w:r>
      <w:r w:rsidR="008D0466">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8D0466">
        <w:rPr>
          <w:rFonts w:ascii="Arial" w:hAnsi="Arial"/>
          <w:sz w:val="20"/>
        </w:rPr>
        <w:t> </w:t>
      </w:r>
      <w:r w:rsidRPr="00EF6044">
        <w:rPr>
          <w:rFonts w:ascii="Arial" w:hAnsi="Arial"/>
          <w:sz w:val="20"/>
        </w:rPr>
        <w:t>3.</w:t>
      </w:r>
    </w:p>
    <w:p w14:paraId="69630C7C"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17E2E90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1611" w:hanging="1611"/>
        <w:jc w:val="both"/>
        <w:rPr>
          <w:rFonts w:ascii="Arial" w:hAnsi="Arial"/>
          <w:sz w:val="20"/>
        </w:rPr>
      </w:pPr>
      <w:r w:rsidRPr="00EF6044">
        <w:rPr>
          <w:rFonts w:ascii="Arial" w:hAnsi="Arial"/>
          <w:b/>
          <w:bCs/>
          <w:sz w:val="20"/>
        </w:rPr>
        <w:t>303</w:t>
      </w:r>
      <w:r w:rsidRPr="00EF6044">
        <w:rPr>
          <w:rFonts w:ascii="Arial" w:hAnsi="Arial"/>
          <w:b/>
          <w:bCs/>
          <w:sz w:val="20"/>
        </w:rPr>
        <w:tab/>
        <w:t>R (K)</w:t>
      </w:r>
      <w:r w:rsidRPr="00EF6044">
        <w:rPr>
          <w:rFonts w:ascii="Arial" w:hAnsi="Arial"/>
          <w:b/>
          <w:bCs/>
          <w:sz w:val="20"/>
        </w:rPr>
        <w:tab/>
        <w:t>Věk a vzdělání nezaměstnaných</w:t>
      </w:r>
    </w:p>
    <w:p w14:paraId="7711C425"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rPr>
      </w:pPr>
    </w:p>
    <w:p w14:paraId="7F9EB826" w14:textId="77777777" w:rsidR="00917C71" w:rsidRPr="00EF6044" w:rsidRDefault="0034595B">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744"/>
        <w:jc w:val="both"/>
        <w:rPr>
          <w:rFonts w:ascii="Arial" w:hAnsi="Arial"/>
          <w:sz w:val="20"/>
        </w:rPr>
      </w:pPr>
      <w:r w:rsidRPr="00EF6044">
        <w:rPr>
          <w:rFonts w:ascii="Arial" w:hAnsi="Arial"/>
          <w:sz w:val="20"/>
        </w:rPr>
        <w:t>Roční průměry počtů</w:t>
      </w:r>
      <w:r w:rsidR="00917C71" w:rsidRPr="00EF6044">
        <w:rPr>
          <w:rFonts w:ascii="Arial" w:hAnsi="Arial"/>
          <w:sz w:val="20"/>
        </w:rPr>
        <w:t xml:space="preserve"> nezaměstnaných podle ILO v členění pětiletých věkových skupin a dle úrovně nejvyššího dosaženého vzdělání. Tabulka je zpracována za Českou republiku, </w:t>
      </w:r>
      <w:r w:rsidR="00FE3A7B" w:rsidRPr="00EF6044">
        <w:rPr>
          <w:rFonts w:ascii="Arial" w:hAnsi="Arial"/>
          <w:sz w:val="20"/>
        </w:rPr>
        <w:t xml:space="preserve">regiony soudržnosti </w:t>
      </w:r>
      <w:r w:rsidR="00917C71" w:rsidRPr="00EF6044">
        <w:rPr>
          <w:rFonts w:ascii="Arial" w:hAnsi="Arial"/>
          <w:sz w:val="20"/>
        </w:rPr>
        <w:t>a kraje.</w:t>
      </w:r>
    </w:p>
    <w:p w14:paraId="070B7BA0"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rPr>
      </w:pPr>
    </w:p>
    <w:p w14:paraId="5E92594D" w14:textId="77777777" w:rsidR="00917C71" w:rsidRPr="00EF6044" w:rsidRDefault="00917C71">
      <w:pPr>
        <w:pStyle w:val="Nadpis6"/>
        <w:pageBreakBefore w:val="0"/>
      </w:pPr>
      <w:r w:rsidRPr="00EF6044">
        <w:t>304</w:t>
      </w:r>
      <w:r w:rsidRPr="00EF6044">
        <w:tab/>
        <w:t>R (K)</w:t>
      </w:r>
      <w:r w:rsidRPr="00EF6044">
        <w:tab/>
        <w:t>Způsob a doba hledání zaměstnání</w:t>
      </w:r>
    </w:p>
    <w:p w14:paraId="2F78D74F"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rPr>
      </w:pPr>
    </w:p>
    <w:p w14:paraId="49E8C099" w14:textId="77777777" w:rsidR="00917C71" w:rsidRPr="00EF6044" w:rsidRDefault="0034595B">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744"/>
        <w:jc w:val="both"/>
        <w:rPr>
          <w:rFonts w:ascii="Arial" w:hAnsi="Arial"/>
          <w:sz w:val="20"/>
        </w:rPr>
      </w:pPr>
      <w:r w:rsidRPr="00EF6044">
        <w:rPr>
          <w:rFonts w:ascii="Arial" w:hAnsi="Arial"/>
          <w:sz w:val="20"/>
        </w:rPr>
        <w:t>Roční průměry počtů</w:t>
      </w:r>
      <w:r w:rsidR="00917C71" w:rsidRPr="00EF6044">
        <w:rPr>
          <w:rFonts w:ascii="Arial" w:hAnsi="Arial"/>
          <w:sz w:val="20"/>
        </w:rPr>
        <w:t xml:space="preserve"> nezaměstnaných podle ILO (bez osob, které si již práci našly, ale nástup je stanoven nejpozději do 14 dnů) podle délky hledání zaměstnání a nejčastějších způsobů hledání zaměstnání. Tabulka je zpracována za Českou republiku, </w:t>
      </w:r>
      <w:r w:rsidR="00FE3A7B" w:rsidRPr="00EF6044">
        <w:rPr>
          <w:rFonts w:ascii="Arial" w:hAnsi="Arial"/>
          <w:sz w:val="20"/>
        </w:rPr>
        <w:t xml:space="preserve">regiony soudržnosti </w:t>
      </w:r>
      <w:r w:rsidR="00917C71" w:rsidRPr="00EF6044">
        <w:rPr>
          <w:rFonts w:ascii="Arial" w:hAnsi="Arial"/>
          <w:sz w:val="20"/>
        </w:rPr>
        <w:t>a kraje.</w:t>
      </w:r>
    </w:p>
    <w:p w14:paraId="013191B1" w14:textId="77777777" w:rsidR="00917C71" w:rsidRPr="00EF6044" w:rsidRDefault="00917C71" w:rsidP="0083038A">
      <w:pPr>
        <w:pStyle w:val="Nadpis7"/>
        <w:tabs>
          <w:tab w:val="clear" w:pos="720"/>
          <w:tab w:val="clear" w:pos="1132"/>
          <w:tab w:val="left" w:pos="1080"/>
          <w:tab w:val="left" w:pos="1418"/>
          <w:tab w:val="left" w:pos="1587"/>
        </w:tabs>
        <w:spacing w:before="720" w:after="480"/>
      </w:pPr>
      <w:r w:rsidRPr="00EF6044">
        <w:t xml:space="preserve">IV. </w:t>
      </w:r>
      <w:r w:rsidR="00075FAC" w:rsidRPr="00EF6044">
        <w:t>okruh</w:t>
      </w:r>
      <w:r w:rsidRPr="00EF6044">
        <w:tab/>
      </w:r>
      <w:r w:rsidR="004B6DF7" w:rsidRPr="00EF6044">
        <w:tab/>
      </w:r>
      <w:r w:rsidR="004B6DF7" w:rsidRPr="00EF6044">
        <w:tab/>
      </w:r>
      <w:r w:rsidRPr="00EF6044">
        <w:t>Míry</w:t>
      </w:r>
    </w:p>
    <w:p w14:paraId="65AEDA30" w14:textId="77777777" w:rsidR="00917C71" w:rsidRPr="00EF6044" w:rsidRDefault="00917C71">
      <w:pPr>
        <w:pStyle w:val="Zkladntext3"/>
        <w:tabs>
          <w:tab w:val="clear" w:pos="540"/>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pPr>
      <w:r w:rsidRPr="00EF6044">
        <w:t>Obecná míra nezaměstnanosti podle metodiky ILO a míra ekonomické aktivity jsou základními relativními ukazateli pro hodnocení trhu práce. Metodika jejich výpočtu je uvedena výše.</w:t>
      </w:r>
    </w:p>
    <w:p w14:paraId="7FF547B0"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FCC37F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401</w:t>
      </w:r>
      <w:r w:rsidRPr="00EF6044">
        <w:rPr>
          <w:rFonts w:ascii="Arial" w:hAnsi="Arial"/>
          <w:b/>
          <w:bCs/>
          <w:sz w:val="20"/>
        </w:rPr>
        <w:tab/>
        <w:t>R</w:t>
      </w:r>
      <w:r w:rsidRPr="00EF6044">
        <w:rPr>
          <w:rFonts w:ascii="Arial" w:hAnsi="Arial"/>
          <w:b/>
          <w:bCs/>
          <w:sz w:val="20"/>
        </w:rPr>
        <w:tab/>
        <w:t xml:space="preserve">Míra nezaměstnanosti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588B5FC9"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5E67B42"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průměrná obecná míra nezaměstnanosti v členění dle NUTS</w:t>
      </w:r>
      <w:r w:rsidR="008D0466">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8D0466">
        <w:rPr>
          <w:rFonts w:ascii="Arial" w:hAnsi="Arial"/>
          <w:sz w:val="20"/>
        </w:rPr>
        <w:t> </w:t>
      </w:r>
      <w:r w:rsidRPr="00EF6044">
        <w:rPr>
          <w:rFonts w:ascii="Arial" w:hAnsi="Arial"/>
          <w:sz w:val="20"/>
        </w:rPr>
        <w:t>3.</w:t>
      </w:r>
    </w:p>
    <w:p w14:paraId="261379A1"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42DE9A2"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402</w:t>
      </w:r>
      <w:r w:rsidRPr="00EF6044">
        <w:rPr>
          <w:rFonts w:ascii="Arial" w:hAnsi="Arial"/>
          <w:b/>
          <w:bCs/>
          <w:sz w:val="20"/>
        </w:rPr>
        <w:tab/>
        <w:t>Q</w:t>
      </w:r>
      <w:r w:rsidRPr="00EF6044">
        <w:rPr>
          <w:rFonts w:ascii="Arial" w:hAnsi="Arial"/>
          <w:b/>
          <w:bCs/>
          <w:sz w:val="20"/>
        </w:rPr>
        <w:tab/>
        <w:t xml:space="preserve">Míra nezaměstnanosti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0068C505"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E5B0A2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Čtvrtletní hodnoty obecné míry nezaměstnanosti v členění dle NUTS</w:t>
      </w:r>
      <w:r w:rsidR="008D0466">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8D0466">
        <w:rPr>
          <w:rFonts w:ascii="Arial" w:hAnsi="Arial"/>
          <w:sz w:val="20"/>
        </w:rPr>
        <w:t> </w:t>
      </w:r>
      <w:r w:rsidRPr="00EF6044">
        <w:rPr>
          <w:rFonts w:ascii="Arial" w:hAnsi="Arial"/>
          <w:sz w:val="20"/>
        </w:rPr>
        <w:t>3.</w:t>
      </w:r>
    </w:p>
    <w:p w14:paraId="15A0B8D6"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51DF9C9E"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403</w:t>
      </w:r>
      <w:r w:rsidRPr="00EF6044">
        <w:rPr>
          <w:rFonts w:ascii="Arial" w:hAnsi="Arial"/>
          <w:b/>
          <w:bCs/>
          <w:sz w:val="20"/>
        </w:rPr>
        <w:tab/>
        <w:t>R (K)</w:t>
      </w:r>
      <w:r w:rsidRPr="00EF6044">
        <w:rPr>
          <w:rFonts w:ascii="Arial" w:hAnsi="Arial"/>
          <w:b/>
          <w:bCs/>
          <w:sz w:val="20"/>
        </w:rPr>
        <w:tab/>
        <w:t xml:space="preserve">Míra nezaměstnanosti </w:t>
      </w:r>
      <w:r w:rsidR="00601581" w:rsidRPr="00EF6044">
        <w:rPr>
          <w:rFonts w:ascii="Arial" w:hAnsi="Arial"/>
          <w:b/>
          <w:bCs/>
          <w:sz w:val="20"/>
        </w:rPr>
        <w:t>po</w:t>
      </w:r>
      <w:r w:rsidRPr="00EF6044">
        <w:rPr>
          <w:rFonts w:ascii="Arial" w:hAnsi="Arial"/>
          <w:b/>
          <w:bCs/>
          <w:sz w:val="20"/>
        </w:rPr>
        <w:t>dle věkových skupin a vzdělání</w:t>
      </w:r>
    </w:p>
    <w:p w14:paraId="0A88400E"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80E06B8"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 xml:space="preserve">Roční průměrná obecná míra nezaměstnanosti v pětiletých věkových skupinách a podle úrovně nejvyššího dosaženého vzdělání. Tabulka je zpracována za Českou republiku, </w:t>
      </w:r>
      <w:r w:rsidR="00FE3A7B" w:rsidRPr="00EF6044">
        <w:rPr>
          <w:rFonts w:ascii="Arial" w:hAnsi="Arial"/>
          <w:sz w:val="20"/>
        </w:rPr>
        <w:t xml:space="preserve">regiony soudržnosti </w:t>
      </w:r>
      <w:r w:rsidRPr="00EF6044">
        <w:rPr>
          <w:rFonts w:ascii="Arial" w:hAnsi="Arial"/>
          <w:sz w:val="20"/>
        </w:rPr>
        <w:t>a kraje.</w:t>
      </w:r>
    </w:p>
    <w:p w14:paraId="3D248C12"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3E1E767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rPr>
      </w:pPr>
      <w:r w:rsidRPr="00EF6044">
        <w:rPr>
          <w:rFonts w:ascii="Arial" w:hAnsi="Arial"/>
          <w:b/>
          <w:bCs/>
          <w:sz w:val="20"/>
        </w:rPr>
        <w:t>404</w:t>
      </w:r>
      <w:r w:rsidRPr="00EF6044">
        <w:rPr>
          <w:rFonts w:ascii="Arial" w:hAnsi="Arial"/>
          <w:b/>
          <w:bCs/>
          <w:sz w:val="20"/>
        </w:rPr>
        <w:tab/>
        <w:t>R</w:t>
      </w:r>
      <w:r w:rsidRPr="00EF6044">
        <w:rPr>
          <w:rFonts w:ascii="Arial" w:hAnsi="Arial"/>
          <w:b/>
          <w:bCs/>
          <w:sz w:val="20"/>
        </w:rPr>
        <w:tab/>
        <w:t xml:space="preserve">Míra ekonomické aktivity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31B38A99"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4FD8E17A"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Roční průměrná míra ekonomické aktivity v členění dle NUTS</w:t>
      </w:r>
      <w:r w:rsidR="008D0466">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8D0466">
        <w:rPr>
          <w:rFonts w:ascii="Arial" w:hAnsi="Arial"/>
          <w:sz w:val="20"/>
        </w:rPr>
        <w:t> </w:t>
      </w:r>
      <w:r w:rsidRPr="00EF6044">
        <w:rPr>
          <w:rFonts w:ascii="Arial" w:hAnsi="Arial"/>
          <w:sz w:val="20"/>
        </w:rPr>
        <w:t>3.</w:t>
      </w:r>
    </w:p>
    <w:p w14:paraId="4E4EF39D" w14:textId="77777777" w:rsidR="00917C71" w:rsidRPr="00EF6044" w:rsidRDefault="00917C71">
      <w:pPr>
        <w:pageBreakBefore/>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0" w:hanging="1610"/>
        <w:jc w:val="both"/>
        <w:rPr>
          <w:rFonts w:ascii="Arial" w:hAnsi="Arial"/>
          <w:sz w:val="20"/>
        </w:rPr>
      </w:pPr>
      <w:r w:rsidRPr="00EF6044">
        <w:rPr>
          <w:rFonts w:ascii="Arial" w:hAnsi="Arial"/>
          <w:b/>
          <w:bCs/>
          <w:sz w:val="20"/>
        </w:rPr>
        <w:lastRenderedPageBreak/>
        <w:t>405</w:t>
      </w:r>
      <w:r w:rsidRPr="00EF6044">
        <w:rPr>
          <w:rFonts w:ascii="Arial" w:hAnsi="Arial"/>
          <w:b/>
          <w:bCs/>
          <w:sz w:val="20"/>
        </w:rPr>
        <w:tab/>
        <w:t>Q</w:t>
      </w:r>
      <w:r w:rsidRPr="00EF6044">
        <w:rPr>
          <w:rFonts w:ascii="Arial" w:hAnsi="Arial"/>
          <w:b/>
          <w:bCs/>
          <w:sz w:val="20"/>
        </w:rPr>
        <w:tab/>
        <w:t xml:space="preserve">Míra ekonomické aktivity </w:t>
      </w:r>
      <w:r w:rsidR="00601581" w:rsidRPr="00EF6044">
        <w:rPr>
          <w:rFonts w:ascii="Arial" w:hAnsi="Arial"/>
          <w:b/>
          <w:bCs/>
          <w:sz w:val="20"/>
        </w:rPr>
        <w:t>po</w:t>
      </w:r>
      <w:r w:rsidRPr="00EF6044">
        <w:rPr>
          <w:rFonts w:ascii="Arial" w:hAnsi="Arial"/>
          <w:b/>
          <w:bCs/>
          <w:sz w:val="20"/>
        </w:rPr>
        <w:t xml:space="preserve">dle </w:t>
      </w:r>
      <w:r w:rsidR="00FE3A7B" w:rsidRPr="00EF6044">
        <w:rPr>
          <w:rFonts w:ascii="Arial" w:hAnsi="Arial"/>
          <w:b/>
          <w:bCs/>
          <w:sz w:val="20"/>
        </w:rPr>
        <w:t xml:space="preserve">regionů soudržnosti </w:t>
      </w:r>
      <w:r w:rsidRPr="00EF6044">
        <w:rPr>
          <w:rFonts w:ascii="Arial" w:hAnsi="Arial"/>
          <w:b/>
          <w:bCs/>
          <w:sz w:val="20"/>
        </w:rPr>
        <w:t>a krajů</w:t>
      </w:r>
    </w:p>
    <w:p w14:paraId="45E4B643"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7230F537"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Čtvrtletní hodnoty míry ekonomické aktivity v členění dle NUTS</w:t>
      </w:r>
      <w:r w:rsidR="008D0466">
        <w:rPr>
          <w:rFonts w:ascii="Arial" w:hAnsi="Arial"/>
          <w:sz w:val="20"/>
        </w:rPr>
        <w:t> </w:t>
      </w:r>
      <w:smartTag w:uri="urn:schemas-microsoft-com:office:smarttags" w:element="metricconverter">
        <w:smartTagPr>
          <w:attr w:name="ProductID" w:val="2 a"/>
        </w:smartTagPr>
        <w:r w:rsidRPr="00EF6044">
          <w:rPr>
            <w:rFonts w:ascii="Arial" w:hAnsi="Arial"/>
            <w:sz w:val="20"/>
          </w:rPr>
          <w:t>2 a</w:t>
        </w:r>
      </w:smartTag>
      <w:r w:rsidRPr="00EF6044">
        <w:rPr>
          <w:rFonts w:ascii="Arial" w:hAnsi="Arial"/>
          <w:sz w:val="20"/>
        </w:rPr>
        <w:t xml:space="preserve"> NUTS</w:t>
      </w:r>
      <w:r w:rsidR="008D0466">
        <w:rPr>
          <w:rFonts w:ascii="Arial" w:hAnsi="Arial"/>
          <w:sz w:val="20"/>
        </w:rPr>
        <w:t> </w:t>
      </w:r>
      <w:r w:rsidRPr="00EF6044">
        <w:rPr>
          <w:rFonts w:ascii="Arial" w:hAnsi="Arial"/>
          <w:sz w:val="20"/>
        </w:rPr>
        <w:t>3.</w:t>
      </w:r>
    </w:p>
    <w:p w14:paraId="5B3C26C1"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2DA7A9FC" w14:textId="77777777" w:rsidR="00917C71" w:rsidRPr="00EF6044" w:rsidRDefault="00917C71">
      <w:pPr>
        <w:pStyle w:val="Nadpis1"/>
        <w:rPr>
          <w:rFonts w:ascii="Arial" w:hAnsi="Arial"/>
          <w:sz w:val="20"/>
        </w:rPr>
      </w:pPr>
      <w:r w:rsidRPr="00EF6044">
        <w:rPr>
          <w:rFonts w:ascii="Arial" w:hAnsi="Arial"/>
          <w:sz w:val="20"/>
        </w:rPr>
        <w:t>406</w:t>
      </w:r>
      <w:r w:rsidRPr="00EF6044">
        <w:rPr>
          <w:rFonts w:ascii="Arial" w:hAnsi="Arial"/>
          <w:sz w:val="20"/>
        </w:rPr>
        <w:tab/>
        <w:t>R (K)</w:t>
      </w:r>
      <w:r w:rsidRPr="00EF6044">
        <w:rPr>
          <w:rFonts w:ascii="Arial" w:hAnsi="Arial"/>
          <w:sz w:val="20"/>
        </w:rPr>
        <w:tab/>
        <w:t xml:space="preserve">Míra ekonomické aktivity </w:t>
      </w:r>
      <w:r w:rsidR="00601581" w:rsidRPr="00EF6044">
        <w:rPr>
          <w:rFonts w:ascii="Arial" w:hAnsi="Arial"/>
          <w:sz w:val="20"/>
        </w:rPr>
        <w:t>po</w:t>
      </w:r>
      <w:r w:rsidRPr="00EF6044">
        <w:rPr>
          <w:rFonts w:ascii="Arial" w:hAnsi="Arial"/>
          <w:sz w:val="20"/>
        </w:rPr>
        <w:t>dle věkových skupin a vzdělání</w:t>
      </w:r>
    </w:p>
    <w:p w14:paraId="1430E34B"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rPr>
      </w:pPr>
    </w:p>
    <w:p w14:paraId="328C774F" w14:textId="77777777" w:rsidR="00917C71" w:rsidRPr="00EF6044" w:rsidRDefault="00917C71">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rPr>
      </w:pPr>
      <w:r w:rsidRPr="00EF6044">
        <w:rPr>
          <w:rFonts w:ascii="Arial" w:hAnsi="Arial"/>
          <w:sz w:val="20"/>
        </w:rPr>
        <w:t xml:space="preserve">Roční průměrná míra ekonomické aktivity v pětiletých věkových skupinách a podle úrovně nejvyššího dosaženého vzdělání. Tabulka je zpracována za Českou republiku, </w:t>
      </w:r>
      <w:r w:rsidR="00FE3A7B" w:rsidRPr="00EF6044">
        <w:rPr>
          <w:rFonts w:ascii="Arial" w:hAnsi="Arial"/>
          <w:sz w:val="20"/>
        </w:rPr>
        <w:t xml:space="preserve">regiony soudržnosti </w:t>
      </w:r>
      <w:r w:rsidRPr="00EF6044">
        <w:rPr>
          <w:rFonts w:ascii="Arial" w:hAnsi="Arial"/>
          <w:sz w:val="20"/>
        </w:rPr>
        <w:t>a kraje.</w:t>
      </w:r>
    </w:p>
    <w:p w14:paraId="51C9DAFA" w14:textId="77777777" w:rsidR="00917C71" w:rsidRPr="00EF6044" w:rsidRDefault="00917C71" w:rsidP="0083038A">
      <w:pPr>
        <w:pStyle w:val="nadpismal"/>
        <w:spacing w:after="480"/>
      </w:pPr>
      <w:r w:rsidRPr="00EF6044">
        <w:t>Technické poznámky</w:t>
      </w:r>
    </w:p>
    <w:p w14:paraId="47E29B63" w14:textId="77777777" w:rsidR="002C169B" w:rsidRPr="002C169B" w:rsidRDefault="002C169B" w:rsidP="002C169B">
      <w:pPr>
        <w:pStyle w:val="odstavecbn"/>
        <w:numPr>
          <w:ilvl w:val="0"/>
          <w:numId w:val="6"/>
        </w:numPr>
        <w:tabs>
          <w:tab w:val="clear" w:pos="0"/>
          <w:tab w:val="clear" w:pos="681"/>
          <w:tab w:val="clear" w:pos="1416"/>
          <w:tab w:val="clear" w:pos="9204"/>
          <w:tab w:val="clear" w:pos="9912"/>
          <w:tab w:val="clear" w:pos="10620"/>
          <w:tab w:val="num" w:pos="426"/>
          <w:tab w:val="left" w:pos="12474"/>
        </w:tabs>
        <w:ind w:left="426" w:hanging="426"/>
        <w:rPr>
          <w:b/>
        </w:rPr>
      </w:pPr>
      <w:r w:rsidRPr="002C169B">
        <w:rPr>
          <w:b/>
        </w:rPr>
        <w:t xml:space="preserve">ZAOKROUHLOVÁNÍ - </w:t>
      </w:r>
      <w:r w:rsidR="00394B3A" w:rsidRPr="00EF6044">
        <w:rPr>
          <w:b/>
        </w:rPr>
        <w:t>Číselné údaje v </w:t>
      </w:r>
      <w:r w:rsidRPr="002C169B">
        <w:t xml:space="preserve">absolutním vyjádření jsou uváděny v tisících. Rozdíly mezi údajem za celek a součtem dílčích údajů v přílohových tabulkách vyplývají ze skutečnosti, že úhrn není součtem zaokrouhlených dílčích údajů, ale </w:t>
      </w:r>
      <w:r w:rsidR="00362DC9" w:rsidRPr="00EF6044">
        <w:rPr>
          <w:b/>
        </w:rPr>
        <w:t>zaokrouhleným celko</w:t>
      </w:r>
      <w:r w:rsidRPr="002C169B">
        <w:rPr>
          <w:b/>
        </w:rPr>
        <w:softHyphen/>
        <w:t>vým údajem</w:t>
      </w:r>
      <w:r w:rsidR="00362DC9" w:rsidRPr="00EF6044">
        <w:t xml:space="preserve">. Relativní údaje ve všech textových a přílohových tabulkách jsou vypočítány </w:t>
      </w:r>
      <w:r w:rsidRPr="002C169B">
        <w:rPr>
          <w:b/>
        </w:rPr>
        <w:t>z nezaokrouhlených čísel</w:t>
      </w:r>
      <w:r w:rsidR="00362DC9" w:rsidRPr="00EF6044">
        <w:t>. Pokud součet tříděného ukazatele nedává úhrn, je rozdíl způsoben výše uvedeným způsobem zaokrouhlení nebo uvedený výběr kódů není vyčerpávající (u některých ukazatelů není uváděno nezjištěno).</w:t>
      </w:r>
    </w:p>
    <w:p w14:paraId="5B6FF463" w14:textId="77777777" w:rsidR="002C169B" w:rsidRPr="002C169B" w:rsidRDefault="002C169B" w:rsidP="002C169B">
      <w:pPr>
        <w:pStyle w:val="odstavecbn"/>
        <w:numPr>
          <w:ilvl w:val="0"/>
          <w:numId w:val="6"/>
        </w:numPr>
        <w:tabs>
          <w:tab w:val="clear" w:pos="0"/>
          <w:tab w:val="clear" w:pos="681"/>
          <w:tab w:val="clear" w:pos="1416"/>
          <w:tab w:val="clear" w:pos="9204"/>
          <w:tab w:val="clear" w:pos="9912"/>
          <w:tab w:val="clear" w:pos="10620"/>
          <w:tab w:val="num" w:pos="426"/>
          <w:tab w:val="left" w:pos="12474"/>
        </w:tabs>
        <w:ind w:left="426" w:hanging="426"/>
        <w:rPr>
          <w:b/>
        </w:rPr>
      </w:pPr>
      <w:r w:rsidRPr="002C169B">
        <w:rPr>
          <w:b/>
        </w:rPr>
        <w:t xml:space="preserve">SYMBOLIKA - V tabulkách jsou standardní statistickou symbolikou odlišeny </w:t>
      </w:r>
      <w:r w:rsidR="00394B3A" w:rsidRPr="00EF6044">
        <w:rPr>
          <w:b/>
        </w:rPr>
        <w:t>marginální případy</w:t>
      </w:r>
      <w:r w:rsidRPr="002C169B">
        <w:rPr>
          <w:b/>
        </w:rPr>
        <w:t xml:space="preserve"> ve významu:</w:t>
      </w:r>
    </w:p>
    <w:p w14:paraId="70FF687B" w14:textId="77777777" w:rsidR="002C169B" w:rsidRDefault="00EA7D8E" w:rsidP="002C169B">
      <w:pPr>
        <w:tabs>
          <w:tab w:val="left" w:pos="720"/>
        </w:tabs>
        <w:spacing w:before="200"/>
        <w:ind w:left="720"/>
        <w:jc w:val="both"/>
        <w:rPr>
          <w:rFonts w:ascii="Arial" w:hAnsi="Arial" w:cs="Arial"/>
          <w:sz w:val="20"/>
        </w:rPr>
      </w:pPr>
      <w:r w:rsidRPr="00EF6044">
        <w:rPr>
          <w:rFonts w:ascii="Arial" w:hAnsi="Arial" w:cs="Arial"/>
          <w:sz w:val="20"/>
        </w:rPr>
        <w:t>▬</w:t>
      </w:r>
      <w:r w:rsidRPr="00EF6044">
        <w:rPr>
          <w:rFonts w:ascii="Arial" w:hAnsi="Arial" w:cs="Arial"/>
          <w:sz w:val="20"/>
        </w:rPr>
        <w:tab/>
        <w:t>daný jev se ve výběrovém souboru nevyskytl,</w:t>
      </w:r>
    </w:p>
    <w:p w14:paraId="115833D1" w14:textId="77777777" w:rsidR="00EA7D8E" w:rsidRPr="00EF6044" w:rsidRDefault="00917C71" w:rsidP="00EA7D8E">
      <w:pPr>
        <w:tabs>
          <w:tab w:val="left" w:pos="720"/>
        </w:tabs>
        <w:ind w:left="1560" w:hanging="993"/>
        <w:jc w:val="both"/>
        <w:rPr>
          <w:rFonts w:ascii="Arial" w:hAnsi="Arial" w:cs="Arial"/>
          <w:sz w:val="20"/>
        </w:rPr>
      </w:pPr>
      <w:r w:rsidRPr="00EF6044">
        <w:t xml:space="preserve">   </w:t>
      </w:r>
      <w:r w:rsidR="00EA7D8E" w:rsidRPr="00EF6044">
        <w:rPr>
          <w:rFonts w:ascii="Arial" w:hAnsi="Arial" w:cs="Arial"/>
          <w:sz w:val="20"/>
        </w:rPr>
        <w:t>•</w:t>
      </w:r>
      <w:r w:rsidR="00EA7D8E" w:rsidRPr="00EF6044">
        <w:rPr>
          <w:rFonts w:ascii="Arial" w:hAnsi="Arial" w:cs="Arial"/>
          <w:sz w:val="20"/>
        </w:rPr>
        <w:tab/>
        <w:t>údaj není k dispozici nebo je nespolehlivý.</w:t>
      </w:r>
    </w:p>
    <w:p w14:paraId="7FC89996" w14:textId="77777777" w:rsidR="00EA7D8E" w:rsidRPr="00EF6044" w:rsidRDefault="00EA7D8E" w:rsidP="00EA7D8E">
      <w:pPr>
        <w:tabs>
          <w:tab w:val="left" w:pos="720"/>
        </w:tabs>
        <w:ind w:left="1560" w:hanging="993"/>
        <w:jc w:val="both"/>
      </w:pPr>
    </w:p>
    <w:p w14:paraId="4DB90654" w14:textId="77777777" w:rsidR="002C169B" w:rsidRDefault="002C169B" w:rsidP="002C169B">
      <w:pPr>
        <w:pStyle w:val="odstavecbn"/>
        <w:numPr>
          <w:ilvl w:val="0"/>
          <w:numId w:val="6"/>
        </w:numPr>
        <w:tabs>
          <w:tab w:val="clear" w:pos="0"/>
          <w:tab w:val="clear" w:pos="681"/>
          <w:tab w:val="clear" w:pos="1416"/>
          <w:tab w:val="clear" w:pos="9204"/>
          <w:tab w:val="clear" w:pos="9912"/>
          <w:tab w:val="clear" w:pos="10620"/>
          <w:tab w:val="num" w:pos="426"/>
          <w:tab w:val="left" w:pos="12474"/>
        </w:tabs>
        <w:ind w:left="426" w:hanging="426"/>
      </w:pPr>
      <w:r w:rsidRPr="002C169B">
        <w:rPr>
          <w:b/>
        </w:rPr>
        <w:t xml:space="preserve">NEZJIŠTĚNO </w:t>
      </w:r>
      <w:r w:rsidR="00EA7D8E" w:rsidRPr="00EF6044">
        <w:t>-</w:t>
      </w:r>
      <w:r w:rsidRPr="002C169B">
        <w:rPr>
          <w:b/>
        </w:rPr>
        <w:t xml:space="preserve"> </w:t>
      </w:r>
      <w:r w:rsidR="00917C71" w:rsidRPr="00EF6044">
        <w:t xml:space="preserve">Údaje </w:t>
      </w:r>
      <w:r w:rsidRPr="002C169B">
        <w:rPr>
          <w:b/>
        </w:rPr>
        <w:t>"</w:t>
      </w:r>
      <w:r w:rsidR="00917C71" w:rsidRPr="00EF6044">
        <w:rPr>
          <w:b/>
        </w:rPr>
        <w:t>nezjištěno</w:t>
      </w:r>
      <w:r w:rsidRPr="002C169B">
        <w:rPr>
          <w:b/>
        </w:rPr>
        <w:t xml:space="preserve">" </w:t>
      </w:r>
      <w:r w:rsidR="00917C71" w:rsidRPr="00EF6044">
        <w:t>v jednotlivých tabulkách zahr</w:t>
      </w:r>
      <w:r w:rsidR="00917C71" w:rsidRPr="00EF6044">
        <w:softHyphen/>
        <w:t>nují odmítnuté odpovědi, odpověď "nevím" resp. jiný případ nezjištěné odpovědi responden</w:t>
      </w:r>
      <w:r w:rsidR="00917C71" w:rsidRPr="00EF6044">
        <w:softHyphen/>
        <w:t>ta. Pokud otázka umožňuje více možností odpovědi, jsou údaje tříděny zásadně podle hlavní varianty odpovědi.</w:t>
      </w:r>
    </w:p>
    <w:p w14:paraId="4E34A1A7" w14:textId="77777777" w:rsidR="002C169B" w:rsidRDefault="002C169B" w:rsidP="002C169B">
      <w:pPr>
        <w:pBdr>
          <w:top w:val="double" w:sz="4" w:space="1" w:color="auto"/>
          <w:left w:val="double" w:sz="4" w:space="4" w:color="auto"/>
          <w:bottom w:val="double" w:sz="4" w:space="3" w:color="auto"/>
          <w:right w:val="double" w:sz="4" w:space="4" w:color="auto"/>
        </w:pBdr>
        <w:spacing w:before="200" w:after="60"/>
        <w:jc w:val="both"/>
        <w:rPr>
          <w:rFonts w:cs="Arial"/>
        </w:rPr>
      </w:pPr>
      <w:r w:rsidRPr="002C169B">
        <w:rPr>
          <w:rFonts w:ascii="Arial" w:hAnsi="Arial" w:cs="Arial"/>
          <w:sz w:val="20"/>
        </w:rPr>
        <w:t xml:space="preserve">Při práci s tabulkami je třeba mít stále na zřeteli, že </w:t>
      </w:r>
      <w:r w:rsidRPr="0083038A">
        <w:rPr>
          <w:rFonts w:ascii="Arial" w:hAnsi="Arial" w:cs="Arial"/>
          <w:b/>
          <w:sz w:val="20"/>
        </w:rPr>
        <w:t>údaje jsou zjišťovány výběrovými metodami</w:t>
      </w:r>
      <w:r w:rsidR="004F4AE6">
        <w:rPr>
          <w:rFonts w:ascii="Arial" w:hAnsi="Arial" w:cs="Arial"/>
          <w:sz w:val="20"/>
        </w:rPr>
        <w:t>,</w:t>
      </w:r>
      <w:r w:rsidRPr="002C169B">
        <w:rPr>
          <w:rFonts w:ascii="Arial" w:hAnsi="Arial" w:cs="Arial"/>
          <w:sz w:val="20"/>
        </w:rPr>
        <w:t xml:space="preserve"> a</w:t>
      </w:r>
      <w:r w:rsidR="00FD4352" w:rsidRPr="00EF6044">
        <w:rPr>
          <w:rFonts w:ascii="Arial" w:hAnsi="Arial" w:cs="Arial"/>
          <w:sz w:val="20"/>
        </w:rPr>
        <w:t> </w:t>
      </w:r>
      <w:r w:rsidRPr="002C169B">
        <w:rPr>
          <w:rFonts w:ascii="Arial" w:hAnsi="Arial" w:cs="Arial"/>
          <w:sz w:val="20"/>
        </w:rPr>
        <w:t xml:space="preserve">proto jejich </w:t>
      </w:r>
      <w:r w:rsidRPr="002C169B">
        <w:rPr>
          <w:rFonts w:ascii="Arial" w:hAnsi="Arial" w:cs="Arial"/>
          <w:b/>
          <w:sz w:val="20"/>
        </w:rPr>
        <w:t>přesnost klesá se snižující se velikostí</w:t>
      </w:r>
      <w:r w:rsidR="00EA7D8E" w:rsidRPr="00EF6044">
        <w:rPr>
          <w:rFonts w:ascii="Arial" w:hAnsi="Arial" w:cs="Arial"/>
          <w:sz w:val="20"/>
        </w:rPr>
        <w:t xml:space="preserve"> </w:t>
      </w:r>
      <w:r w:rsidR="00EA7D8E" w:rsidRPr="00EF6044">
        <w:rPr>
          <w:rFonts w:ascii="Arial" w:hAnsi="Arial" w:cs="Arial"/>
          <w:b/>
          <w:sz w:val="20"/>
        </w:rPr>
        <w:t>vzorku</w:t>
      </w:r>
      <w:r w:rsidRPr="002C169B">
        <w:rPr>
          <w:rFonts w:ascii="Arial" w:hAnsi="Arial" w:cs="Arial"/>
          <w:sz w:val="20"/>
        </w:rPr>
        <w:t xml:space="preserve">. Problematice spolehlivosti odhadů je věnována příslušná kapitola publikace a </w:t>
      </w:r>
      <w:r w:rsidRPr="004F4AE6">
        <w:rPr>
          <w:rFonts w:ascii="Arial" w:hAnsi="Arial" w:cs="Arial"/>
          <w:sz w:val="20"/>
          <w:u w:val="single"/>
        </w:rPr>
        <w:t>příloha tabulkové části</w:t>
      </w:r>
      <w:r w:rsidRPr="002C169B">
        <w:rPr>
          <w:rFonts w:ascii="Arial" w:hAnsi="Arial" w:cs="Arial"/>
          <w:sz w:val="20"/>
        </w:rPr>
        <w:t xml:space="preserve">. </w:t>
      </w:r>
    </w:p>
    <w:p w14:paraId="542A550A" w14:textId="77777777" w:rsidR="00917C71" w:rsidRPr="00EF6044" w:rsidRDefault="00917C71" w:rsidP="0083038A">
      <w:pPr>
        <w:pStyle w:val="nadpismal"/>
        <w:spacing w:after="480"/>
      </w:pPr>
      <w:r w:rsidRPr="00EF6044">
        <w:t>Dostupnost publikace</w:t>
      </w:r>
    </w:p>
    <w:p w14:paraId="770D4482" w14:textId="77777777" w:rsidR="00917C71" w:rsidRPr="00EF6044" w:rsidRDefault="00917C71">
      <w:pPr>
        <w:tabs>
          <w:tab w:val="left" w:pos="-1075"/>
          <w:tab w:val="left" w:pos="-720"/>
          <w:tab w:val="left" w:pos="0"/>
          <w:tab w:val="left" w:pos="681"/>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 w:val="left" w:pos="11520"/>
        </w:tabs>
        <w:jc w:val="both"/>
        <w:rPr>
          <w:rFonts w:ascii="Arial" w:hAnsi="Arial"/>
          <w:sz w:val="20"/>
        </w:rPr>
      </w:pPr>
      <w:r w:rsidRPr="00EF6044">
        <w:rPr>
          <w:rFonts w:ascii="Arial" w:hAnsi="Arial"/>
          <w:sz w:val="20"/>
        </w:rPr>
        <w:t>Publikace je vydávána</w:t>
      </w:r>
      <w:r w:rsidR="007A1323" w:rsidRPr="00EF6044">
        <w:rPr>
          <w:rFonts w:ascii="Arial" w:hAnsi="Arial"/>
          <w:sz w:val="20"/>
        </w:rPr>
        <w:t xml:space="preserve"> v následující formě</w:t>
      </w:r>
      <w:r w:rsidRPr="00EF6044">
        <w:rPr>
          <w:rFonts w:ascii="Arial" w:hAnsi="Arial"/>
          <w:sz w:val="20"/>
        </w:rPr>
        <w:t>:</w:t>
      </w:r>
    </w:p>
    <w:p w14:paraId="530A344C" w14:textId="77777777" w:rsidR="00917C71" w:rsidRPr="00EF6044" w:rsidRDefault="00917C71">
      <w:pPr>
        <w:tabs>
          <w:tab w:val="left" w:pos="-1075"/>
          <w:tab w:val="left" w:pos="-720"/>
          <w:tab w:val="left" w:pos="0"/>
          <w:tab w:val="left" w:pos="397"/>
          <w:tab w:val="left" w:pos="681"/>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s>
        <w:jc w:val="both"/>
        <w:rPr>
          <w:rFonts w:ascii="Arial" w:hAnsi="Arial"/>
          <w:sz w:val="20"/>
        </w:rPr>
      </w:pPr>
    </w:p>
    <w:p w14:paraId="4985383A" w14:textId="77777777" w:rsidR="00EA7EB0" w:rsidRPr="00EF6044" w:rsidRDefault="007A1323" w:rsidP="00EA7EB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EF6044">
        <w:rPr>
          <w:rFonts w:ascii="Arial" w:hAnsi="Arial" w:cs="Arial"/>
          <w:b/>
          <w:bCs/>
          <w:i/>
          <w:iCs/>
          <w:sz w:val="20"/>
        </w:rPr>
        <w:tab/>
      </w:r>
      <w:r w:rsidR="00917C71" w:rsidRPr="00EF6044">
        <w:rPr>
          <w:rFonts w:ascii="Arial" w:hAnsi="Arial" w:cs="Arial"/>
          <w:b/>
          <w:bCs/>
          <w:i/>
          <w:iCs/>
          <w:sz w:val="20"/>
        </w:rPr>
        <w:t>Internet :</w:t>
      </w:r>
      <w:r w:rsidRPr="00EF6044">
        <w:rPr>
          <w:rFonts w:ascii="Arial" w:hAnsi="Arial" w:cs="Arial"/>
          <w:sz w:val="20"/>
        </w:rPr>
        <w:tab/>
      </w:r>
      <w:r w:rsidRPr="00EF6044">
        <w:rPr>
          <w:rFonts w:ascii="Arial" w:hAnsi="Arial" w:cs="Arial"/>
          <w:sz w:val="20"/>
        </w:rPr>
        <w:tab/>
      </w:r>
      <w:hyperlink r:id="rId20" w:history="1">
        <w:r w:rsidR="00EA7EB0" w:rsidRPr="00EF6044">
          <w:rPr>
            <w:rStyle w:val="Hypertextovodkaz"/>
            <w:rFonts w:ascii="Arial" w:hAnsi="Arial" w:cs="Arial"/>
            <w:color w:val="auto"/>
            <w:sz w:val="20"/>
          </w:rPr>
          <w:t>http://www.czso.cz</w:t>
        </w:r>
      </w:hyperlink>
      <w:r w:rsidR="00EA7EB0" w:rsidRPr="00EF6044">
        <w:rPr>
          <w:rFonts w:ascii="Arial" w:hAnsi="Arial" w:cs="Arial"/>
          <w:sz w:val="20"/>
        </w:rPr>
        <w:t xml:space="preserve">  -  </w:t>
      </w:r>
      <w:r w:rsidR="00EA7EB0" w:rsidRPr="00EF6044">
        <w:rPr>
          <w:rFonts w:ascii="Arial" w:hAnsi="Arial" w:cs="Arial"/>
          <w:sz w:val="20"/>
          <w:u w:val="single"/>
        </w:rPr>
        <w:t>Zaměstnanost, nezaměstnanost</w:t>
      </w:r>
    </w:p>
    <w:p w14:paraId="16CAE323" w14:textId="77777777" w:rsidR="006104E5" w:rsidRPr="00EF6044" w:rsidRDefault="006104E5" w:rsidP="00EA7EB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p>
    <w:p w14:paraId="007875EF" w14:textId="6671833B" w:rsidR="006104E5" w:rsidRPr="00EF6044" w:rsidRDefault="007A1323" w:rsidP="006104E5">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EF6044">
        <w:rPr>
          <w:rFonts w:ascii="Arial" w:hAnsi="Arial" w:cs="Arial"/>
          <w:sz w:val="20"/>
        </w:rPr>
        <w:tab/>
      </w:r>
      <w:r w:rsidR="006104E5" w:rsidRPr="00EF6044">
        <w:rPr>
          <w:rFonts w:ascii="Arial" w:hAnsi="Arial" w:cs="Arial"/>
          <w:sz w:val="20"/>
        </w:rPr>
        <w:tab/>
      </w:r>
      <w:r w:rsidR="006104E5" w:rsidRPr="00EF6044">
        <w:rPr>
          <w:rFonts w:ascii="Arial" w:hAnsi="Arial" w:cs="Arial"/>
          <w:sz w:val="20"/>
        </w:rPr>
        <w:tab/>
      </w:r>
      <w:r w:rsidR="006104E5" w:rsidRPr="00EF6044">
        <w:rPr>
          <w:rFonts w:ascii="Arial" w:hAnsi="Arial" w:cs="Arial"/>
          <w:sz w:val="20"/>
        </w:rPr>
        <w:tab/>
      </w:r>
      <w:r w:rsidR="006104E5" w:rsidRPr="00EF6044">
        <w:rPr>
          <w:rFonts w:ascii="Arial" w:hAnsi="Arial" w:cs="Arial"/>
          <w:b/>
          <w:sz w:val="20"/>
          <w:szCs w:val="20"/>
        </w:rPr>
        <w:t>kód publikace</w:t>
      </w:r>
      <w:r w:rsidR="006104E5" w:rsidRPr="00EF6044">
        <w:rPr>
          <w:rFonts w:ascii="Arial" w:hAnsi="Arial" w:cs="Arial"/>
          <w:sz w:val="20"/>
          <w:szCs w:val="20"/>
        </w:rPr>
        <w:t xml:space="preserve"> </w:t>
      </w:r>
      <w:r w:rsidR="006104E5" w:rsidRPr="00EF6044">
        <w:rPr>
          <w:rFonts w:ascii="Arial" w:hAnsi="Arial" w:cs="Arial"/>
          <w:sz w:val="20"/>
          <w:szCs w:val="20"/>
        </w:rPr>
        <w:tab/>
        <w:t>- česká verze:</w:t>
      </w:r>
      <w:r w:rsidR="006104E5" w:rsidRPr="00EF6044">
        <w:rPr>
          <w:rFonts w:ascii="Arial" w:hAnsi="Arial" w:cs="Arial"/>
          <w:sz w:val="20"/>
          <w:szCs w:val="20"/>
        </w:rPr>
        <w:tab/>
      </w:r>
      <w:r w:rsidR="00A33FC4" w:rsidRPr="00EF6044">
        <w:rPr>
          <w:rFonts w:ascii="Arial" w:hAnsi="Arial" w:cs="Arial"/>
          <w:b/>
          <w:sz w:val="20"/>
          <w:szCs w:val="20"/>
        </w:rPr>
        <w:t>250130</w:t>
      </w:r>
      <w:r w:rsidR="006104E5" w:rsidRPr="00EF6044">
        <w:rPr>
          <w:rFonts w:ascii="Arial" w:hAnsi="Arial" w:cs="Arial"/>
          <w:b/>
          <w:sz w:val="20"/>
          <w:szCs w:val="20"/>
        </w:rPr>
        <w:t>-</w:t>
      </w:r>
      <w:r w:rsidR="00B82682">
        <w:rPr>
          <w:rFonts w:ascii="Arial" w:hAnsi="Arial" w:cs="Arial"/>
          <w:b/>
          <w:sz w:val="20"/>
          <w:szCs w:val="20"/>
        </w:rPr>
        <w:t>2</w:t>
      </w:r>
      <w:r w:rsidR="00D42EAF">
        <w:rPr>
          <w:rFonts w:ascii="Arial" w:hAnsi="Arial" w:cs="Arial"/>
          <w:b/>
          <w:sz w:val="20"/>
          <w:szCs w:val="20"/>
        </w:rPr>
        <w:t>3</w:t>
      </w:r>
    </w:p>
    <w:p w14:paraId="2850F87D" w14:textId="5C881116" w:rsidR="006104E5" w:rsidRPr="00EF6044" w:rsidRDefault="006104E5" w:rsidP="006104E5">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t>- anglická verze:</w:t>
      </w:r>
      <w:r w:rsidRPr="00EF6044">
        <w:rPr>
          <w:rFonts w:ascii="Arial" w:hAnsi="Arial" w:cs="Arial"/>
          <w:sz w:val="20"/>
          <w:szCs w:val="20"/>
        </w:rPr>
        <w:tab/>
      </w:r>
      <w:r w:rsidR="00A33FC4" w:rsidRPr="00EF6044">
        <w:rPr>
          <w:rFonts w:ascii="Arial" w:hAnsi="Arial" w:cs="Arial"/>
          <w:b/>
          <w:sz w:val="20"/>
          <w:szCs w:val="20"/>
        </w:rPr>
        <w:t>250131</w:t>
      </w:r>
      <w:r w:rsidRPr="00EF6044">
        <w:rPr>
          <w:rFonts w:ascii="Arial" w:hAnsi="Arial" w:cs="Arial"/>
          <w:b/>
          <w:sz w:val="20"/>
          <w:szCs w:val="20"/>
        </w:rPr>
        <w:t>-</w:t>
      </w:r>
      <w:r w:rsidR="00B82682">
        <w:rPr>
          <w:rFonts w:ascii="Arial" w:hAnsi="Arial" w:cs="Arial"/>
          <w:b/>
          <w:sz w:val="20"/>
          <w:szCs w:val="20"/>
        </w:rPr>
        <w:t>2</w:t>
      </w:r>
      <w:r w:rsidR="00D42EAF">
        <w:rPr>
          <w:rFonts w:ascii="Arial" w:hAnsi="Arial" w:cs="Arial"/>
          <w:b/>
          <w:sz w:val="20"/>
          <w:szCs w:val="20"/>
        </w:rPr>
        <w:t>3</w:t>
      </w:r>
    </w:p>
    <w:p w14:paraId="4559A2C3" w14:textId="77777777" w:rsidR="002C169B" w:rsidRDefault="00ED3617" w:rsidP="002C169B">
      <w:pPr>
        <w:tabs>
          <w:tab w:val="left" w:pos="-1075"/>
          <w:tab w:val="left" w:pos="-720"/>
          <w:tab w:val="left" w:pos="142"/>
          <w:tab w:val="left" w:pos="397"/>
          <w:tab w:val="left" w:pos="681"/>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s>
        <w:ind w:left="1985" w:hanging="1985"/>
        <w:jc w:val="both"/>
        <w:rPr>
          <w:rFonts w:ascii="Arial" w:hAnsi="Arial" w:cs="Arial"/>
          <w:sz w:val="20"/>
          <w:szCs w:val="20"/>
        </w:rPr>
      </w:pP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p>
    <w:p w14:paraId="1AC5DF88" w14:textId="77777777" w:rsidR="0088528C" w:rsidRDefault="00ED3617">
      <w:pPr>
        <w:tabs>
          <w:tab w:val="left" w:pos="-1075"/>
          <w:tab w:val="left" w:pos="-720"/>
          <w:tab w:val="left" w:pos="142"/>
          <w:tab w:val="left" w:pos="397"/>
          <w:tab w:val="left" w:pos="681"/>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s>
        <w:ind w:left="1985" w:hanging="1985"/>
        <w:jc w:val="both"/>
      </w:pP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Pr="00EF6044">
        <w:rPr>
          <w:rFonts w:ascii="Arial" w:hAnsi="Arial" w:cs="Arial"/>
          <w:sz w:val="20"/>
          <w:szCs w:val="20"/>
        </w:rPr>
        <w:tab/>
      </w:r>
      <w:r w:rsidR="006104E5" w:rsidRPr="00EF6044">
        <w:rPr>
          <w:rFonts w:ascii="Arial" w:hAnsi="Arial" w:cs="Arial"/>
          <w:sz w:val="20"/>
          <w:szCs w:val="20"/>
        </w:rPr>
        <w:t>Word (*.doc), Excel (*.</w:t>
      </w:r>
      <w:proofErr w:type="spellStart"/>
      <w:r w:rsidR="006104E5" w:rsidRPr="00EF6044">
        <w:rPr>
          <w:rFonts w:ascii="Arial" w:hAnsi="Arial" w:cs="Arial"/>
          <w:sz w:val="20"/>
          <w:szCs w:val="20"/>
        </w:rPr>
        <w:t>xls</w:t>
      </w:r>
      <w:proofErr w:type="spellEnd"/>
      <w:r w:rsidR="006104E5" w:rsidRPr="00EF6044">
        <w:rPr>
          <w:rFonts w:ascii="Arial" w:hAnsi="Arial" w:cs="Arial"/>
          <w:sz w:val="20"/>
          <w:szCs w:val="20"/>
        </w:rPr>
        <w:t xml:space="preserve">), Adobe </w:t>
      </w:r>
      <w:proofErr w:type="spellStart"/>
      <w:r w:rsidR="006104E5" w:rsidRPr="00EF6044">
        <w:rPr>
          <w:rFonts w:ascii="Arial" w:hAnsi="Arial" w:cs="Arial"/>
          <w:sz w:val="20"/>
          <w:szCs w:val="20"/>
        </w:rPr>
        <w:t>Acrobat</w:t>
      </w:r>
      <w:proofErr w:type="spellEnd"/>
      <w:r w:rsidR="006104E5" w:rsidRPr="00EF6044">
        <w:rPr>
          <w:rFonts w:ascii="Arial" w:hAnsi="Arial" w:cs="Arial"/>
          <w:sz w:val="20"/>
          <w:szCs w:val="20"/>
        </w:rPr>
        <w:t xml:space="preserve"> (*.</w:t>
      </w:r>
      <w:proofErr w:type="spellStart"/>
      <w:r w:rsidR="006104E5" w:rsidRPr="00EF6044">
        <w:rPr>
          <w:rFonts w:ascii="Arial" w:hAnsi="Arial" w:cs="Arial"/>
          <w:sz w:val="20"/>
          <w:szCs w:val="20"/>
        </w:rPr>
        <w:t>pdf</w:t>
      </w:r>
      <w:proofErr w:type="spellEnd"/>
      <w:r w:rsidR="006104E5" w:rsidRPr="00EF6044">
        <w:rPr>
          <w:rFonts w:ascii="Arial" w:hAnsi="Arial" w:cs="Arial"/>
          <w:sz w:val="20"/>
          <w:szCs w:val="20"/>
        </w:rPr>
        <w:t>)</w:t>
      </w:r>
    </w:p>
    <w:sectPr w:rsidR="0088528C" w:rsidSect="00D549CA">
      <w:pgSz w:w="11906" w:h="16838"/>
      <w:pgMar w:top="1418" w:right="1418" w:bottom="1985" w:left="1418"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8192C" w14:textId="77777777" w:rsidR="00AD5C9F" w:rsidRDefault="00AD5C9F">
      <w:r>
        <w:separator/>
      </w:r>
    </w:p>
  </w:endnote>
  <w:endnote w:type="continuationSeparator" w:id="0">
    <w:p w14:paraId="1E022FF9" w14:textId="77777777" w:rsidR="00AD5C9F" w:rsidRDefault="00AD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FCBB" w14:textId="77777777" w:rsidR="00AF21E0" w:rsidRPr="005A4574" w:rsidRDefault="00AF21E0" w:rsidP="005A4574">
    <w:pPr>
      <w:pStyle w:val="Zpat"/>
      <w:framePr w:wrap="around" w:vAnchor="text" w:hAnchor="page" w:x="1419" w:y="399"/>
      <w:rPr>
        <w:rStyle w:val="slostrnky"/>
        <w:rFonts w:ascii="Arial" w:hAnsi="Arial" w:cs="Arial"/>
        <w:sz w:val="18"/>
        <w:szCs w:val="18"/>
      </w:rPr>
    </w:pPr>
  </w:p>
  <w:p w14:paraId="4BDB7DE8" w14:textId="2303F9B0" w:rsidR="00AF21E0" w:rsidRDefault="00AF21E0" w:rsidP="00E22C65">
    <w:pPr>
      <w:pStyle w:val="Zpat"/>
      <w:pBdr>
        <w:top w:val="single" w:sz="4" w:space="9" w:color="auto"/>
      </w:pBdr>
      <w:spacing w:before="240"/>
      <w:ind w:right="360" w:firstLine="360"/>
      <w:jc w:val="right"/>
      <w:rPr>
        <w:rFonts w:ascii="Arial" w:hAnsi="Arial"/>
        <w:sz w:val="18"/>
      </w:rPr>
    </w:pPr>
    <w:r>
      <w:rPr>
        <w:rFonts w:ascii="Arial" w:hAnsi="Arial"/>
        <w:sz w:val="18"/>
      </w:rPr>
      <w:t>Časové řady 1993-202</w:t>
    </w:r>
    <w:r w:rsidR="00587E71">
      <w:rPr>
        <w:rFonts w:ascii="Arial" w:hAnsi="Arial"/>
        <w:sz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72E0" w14:textId="77777777" w:rsidR="00AF21E0" w:rsidRPr="005A4574" w:rsidRDefault="00AF21E0" w:rsidP="005A4574">
    <w:pPr>
      <w:pStyle w:val="Zpat"/>
      <w:framePr w:wrap="around" w:vAnchor="text" w:hAnchor="page" w:x="10239" w:y="439"/>
      <w:rPr>
        <w:rStyle w:val="slostrnky"/>
        <w:rFonts w:ascii="Arial" w:hAnsi="Arial" w:cs="Arial"/>
        <w:sz w:val="18"/>
        <w:szCs w:val="18"/>
      </w:rPr>
    </w:pPr>
  </w:p>
  <w:p w14:paraId="77FED789" w14:textId="6A8E8E68" w:rsidR="00AF21E0" w:rsidRDefault="00AF21E0" w:rsidP="005A4574">
    <w:pPr>
      <w:pBdr>
        <w:top w:val="single" w:sz="4" w:space="11" w:color="auto"/>
      </w:pBdr>
      <w:tabs>
        <w:tab w:val="left" w:pos="0"/>
        <w:tab w:val="left" w:pos="708"/>
        <w:tab w:val="left" w:pos="2670"/>
        <w:tab w:val="left" w:pos="8820"/>
        <w:tab w:val="left" w:pos="10620"/>
        <w:tab w:val="left" w:pos="11328"/>
        <w:tab w:val="left" w:pos="12036"/>
        <w:tab w:val="left" w:pos="12744"/>
      </w:tabs>
      <w:spacing w:before="240" w:line="95" w:lineRule="atLeast"/>
      <w:ind w:right="360" w:firstLine="360"/>
      <w:rPr>
        <w:rFonts w:ascii="Arial" w:hAnsi="Arial"/>
        <w:sz w:val="18"/>
      </w:rPr>
    </w:pPr>
    <w:r>
      <w:rPr>
        <w:rFonts w:ascii="Arial" w:hAnsi="Arial"/>
        <w:sz w:val="18"/>
      </w:rPr>
      <w:t>Časové řady 1993-202</w:t>
    </w:r>
    <w:r w:rsidR="00587E71">
      <w:rPr>
        <w:rFonts w:ascii="Arial" w:hAnsi="Arial"/>
        <w:sz w:val="18"/>
      </w:rPr>
      <w:t>2</w:t>
    </w:r>
    <w:r>
      <w:rPr>
        <w:rFonts w:ascii="Arial" w:hAnsi="Arial"/>
        <w:sz w:val="18"/>
      </w:rPr>
      <w:tab/>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F51A" w14:textId="77777777" w:rsidR="00AD5C9F" w:rsidRDefault="00AD5C9F">
      <w:r>
        <w:separator/>
      </w:r>
    </w:p>
  </w:footnote>
  <w:footnote w:type="continuationSeparator" w:id="0">
    <w:p w14:paraId="60CC5CC6" w14:textId="77777777" w:rsidR="00AD5C9F" w:rsidRDefault="00AD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FF3934"/>
    <w:multiLevelType w:val="hybridMultilevel"/>
    <w:tmpl w:val="C61216B2"/>
    <w:lvl w:ilvl="0" w:tplc="135AB1BE">
      <w:numFmt w:val="bullet"/>
      <w:lvlText w:val="-"/>
      <w:lvlJc w:val="left"/>
      <w:pPr>
        <w:tabs>
          <w:tab w:val="num" w:pos="1230"/>
        </w:tabs>
        <w:ind w:left="1230" w:hanging="360"/>
      </w:pPr>
      <w:rPr>
        <w:rFonts w:ascii="Times New Roman" w:eastAsia="Times New Roman" w:hAnsi="Times New Roman" w:cs="Times New Roman" w:hint="default"/>
      </w:rPr>
    </w:lvl>
    <w:lvl w:ilvl="1" w:tplc="04050003" w:tentative="1">
      <w:start w:val="1"/>
      <w:numFmt w:val="bullet"/>
      <w:lvlText w:val="o"/>
      <w:lvlJc w:val="left"/>
      <w:pPr>
        <w:tabs>
          <w:tab w:val="num" w:pos="1950"/>
        </w:tabs>
        <w:ind w:left="1950" w:hanging="360"/>
      </w:pPr>
      <w:rPr>
        <w:rFonts w:ascii="Courier New" w:hAnsi="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 w15:restartNumberingAfterBreak="0">
    <w:nsid w:val="0D524219"/>
    <w:multiLevelType w:val="hybridMultilevel"/>
    <w:tmpl w:val="D67A9B92"/>
    <w:lvl w:ilvl="0" w:tplc="53ECDBE8">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D97084"/>
    <w:multiLevelType w:val="hybridMultilevel"/>
    <w:tmpl w:val="71A8D53C"/>
    <w:lvl w:ilvl="0" w:tplc="684E095E">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720"/>
        </w:tabs>
        <w:ind w:left="72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335E4"/>
    <w:multiLevelType w:val="hybridMultilevel"/>
    <w:tmpl w:val="66486E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8A7729"/>
    <w:multiLevelType w:val="hybridMultilevel"/>
    <w:tmpl w:val="77E038C0"/>
    <w:lvl w:ilvl="0" w:tplc="9976CB16">
      <w:start w:val="3"/>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E735F6"/>
    <w:multiLevelType w:val="hybridMultilevel"/>
    <w:tmpl w:val="C61216B2"/>
    <w:lvl w:ilvl="0" w:tplc="04050001">
      <w:start w:val="1"/>
      <w:numFmt w:val="bullet"/>
      <w:lvlText w:val=""/>
      <w:lvlJc w:val="left"/>
      <w:pPr>
        <w:tabs>
          <w:tab w:val="num" w:pos="1230"/>
        </w:tabs>
        <w:ind w:left="1230" w:hanging="360"/>
      </w:pPr>
      <w:rPr>
        <w:rFonts w:ascii="Symbol" w:hAnsi="Symbol" w:hint="default"/>
      </w:rPr>
    </w:lvl>
    <w:lvl w:ilvl="1" w:tplc="04050003" w:tentative="1">
      <w:start w:val="1"/>
      <w:numFmt w:val="bullet"/>
      <w:lvlText w:val="o"/>
      <w:lvlJc w:val="left"/>
      <w:pPr>
        <w:tabs>
          <w:tab w:val="num" w:pos="1950"/>
        </w:tabs>
        <w:ind w:left="1950" w:hanging="360"/>
      </w:pPr>
      <w:rPr>
        <w:rFonts w:ascii="Courier New" w:hAnsi="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8"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9" w15:restartNumberingAfterBreak="0">
    <w:nsid w:val="503714D8"/>
    <w:multiLevelType w:val="hybridMultilevel"/>
    <w:tmpl w:val="B71C1CA8"/>
    <w:lvl w:ilvl="0" w:tplc="0405000D">
      <w:start w:val="1"/>
      <w:numFmt w:val="bullet"/>
      <w:lvlText w:val=""/>
      <w:lvlJc w:val="left"/>
      <w:pPr>
        <w:ind w:left="1401" w:hanging="360"/>
      </w:pPr>
      <w:rPr>
        <w:rFonts w:ascii="Wingdings" w:hAnsi="Wingdings" w:hint="default"/>
      </w:rPr>
    </w:lvl>
    <w:lvl w:ilvl="1" w:tplc="04050003" w:tentative="1">
      <w:start w:val="1"/>
      <w:numFmt w:val="bullet"/>
      <w:lvlText w:val="o"/>
      <w:lvlJc w:val="left"/>
      <w:pPr>
        <w:ind w:left="2121" w:hanging="360"/>
      </w:pPr>
      <w:rPr>
        <w:rFonts w:ascii="Courier New" w:hAnsi="Courier New" w:cs="Courier New" w:hint="default"/>
      </w:rPr>
    </w:lvl>
    <w:lvl w:ilvl="2" w:tplc="04050005" w:tentative="1">
      <w:start w:val="1"/>
      <w:numFmt w:val="bullet"/>
      <w:lvlText w:val=""/>
      <w:lvlJc w:val="left"/>
      <w:pPr>
        <w:ind w:left="2841" w:hanging="360"/>
      </w:pPr>
      <w:rPr>
        <w:rFonts w:ascii="Wingdings" w:hAnsi="Wingdings" w:hint="default"/>
      </w:rPr>
    </w:lvl>
    <w:lvl w:ilvl="3" w:tplc="04050001" w:tentative="1">
      <w:start w:val="1"/>
      <w:numFmt w:val="bullet"/>
      <w:lvlText w:val=""/>
      <w:lvlJc w:val="left"/>
      <w:pPr>
        <w:ind w:left="3561" w:hanging="360"/>
      </w:pPr>
      <w:rPr>
        <w:rFonts w:ascii="Symbol" w:hAnsi="Symbol" w:hint="default"/>
      </w:rPr>
    </w:lvl>
    <w:lvl w:ilvl="4" w:tplc="04050003" w:tentative="1">
      <w:start w:val="1"/>
      <w:numFmt w:val="bullet"/>
      <w:lvlText w:val="o"/>
      <w:lvlJc w:val="left"/>
      <w:pPr>
        <w:ind w:left="4281" w:hanging="360"/>
      </w:pPr>
      <w:rPr>
        <w:rFonts w:ascii="Courier New" w:hAnsi="Courier New" w:cs="Courier New" w:hint="default"/>
      </w:rPr>
    </w:lvl>
    <w:lvl w:ilvl="5" w:tplc="04050005" w:tentative="1">
      <w:start w:val="1"/>
      <w:numFmt w:val="bullet"/>
      <w:lvlText w:val=""/>
      <w:lvlJc w:val="left"/>
      <w:pPr>
        <w:ind w:left="5001" w:hanging="360"/>
      </w:pPr>
      <w:rPr>
        <w:rFonts w:ascii="Wingdings" w:hAnsi="Wingdings" w:hint="default"/>
      </w:rPr>
    </w:lvl>
    <w:lvl w:ilvl="6" w:tplc="04050001" w:tentative="1">
      <w:start w:val="1"/>
      <w:numFmt w:val="bullet"/>
      <w:lvlText w:val=""/>
      <w:lvlJc w:val="left"/>
      <w:pPr>
        <w:ind w:left="5721" w:hanging="360"/>
      </w:pPr>
      <w:rPr>
        <w:rFonts w:ascii="Symbol" w:hAnsi="Symbol" w:hint="default"/>
      </w:rPr>
    </w:lvl>
    <w:lvl w:ilvl="7" w:tplc="04050003" w:tentative="1">
      <w:start w:val="1"/>
      <w:numFmt w:val="bullet"/>
      <w:lvlText w:val="o"/>
      <w:lvlJc w:val="left"/>
      <w:pPr>
        <w:ind w:left="6441" w:hanging="360"/>
      </w:pPr>
      <w:rPr>
        <w:rFonts w:ascii="Courier New" w:hAnsi="Courier New" w:cs="Courier New" w:hint="default"/>
      </w:rPr>
    </w:lvl>
    <w:lvl w:ilvl="8" w:tplc="04050005" w:tentative="1">
      <w:start w:val="1"/>
      <w:numFmt w:val="bullet"/>
      <w:lvlText w:val=""/>
      <w:lvlJc w:val="left"/>
      <w:pPr>
        <w:ind w:left="7161" w:hanging="360"/>
      </w:pPr>
      <w:rPr>
        <w:rFonts w:ascii="Wingdings" w:hAnsi="Wingdings" w:hint="default"/>
      </w:rPr>
    </w:lvl>
  </w:abstractNum>
  <w:abstractNum w:abstractNumId="10" w15:restartNumberingAfterBreak="0">
    <w:nsid w:val="5844656C"/>
    <w:multiLevelType w:val="hybridMultilevel"/>
    <w:tmpl w:val="E2300DEA"/>
    <w:lvl w:ilvl="0" w:tplc="7C4E3042">
      <w:start w:val="1"/>
      <w:numFmt w:val="bullet"/>
      <w:lvlText w:val=""/>
      <w:lvlJc w:val="left"/>
      <w:pPr>
        <w:ind w:left="0" w:firstLine="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11" w15:restartNumberingAfterBreak="0">
    <w:nsid w:val="5E871BFC"/>
    <w:multiLevelType w:val="hybridMultilevel"/>
    <w:tmpl w:val="C8F60F0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3230D7"/>
    <w:multiLevelType w:val="hybridMultilevel"/>
    <w:tmpl w:val="DE24C75C"/>
    <w:lvl w:ilvl="0" w:tplc="0405000D">
      <w:start w:val="1"/>
      <w:numFmt w:val="bullet"/>
      <w:lvlText w:val=""/>
      <w:lvlJc w:val="left"/>
      <w:pPr>
        <w:ind w:left="1761" w:hanging="360"/>
      </w:pPr>
      <w:rPr>
        <w:rFonts w:ascii="Wingdings" w:hAnsi="Wingdings" w:hint="default"/>
      </w:rPr>
    </w:lvl>
    <w:lvl w:ilvl="1" w:tplc="04050003" w:tentative="1">
      <w:start w:val="1"/>
      <w:numFmt w:val="bullet"/>
      <w:lvlText w:val="o"/>
      <w:lvlJc w:val="left"/>
      <w:pPr>
        <w:ind w:left="2481" w:hanging="360"/>
      </w:pPr>
      <w:rPr>
        <w:rFonts w:ascii="Courier New" w:hAnsi="Courier New" w:cs="Courier New" w:hint="default"/>
      </w:rPr>
    </w:lvl>
    <w:lvl w:ilvl="2" w:tplc="04050005" w:tentative="1">
      <w:start w:val="1"/>
      <w:numFmt w:val="bullet"/>
      <w:lvlText w:val=""/>
      <w:lvlJc w:val="left"/>
      <w:pPr>
        <w:ind w:left="3201" w:hanging="360"/>
      </w:pPr>
      <w:rPr>
        <w:rFonts w:ascii="Wingdings" w:hAnsi="Wingdings" w:hint="default"/>
      </w:rPr>
    </w:lvl>
    <w:lvl w:ilvl="3" w:tplc="04050001" w:tentative="1">
      <w:start w:val="1"/>
      <w:numFmt w:val="bullet"/>
      <w:lvlText w:val=""/>
      <w:lvlJc w:val="left"/>
      <w:pPr>
        <w:ind w:left="3921" w:hanging="360"/>
      </w:pPr>
      <w:rPr>
        <w:rFonts w:ascii="Symbol" w:hAnsi="Symbol" w:hint="default"/>
      </w:rPr>
    </w:lvl>
    <w:lvl w:ilvl="4" w:tplc="04050003" w:tentative="1">
      <w:start w:val="1"/>
      <w:numFmt w:val="bullet"/>
      <w:lvlText w:val="o"/>
      <w:lvlJc w:val="left"/>
      <w:pPr>
        <w:ind w:left="4641" w:hanging="360"/>
      </w:pPr>
      <w:rPr>
        <w:rFonts w:ascii="Courier New" w:hAnsi="Courier New" w:cs="Courier New" w:hint="default"/>
      </w:rPr>
    </w:lvl>
    <w:lvl w:ilvl="5" w:tplc="04050005" w:tentative="1">
      <w:start w:val="1"/>
      <w:numFmt w:val="bullet"/>
      <w:lvlText w:val=""/>
      <w:lvlJc w:val="left"/>
      <w:pPr>
        <w:ind w:left="5361" w:hanging="360"/>
      </w:pPr>
      <w:rPr>
        <w:rFonts w:ascii="Wingdings" w:hAnsi="Wingdings" w:hint="default"/>
      </w:rPr>
    </w:lvl>
    <w:lvl w:ilvl="6" w:tplc="04050001" w:tentative="1">
      <w:start w:val="1"/>
      <w:numFmt w:val="bullet"/>
      <w:lvlText w:val=""/>
      <w:lvlJc w:val="left"/>
      <w:pPr>
        <w:ind w:left="6081" w:hanging="360"/>
      </w:pPr>
      <w:rPr>
        <w:rFonts w:ascii="Symbol" w:hAnsi="Symbol" w:hint="default"/>
      </w:rPr>
    </w:lvl>
    <w:lvl w:ilvl="7" w:tplc="04050003" w:tentative="1">
      <w:start w:val="1"/>
      <w:numFmt w:val="bullet"/>
      <w:lvlText w:val="o"/>
      <w:lvlJc w:val="left"/>
      <w:pPr>
        <w:ind w:left="6801" w:hanging="360"/>
      </w:pPr>
      <w:rPr>
        <w:rFonts w:ascii="Courier New" w:hAnsi="Courier New" w:cs="Courier New" w:hint="default"/>
      </w:rPr>
    </w:lvl>
    <w:lvl w:ilvl="8" w:tplc="04050005" w:tentative="1">
      <w:start w:val="1"/>
      <w:numFmt w:val="bullet"/>
      <w:lvlText w:val=""/>
      <w:lvlJc w:val="left"/>
      <w:pPr>
        <w:ind w:left="7521" w:hanging="360"/>
      </w:pPr>
      <w:rPr>
        <w:rFonts w:ascii="Wingdings" w:hAnsi="Wingdings" w:hint="default"/>
      </w:rPr>
    </w:lvl>
  </w:abstractNum>
  <w:abstractNum w:abstractNumId="13"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4"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5" w15:restartNumberingAfterBreak="0">
    <w:nsid w:val="7B1B7D47"/>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num w:numId="1">
    <w:abstractNumId w:val="7"/>
  </w:num>
  <w:num w:numId="2">
    <w:abstractNumId w:val="2"/>
  </w:num>
  <w:num w:numId="3">
    <w:abstractNumId w:val="14"/>
  </w:num>
  <w:num w:numId="4">
    <w:abstractNumId w:val="0"/>
  </w:num>
  <w:num w:numId="5">
    <w:abstractNumId w:val="4"/>
  </w:num>
  <w:num w:numId="6">
    <w:abstractNumId w:val="8"/>
  </w:num>
  <w:num w:numId="7">
    <w:abstractNumId w:val="13"/>
  </w:num>
  <w:num w:numId="8">
    <w:abstractNumId w:val="1"/>
  </w:num>
  <w:num w:numId="9">
    <w:abstractNumId w:val="6"/>
  </w:num>
  <w:num w:numId="10">
    <w:abstractNumId w:val="15"/>
  </w:num>
  <w:num w:numId="11">
    <w:abstractNumId w:val="5"/>
  </w:num>
  <w:num w:numId="12">
    <w:abstractNumId w:val="3"/>
  </w:num>
  <w:num w:numId="13">
    <w:abstractNumId w:val="10"/>
  </w:num>
  <w:num w:numId="14">
    <w:abstractNumId w:val="16"/>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DA"/>
    <w:rsid w:val="00001328"/>
    <w:rsid w:val="000035CE"/>
    <w:rsid w:val="00013CEE"/>
    <w:rsid w:val="00014CAA"/>
    <w:rsid w:val="00016A4C"/>
    <w:rsid w:val="00016D79"/>
    <w:rsid w:val="00026B18"/>
    <w:rsid w:val="0003167D"/>
    <w:rsid w:val="000411E9"/>
    <w:rsid w:val="0004256D"/>
    <w:rsid w:val="000451FA"/>
    <w:rsid w:val="00045A22"/>
    <w:rsid w:val="00052D99"/>
    <w:rsid w:val="000544A4"/>
    <w:rsid w:val="000544FA"/>
    <w:rsid w:val="00061C0D"/>
    <w:rsid w:val="00063266"/>
    <w:rsid w:val="00063866"/>
    <w:rsid w:val="00075A81"/>
    <w:rsid w:val="00075FAC"/>
    <w:rsid w:val="00076610"/>
    <w:rsid w:val="00082484"/>
    <w:rsid w:val="00096F06"/>
    <w:rsid w:val="000C6A33"/>
    <w:rsid w:val="000D0274"/>
    <w:rsid w:val="000D34A4"/>
    <w:rsid w:val="000E42B7"/>
    <w:rsid w:val="000F0950"/>
    <w:rsid w:val="000F6B4E"/>
    <w:rsid w:val="001012C0"/>
    <w:rsid w:val="0010595C"/>
    <w:rsid w:val="00106807"/>
    <w:rsid w:val="00113411"/>
    <w:rsid w:val="00115154"/>
    <w:rsid w:val="001359B4"/>
    <w:rsid w:val="00135DDF"/>
    <w:rsid w:val="00141F4D"/>
    <w:rsid w:val="001432B3"/>
    <w:rsid w:val="00144120"/>
    <w:rsid w:val="00145317"/>
    <w:rsid w:val="00147619"/>
    <w:rsid w:val="00147E8B"/>
    <w:rsid w:val="00153396"/>
    <w:rsid w:val="00153EC0"/>
    <w:rsid w:val="00155455"/>
    <w:rsid w:val="00157644"/>
    <w:rsid w:val="00171BAE"/>
    <w:rsid w:val="00172250"/>
    <w:rsid w:val="00177BD5"/>
    <w:rsid w:val="001816D8"/>
    <w:rsid w:val="001872D0"/>
    <w:rsid w:val="00187885"/>
    <w:rsid w:val="00195001"/>
    <w:rsid w:val="001A73FA"/>
    <w:rsid w:val="001B671D"/>
    <w:rsid w:val="001C3B84"/>
    <w:rsid w:val="001C41D3"/>
    <w:rsid w:val="001C4581"/>
    <w:rsid w:val="001C621A"/>
    <w:rsid w:val="001D45BA"/>
    <w:rsid w:val="001E0882"/>
    <w:rsid w:val="001E34F9"/>
    <w:rsid w:val="001E4D98"/>
    <w:rsid w:val="001F1A48"/>
    <w:rsid w:val="001F2368"/>
    <w:rsid w:val="001F24F9"/>
    <w:rsid w:val="001F7413"/>
    <w:rsid w:val="00200240"/>
    <w:rsid w:val="00200423"/>
    <w:rsid w:val="0020150C"/>
    <w:rsid w:val="002060B1"/>
    <w:rsid w:val="00217118"/>
    <w:rsid w:val="002239D2"/>
    <w:rsid w:val="002243AA"/>
    <w:rsid w:val="00237E69"/>
    <w:rsid w:val="002406DC"/>
    <w:rsid w:val="00250607"/>
    <w:rsid w:val="002631BD"/>
    <w:rsid w:val="002676FC"/>
    <w:rsid w:val="00271C56"/>
    <w:rsid w:val="00274AD7"/>
    <w:rsid w:val="00276A41"/>
    <w:rsid w:val="00280604"/>
    <w:rsid w:val="00282132"/>
    <w:rsid w:val="00294FA9"/>
    <w:rsid w:val="002972DE"/>
    <w:rsid w:val="002A0C94"/>
    <w:rsid w:val="002A6596"/>
    <w:rsid w:val="002B2F61"/>
    <w:rsid w:val="002B4C95"/>
    <w:rsid w:val="002B4F17"/>
    <w:rsid w:val="002C00BE"/>
    <w:rsid w:val="002C169B"/>
    <w:rsid w:val="002C2350"/>
    <w:rsid w:val="002C4C00"/>
    <w:rsid w:val="002D00AA"/>
    <w:rsid w:val="002D1923"/>
    <w:rsid w:val="002D1B99"/>
    <w:rsid w:val="002F33A7"/>
    <w:rsid w:val="002F3FD8"/>
    <w:rsid w:val="0031090E"/>
    <w:rsid w:val="00313610"/>
    <w:rsid w:val="00322675"/>
    <w:rsid w:val="00322C97"/>
    <w:rsid w:val="003332F9"/>
    <w:rsid w:val="00336675"/>
    <w:rsid w:val="00340234"/>
    <w:rsid w:val="00344598"/>
    <w:rsid w:val="0034595B"/>
    <w:rsid w:val="00345D96"/>
    <w:rsid w:val="00353C9F"/>
    <w:rsid w:val="0035676F"/>
    <w:rsid w:val="0036167D"/>
    <w:rsid w:val="00362DC9"/>
    <w:rsid w:val="003678FE"/>
    <w:rsid w:val="00371607"/>
    <w:rsid w:val="003747D7"/>
    <w:rsid w:val="0037586A"/>
    <w:rsid w:val="00381D08"/>
    <w:rsid w:val="00383138"/>
    <w:rsid w:val="00394B3A"/>
    <w:rsid w:val="00397B6B"/>
    <w:rsid w:val="003A08E3"/>
    <w:rsid w:val="003B0C2B"/>
    <w:rsid w:val="003B6555"/>
    <w:rsid w:val="003B6EEE"/>
    <w:rsid w:val="003C2051"/>
    <w:rsid w:val="003C6E0B"/>
    <w:rsid w:val="003D582C"/>
    <w:rsid w:val="003D6AF1"/>
    <w:rsid w:val="003E61D9"/>
    <w:rsid w:val="003E6AD1"/>
    <w:rsid w:val="003F1AFF"/>
    <w:rsid w:val="003F40C6"/>
    <w:rsid w:val="003F6EA3"/>
    <w:rsid w:val="003F6FC2"/>
    <w:rsid w:val="003F70BD"/>
    <w:rsid w:val="00404BB3"/>
    <w:rsid w:val="004070C8"/>
    <w:rsid w:val="00410DD6"/>
    <w:rsid w:val="004118FF"/>
    <w:rsid w:val="004133B3"/>
    <w:rsid w:val="0042704F"/>
    <w:rsid w:val="0042754D"/>
    <w:rsid w:val="00427909"/>
    <w:rsid w:val="00432372"/>
    <w:rsid w:val="004420A5"/>
    <w:rsid w:val="00443114"/>
    <w:rsid w:val="00447798"/>
    <w:rsid w:val="00450ABE"/>
    <w:rsid w:val="00451CA2"/>
    <w:rsid w:val="00453059"/>
    <w:rsid w:val="00456E44"/>
    <w:rsid w:val="00460273"/>
    <w:rsid w:val="00463260"/>
    <w:rsid w:val="004655C1"/>
    <w:rsid w:val="0047172E"/>
    <w:rsid w:val="004805E3"/>
    <w:rsid w:val="004848A2"/>
    <w:rsid w:val="004944AF"/>
    <w:rsid w:val="00495E5A"/>
    <w:rsid w:val="00497D65"/>
    <w:rsid w:val="004A24CC"/>
    <w:rsid w:val="004A3EA4"/>
    <w:rsid w:val="004A5FFF"/>
    <w:rsid w:val="004B55CB"/>
    <w:rsid w:val="004B5934"/>
    <w:rsid w:val="004B6DF7"/>
    <w:rsid w:val="004C729E"/>
    <w:rsid w:val="004D3F0A"/>
    <w:rsid w:val="004E7756"/>
    <w:rsid w:val="004F133A"/>
    <w:rsid w:val="004F4573"/>
    <w:rsid w:val="004F4AE6"/>
    <w:rsid w:val="004F78FD"/>
    <w:rsid w:val="00500E22"/>
    <w:rsid w:val="00506FE4"/>
    <w:rsid w:val="00516619"/>
    <w:rsid w:val="0052525B"/>
    <w:rsid w:val="005300D3"/>
    <w:rsid w:val="005331EB"/>
    <w:rsid w:val="00534506"/>
    <w:rsid w:val="00535A04"/>
    <w:rsid w:val="00545AB5"/>
    <w:rsid w:val="005461E2"/>
    <w:rsid w:val="00555E2F"/>
    <w:rsid w:val="00556EE7"/>
    <w:rsid w:val="005633EA"/>
    <w:rsid w:val="005651DA"/>
    <w:rsid w:val="00565F1C"/>
    <w:rsid w:val="0057037B"/>
    <w:rsid w:val="0057365F"/>
    <w:rsid w:val="00581BBA"/>
    <w:rsid w:val="005827D6"/>
    <w:rsid w:val="00584E80"/>
    <w:rsid w:val="00587E71"/>
    <w:rsid w:val="0059300B"/>
    <w:rsid w:val="005944C0"/>
    <w:rsid w:val="005A2071"/>
    <w:rsid w:val="005A257F"/>
    <w:rsid w:val="005A4574"/>
    <w:rsid w:val="005A5B0A"/>
    <w:rsid w:val="005A7C4F"/>
    <w:rsid w:val="005B0706"/>
    <w:rsid w:val="005B1898"/>
    <w:rsid w:val="005B38D2"/>
    <w:rsid w:val="005B4272"/>
    <w:rsid w:val="005B6FC0"/>
    <w:rsid w:val="005C243A"/>
    <w:rsid w:val="005C2A4D"/>
    <w:rsid w:val="005D591D"/>
    <w:rsid w:val="005D7AC3"/>
    <w:rsid w:val="005E081E"/>
    <w:rsid w:val="005E271A"/>
    <w:rsid w:val="005E2E50"/>
    <w:rsid w:val="005E2FE3"/>
    <w:rsid w:val="005E369F"/>
    <w:rsid w:val="005F06F7"/>
    <w:rsid w:val="005F0BD0"/>
    <w:rsid w:val="005F1E3C"/>
    <w:rsid w:val="005F318D"/>
    <w:rsid w:val="00601581"/>
    <w:rsid w:val="006071F9"/>
    <w:rsid w:val="00607242"/>
    <w:rsid w:val="006104E5"/>
    <w:rsid w:val="00623A00"/>
    <w:rsid w:val="0062441B"/>
    <w:rsid w:val="00624C39"/>
    <w:rsid w:val="00625CB2"/>
    <w:rsid w:val="00631D5B"/>
    <w:rsid w:val="00636B56"/>
    <w:rsid w:val="00637B8A"/>
    <w:rsid w:val="00654D28"/>
    <w:rsid w:val="00665A94"/>
    <w:rsid w:val="006745E3"/>
    <w:rsid w:val="00674FA9"/>
    <w:rsid w:val="00680E6A"/>
    <w:rsid w:val="00680E8A"/>
    <w:rsid w:val="006829D3"/>
    <w:rsid w:val="00690A3E"/>
    <w:rsid w:val="006A26BC"/>
    <w:rsid w:val="006B0306"/>
    <w:rsid w:val="006B0847"/>
    <w:rsid w:val="006C0844"/>
    <w:rsid w:val="006C3862"/>
    <w:rsid w:val="006C7B3A"/>
    <w:rsid w:val="006D2148"/>
    <w:rsid w:val="006D653B"/>
    <w:rsid w:val="006E04A4"/>
    <w:rsid w:val="006E3E2C"/>
    <w:rsid w:val="006E6A6B"/>
    <w:rsid w:val="006E6DD4"/>
    <w:rsid w:val="006F5B2C"/>
    <w:rsid w:val="00703FB9"/>
    <w:rsid w:val="007066E8"/>
    <w:rsid w:val="00707AA0"/>
    <w:rsid w:val="007361DA"/>
    <w:rsid w:val="0073695E"/>
    <w:rsid w:val="00740976"/>
    <w:rsid w:val="00741180"/>
    <w:rsid w:val="007640F1"/>
    <w:rsid w:val="00773548"/>
    <w:rsid w:val="00774827"/>
    <w:rsid w:val="00774DA2"/>
    <w:rsid w:val="0078053E"/>
    <w:rsid w:val="00782322"/>
    <w:rsid w:val="00783151"/>
    <w:rsid w:val="00792C8D"/>
    <w:rsid w:val="00793A44"/>
    <w:rsid w:val="00795D5F"/>
    <w:rsid w:val="00796B12"/>
    <w:rsid w:val="00797A34"/>
    <w:rsid w:val="007A1323"/>
    <w:rsid w:val="007A5E57"/>
    <w:rsid w:val="007A7761"/>
    <w:rsid w:val="007C0DFF"/>
    <w:rsid w:val="007C6924"/>
    <w:rsid w:val="007D414C"/>
    <w:rsid w:val="007D66FE"/>
    <w:rsid w:val="007E2526"/>
    <w:rsid w:val="007E3647"/>
    <w:rsid w:val="007E4F76"/>
    <w:rsid w:val="007F5D48"/>
    <w:rsid w:val="007F7E3B"/>
    <w:rsid w:val="00801C7B"/>
    <w:rsid w:val="00805F85"/>
    <w:rsid w:val="00812129"/>
    <w:rsid w:val="0082018D"/>
    <w:rsid w:val="008209ED"/>
    <w:rsid w:val="00822DF5"/>
    <w:rsid w:val="0083038A"/>
    <w:rsid w:val="00837430"/>
    <w:rsid w:val="008408E9"/>
    <w:rsid w:val="0084437B"/>
    <w:rsid w:val="008507E8"/>
    <w:rsid w:val="00853498"/>
    <w:rsid w:val="0085582C"/>
    <w:rsid w:val="00864CED"/>
    <w:rsid w:val="00870E9F"/>
    <w:rsid w:val="00880A99"/>
    <w:rsid w:val="00881800"/>
    <w:rsid w:val="0088528C"/>
    <w:rsid w:val="008908A7"/>
    <w:rsid w:val="008B33A0"/>
    <w:rsid w:val="008B49A3"/>
    <w:rsid w:val="008C12DC"/>
    <w:rsid w:val="008C1D25"/>
    <w:rsid w:val="008C4CA1"/>
    <w:rsid w:val="008C664C"/>
    <w:rsid w:val="008D0466"/>
    <w:rsid w:val="008D3E3C"/>
    <w:rsid w:val="008D51EA"/>
    <w:rsid w:val="008E5536"/>
    <w:rsid w:val="008E5E34"/>
    <w:rsid w:val="008F3404"/>
    <w:rsid w:val="008F466F"/>
    <w:rsid w:val="008F6697"/>
    <w:rsid w:val="008F7D05"/>
    <w:rsid w:val="0090164F"/>
    <w:rsid w:val="00903C6A"/>
    <w:rsid w:val="0090598D"/>
    <w:rsid w:val="00907A69"/>
    <w:rsid w:val="0091141B"/>
    <w:rsid w:val="00911953"/>
    <w:rsid w:val="009161DD"/>
    <w:rsid w:val="00916811"/>
    <w:rsid w:val="00917C71"/>
    <w:rsid w:val="00920D6F"/>
    <w:rsid w:val="00923F32"/>
    <w:rsid w:val="009245C9"/>
    <w:rsid w:val="00927B94"/>
    <w:rsid w:val="00934F4B"/>
    <w:rsid w:val="0093715F"/>
    <w:rsid w:val="00940472"/>
    <w:rsid w:val="00951452"/>
    <w:rsid w:val="00951905"/>
    <w:rsid w:val="009534F1"/>
    <w:rsid w:val="00956D83"/>
    <w:rsid w:val="00960FE2"/>
    <w:rsid w:val="009614D6"/>
    <w:rsid w:val="00962050"/>
    <w:rsid w:val="00973C7A"/>
    <w:rsid w:val="00976FB1"/>
    <w:rsid w:val="009779D8"/>
    <w:rsid w:val="00990C24"/>
    <w:rsid w:val="00995DC6"/>
    <w:rsid w:val="009B75AA"/>
    <w:rsid w:val="009C68D9"/>
    <w:rsid w:val="009D0760"/>
    <w:rsid w:val="009D1870"/>
    <w:rsid w:val="009D4F5B"/>
    <w:rsid w:val="009E243B"/>
    <w:rsid w:val="009E5CF2"/>
    <w:rsid w:val="009E7DE3"/>
    <w:rsid w:val="009F1C04"/>
    <w:rsid w:val="009F42DE"/>
    <w:rsid w:val="009F56FF"/>
    <w:rsid w:val="00A0390A"/>
    <w:rsid w:val="00A04623"/>
    <w:rsid w:val="00A14032"/>
    <w:rsid w:val="00A1416F"/>
    <w:rsid w:val="00A20D09"/>
    <w:rsid w:val="00A251B1"/>
    <w:rsid w:val="00A273A7"/>
    <w:rsid w:val="00A33FC4"/>
    <w:rsid w:val="00A42BAD"/>
    <w:rsid w:val="00A43FBE"/>
    <w:rsid w:val="00A44A01"/>
    <w:rsid w:val="00A57C3D"/>
    <w:rsid w:val="00A66F91"/>
    <w:rsid w:val="00A873F3"/>
    <w:rsid w:val="00A9352D"/>
    <w:rsid w:val="00A93FA2"/>
    <w:rsid w:val="00AA3524"/>
    <w:rsid w:val="00AA406A"/>
    <w:rsid w:val="00AB07A8"/>
    <w:rsid w:val="00AB626C"/>
    <w:rsid w:val="00AB79D4"/>
    <w:rsid w:val="00AC2517"/>
    <w:rsid w:val="00AC4164"/>
    <w:rsid w:val="00AD0052"/>
    <w:rsid w:val="00AD46DC"/>
    <w:rsid w:val="00AD4C55"/>
    <w:rsid w:val="00AD5C9F"/>
    <w:rsid w:val="00AD7C89"/>
    <w:rsid w:val="00AE028B"/>
    <w:rsid w:val="00AE17CC"/>
    <w:rsid w:val="00AE2794"/>
    <w:rsid w:val="00AF21E0"/>
    <w:rsid w:val="00AF474A"/>
    <w:rsid w:val="00AF6591"/>
    <w:rsid w:val="00B0150B"/>
    <w:rsid w:val="00B01F21"/>
    <w:rsid w:val="00B03CD5"/>
    <w:rsid w:val="00B0687B"/>
    <w:rsid w:val="00B1038A"/>
    <w:rsid w:val="00B140F1"/>
    <w:rsid w:val="00B16BFC"/>
    <w:rsid w:val="00B204C0"/>
    <w:rsid w:val="00B40F36"/>
    <w:rsid w:val="00B44FCD"/>
    <w:rsid w:val="00B46817"/>
    <w:rsid w:val="00B46882"/>
    <w:rsid w:val="00B4761B"/>
    <w:rsid w:val="00B51686"/>
    <w:rsid w:val="00B56449"/>
    <w:rsid w:val="00B613A4"/>
    <w:rsid w:val="00B629C1"/>
    <w:rsid w:val="00B71E95"/>
    <w:rsid w:val="00B76BBE"/>
    <w:rsid w:val="00B82682"/>
    <w:rsid w:val="00B86972"/>
    <w:rsid w:val="00B87C9A"/>
    <w:rsid w:val="00B90468"/>
    <w:rsid w:val="00B916CD"/>
    <w:rsid w:val="00B92FED"/>
    <w:rsid w:val="00BA546F"/>
    <w:rsid w:val="00BA617D"/>
    <w:rsid w:val="00BB0F91"/>
    <w:rsid w:val="00BC077F"/>
    <w:rsid w:val="00BC2527"/>
    <w:rsid w:val="00BC70F1"/>
    <w:rsid w:val="00BD3ACD"/>
    <w:rsid w:val="00BE7DD7"/>
    <w:rsid w:val="00BF16CA"/>
    <w:rsid w:val="00BF24BA"/>
    <w:rsid w:val="00BF4463"/>
    <w:rsid w:val="00C00523"/>
    <w:rsid w:val="00C027F8"/>
    <w:rsid w:val="00C06061"/>
    <w:rsid w:val="00C171B2"/>
    <w:rsid w:val="00C1737C"/>
    <w:rsid w:val="00C217F8"/>
    <w:rsid w:val="00C25C5A"/>
    <w:rsid w:val="00C36CC8"/>
    <w:rsid w:val="00C41D20"/>
    <w:rsid w:val="00C46FB6"/>
    <w:rsid w:val="00C52DAE"/>
    <w:rsid w:val="00C55023"/>
    <w:rsid w:val="00C57005"/>
    <w:rsid w:val="00C63E2C"/>
    <w:rsid w:val="00C70BCF"/>
    <w:rsid w:val="00C716C2"/>
    <w:rsid w:val="00C760C5"/>
    <w:rsid w:val="00C80D47"/>
    <w:rsid w:val="00C81AF5"/>
    <w:rsid w:val="00C81D19"/>
    <w:rsid w:val="00C85ACA"/>
    <w:rsid w:val="00C93922"/>
    <w:rsid w:val="00C967CE"/>
    <w:rsid w:val="00CA7A24"/>
    <w:rsid w:val="00CB0314"/>
    <w:rsid w:val="00CB4674"/>
    <w:rsid w:val="00CB7C06"/>
    <w:rsid w:val="00CC2C52"/>
    <w:rsid w:val="00CC3C8A"/>
    <w:rsid w:val="00CC4DE6"/>
    <w:rsid w:val="00CD4BDB"/>
    <w:rsid w:val="00CD6CBE"/>
    <w:rsid w:val="00CE4CE0"/>
    <w:rsid w:val="00CE7E17"/>
    <w:rsid w:val="00D01B5C"/>
    <w:rsid w:val="00D02C38"/>
    <w:rsid w:val="00D0589E"/>
    <w:rsid w:val="00D1592F"/>
    <w:rsid w:val="00D242B2"/>
    <w:rsid w:val="00D27CD5"/>
    <w:rsid w:val="00D301DE"/>
    <w:rsid w:val="00D308BB"/>
    <w:rsid w:val="00D31863"/>
    <w:rsid w:val="00D32DDE"/>
    <w:rsid w:val="00D42EAF"/>
    <w:rsid w:val="00D53774"/>
    <w:rsid w:val="00D541E9"/>
    <w:rsid w:val="00D549CA"/>
    <w:rsid w:val="00D55AA6"/>
    <w:rsid w:val="00D657BC"/>
    <w:rsid w:val="00D76169"/>
    <w:rsid w:val="00D80AF5"/>
    <w:rsid w:val="00D812B0"/>
    <w:rsid w:val="00D81F3C"/>
    <w:rsid w:val="00D836D4"/>
    <w:rsid w:val="00DB0EAD"/>
    <w:rsid w:val="00DB4669"/>
    <w:rsid w:val="00DB6BA4"/>
    <w:rsid w:val="00DC1FC2"/>
    <w:rsid w:val="00DD6B03"/>
    <w:rsid w:val="00DD70EC"/>
    <w:rsid w:val="00DE11C0"/>
    <w:rsid w:val="00DE3FCD"/>
    <w:rsid w:val="00DE45D8"/>
    <w:rsid w:val="00DE5893"/>
    <w:rsid w:val="00DF02C4"/>
    <w:rsid w:val="00DF47C6"/>
    <w:rsid w:val="00E047E8"/>
    <w:rsid w:val="00E06B1B"/>
    <w:rsid w:val="00E13CDE"/>
    <w:rsid w:val="00E16463"/>
    <w:rsid w:val="00E22C65"/>
    <w:rsid w:val="00E31833"/>
    <w:rsid w:val="00E41D32"/>
    <w:rsid w:val="00E427CA"/>
    <w:rsid w:val="00E42EC8"/>
    <w:rsid w:val="00E46B2C"/>
    <w:rsid w:val="00E534E3"/>
    <w:rsid w:val="00E540B6"/>
    <w:rsid w:val="00E711F7"/>
    <w:rsid w:val="00E73AB9"/>
    <w:rsid w:val="00E7563E"/>
    <w:rsid w:val="00E76DE7"/>
    <w:rsid w:val="00E849E2"/>
    <w:rsid w:val="00E865EF"/>
    <w:rsid w:val="00E91939"/>
    <w:rsid w:val="00E944BB"/>
    <w:rsid w:val="00E95826"/>
    <w:rsid w:val="00E97AA8"/>
    <w:rsid w:val="00EA1833"/>
    <w:rsid w:val="00EA7D8E"/>
    <w:rsid w:val="00EA7EB0"/>
    <w:rsid w:val="00EB0BBE"/>
    <w:rsid w:val="00EB5733"/>
    <w:rsid w:val="00EC277C"/>
    <w:rsid w:val="00ED168D"/>
    <w:rsid w:val="00ED3617"/>
    <w:rsid w:val="00ED5AAA"/>
    <w:rsid w:val="00ED6DA8"/>
    <w:rsid w:val="00ED787A"/>
    <w:rsid w:val="00ED79FD"/>
    <w:rsid w:val="00ED7B00"/>
    <w:rsid w:val="00EE082E"/>
    <w:rsid w:val="00EF6044"/>
    <w:rsid w:val="00EF74CD"/>
    <w:rsid w:val="00F038E3"/>
    <w:rsid w:val="00F160E4"/>
    <w:rsid w:val="00F162EF"/>
    <w:rsid w:val="00F17824"/>
    <w:rsid w:val="00F22370"/>
    <w:rsid w:val="00F225A0"/>
    <w:rsid w:val="00F31BB1"/>
    <w:rsid w:val="00F369BB"/>
    <w:rsid w:val="00F40BF5"/>
    <w:rsid w:val="00F434F2"/>
    <w:rsid w:val="00F474EE"/>
    <w:rsid w:val="00F55B1B"/>
    <w:rsid w:val="00F67BF4"/>
    <w:rsid w:val="00F77ED1"/>
    <w:rsid w:val="00F814A0"/>
    <w:rsid w:val="00F86B99"/>
    <w:rsid w:val="00F90348"/>
    <w:rsid w:val="00F906C6"/>
    <w:rsid w:val="00F90B0E"/>
    <w:rsid w:val="00F912FF"/>
    <w:rsid w:val="00F91B4D"/>
    <w:rsid w:val="00F946EB"/>
    <w:rsid w:val="00F95450"/>
    <w:rsid w:val="00FA590D"/>
    <w:rsid w:val="00FB2787"/>
    <w:rsid w:val="00FC196C"/>
    <w:rsid w:val="00FC3C17"/>
    <w:rsid w:val="00FC57BF"/>
    <w:rsid w:val="00FD316D"/>
    <w:rsid w:val="00FD4352"/>
    <w:rsid w:val="00FE3029"/>
    <w:rsid w:val="00FE3A7B"/>
    <w:rsid w:val="00FE6108"/>
    <w:rsid w:val="00FF5658"/>
    <w:rsid w:val="00FF5EC1"/>
    <w:rsid w:val="00FF7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095A1E"/>
  <w15:docId w15:val="{AFB8653A-48BA-433B-BA61-10B71C46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893"/>
    <w:rPr>
      <w:sz w:val="24"/>
      <w:szCs w:val="24"/>
    </w:rPr>
  </w:style>
  <w:style w:type="paragraph" w:styleId="Nadpis1">
    <w:name w:val="heading 1"/>
    <w:basedOn w:val="Normln"/>
    <w:next w:val="Normln"/>
    <w:qFormat/>
    <w:rsid w:val="00DE5893"/>
    <w:pPr>
      <w:keepNext/>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outlineLvl w:val="0"/>
    </w:pPr>
    <w:rPr>
      <w:b/>
      <w:bCs/>
    </w:rPr>
  </w:style>
  <w:style w:type="paragraph" w:styleId="Nadpis2">
    <w:name w:val="heading 2"/>
    <w:basedOn w:val="Normln"/>
    <w:next w:val="Normln"/>
    <w:qFormat/>
    <w:rsid w:val="00DE589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1"/>
    </w:pPr>
    <w:rPr>
      <w:b/>
      <w:bCs/>
    </w:rPr>
  </w:style>
  <w:style w:type="paragraph" w:styleId="Nadpis3">
    <w:name w:val="heading 3"/>
    <w:basedOn w:val="Normln"/>
    <w:next w:val="Normln"/>
    <w:qFormat/>
    <w:rsid w:val="00DE589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18" w:lineRule="atLeast"/>
      <w:jc w:val="center"/>
      <w:outlineLvl w:val="2"/>
    </w:pPr>
    <w:rPr>
      <w:b/>
      <w:bCs/>
      <w:sz w:val="32"/>
      <w:szCs w:val="32"/>
    </w:rPr>
  </w:style>
  <w:style w:type="paragraph" w:styleId="Nadpis4">
    <w:name w:val="heading 4"/>
    <w:basedOn w:val="Normln"/>
    <w:next w:val="Normln"/>
    <w:qFormat/>
    <w:rsid w:val="00DE589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18" w:lineRule="atLeast"/>
      <w:jc w:val="both"/>
      <w:outlineLvl w:val="3"/>
    </w:pPr>
    <w:rPr>
      <w:b/>
      <w:bCs/>
      <w:lang w:val="en-GB"/>
    </w:rPr>
  </w:style>
  <w:style w:type="paragraph" w:styleId="Nadpis5">
    <w:name w:val="heading 5"/>
    <w:basedOn w:val="Normln"/>
    <w:next w:val="Normln"/>
    <w:qFormat/>
    <w:rsid w:val="00DE5893"/>
    <w:pPr>
      <w:keepNext/>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outlineLvl w:val="4"/>
    </w:pPr>
    <w:rPr>
      <w:rFonts w:ascii="Arial" w:hAnsi="Arial"/>
      <w:b/>
      <w:bCs/>
      <w:i/>
      <w:iCs/>
      <w:sz w:val="28"/>
      <w:szCs w:val="28"/>
    </w:rPr>
  </w:style>
  <w:style w:type="paragraph" w:styleId="Nadpis6">
    <w:name w:val="heading 6"/>
    <w:basedOn w:val="Normln"/>
    <w:next w:val="Normln"/>
    <w:qFormat/>
    <w:rsid w:val="00DE5893"/>
    <w:pPr>
      <w:keepNext/>
      <w:pageBreakBefore/>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1610" w:hanging="1610"/>
      <w:jc w:val="both"/>
      <w:outlineLvl w:val="5"/>
    </w:pPr>
    <w:rPr>
      <w:rFonts w:ascii="Arial" w:hAnsi="Arial"/>
      <w:b/>
      <w:bCs/>
      <w:sz w:val="20"/>
    </w:rPr>
  </w:style>
  <w:style w:type="paragraph" w:styleId="Nadpis7">
    <w:name w:val="heading 7"/>
    <w:basedOn w:val="Normln"/>
    <w:next w:val="Normln"/>
    <w:qFormat/>
    <w:rsid w:val="00DE5893"/>
    <w:pPr>
      <w:keepNext/>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6"/>
    </w:pPr>
    <w:rPr>
      <w:rFonts w:ascii="Arial" w:hAnsi="Arial"/>
      <w:b/>
      <w:bCs/>
      <w:sz w:val="20"/>
    </w:rPr>
  </w:style>
  <w:style w:type="paragraph" w:styleId="Nadpis9">
    <w:name w:val="heading 9"/>
    <w:basedOn w:val="Normln"/>
    <w:next w:val="Normln"/>
    <w:qFormat/>
    <w:rsid w:val="00DE5893"/>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E5893"/>
    <w:rPr>
      <w:color w:val="0000FF"/>
      <w:u w:val="single"/>
    </w:rPr>
  </w:style>
  <w:style w:type="paragraph" w:styleId="Zhlav">
    <w:name w:val="header"/>
    <w:basedOn w:val="Normln"/>
    <w:rsid w:val="00DE5893"/>
    <w:pPr>
      <w:tabs>
        <w:tab w:val="center" w:pos="4536"/>
        <w:tab w:val="right" w:pos="9072"/>
      </w:tabs>
    </w:pPr>
  </w:style>
  <w:style w:type="paragraph" w:styleId="Zpat">
    <w:name w:val="footer"/>
    <w:basedOn w:val="Normln"/>
    <w:rsid w:val="00DE5893"/>
    <w:pPr>
      <w:tabs>
        <w:tab w:val="center" w:pos="4536"/>
        <w:tab w:val="right" w:pos="9072"/>
      </w:tabs>
    </w:pPr>
  </w:style>
  <w:style w:type="character" w:styleId="slostrnky">
    <w:name w:val="page number"/>
    <w:basedOn w:val="Standardnpsmoodstavce"/>
    <w:rsid w:val="00DE5893"/>
  </w:style>
  <w:style w:type="paragraph" w:styleId="Zkladntext">
    <w:name w:val="Body Text"/>
    <w:basedOn w:val="Normln"/>
    <w:rsid w:val="00DE58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pPr>
  </w:style>
  <w:style w:type="paragraph" w:styleId="Zkladntext3">
    <w:name w:val="Body Text 3"/>
    <w:basedOn w:val="Normln"/>
    <w:rsid w:val="00DE5893"/>
    <w:pPr>
      <w:tabs>
        <w:tab w:val="left" w:pos="540"/>
      </w:tabs>
      <w:spacing w:before="60" w:after="60"/>
      <w:jc w:val="both"/>
    </w:pPr>
    <w:rPr>
      <w:rFonts w:ascii="Arial" w:hAnsi="Arial" w:cs="Arial"/>
      <w:sz w:val="20"/>
    </w:rPr>
  </w:style>
  <w:style w:type="paragraph" w:styleId="Zkladntextodsazen3">
    <w:name w:val="Body Text Indent 3"/>
    <w:basedOn w:val="Normln"/>
    <w:rsid w:val="00DE5893"/>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Zkladntextodsazen2">
    <w:name w:val="Body Text Indent 2"/>
    <w:basedOn w:val="Normln"/>
    <w:rsid w:val="00DE5893"/>
    <w:pPr>
      <w:ind w:firstLine="540"/>
      <w:jc w:val="both"/>
    </w:pPr>
    <w:rPr>
      <w:rFonts w:ascii="Arial" w:hAnsi="Arial" w:cs="Arial"/>
      <w:sz w:val="20"/>
    </w:rPr>
  </w:style>
  <w:style w:type="paragraph" w:styleId="Zkladntextodsazen">
    <w:name w:val="Body Text Indent"/>
    <w:basedOn w:val="Normln"/>
    <w:rsid w:val="00DE5893"/>
    <w:pPr>
      <w:ind w:firstLine="708"/>
      <w:jc w:val="both"/>
    </w:pPr>
    <w:rPr>
      <w:rFonts w:cs="Arial"/>
    </w:rPr>
  </w:style>
  <w:style w:type="character" w:styleId="Sledovanodkaz">
    <w:name w:val="FollowedHyperlink"/>
    <w:rsid w:val="00DE5893"/>
    <w:rPr>
      <w:color w:val="800080"/>
      <w:u w:val="single"/>
    </w:rPr>
  </w:style>
  <w:style w:type="paragraph" w:styleId="Zkladntext2">
    <w:name w:val="Body Text 2"/>
    <w:basedOn w:val="Normln"/>
    <w:rsid w:val="00DE589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960"/>
      <w:jc w:val="both"/>
    </w:pPr>
    <w:rPr>
      <w:rFonts w:ascii="Arial" w:hAnsi="Arial"/>
      <w:i/>
      <w:iCs/>
      <w:color w:val="000000"/>
      <w:sz w:val="20"/>
      <w:szCs w:val="26"/>
    </w:rPr>
  </w:style>
  <w:style w:type="paragraph" w:customStyle="1" w:styleId="nadpisvelik">
    <w:name w:val="nadpis veliký"/>
    <w:basedOn w:val="Normln"/>
    <w:rsid w:val="00DE5893"/>
    <w:pPr>
      <w:spacing w:after="960"/>
    </w:pPr>
    <w:rPr>
      <w:rFonts w:ascii="Arial" w:hAnsi="Arial"/>
      <w:b/>
      <w:bCs/>
      <w:sz w:val="32"/>
      <w:szCs w:val="32"/>
    </w:rPr>
  </w:style>
  <w:style w:type="paragraph" w:customStyle="1" w:styleId="odstavecbn">
    <w:name w:val="odstavec běžný"/>
    <w:basedOn w:val="Normln"/>
    <w:rsid w:val="00DE5893"/>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mal">
    <w:name w:val="nadpis malý"/>
    <w:basedOn w:val="Normln"/>
    <w:rsid w:val="00DE5893"/>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styleId="Textbubliny">
    <w:name w:val="Balloon Text"/>
    <w:basedOn w:val="Normln"/>
    <w:link w:val="TextbublinyChar"/>
    <w:rsid w:val="00A04623"/>
    <w:rPr>
      <w:rFonts w:ascii="Tahoma" w:hAnsi="Tahoma" w:cs="Tahoma"/>
      <w:sz w:val="16"/>
      <w:szCs w:val="16"/>
    </w:rPr>
  </w:style>
  <w:style w:type="character" w:customStyle="1" w:styleId="TextbublinyChar">
    <w:name w:val="Text bubliny Char"/>
    <w:link w:val="Textbubliny"/>
    <w:rsid w:val="00A04623"/>
    <w:rPr>
      <w:rFonts w:ascii="Tahoma" w:hAnsi="Tahoma" w:cs="Tahoma"/>
      <w:sz w:val="16"/>
      <w:szCs w:val="16"/>
    </w:rPr>
  </w:style>
  <w:style w:type="paragraph" w:customStyle="1" w:styleId="ISCEDOdstavec-sslem">
    <w:name w:val="ISCED Odstavec - s číslem"/>
    <w:rsid w:val="00D812B0"/>
    <w:pPr>
      <w:tabs>
        <w:tab w:val="left" w:pos="567"/>
      </w:tabs>
      <w:spacing w:after="240"/>
      <w:ind w:left="567" w:hanging="567"/>
      <w:jc w:val="both"/>
    </w:pPr>
    <w:rPr>
      <w:rFonts w:ascii="Arial" w:hAnsi="Arial" w:cs="Arial"/>
      <w:snapToGrid w:val="0"/>
      <w:color w:val="000000"/>
      <w:lang w:eastAsia="en-GB"/>
    </w:rPr>
  </w:style>
  <w:style w:type="character" w:styleId="Odkaznakoment">
    <w:name w:val="annotation reference"/>
    <w:basedOn w:val="Standardnpsmoodstavce"/>
    <w:semiHidden/>
    <w:unhideWhenUsed/>
    <w:rsid w:val="005E2FE3"/>
    <w:rPr>
      <w:sz w:val="16"/>
      <w:szCs w:val="16"/>
    </w:rPr>
  </w:style>
  <w:style w:type="paragraph" w:styleId="Textkomente">
    <w:name w:val="annotation text"/>
    <w:basedOn w:val="Normln"/>
    <w:link w:val="TextkomenteChar"/>
    <w:semiHidden/>
    <w:unhideWhenUsed/>
    <w:rsid w:val="005E2FE3"/>
    <w:rPr>
      <w:sz w:val="20"/>
      <w:szCs w:val="20"/>
    </w:rPr>
  </w:style>
  <w:style w:type="character" w:customStyle="1" w:styleId="TextkomenteChar">
    <w:name w:val="Text komentáře Char"/>
    <w:basedOn w:val="Standardnpsmoodstavce"/>
    <w:link w:val="Textkomente"/>
    <w:semiHidden/>
    <w:rsid w:val="005E2FE3"/>
  </w:style>
  <w:style w:type="paragraph" w:styleId="Pedmtkomente">
    <w:name w:val="annotation subject"/>
    <w:basedOn w:val="Textkomente"/>
    <w:next w:val="Textkomente"/>
    <w:link w:val="PedmtkomenteChar"/>
    <w:semiHidden/>
    <w:unhideWhenUsed/>
    <w:rsid w:val="005E2FE3"/>
    <w:rPr>
      <w:b/>
      <w:bCs/>
    </w:rPr>
  </w:style>
  <w:style w:type="character" w:customStyle="1" w:styleId="PedmtkomenteChar">
    <w:name w:val="Předmět komentáře Char"/>
    <w:basedOn w:val="TextkomenteChar"/>
    <w:link w:val="Pedmtkomente"/>
    <w:semiHidden/>
    <w:rsid w:val="005E2FE3"/>
    <w:rPr>
      <w:b/>
      <w:bCs/>
    </w:rPr>
  </w:style>
  <w:style w:type="paragraph" w:styleId="Revize">
    <w:name w:val="Revision"/>
    <w:hidden/>
    <w:uiPriority w:val="99"/>
    <w:semiHidden/>
    <w:rsid w:val="005E2FE3"/>
    <w:rPr>
      <w:sz w:val="24"/>
      <w:szCs w:val="24"/>
    </w:rPr>
  </w:style>
  <w:style w:type="paragraph" w:styleId="Textvysvtlivek">
    <w:name w:val="endnote text"/>
    <w:basedOn w:val="Normln"/>
    <w:link w:val="TextvysvtlivekChar"/>
    <w:semiHidden/>
    <w:unhideWhenUsed/>
    <w:rsid w:val="005B38D2"/>
    <w:rPr>
      <w:sz w:val="20"/>
      <w:szCs w:val="20"/>
    </w:rPr>
  </w:style>
  <w:style w:type="character" w:customStyle="1" w:styleId="TextvysvtlivekChar">
    <w:name w:val="Text vysvětlivek Char"/>
    <w:basedOn w:val="Standardnpsmoodstavce"/>
    <w:link w:val="Textvysvtlivek"/>
    <w:semiHidden/>
    <w:rsid w:val="005B38D2"/>
  </w:style>
  <w:style w:type="character" w:styleId="Odkaznavysvtlivky">
    <w:name w:val="endnote reference"/>
    <w:basedOn w:val="Standardnpsmoodstavce"/>
    <w:semiHidden/>
    <w:unhideWhenUsed/>
    <w:rsid w:val="005B38D2"/>
    <w:rPr>
      <w:vertAlign w:val="superscript"/>
    </w:rPr>
  </w:style>
  <w:style w:type="paragraph" w:styleId="Textpoznpodarou">
    <w:name w:val="footnote text"/>
    <w:basedOn w:val="Normln"/>
    <w:link w:val="TextpoznpodarouChar"/>
    <w:semiHidden/>
    <w:unhideWhenUsed/>
    <w:rsid w:val="005B38D2"/>
    <w:rPr>
      <w:sz w:val="20"/>
      <w:szCs w:val="20"/>
    </w:rPr>
  </w:style>
  <w:style w:type="character" w:customStyle="1" w:styleId="TextpoznpodarouChar">
    <w:name w:val="Text pozn. pod čarou Char"/>
    <w:basedOn w:val="Standardnpsmoodstavce"/>
    <w:link w:val="Textpoznpodarou"/>
    <w:semiHidden/>
    <w:rsid w:val="005B38D2"/>
  </w:style>
  <w:style w:type="character" w:styleId="Znakapoznpodarou">
    <w:name w:val="footnote reference"/>
    <w:basedOn w:val="Standardnpsmoodstavce"/>
    <w:semiHidden/>
    <w:unhideWhenUsed/>
    <w:rsid w:val="005B3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8573">
      <w:bodyDiv w:val="1"/>
      <w:marLeft w:val="0"/>
      <w:marRight w:val="0"/>
      <w:marTop w:val="0"/>
      <w:marBottom w:val="0"/>
      <w:divBdr>
        <w:top w:val="none" w:sz="0" w:space="0" w:color="auto"/>
        <w:left w:val="none" w:sz="0" w:space="0" w:color="auto"/>
        <w:bottom w:val="none" w:sz="0" w:space="0" w:color="auto"/>
        <w:right w:val="none" w:sz="0" w:space="0" w:color="auto"/>
      </w:divBdr>
    </w:div>
    <w:div w:id="114298232">
      <w:bodyDiv w:val="1"/>
      <w:marLeft w:val="0"/>
      <w:marRight w:val="0"/>
      <w:marTop w:val="0"/>
      <w:marBottom w:val="0"/>
      <w:divBdr>
        <w:top w:val="none" w:sz="0" w:space="0" w:color="auto"/>
        <w:left w:val="none" w:sz="0" w:space="0" w:color="auto"/>
        <w:bottom w:val="none" w:sz="0" w:space="0" w:color="auto"/>
        <w:right w:val="none" w:sz="0" w:space="0" w:color="auto"/>
      </w:divBdr>
    </w:div>
    <w:div w:id="554589185">
      <w:bodyDiv w:val="1"/>
      <w:marLeft w:val="0"/>
      <w:marRight w:val="0"/>
      <w:marTop w:val="0"/>
      <w:marBottom w:val="0"/>
      <w:divBdr>
        <w:top w:val="none" w:sz="0" w:space="0" w:color="auto"/>
        <w:left w:val="none" w:sz="0" w:space="0" w:color="auto"/>
        <w:bottom w:val="none" w:sz="0" w:space="0" w:color="auto"/>
        <w:right w:val="none" w:sz="0" w:space="0" w:color="auto"/>
      </w:divBdr>
    </w:div>
    <w:div w:id="716441216">
      <w:bodyDiv w:val="1"/>
      <w:marLeft w:val="0"/>
      <w:marRight w:val="0"/>
      <w:marTop w:val="0"/>
      <w:marBottom w:val="0"/>
      <w:divBdr>
        <w:top w:val="none" w:sz="0" w:space="0" w:color="auto"/>
        <w:left w:val="none" w:sz="0" w:space="0" w:color="auto"/>
        <w:bottom w:val="none" w:sz="0" w:space="0" w:color="auto"/>
        <w:right w:val="none" w:sz="0" w:space="0" w:color="auto"/>
      </w:divBdr>
    </w:div>
    <w:div w:id="935164321">
      <w:bodyDiv w:val="1"/>
      <w:marLeft w:val="0"/>
      <w:marRight w:val="0"/>
      <w:marTop w:val="0"/>
      <w:marBottom w:val="0"/>
      <w:divBdr>
        <w:top w:val="none" w:sz="0" w:space="0" w:color="auto"/>
        <w:left w:val="none" w:sz="0" w:space="0" w:color="auto"/>
        <w:bottom w:val="none" w:sz="0" w:space="0" w:color="auto"/>
        <w:right w:val="none" w:sz="0" w:space="0" w:color="auto"/>
      </w:divBdr>
    </w:div>
    <w:div w:id="939486916">
      <w:bodyDiv w:val="1"/>
      <w:marLeft w:val="0"/>
      <w:marRight w:val="0"/>
      <w:marTop w:val="0"/>
      <w:marBottom w:val="0"/>
      <w:divBdr>
        <w:top w:val="none" w:sz="0" w:space="0" w:color="auto"/>
        <w:left w:val="none" w:sz="0" w:space="0" w:color="auto"/>
        <w:bottom w:val="none" w:sz="0" w:space="0" w:color="auto"/>
        <w:right w:val="none" w:sz="0" w:space="0" w:color="auto"/>
      </w:divBdr>
    </w:div>
    <w:div w:id="953364198">
      <w:bodyDiv w:val="1"/>
      <w:marLeft w:val="0"/>
      <w:marRight w:val="0"/>
      <w:marTop w:val="0"/>
      <w:marBottom w:val="0"/>
      <w:divBdr>
        <w:top w:val="none" w:sz="0" w:space="0" w:color="auto"/>
        <w:left w:val="none" w:sz="0" w:space="0" w:color="auto"/>
        <w:bottom w:val="none" w:sz="0" w:space="0" w:color="auto"/>
        <w:right w:val="none" w:sz="0" w:space="0" w:color="auto"/>
      </w:divBdr>
    </w:div>
    <w:div w:id="1055859477">
      <w:bodyDiv w:val="1"/>
      <w:marLeft w:val="0"/>
      <w:marRight w:val="0"/>
      <w:marTop w:val="0"/>
      <w:marBottom w:val="0"/>
      <w:divBdr>
        <w:top w:val="none" w:sz="0" w:space="0" w:color="auto"/>
        <w:left w:val="none" w:sz="0" w:space="0" w:color="auto"/>
        <w:bottom w:val="none" w:sz="0" w:space="0" w:color="auto"/>
        <w:right w:val="none" w:sz="0" w:space="0" w:color="auto"/>
      </w:divBdr>
    </w:div>
    <w:div w:id="1074082257">
      <w:bodyDiv w:val="1"/>
      <w:marLeft w:val="0"/>
      <w:marRight w:val="0"/>
      <w:marTop w:val="0"/>
      <w:marBottom w:val="0"/>
      <w:divBdr>
        <w:top w:val="none" w:sz="0" w:space="0" w:color="auto"/>
        <w:left w:val="none" w:sz="0" w:space="0" w:color="auto"/>
        <w:bottom w:val="none" w:sz="0" w:space="0" w:color="auto"/>
        <w:right w:val="none" w:sz="0" w:space="0" w:color="auto"/>
      </w:divBdr>
    </w:div>
    <w:div w:id="1184637129">
      <w:bodyDiv w:val="1"/>
      <w:marLeft w:val="0"/>
      <w:marRight w:val="0"/>
      <w:marTop w:val="0"/>
      <w:marBottom w:val="0"/>
      <w:divBdr>
        <w:top w:val="none" w:sz="0" w:space="0" w:color="auto"/>
        <w:left w:val="none" w:sz="0" w:space="0" w:color="auto"/>
        <w:bottom w:val="none" w:sz="0" w:space="0" w:color="auto"/>
        <w:right w:val="none" w:sz="0" w:space="0" w:color="auto"/>
      </w:divBdr>
    </w:div>
    <w:div w:id="1233851395">
      <w:bodyDiv w:val="1"/>
      <w:marLeft w:val="0"/>
      <w:marRight w:val="0"/>
      <w:marTop w:val="0"/>
      <w:marBottom w:val="0"/>
      <w:divBdr>
        <w:top w:val="none" w:sz="0" w:space="0" w:color="auto"/>
        <w:left w:val="none" w:sz="0" w:space="0" w:color="auto"/>
        <w:bottom w:val="none" w:sz="0" w:space="0" w:color="auto"/>
        <w:right w:val="none" w:sz="0" w:space="0" w:color="auto"/>
      </w:divBdr>
    </w:div>
    <w:div w:id="1266697036">
      <w:bodyDiv w:val="1"/>
      <w:marLeft w:val="0"/>
      <w:marRight w:val="0"/>
      <w:marTop w:val="0"/>
      <w:marBottom w:val="0"/>
      <w:divBdr>
        <w:top w:val="none" w:sz="0" w:space="0" w:color="auto"/>
        <w:left w:val="none" w:sz="0" w:space="0" w:color="auto"/>
        <w:bottom w:val="none" w:sz="0" w:space="0" w:color="auto"/>
        <w:right w:val="none" w:sz="0" w:space="0" w:color="auto"/>
      </w:divBdr>
    </w:div>
    <w:div w:id="1362897988">
      <w:bodyDiv w:val="1"/>
      <w:marLeft w:val="0"/>
      <w:marRight w:val="0"/>
      <w:marTop w:val="0"/>
      <w:marBottom w:val="0"/>
      <w:divBdr>
        <w:top w:val="none" w:sz="0" w:space="0" w:color="auto"/>
        <w:left w:val="none" w:sz="0" w:space="0" w:color="auto"/>
        <w:bottom w:val="none" w:sz="0" w:space="0" w:color="auto"/>
        <w:right w:val="none" w:sz="0" w:space="0" w:color="auto"/>
      </w:divBdr>
    </w:div>
    <w:div w:id="1369840464">
      <w:bodyDiv w:val="1"/>
      <w:marLeft w:val="0"/>
      <w:marRight w:val="0"/>
      <w:marTop w:val="0"/>
      <w:marBottom w:val="0"/>
      <w:divBdr>
        <w:top w:val="none" w:sz="0" w:space="0" w:color="auto"/>
        <w:left w:val="none" w:sz="0" w:space="0" w:color="auto"/>
        <w:bottom w:val="none" w:sz="0" w:space="0" w:color="auto"/>
        <w:right w:val="none" w:sz="0" w:space="0" w:color="auto"/>
      </w:divBdr>
    </w:div>
    <w:div w:id="1421365403">
      <w:bodyDiv w:val="1"/>
      <w:marLeft w:val="0"/>
      <w:marRight w:val="0"/>
      <w:marTop w:val="0"/>
      <w:marBottom w:val="0"/>
      <w:divBdr>
        <w:top w:val="none" w:sz="0" w:space="0" w:color="auto"/>
        <w:left w:val="none" w:sz="0" w:space="0" w:color="auto"/>
        <w:bottom w:val="none" w:sz="0" w:space="0" w:color="auto"/>
        <w:right w:val="none" w:sz="0" w:space="0" w:color="auto"/>
      </w:divBdr>
    </w:div>
    <w:div w:id="1435905907">
      <w:bodyDiv w:val="1"/>
      <w:marLeft w:val="0"/>
      <w:marRight w:val="0"/>
      <w:marTop w:val="0"/>
      <w:marBottom w:val="0"/>
      <w:divBdr>
        <w:top w:val="none" w:sz="0" w:space="0" w:color="auto"/>
        <w:left w:val="none" w:sz="0" w:space="0" w:color="auto"/>
        <w:bottom w:val="none" w:sz="0" w:space="0" w:color="auto"/>
        <w:right w:val="none" w:sz="0" w:space="0" w:color="auto"/>
      </w:divBdr>
    </w:div>
    <w:div w:id="1444114550">
      <w:bodyDiv w:val="1"/>
      <w:marLeft w:val="0"/>
      <w:marRight w:val="0"/>
      <w:marTop w:val="0"/>
      <w:marBottom w:val="0"/>
      <w:divBdr>
        <w:top w:val="none" w:sz="0" w:space="0" w:color="auto"/>
        <w:left w:val="none" w:sz="0" w:space="0" w:color="auto"/>
        <w:bottom w:val="none" w:sz="0" w:space="0" w:color="auto"/>
        <w:right w:val="none" w:sz="0" w:space="0" w:color="auto"/>
      </w:divBdr>
    </w:div>
    <w:div w:id="1686054145">
      <w:bodyDiv w:val="1"/>
      <w:marLeft w:val="0"/>
      <w:marRight w:val="0"/>
      <w:marTop w:val="0"/>
      <w:marBottom w:val="0"/>
      <w:divBdr>
        <w:top w:val="none" w:sz="0" w:space="0" w:color="auto"/>
        <w:left w:val="none" w:sz="0" w:space="0" w:color="auto"/>
        <w:bottom w:val="none" w:sz="0" w:space="0" w:color="auto"/>
        <w:right w:val="none" w:sz="0" w:space="0" w:color="auto"/>
      </w:divBdr>
    </w:div>
    <w:div w:id="1693140839">
      <w:bodyDiv w:val="1"/>
      <w:marLeft w:val="0"/>
      <w:marRight w:val="0"/>
      <w:marTop w:val="0"/>
      <w:marBottom w:val="0"/>
      <w:divBdr>
        <w:top w:val="none" w:sz="0" w:space="0" w:color="auto"/>
        <w:left w:val="none" w:sz="0" w:space="0" w:color="auto"/>
        <w:bottom w:val="none" w:sz="0" w:space="0" w:color="auto"/>
        <w:right w:val="none" w:sz="0" w:space="0" w:color="auto"/>
      </w:divBdr>
    </w:div>
    <w:div w:id="1828202930">
      <w:bodyDiv w:val="1"/>
      <w:marLeft w:val="0"/>
      <w:marRight w:val="0"/>
      <w:marTop w:val="0"/>
      <w:marBottom w:val="0"/>
      <w:divBdr>
        <w:top w:val="none" w:sz="0" w:space="0" w:color="auto"/>
        <w:left w:val="none" w:sz="0" w:space="0" w:color="auto"/>
        <w:bottom w:val="none" w:sz="0" w:space="0" w:color="auto"/>
        <w:right w:val="none" w:sz="0" w:space="0" w:color="auto"/>
      </w:divBdr>
    </w:div>
    <w:div w:id="1938370578">
      <w:bodyDiv w:val="1"/>
      <w:marLeft w:val="0"/>
      <w:marRight w:val="0"/>
      <w:marTop w:val="0"/>
      <w:marBottom w:val="0"/>
      <w:divBdr>
        <w:top w:val="none" w:sz="0" w:space="0" w:color="auto"/>
        <w:left w:val="none" w:sz="0" w:space="0" w:color="auto"/>
        <w:bottom w:val="none" w:sz="0" w:space="0" w:color="auto"/>
        <w:right w:val="none" w:sz="0" w:space="0" w:color="auto"/>
      </w:divBdr>
    </w:div>
    <w:div w:id="1992247153">
      <w:bodyDiv w:val="1"/>
      <w:marLeft w:val="0"/>
      <w:marRight w:val="0"/>
      <w:marTop w:val="0"/>
      <w:marBottom w:val="0"/>
      <w:divBdr>
        <w:top w:val="none" w:sz="0" w:space="0" w:color="auto"/>
        <w:left w:val="none" w:sz="0" w:space="0" w:color="auto"/>
        <w:bottom w:val="none" w:sz="0" w:space="0" w:color="auto"/>
        <w:right w:val="none" w:sz="0" w:space="0" w:color="auto"/>
      </w:divBdr>
    </w:div>
    <w:div w:id="1992903391">
      <w:bodyDiv w:val="1"/>
      <w:marLeft w:val="0"/>
      <w:marRight w:val="0"/>
      <w:marTop w:val="0"/>
      <w:marBottom w:val="0"/>
      <w:divBdr>
        <w:top w:val="none" w:sz="0" w:space="0" w:color="auto"/>
        <w:left w:val="none" w:sz="0" w:space="0" w:color="auto"/>
        <w:bottom w:val="none" w:sz="0" w:space="0" w:color="auto"/>
        <w:right w:val="none" w:sz="0" w:space="0" w:color="auto"/>
      </w:divBdr>
    </w:div>
    <w:div w:id="2061510494">
      <w:bodyDiv w:val="1"/>
      <w:marLeft w:val="0"/>
      <w:marRight w:val="0"/>
      <w:marTop w:val="0"/>
      <w:marBottom w:val="0"/>
      <w:divBdr>
        <w:top w:val="none" w:sz="0" w:space="0" w:color="auto"/>
        <w:left w:val="none" w:sz="0" w:space="0" w:color="auto"/>
        <w:bottom w:val="none" w:sz="0" w:space="0" w:color="auto"/>
        <w:right w:val="none" w:sz="0" w:space="0" w:color="auto"/>
      </w:divBdr>
    </w:div>
    <w:div w:id="21256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CDC7-EC0C-4D71-8894-0B7794D0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3306</Words>
  <Characters>19509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ČSÚ</Company>
  <LinksUpToDate>false</LinksUpToDate>
  <CharactersWithSpaces>22770</CharactersWithSpaces>
  <SharedDoc>false</SharedDoc>
  <HLinks>
    <vt:vector size="12" baseType="variant">
      <vt:variant>
        <vt:i4>7274534</vt:i4>
      </vt:variant>
      <vt:variant>
        <vt:i4>15</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Oblada Melanura</dc:creator>
  <cp:lastModifiedBy>Petráňová Marta</cp:lastModifiedBy>
  <cp:revision>3</cp:revision>
  <cp:lastPrinted>2020-08-18T05:46:00Z</cp:lastPrinted>
  <dcterms:created xsi:type="dcterms:W3CDTF">2023-12-10T20:34:00Z</dcterms:created>
  <dcterms:modified xsi:type="dcterms:W3CDTF">2023-12-10T20:34:00Z</dcterms:modified>
</cp:coreProperties>
</file>