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D2" w:rsidRPr="00360DE3" w:rsidRDefault="00E212C9" w:rsidP="00141782">
      <w:pPr>
        <w:pStyle w:val="Nadpis1"/>
        <w:rPr>
          <w:lang w:eastAsia="en-US"/>
        </w:rPr>
      </w:pPr>
      <w:bookmarkStart w:id="0" w:name="_Toc527639484"/>
      <w:r w:rsidRPr="00360DE3">
        <w:rPr>
          <w:lang w:eastAsia="en-US"/>
        </w:rPr>
        <w:t>12</w:t>
      </w:r>
      <w:r w:rsidR="00141782" w:rsidRPr="00360DE3">
        <w:rPr>
          <w:lang w:eastAsia="en-US"/>
        </w:rPr>
        <w:t>. Stavebnictví</w:t>
      </w:r>
      <w:bookmarkEnd w:id="0"/>
    </w:p>
    <w:tbl>
      <w:tblPr>
        <w:tblW w:w="9644" w:type="dxa"/>
        <w:tblInd w:w="-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6"/>
        <w:gridCol w:w="277"/>
        <w:gridCol w:w="7391"/>
      </w:tblGrid>
      <w:tr w:rsidR="000C1D78" w:rsidRPr="00360DE3" w:rsidTr="00DC37E3">
        <w:trPr>
          <w:trHeight w:val="145"/>
        </w:trPr>
        <w:tc>
          <w:tcPr>
            <w:tcW w:w="1976" w:type="dxa"/>
          </w:tcPr>
          <w:p w:rsidR="000C1D78" w:rsidRPr="00360DE3" w:rsidRDefault="000C1D78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Produkce ve stavebnictví loni mírně vzrostla, pokles hrubé přidané hodnoty však pokračoval již druhým rokem v řadě. Zejména inženýrské stavitelství bylo limitováno pomalejším rozjezdem větších projektů.</w:t>
            </w:r>
          </w:p>
          <w:p w:rsidR="000C1D78" w:rsidRPr="00360DE3" w:rsidRDefault="000C1D78" w:rsidP="00DC37E3">
            <w:pPr>
              <w:pStyle w:val="Marginlie"/>
              <w:rPr>
                <w:spacing w:val="0"/>
              </w:rPr>
            </w:pPr>
          </w:p>
          <w:p w:rsidR="000C1D78" w:rsidRPr="00360DE3" w:rsidRDefault="000C1D78" w:rsidP="00DC37E3">
            <w:pPr>
              <w:pStyle w:val="Marginlie"/>
              <w:rPr>
                <w:spacing w:val="0"/>
              </w:rPr>
            </w:pPr>
          </w:p>
          <w:p w:rsidR="000C1D78" w:rsidRPr="00360DE3" w:rsidRDefault="000C1D78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Pokračovala redukce pracovních míst, ale již jen v zaměstnaneckém segmentu.</w:t>
            </w:r>
          </w:p>
        </w:tc>
        <w:tc>
          <w:tcPr>
            <w:tcW w:w="277" w:type="dxa"/>
          </w:tcPr>
          <w:p w:rsidR="000C1D78" w:rsidRPr="00360DE3" w:rsidRDefault="000C1D78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0C1D78" w:rsidRPr="00360DE3" w:rsidRDefault="000C1D78" w:rsidP="00DC37E3">
            <w:r w:rsidRPr="00360DE3">
              <w:rPr>
                <w:color w:val="0D0D0D" w:themeColor="text1" w:themeTint="F2"/>
              </w:rPr>
              <w:t>Stavebnictví bylo loni podobně jako v roce 2016 limitováno přetrvávajícím nízkým objemem veřejných investic. Přestože se meziroční pokles produkce ve stavebnictví</w:t>
            </w:r>
            <w:r w:rsidRPr="00360DE3">
              <w:rPr>
                <w:rStyle w:val="Znakapoznpodarou"/>
                <w:color w:val="0D0D0D" w:themeColor="text1" w:themeTint="F2"/>
              </w:rPr>
              <w:footnoteReference w:id="1"/>
            </w:r>
            <w:r w:rsidRPr="00360DE3">
              <w:rPr>
                <w:color w:val="0D0D0D" w:themeColor="text1" w:themeTint="F2"/>
              </w:rPr>
              <w:t xml:space="preserve"> zastavil (+2,8 %, o rok dříve -5,7 %), nepříznivý vývoj v případě hrubé přidané hodnoty (HPH) přetrvával (ta loni jen nepatrně překračovala úroveň z roku 2012, kdy v tomto odvětví recese vrcholila). K redukci HPH přispěl loni primárně odvětvový oddíl inženýrského stavitelství, jehož výkon se meziročně snížil o osminu. Mělčí pokles trvající však již čtvrtým rokem v řadě zaznamenala i</w:t>
            </w:r>
            <w:r w:rsidR="00274037" w:rsidRPr="00360DE3">
              <w:t> </w:t>
            </w:r>
            <w:r w:rsidRPr="00360DE3">
              <w:rPr>
                <w:color w:val="0D0D0D" w:themeColor="text1" w:themeTint="F2"/>
              </w:rPr>
              <w:t>výstavba budov. Ve váhově dominantním a dlouhodobě sílícím segmentu specializovaných stavebních činností</w:t>
            </w:r>
            <w:r w:rsidRPr="00360DE3">
              <w:rPr>
                <w:rStyle w:val="Znakapoznpodarou"/>
                <w:color w:val="0D0D0D" w:themeColor="text1" w:themeTint="F2"/>
              </w:rPr>
              <w:footnoteReference w:id="2"/>
            </w:r>
            <w:r w:rsidRPr="00360DE3">
              <w:rPr>
                <w:color w:val="0D0D0D" w:themeColor="text1" w:themeTint="F2"/>
              </w:rPr>
              <w:t xml:space="preserve"> růst po roce 2015 zvolnil pod 2 % a nemohl tak zvrátit méně příznivý vývoj celého odvětví. Ten se projevoval i v zaměstnanosti. Počet zaměstnaných ve stavebnictví se snížil pod 400 tis. (</w:t>
            </w:r>
            <w:r w:rsidRPr="00360DE3">
              <w:t>po přepočtu na plné úvazky)</w:t>
            </w:r>
            <w:r w:rsidRPr="00360DE3">
              <w:rPr>
                <w:color w:val="0D0D0D" w:themeColor="text1" w:themeTint="F2"/>
              </w:rPr>
              <w:t xml:space="preserve">, proti roku 2010 ubyla bezmála šestina pracovních míst. Na rozdíl od předešlých pěti let však loni k redukci míst přispívali jen zaměstnanci (-1,9 %), neboť </w:t>
            </w:r>
            <w:proofErr w:type="spellStart"/>
            <w:r w:rsidRPr="00360DE3">
              <w:rPr>
                <w:color w:val="0D0D0D" w:themeColor="text1" w:themeTint="F2"/>
              </w:rPr>
              <w:t>sebezaměstnaných</w:t>
            </w:r>
            <w:proofErr w:type="spellEnd"/>
            <w:r w:rsidRPr="00360DE3">
              <w:rPr>
                <w:color w:val="0D0D0D" w:themeColor="text1" w:themeTint="F2"/>
              </w:rPr>
              <w:t xml:space="preserve"> o 2,1 % přibylo. To patrně souviselo s rostoucí poptávkou po menších stavebních pracích, jejichž vývoj je více vázaný na hospodářský cyklus než na cyklus čerpání prostředků z evropských fondů. </w:t>
            </w:r>
          </w:p>
        </w:tc>
      </w:tr>
      <w:tr w:rsidR="00F160CE" w:rsidRPr="00360DE3" w:rsidTr="00DC37E3">
        <w:tc>
          <w:tcPr>
            <w:tcW w:w="1976" w:type="dxa"/>
            <w:vMerge w:val="restart"/>
          </w:tcPr>
          <w:p w:rsidR="00F160CE" w:rsidRPr="00360DE3" w:rsidRDefault="00F160CE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F160CE" w:rsidRPr="00360DE3" w:rsidRDefault="00F160CE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F160CE" w:rsidRPr="00360DE3" w:rsidRDefault="00F160CE" w:rsidP="00DC37E3">
            <w:pPr>
              <w:spacing w:after="0"/>
              <w:rPr>
                <w:b/>
              </w:rPr>
            </w:pPr>
            <w:r w:rsidRPr="00360DE3">
              <w:rPr>
                <w:b/>
              </w:rPr>
              <w:t xml:space="preserve">Graf </w:t>
            </w:r>
            <w:proofErr w:type="gramStart"/>
            <w:r w:rsidRPr="00360DE3">
              <w:rPr>
                <w:b/>
              </w:rPr>
              <w:t xml:space="preserve">12.1  </w:t>
            </w:r>
            <w:r w:rsidRPr="00360DE3">
              <w:rPr>
                <w:b/>
                <w:bCs/>
              </w:rPr>
              <w:t>Základní</w:t>
            </w:r>
            <w:proofErr w:type="gramEnd"/>
            <w:r w:rsidRPr="00360DE3">
              <w:rPr>
                <w:b/>
                <w:bCs/>
              </w:rPr>
              <w:t xml:space="preserve"> ukazatele odvětví stavebnictví</w:t>
            </w:r>
            <w:r w:rsidRPr="00360DE3">
              <w:rPr>
                <w:b/>
              </w:rPr>
              <w:t xml:space="preserve"> </w:t>
            </w:r>
          </w:p>
          <w:p w:rsidR="00F160CE" w:rsidRPr="00360DE3" w:rsidRDefault="00F160CE" w:rsidP="00DC37E3">
            <w:pPr>
              <w:spacing w:after="0"/>
              <w:rPr>
                <w:b/>
              </w:rPr>
            </w:pPr>
            <w:r w:rsidRPr="00360DE3">
              <w:rPr>
                <w:b/>
                <w:noProof/>
              </w:rPr>
              <w:drawing>
                <wp:inline distT="0" distB="0" distL="0" distR="0">
                  <wp:extent cx="4715301" cy="3418764"/>
                  <wp:effectExtent l="0" t="0" r="9099" b="0"/>
                  <wp:docPr id="85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F160CE" w:rsidRPr="00360DE3" w:rsidTr="00DC37E3">
        <w:trPr>
          <w:trHeight w:val="284"/>
        </w:trPr>
        <w:tc>
          <w:tcPr>
            <w:tcW w:w="1976" w:type="dxa"/>
            <w:vMerge/>
          </w:tcPr>
          <w:p w:rsidR="00F160CE" w:rsidRPr="00360DE3" w:rsidRDefault="00F160CE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F160CE" w:rsidRPr="00360DE3" w:rsidRDefault="00F160CE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F160CE" w:rsidRPr="00360DE3" w:rsidRDefault="00F160CE" w:rsidP="00B57338">
            <w:pPr>
              <w:pStyle w:val="Zhlav"/>
              <w:spacing w:before="40" w:after="24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360DE3">
              <w:rPr>
                <w:rFonts w:cs="Arial"/>
                <w:sz w:val="14"/>
                <w:szCs w:val="14"/>
                <w:lang w:eastAsia="cs-CZ"/>
              </w:rPr>
              <w:t xml:space="preserve">*Do reálného vyjádření převedeno deflátorem výdajů na konečnou spotřebu domácností.      Zdroj: ČSÚ (národní účty) </w:t>
            </w:r>
          </w:p>
        </w:tc>
      </w:tr>
      <w:tr w:rsidR="00D10378" w:rsidRPr="00360DE3" w:rsidTr="00DC37E3">
        <w:trPr>
          <w:trHeight w:val="170"/>
        </w:trPr>
        <w:tc>
          <w:tcPr>
            <w:tcW w:w="1976" w:type="dxa"/>
          </w:tcPr>
          <w:p w:rsidR="00D10378" w:rsidRPr="00360DE3" w:rsidRDefault="00D10378" w:rsidP="00467485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Mírný pokles míry ziskovosti stavebních podniků byl v roce 2017 ovlivněn sílícím tlakem na růst průměrných mezd.</w:t>
            </w:r>
          </w:p>
        </w:tc>
        <w:tc>
          <w:tcPr>
            <w:tcW w:w="277" w:type="dxa"/>
          </w:tcPr>
          <w:p w:rsidR="00D10378" w:rsidRPr="00360DE3" w:rsidRDefault="00D10378" w:rsidP="00467485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D10378" w:rsidRPr="00360DE3" w:rsidRDefault="00D10378" w:rsidP="00467485">
            <w:r w:rsidRPr="00360DE3">
              <w:t>Nižší objem realizovaných stavebních prací pro veřejné zadavatele v kombinaci s růstem mzdových nákladů v celém odvětví se odrazily v mírném poklesu míry zisku nefinančních podniků</w:t>
            </w:r>
            <w:r w:rsidRPr="00360DE3">
              <w:rPr>
                <w:rStyle w:val="Znakapoznpodarou"/>
              </w:rPr>
              <w:footnoteReference w:id="3"/>
            </w:r>
            <w:r w:rsidRPr="00360DE3">
              <w:t xml:space="preserve"> ve stavebnictví po roce 2015. Zatímco redukce veřejných zakázek byla klíčovým determinantem vývoje v roce 2016, následující rok akcentoval vliv faktoru sílících tlaků na růst průměrných mezd. Podíl hrubého provozního přebytku stavebních podniků na jejich HPH činil vloni 41,4 %, tedy </w:t>
            </w:r>
            <w:r w:rsidRPr="00360DE3">
              <w:lastRenderedPageBreak/>
              <w:t>podstatně méně než v rekordním roce 2005 (46,8 %), ale též znatelně více než na dnu recese (36 %), čemuž napomohl i silný růst produktivity práce v letech 2013 až 2015.</w:t>
            </w:r>
          </w:p>
        </w:tc>
      </w:tr>
      <w:tr w:rsidR="00D10378" w:rsidRPr="00360DE3" w:rsidTr="00DC37E3">
        <w:trPr>
          <w:trHeight w:val="170"/>
        </w:trPr>
        <w:tc>
          <w:tcPr>
            <w:tcW w:w="1976" w:type="dxa"/>
          </w:tcPr>
          <w:p w:rsidR="00D10378" w:rsidRPr="00360DE3" w:rsidRDefault="00D10378" w:rsidP="00F162B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lastRenderedPageBreak/>
              <w:t>Míra investic ve stavebnictví v posledních třech letech stagnovala, v porovnání s ostatními odvětvími ekonomiky zůstává nízká.</w:t>
            </w:r>
          </w:p>
        </w:tc>
        <w:tc>
          <w:tcPr>
            <w:tcW w:w="277" w:type="dxa"/>
          </w:tcPr>
          <w:p w:rsidR="00D10378" w:rsidRPr="00360DE3" w:rsidRDefault="00D10378" w:rsidP="00F162B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D10378" w:rsidRPr="00360DE3" w:rsidRDefault="00D10378" w:rsidP="00F162B3">
            <w:r w:rsidRPr="00360DE3">
              <w:t xml:space="preserve">Podíl tvorby hrubého fixního kapitálu na HPH osciloval kolem 16 %. Míra investic ve stavebnictví tak zůstává v posledních čtyřech letech stabilní, současně ale také patří k nejnižším mezi odvětvími národního hospodářství. Věcná skladba investic je ve stavebnictví dlouhodobě od většiny ostatních odvětví výrazně odlišná. Téměř 40 % investic loni směřovalo na dopravní prostředky a zařízení, 35 % pak na ostatní stroje a zařízení. Jen 4,3 % investic cílilo na produkty duševního vlastnictví (vč. výzkumu a vývoje) – čtyřikrát méně než v celé v ekonomice či ve zpracovatelském průmyslu. </w:t>
            </w:r>
          </w:p>
        </w:tc>
      </w:tr>
      <w:tr w:rsidR="00D10378" w:rsidRPr="00360DE3" w:rsidTr="00DC37E3">
        <w:trPr>
          <w:trHeight w:val="170"/>
        </w:trPr>
        <w:tc>
          <w:tcPr>
            <w:tcW w:w="1976" w:type="dxa"/>
          </w:tcPr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</w:tcPr>
          <w:p w:rsidR="00D10378" w:rsidRPr="00360DE3" w:rsidRDefault="00D10378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D10378" w:rsidRPr="00360DE3" w:rsidRDefault="00D10378" w:rsidP="00DC37E3">
            <w:pPr>
              <w:spacing w:after="0"/>
            </w:pPr>
            <w:r w:rsidRPr="00360DE3">
              <w:rPr>
                <w:b/>
              </w:rPr>
              <w:t xml:space="preserve">Graf </w:t>
            </w:r>
            <w:proofErr w:type="gramStart"/>
            <w:r w:rsidRPr="00360DE3">
              <w:rPr>
                <w:b/>
              </w:rPr>
              <w:t>12.2  Stavební</w:t>
            </w:r>
            <w:proofErr w:type="gramEnd"/>
            <w:r w:rsidRPr="00360DE3">
              <w:rPr>
                <w:b/>
              </w:rPr>
              <w:t xml:space="preserve"> práce (dle dodavatelských smluv) za jednotlivé směry výstavby</w:t>
            </w:r>
            <w:r w:rsidRPr="00360DE3">
              <w:t xml:space="preserve"> (v mld. korun, běžné ceny)*</w:t>
            </w:r>
          </w:p>
          <w:p w:rsidR="00D10378" w:rsidRPr="00360DE3" w:rsidRDefault="00D10378" w:rsidP="00DC37E3">
            <w:pPr>
              <w:spacing w:after="0"/>
              <w:rPr>
                <w:b/>
              </w:rPr>
            </w:pPr>
            <w:r w:rsidRPr="00360DE3">
              <w:rPr>
                <w:b/>
                <w:noProof/>
              </w:rPr>
              <w:drawing>
                <wp:inline distT="0" distB="0" distL="0" distR="0">
                  <wp:extent cx="4695825" cy="3819525"/>
                  <wp:effectExtent l="0" t="0" r="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D10378" w:rsidRPr="00360DE3" w:rsidTr="00DC37E3">
        <w:trPr>
          <w:trHeight w:val="170"/>
        </w:trPr>
        <w:tc>
          <w:tcPr>
            <w:tcW w:w="1976" w:type="dxa"/>
          </w:tcPr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</w:tcPr>
          <w:p w:rsidR="00D10378" w:rsidRPr="00360DE3" w:rsidRDefault="00D10378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D10378" w:rsidRDefault="00D10378" w:rsidP="0061249B">
            <w:pPr>
              <w:spacing w:after="0"/>
              <w:rPr>
                <w:rFonts w:cs="Arial"/>
                <w:color w:val="0D0D0D" w:themeColor="text1" w:themeTint="F2"/>
                <w:sz w:val="14"/>
                <w:szCs w:val="14"/>
              </w:rPr>
            </w:pPr>
            <w:r w:rsidRPr="00360DE3">
              <w:rPr>
                <w:rFonts w:cs="Arial"/>
                <w:bCs/>
                <w:color w:val="0D0D0D" w:themeColor="text1" w:themeTint="F2"/>
                <w:sz w:val="14"/>
                <w:szCs w:val="14"/>
              </w:rPr>
              <w:t>*Stavební práce „S“ (dle dodavatelských smluv)</w:t>
            </w:r>
            <w:r w:rsidRPr="00360DE3">
              <w:rPr>
                <w:rFonts w:cs="Arial"/>
                <w:color w:val="0D0D0D" w:themeColor="text1" w:themeTint="F2"/>
                <w:sz w:val="14"/>
                <w:szCs w:val="14"/>
              </w:rPr>
              <w:t xml:space="preserve"> vyjadřují hodnotu vlastních výkonů ze stavební činnosti provedenou na základě smlouvy o dodávce pro konečného uživatele (stavebníka) vč. hodnoty příp. poddodávek stavebních prací přijatých od jiných dodavatelských organizací (pro splnění dané smlouvy o dodávce pro konečného uživatele). Objem skutečně provedených prací je vykazován ve fakturovaných hodnotách.                 </w:t>
            </w:r>
          </w:p>
          <w:p w:rsidR="00D10378" w:rsidRPr="00360DE3" w:rsidRDefault="00D10378" w:rsidP="00DC37E3">
            <w:r w:rsidRPr="00360DE3">
              <w:rPr>
                <w:rFonts w:cs="Arial"/>
                <w:color w:val="0D0D0D" w:themeColor="text1" w:themeTint="F2"/>
                <w:sz w:val="14"/>
                <w:szCs w:val="14"/>
              </w:rPr>
              <w:t>Zdroj: ČSÚ (podnikové statistiky</w:t>
            </w:r>
            <w:r w:rsidRPr="00360DE3">
              <w:rPr>
                <w:rFonts w:cs="Arial"/>
                <w:sz w:val="14"/>
                <w:szCs w:val="14"/>
              </w:rPr>
              <w:t>)</w:t>
            </w:r>
          </w:p>
        </w:tc>
      </w:tr>
      <w:tr w:rsidR="00D10378" w:rsidRPr="00360DE3" w:rsidTr="00DC37E3">
        <w:trPr>
          <w:trHeight w:val="170"/>
        </w:trPr>
        <w:tc>
          <w:tcPr>
            <w:tcW w:w="1976" w:type="dxa"/>
          </w:tcPr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Hodnota stavebních prací ve firmách s méně než 20 zaměstnanci rostla rychleji než ve zbylé části odvětví.</w:t>
            </w: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lastRenderedPageBreak/>
              <w:t xml:space="preserve">Již druhým rokem v řadě zůstaly nejvýznamnější složkou stavebních prací opravy a údržba. </w:t>
            </w:r>
          </w:p>
        </w:tc>
        <w:tc>
          <w:tcPr>
            <w:tcW w:w="277" w:type="dxa"/>
          </w:tcPr>
          <w:p w:rsidR="00D10378" w:rsidRPr="00360DE3" w:rsidRDefault="00D10378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D10378" w:rsidRPr="00360DE3" w:rsidRDefault="00D10378" w:rsidP="00D10378">
            <w:pPr>
              <w:rPr>
                <w:color w:val="0D0D0D"/>
              </w:rPr>
            </w:pPr>
            <w:r w:rsidRPr="00360DE3">
              <w:t>Lépe na tom loni (podobně jako v roce 2016) byly menší stavební firmy. Dle podnikových statistik vzrostla nominální hodnota stavebních prací (dle dodavatelských smluv) v subjektech do 20 zaměstnanců o 12,9 % meziročně (o rok dříve o 1,1 % poklesla), naopak ve zbývajících podnicích dosáhla jen +1,9 % (v roce 2016 pak -12,1 %). Větší stavební podniky (hlavně v inženýrském stavitelství) čelily důsledkům prudkého poklesu nových zakázek v souvislosti s pomalejším náběhem čerpání prostředků z rozpočtu EU. Absenci větších projektů potvrzovala i průměrná velikost nově uzavřené zakázky</w:t>
            </w:r>
            <w:r w:rsidRPr="00360DE3">
              <w:rPr>
                <w:rStyle w:val="Znakapoznpodarou"/>
              </w:rPr>
              <w:footnoteReference w:id="4"/>
            </w:r>
            <w:r w:rsidRPr="00360DE3">
              <w:t xml:space="preserve">.  To se odrazilo i ve skladbě stavebních prací. V roce 2016 převýšil objem prací na úseku oprav </w:t>
            </w:r>
            <w:r w:rsidRPr="00360DE3">
              <w:lastRenderedPageBreak/>
              <w:t xml:space="preserve">a údržby hodnotu prací za inženýrské stavby, což se stalo poprvé po roce 2003. Loni byl tento trend potvrzen, neboť opravy a údržby vyvářely 27,3 % hodnoty stavebních prací a byly její nejsilnější složkou. V letech 2016 i 2017 zrychloval růst výstavby </w:t>
            </w:r>
            <w:r w:rsidRPr="00360DE3">
              <w:rPr>
                <w:color w:val="0D0D0D"/>
              </w:rPr>
              <w:t>nebytových výrobních budov (souvisejících s rostoucí poptávkou v průmyslu a skladování). Loni se částečně zlepšila situace v oblasti nevýrobních budov</w:t>
            </w:r>
            <w:r w:rsidRPr="00360DE3">
              <w:rPr>
                <w:rStyle w:val="Znakapoznpodarou"/>
                <w:color w:val="0D0D0D"/>
              </w:rPr>
              <w:footnoteReference w:id="5"/>
            </w:r>
            <w:r w:rsidRPr="00360DE3">
              <w:rPr>
                <w:color w:val="0D0D0D"/>
              </w:rPr>
              <w:t>, i tak však tvořily jen desetinu všech stavebních prací. Již pátým rokem v řadě klesala navzdory sílícím klimatickým výzvám hodnota prací v kategorii vodohospodářských staveb. Váha této položky na celém stavebnictví (0,66 %) byla loni nejslabší za celou dobu sledování – od roku 1994.</w:t>
            </w:r>
          </w:p>
        </w:tc>
      </w:tr>
      <w:tr w:rsidR="00D10378" w:rsidRPr="00360DE3" w:rsidTr="00DC37E3">
        <w:trPr>
          <w:trHeight w:val="170"/>
        </w:trPr>
        <w:tc>
          <w:tcPr>
            <w:tcW w:w="1976" w:type="dxa"/>
          </w:tcPr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lastRenderedPageBreak/>
              <w:t>V relaci na obyvatele se nejvíce „prostavělo“ v Praze a Jihočeském kraji, nejméně na Zlínsku.</w:t>
            </w:r>
          </w:p>
        </w:tc>
        <w:tc>
          <w:tcPr>
            <w:tcW w:w="277" w:type="dxa"/>
          </w:tcPr>
          <w:p w:rsidR="00D10378" w:rsidRPr="00360DE3" w:rsidRDefault="00D10378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D10378" w:rsidRPr="00360DE3" w:rsidRDefault="00D10378" w:rsidP="00DC37E3">
            <w:r w:rsidRPr="00360DE3">
              <w:rPr>
                <w:color w:val="0D0D0D"/>
              </w:rPr>
              <w:t>Hodnota stavebních prací (dle místa stavby) v roce 2017 meziročně vzrostla v devíti krajích ČR – nejvíce ve středních a jižních Čechách a na Karlovarsku. Podíl Prahy na republikovém úhrnu dosáhl 23,2 %, naopak na Karlovarský kraj připadala jen 2,2 %. V přepočtu na obyvatele bylo loni nejvíce prostavěno v Praze (191 % úrovně ČR) a Jihočeském kraji (142 %), třetí v pořadí Jihomoravský kraj se již nacházel těsně pod celorepublikovou úrovní (99 %). Již třetím rokem v řadě dosahoval nejhorší pozice Zlínský kraj (necelých dvou třetin úrovně ČR).</w:t>
            </w:r>
          </w:p>
        </w:tc>
      </w:tr>
      <w:tr w:rsidR="00D10378" w:rsidRPr="00360DE3" w:rsidTr="00DC37E3">
        <w:trPr>
          <w:trHeight w:val="170"/>
        </w:trPr>
        <w:tc>
          <w:tcPr>
            <w:tcW w:w="1976" w:type="dxa"/>
          </w:tcPr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Objem zahajované bytové výstavby rostl čtvrtým rokem v řadě. Přetrvávala nízká výstavba bytů v domovech pro seniory, z pohledu regionů pak v úhrnu zejména v Praze.</w:t>
            </w: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</w:p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Nejnižší počet dokončených bytů v relaci na obyvatele přetrvává dlouhodobě ve městech s 20 až 50 tis. obyvateli.</w:t>
            </w:r>
          </w:p>
        </w:tc>
        <w:tc>
          <w:tcPr>
            <w:tcW w:w="277" w:type="dxa"/>
          </w:tcPr>
          <w:p w:rsidR="00D10378" w:rsidRPr="00360DE3" w:rsidRDefault="00D10378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D10378" w:rsidRPr="00360DE3" w:rsidRDefault="00D10378" w:rsidP="00DC37E3">
            <w:r w:rsidRPr="00360DE3">
              <w:t>Přestože bytové budovy tvořily loni jen 15,6 % hodnoty všech stavebních prací (v</w:t>
            </w:r>
            <w:r w:rsidRPr="00360DE3">
              <w:rPr>
                <w:color w:val="0D0D0D"/>
              </w:rPr>
              <w:t> </w:t>
            </w:r>
            <w:r w:rsidRPr="00360DE3">
              <w:t>podkategorii nové výstavby pak 22,6 %), jednalo se o intenzivně vnímanou a</w:t>
            </w:r>
            <w:r w:rsidRPr="00360DE3">
              <w:rPr>
                <w:color w:val="0D0D0D"/>
              </w:rPr>
              <w:t> </w:t>
            </w:r>
            <w:r w:rsidRPr="00360DE3">
              <w:t xml:space="preserve">celospolečensky důležitou oblast stavebnictví. Loni byla v Česku zahájena výstavba 31 521 bytů, jejich četnost rostla již čtvrtým rokem v řadě. K růstu nejvíce přispěly rodinné domy, více se stavělo i v ostatních formách výstavby – vyjma bytů v nebytových budovách a též v domovech pro seniory, kde byl objem výstavby rekordně nízký (345). </w:t>
            </w:r>
            <w:r w:rsidRPr="00360DE3">
              <w:rPr>
                <w:color w:val="0D0D0D" w:themeColor="text1" w:themeTint="F2"/>
              </w:rPr>
              <w:t>B</w:t>
            </w:r>
            <w:r w:rsidRPr="00360DE3">
              <w:t>ytů v bytových domech se zahájilo nejvíce za posledních osm let (7 244), nešlo ale zároveň ani o polovinu objemu ze stejného období dosud rekordního roku 2007. Více než pětina všech zahájených bytů připadala na Středočeský kraj. Již druhým rokem v řadě atakovala četnost zahájených bytů v Praze dlouhodobá minima</w:t>
            </w:r>
            <w:r w:rsidRPr="00360DE3">
              <w:rPr>
                <w:rStyle w:val="Znakapoznpodarou"/>
              </w:rPr>
              <w:footnoteReference w:id="6"/>
            </w:r>
            <w:r w:rsidRPr="00360DE3">
              <w:t xml:space="preserve">. Objem nové výstavby </w:t>
            </w:r>
            <w:r w:rsidRPr="00360DE3">
              <w:rPr>
                <w:rFonts w:cs="Arial"/>
                <w:szCs w:val="20"/>
              </w:rPr>
              <w:t xml:space="preserve">výrazně zaostával za růstem pracovních míst, resp. počtem nově příchozích obyvatel a podporoval rostoucí napětí na rezidenčním trhu. Z podrobnějšího pohledu vyplývá, že lokalizace nové bytové výstavby </w:t>
            </w:r>
            <w:r w:rsidRPr="00360DE3">
              <w:t>nadále přispívala k </w:t>
            </w:r>
            <w:proofErr w:type="spellStart"/>
            <w:r w:rsidRPr="00360DE3">
              <w:t>suburbanizačním</w:t>
            </w:r>
            <w:proofErr w:type="spellEnd"/>
            <w:r w:rsidRPr="00360DE3">
              <w:t xml:space="preserve"> tendencím, což bylo vedle Prahy dobře patrné i v případě Brna, Plzně či Českých Budějovic. Naopak nejnižší intenzita dokončené bytové výstavby dlouhodobě přetrvává v SZ Čechách, severní a východní Moravě. Z pohledu velikostních kategorií měly loni nejvyšší intenzitu výstavby města nad 100 tis. obyvatel a také obce s 500 až 2000 obyvateli, nejnižší pak dlouhodobě města s 20 až 50 tis. obyvateli.</w:t>
            </w:r>
          </w:p>
        </w:tc>
      </w:tr>
      <w:tr w:rsidR="00D10378" w:rsidRPr="00360DE3" w:rsidTr="00DC37E3">
        <w:trPr>
          <w:trHeight w:val="170"/>
        </w:trPr>
        <w:tc>
          <w:tcPr>
            <w:tcW w:w="1976" w:type="dxa"/>
          </w:tcPr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Nové zakázky i důvěra podnikatelů ve stavebnictví naznačovaly v průběhu roku výrazně příznivější vyhlídky pro celé odvětví.</w:t>
            </w:r>
          </w:p>
        </w:tc>
        <w:tc>
          <w:tcPr>
            <w:tcW w:w="277" w:type="dxa"/>
          </w:tcPr>
          <w:p w:rsidR="00D10378" w:rsidRPr="00360DE3" w:rsidRDefault="00D10378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D10378" w:rsidRPr="00360DE3" w:rsidRDefault="00D10378" w:rsidP="00DC37E3">
            <w:r w:rsidRPr="00360DE3">
              <w:t xml:space="preserve">Vyhlídky odvětví stavebnictví se během loňského roku výrazně zlepšovaly. </w:t>
            </w:r>
            <w:r w:rsidRPr="00360DE3">
              <w:rPr>
                <w:color w:val="000000" w:themeColor="text1"/>
              </w:rPr>
              <w:t xml:space="preserve">Sezónně očištěné </w:t>
            </w:r>
            <w:r w:rsidRPr="00360DE3">
              <w:rPr>
                <w:color w:val="0D0D0D" w:themeColor="text1" w:themeTint="F2"/>
              </w:rPr>
              <w:t>saldo důvěry podnikatelů sice zůstávalo v negativním pásmu, ale zejména v během druhé poloviny roku doznalo i pod vlivem růstu nových zakázek příznivějších hodnot</w:t>
            </w:r>
            <w:r w:rsidRPr="00360DE3">
              <w:rPr>
                <w:rStyle w:val="Znakapoznpodarou"/>
                <w:color w:val="0D0D0D" w:themeColor="text1" w:themeTint="F2"/>
              </w:rPr>
              <w:footnoteReference w:id="7"/>
            </w:r>
            <w:r w:rsidRPr="00360DE3">
              <w:rPr>
                <w:color w:val="0D0D0D" w:themeColor="text1" w:themeTint="F2"/>
              </w:rPr>
              <w:t>.</w:t>
            </w:r>
            <w:r w:rsidRPr="00360DE3">
              <w:t xml:space="preserve"> </w:t>
            </w:r>
            <w:r w:rsidRPr="00360DE3">
              <w:rPr>
                <w:color w:val="000000" w:themeColor="text1"/>
              </w:rPr>
              <w:t xml:space="preserve">Podíl podniků očekávajících redukci stavební činnosti či zaměstnanosti meziročně výrazně klesl. </w:t>
            </w:r>
          </w:p>
        </w:tc>
      </w:tr>
      <w:tr w:rsidR="00D10378" w:rsidRPr="00360DE3" w:rsidTr="00DC37E3">
        <w:trPr>
          <w:trHeight w:val="170"/>
        </w:trPr>
        <w:tc>
          <w:tcPr>
            <w:tcW w:w="1976" w:type="dxa"/>
          </w:tcPr>
          <w:p w:rsidR="00D10378" w:rsidRPr="00360DE3" w:rsidRDefault="00D10378" w:rsidP="00DC37E3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V Česku jako jediné zemi EU loni meziročně poklesla jak HPH, tak i celková zaměstnanost ve stavebnictví.</w:t>
            </w:r>
          </w:p>
        </w:tc>
        <w:tc>
          <w:tcPr>
            <w:tcW w:w="277" w:type="dxa"/>
          </w:tcPr>
          <w:p w:rsidR="00D10378" w:rsidRPr="00360DE3" w:rsidRDefault="00D10378" w:rsidP="00DC37E3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D10378" w:rsidRPr="00360DE3" w:rsidRDefault="00D10378" w:rsidP="00DC37E3">
            <w:pPr>
              <w:spacing w:after="0"/>
            </w:pPr>
            <w:r w:rsidRPr="00360DE3">
              <w:t>Navzdory příznivějším vyhlídkám v úhrnu za celý loňský rok HPH ve stavebnictví meziročně poklesla (-2,9 %). Česko tak společně s Řeckem, Rumunskem a</w:t>
            </w:r>
            <w:r w:rsidRPr="00360DE3">
              <w:rPr>
                <w:color w:val="0D0D0D" w:themeColor="text1" w:themeTint="F2"/>
              </w:rPr>
              <w:t> </w:t>
            </w:r>
            <w:r w:rsidRPr="00360DE3">
              <w:t>Lucemburskem patřilo k jediným státům EU, jejichž stavebnictví k růstu celé ekonomiky nepřispívalo</w:t>
            </w:r>
            <w:r w:rsidRPr="00360DE3">
              <w:rPr>
                <w:rStyle w:val="Znakapoznpodarou"/>
              </w:rPr>
              <w:footnoteReference w:id="8"/>
            </w:r>
            <w:r w:rsidRPr="00360DE3">
              <w:t xml:space="preserve">. Zároveň bylo jedinou unijní zemí, v níž v tomto odvětví </w:t>
            </w:r>
            <w:r w:rsidRPr="00360DE3">
              <w:lastRenderedPageBreak/>
              <w:t>loni vedle přidané hodnoty klesala i zaměstnanost. Nepříznivě postavení ČR v HPH je zčásti způsobeno odlišnou srovnávací základnou oproti většině zemí střední a</w:t>
            </w:r>
            <w:r w:rsidRPr="00360DE3">
              <w:rPr>
                <w:color w:val="0D0D0D" w:themeColor="text1" w:themeTint="F2"/>
              </w:rPr>
              <w:t> </w:t>
            </w:r>
            <w:r w:rsidRPr="00360DE3">
              <w:t>východní Evropy, ve kterých výkon stavebnictví v roce 2016 (vlivem ukončení staršího programového období EU) prudce klesal. Česko si však výrazně lépe nestálo ani v dlouhodobějším pohledu. Proti roku 2013 loni výkon stavebnictví nepatrně zaostával (o 1 %), ve třech čtvrtinách unijních zemí ale již tuto úroveň překonal. Ve srovnání s konjunkturním rokem 2007 pak byl v Česku o 9 % nižší (v EU o 11 %), nad touto úrovní se naopak nacházel ve třetině zemí EU – výrazně např. v Polsku (o 45 %), Slovensku, Německu a Velké Británii (shodně o 12 %).</w:t>
            </w:r>
          </w:p>
        </w:tc>
      </w:tr>
    </w:tbl>
    <w:p w:rsidR="00B57338" w:rsidRDefault="000C1D78" w:rsidP="000C1D78">
      <w:pPr>
        <w:spacing w:after="0"/>
        <w:rPr>
          <w:b/>
          <w:szCs w:val="20"/>
        </w:rPr>
      </w:pPr>
      <w:r w:rsidRPr="00360DE3">
        <w:rPr>
          <w:b/>
          <w:szCs w:val="20"/>
        </w:rPr>
        <w:lastRenderedPageBreak/>
        <w:t xml:space="preserve"> </w:t>
      </w:r>
    </w:p>
    <w:p w:rsidR="00B57338" w:rsidRDefault="00B57338" w:rsidP="000C1D78">
      <w:pPr>
        <w:spacing w:after="0"/>
        <w:rPr>
          <w:b/>
          <w:szCs w:val="20"/>
        </w:rPr>
      </w:pPr>
    </w:p>
    <w:p w:rsidR="000C1D78" w:rsidRPr="00360DE3" w:rsidRDefault="000C1D78" w:rsidP="000C1D78">
      <w:pPr>
        <w:spacing w:after="0"/>
        <w:rPr>
          <w:b/>
          <w:szCs w:val="20"/>
        </w:rPr>
      </w:pPr>
      <w:r w:rsidRPr="00360DE3">
        <w:rPr>
          <w:b/>
          <w:szCs w:val="20"/>
        </w:rPr>
        <w:t>Kartogramy 12.1 a 12.2</w:t>
      </w:r>
    </w:p>
    <w:p w:rsidR="000C1D78" w:rsidRPr="00360DE3" w:rsidRDefault="000C1D78" w:rsidP="000C1D78">
      <w:pPr>
        <w:spacing w:after="0"/>
        <w:rPr>
          <w:sz w:val="16"/>
          <w:szCs w:val="16"/>
        </w:rPr>
      </w:pPr>
      <w:r w:rsidRPr="00360DE3">
        <w:rPr>
          <w:b/>
          <w:noProof/>
          <w:szCs w:val="20"/>
        </w:rPr>
        <w:drawing>
          <wp:inline distT="0" distB="0" distL="0" distR="0">
            <wp:extent cx="6120130" cy="4330711"/>
            <wp:effectExtent l="19050" t="0" r="0" b="0"/>
            <wp:docPr id="67" name="Obrázek 0" descr="Dokoncene byty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oncene byty.e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3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D78" w:rsidRPr="00360DE3" w:rsidRDefault="000C1D78" w:rsidP="000C1D78">
      <w:pPr>
        <w:spacing w:after="0"/>
        <w:rPr>
          <w:sz w:val="16"/>
          <w:szCs w:val="16"/>
        </w:rPr>
      </w:pPr>
    </w:p>
    <w:p w:rsidR="000C1D78" w:rsidRPr="00360DE3" w:rsidRDefault="000C1D78" w:rsidP="000C1D78">
      <w:r w:rsidRPr="00360DE3">
        <w:rPr>
          <w:noProof/>
        </w:rPr>
        <w:lastRenderedPageBreak/>
        <w:drawing>
          <wp:inline distT="0" distB="0" distL="0" distR="0">
            <wp:extent cx="6120130" cy="4330700"/>
            <wp:effectExtent l="19050" t="0" r="0" b="0"/>
            <wp:docPr id="68" name="Obrázek 1" descr="Obytná plocha bytu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ytná plocha bytu.em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D78" w:rsidRPr="00360DE3" w:rsidSect="00C91E11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FB" w:rsidRDefault="00BB12FB" w:rsidP="00E71A58">
      <w:r>
        <w:separator/>
      </w:r>
    </w:p>
  </w:endnote>
  <w:endnote w:type="continuationSeparator" w:id="0">
    <w:p w:rsidR="00BB12FB" w:rsidRDefault="00BB12F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673D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68673D" w:rsidRPr="00932443">
      <w:rPr>
        <w:szCs w:val="16"/>
      </w:rPr>
      <w:fldChar w:fldCharType="separate"/>
    </w:r>
    <w:r w:rsidR="00D10378">
      <w:rPr>
        <w:szCs w:val="16"/>
      </w:rPr>
      <w:t>64</w:t>
    </w:r>
    <w:r w:rsidR="0068673D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  <w:r w:rsidR="0068673D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68673D" w:rsidRPr="00932443">
      <w:rPr>
        <w:rStyle w:val="ZpatChar"/>
        <w:szCs w:val="16"/>
      </w:rPr>
      <w:fldChar w:fldCharType="separate"/>
    </w:r>
    <w:r w:rsidR="00D10378">
      <w:rPr>
        <w:rStyle w:val="ZpatChar"/>
        <w:szCs w:val="16"/>
      </w:rPr>
      <w:t>65</w:t>
    </w:r>
    <w:r w:rsidR="0068673D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FB" w:rsidRDefault="00BB12FB" w:rsidP="00E71A58">
      <w:r>
        <w:separator/>
      </w:r>
    </w:p>
  </w:footnote>
  <w:footnote w:type="continuationSeparator" w:id="0">
    <w:p w:rsidR="00BB12FB" w:rsidRDefault="00BB12FB" w:rsidP="00E71A58">
      <w:r>
        <w:continuationSeparator/>
      </w:r>
    </w:p>
  </w:footnote>
  <w:footnote w:id="1">
    <w:p w:rsidR="00C805DC" w:rsidRPr="0098739D" w:rsidRDefault="00C805DC" w:rsidP="000C1D78">
      <w:pPr>
        <w:pStyle w:val="Textpoznpodarou"/>
        <w:rPr>
          <w:spacing w:val="-2"/>
        </w:rPr>
      </w:pPr>
      <w:r w:rsidRPr="0098739D">
        <w:rPr>
          <w:rStyle w:val="Znakapoznpodarou"/>
          <w:spacing w:val="-2"/>
        </w:rPr>
        <w:footnoteRef/>
      </w:r>
      <w:r w:rsidRPr="0098739D">
        <w:rPr>
          <w:spacing w:val="-2"/>
        </w:rPr>
        <w:t xml:space="preserve"> </w:t>
      </w:r>
      <w:r w:rsidRPr="0098739D">
        <w:rPr>
          <w:spacing w:val="-2"/>
          <w:sz w:val="16"/>
          <w:szCs w:val="16"/>
        </w:rPr>
        <w:t>Pokud není uvedeno jinak, vychází všechny údaje o stavebnictví (vč. produkce) z dat národních účtů a jsou očištěny o cenové vlivy.</w:t>
      </w:r>
    </w:p>
  </w:footnote>
  <w:footnote w:id="2">
    <w:p w:rsidR="00C805DC" w:rsidRDefault="00C805DC" w:rsidP="000C1D78">
      <w:pPr>
        <w:pStyle w:val="Textpoznpodarou"/>
        <w:jc w:val="both"/>
      </w:pPr>
      <w:r w:rsidRPr="0098739D">
        <w:rPr>
          <w:rStyle w:val="Znakapoznpodarou"/>
          <w:spacing w:val="-2"/>
          <w:sz w:val="16"/>
          <w:szCs w:val="16"/>
        </w:rPr>
        <w:footnoteRef/>
      </w:r>
      <w:r w:rsidRPr="0098739D">
        <w:rPr>
          <w:spacing w:val="-2"/>
          <w:sz w:val="16"/>
          <w:szCs w:val="16"/>
        </w:rPr>
        <w:t xml:space="preserve"> V roce 2017 tvořil tento segment 56 % HPH celého stavebnictví.</w:t>
      </w:r>
      <w:r w:rsidRPr="0098739D">
        <w:rPr>
          <w:spacing w:val="-2"/>
        </w:rPr>
        <w:t xml:space="preserve"> </w:t>
      </w:r>
      <w:r w:rsidRPr="0098739D">
        <w:rPr>
          <w:spacing w:val="-2"/>
          <w:sz w:val="16"/>
          <w:szCs w:val="16"/>
        </w:rPr>
        <w:t>Zahrnuje elektroinstalační, instalatérské a ostatní stavebně instalační práce, dokončovací práce (např. omítkářské práce), demolice, přípravu staveniště a ostatní činnosti (např. pokrývačské práce). Na rozdíl od výstavby budov a inženýrského stavitelství (s dlouhodobou dominancí nefinančních podniků) zde hrají významnější roli drobní podnikatelé.</w:t>
      </w:r>
    </w:p>
  </w:footnote>
  <w:footnote w:id="3">
    <w:p w:rsidR="00D10378" w:rsidRPr="004D42AE" w:rsidRDefault="00D10378" w:rsidP="000C1D78">
      <w:pPr>
        <w:pStyle w:val="Textpoznpodarou"/>
        <w:rPr>
          <w:sz w:val="16"/>
          <w:szCs w:val="16"/>
        </w:rPr>
      </w:pPr>
      <w:r w:rsidRPr="004D42AE">
        <w:rPr>
          <w:rStyle w:val="Znakapoznpodarou"/>
          <w:sz w:val="16"/>
          <w:szCs w:val="16"/>
        </w:rPr>
        <w:footnoteRef/>
      </w:r>
      <w:r w:rsidRPr="004D42AE">
        <w:rPr>
          <w:sz w:val="16"/>
          <w:szCs w:val="16"/>
        </w:rPr>
        <w:t xml:space="preserve"> Podíl nefinančních podniků na</w:t>
      </w:r>
      <w:r>
        <w:rPr>
          <w:sz w:val="16"/>
          <w:szCs w:val="16"/>
        </w:rPr>
        <w:t xml:space="preserve"> tvorbě HPH v celém odvětví</w:t>
      </w:r>
      <w:r w:rsidRPr="004D42AE">
        <w:rPr>
          <w:sz w:val="16"/>
          <w:szCs w:val="16"/>
        </w:rPr>
        <w:t xml:space="preserve"> stavebnictví se v posledních pěti letech pohyboval mezi 62 a 64 %.</w:t>
      </w:r>
    </w:p>
  </w:footnote>
  <w:footnote w:id="4">
    <w:p w:rsidR="00D10378" w:rsidRPr="00D31C12" w:rsidRDefault="00D10378" w:rsidP="000C1D78">
      <w:pPr>
        <w:pStyle w:val="Textpoznpodarou"/>
        <w:rPr>
          <w:spacing w:val="-2"/>
          <w:sz w:val="16"/>
          <w:szCs w:val="16"/>
        </w:rPr>
      </w:pPr>
      <w:r w:rsidRPr="00D31C12"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U</w:t>
      </w:r>
      <w:r w:rsidRPr="00D31C12">
        <w:rPr>
          <w:spacing w:val="-2"/>
          <w:sz w:val="16"/>
          <w:szCs w:val="16"/>
        </w:rPr>
        <w:t xml:space="preserve"> podniků s 50 a víc</w:t>
      </w:r>
      <w:r>
        <w:rPr>
          <w:spacing w:val="-2"/>
          <w:sz w:val="16"/>
          <w:szCs w:val="16"/>
        </w:rPr>
        <w:t>e zaměstnanci činila v roce 2017</w:t>
      </w:r>
      <w:r w:rsidRPr="00D31C12">
        <w:rPr>
          <w:spacing w:val="-2"/>
          <w:sz w:val="16"/>
          <w:szCs w:val="16"/>
        </w:rPr>
        <w:t xml:space="preserve"> jen 3,3 mil. korun (o rok dříve 3,0 mil.). V letech </w:t>
      </w:r>
      <w:r>
        <w:rPr>
          <w:spacing w:val="-2"/>
          <w:sz w:val="16"/>
          <w:szCs w:val="16"/>
        </w:rPr>
        <w:t>2014 i 2015 kolísala</w:t>
      </w:r>
      <w:r w:rsidRPr="00D31C12">
        <w:rPr>
          <w:spacing w:val="-2"/>
          <w:sz w:val="16"/>
          <w:szCs w:val="16"/>
        </w:rPr>
        <w:t xml:space="preserve"> kolem 4 mil.</w:t>
      </w:r>
    </w:p>
  </w:footnote>
  <w:footnote w:id="5">
    <w:p w:rsidR="00D10378" w:rsidRPr="00F11443" w:rsidRDefault="00D10378" w:rsidP="000C1D78">
      <w:pPr>
        <w:pStyle w:val="Textpoznpodarou"/>
        <w:rPr>
          <w:sz w:val="16"/>
          <w:szCs w:val="16"/>
        </w:rPr>
      </w:pPr>
      <w:r w:rsidRPr="00D31C12">
        <w:rPr>
          <w:rStyle w:val="Znakapoznpodarou"/>
          <w:spacing w:val="-2"/>
          <w:sz w:val="16"/>
          <w:szCs w:val="16"/>
        </w:rPr>
        <w:footnoteRef/>
      </w:r>
      <w:r w:rsidRPr="00D31C12">
        <w:rPr>
          <w:spacing w:val="-2"/>
          <w:sz w:val="16"/>
          <w:szCs w:val="16"/>
        </w:rPr>
        <w:t xml:space="preserve"> </w:t>
      </w:r>
      <w:r w:rsidRPr="00D31C12">
        <w:rPr>
          <w:color w:val="0D0D0D"/>
          <w:spacing w:val="-2"/>
          <w:sz w:val="16"/>
          <w:szCs w:val="16"/>
        </w:rPr>
        <w:t>Tato kategorie zahrnuje např. hotely, ale i objekty pro společenské a kulturní účely, výzkum, vzdělávání a zdravotnictví.</w:t>
      </w:r>
    </w:p>
  </w:footnote>
  <w:footnote w:id="6">
    <w:p w:rsidR="00D10378" w:rsidRPr="00F611FE" w:rsidRDefault="00D10378" w:rsidP="000C1D78">
      <w:pPr>
        <w:pStyle w:val="Textpoznpodarou"/>
        <w:jc w:val="both"/>
        <w:rPr>
          <w:sz w:val="16"/>
          <w:szCs w:val="16"/>
        </w:rPr>
      </w:pPr>
      <w:r w:rsidRPr="00F611FE">
        <w:rPr>
          <w:rStyle w:val="Znakapoznpodarou"/>
          <w:sz w:val="16"/>
          <w:szCs w:val="16"/>
        </w:rPr>
        <w:footnoteRef/>
      </w:r>
      <w:r w:rsidRPr="00F611FE">
        <w:rPr>
          <w:sz w:val="16"/>
          <w:szCs w:val="16"/>
        </w:rPr>
        <w:t xml:space="preserve"> </w:t>
      </w:r>
      <w:r w:rsidRPr="00F611FE">
        <w:rPr>
          <w:spacing w:val="-4"/>
          <w:sz w:val="16"/>
          <w:szCs w:val="16"/>
        </w:rPr>
        <w:t xml:space="preserve">V Praze byla loni zahájena výstavba 3,7 tis., bytů o rok dříve 2,8 tis. bytů (druhý nejnižší počet od poloviny 90. let). Loňský objem výstavby byl o téměř třetinu slabší než v roce 2015 a </w:t>
      </w:r>
      <w:r>
        <w:rPr>
          <w:spacing w:val="-4"/>
          <w:sz w:val="16"/>
          <w:szCs w:val="16"/>
        </w:rPr>
        <w:t>nedosahoval ani</w:t>
      </w:r>
      <w:r w:rsidRPr="00F611FE">
        <w:rPr>
          <w:spacing w:val="-4"/>
          <w:sz w:val="16"/>
          <w:szCs w:val="16"/>
        </w:rPr>
        <w:t xml:space="preserve"> poloviny průměru z období 2005–2007.</w:t>
      </w:r>
    </w:p>
  </w:footnote>
  <w:footnote w:id="7">
    <w:p w:rsidR="00D10378" w:rsidRPr="004C7321" w:rsidRDefault="00D10378" w:rsidP="000C1D78">
      <w:pPr>
        <w:pStyle w:val="Textpoznpodarou"/>
        <w:jc w:val="both"/>
        <w:rPr>
          <w:sz w:val="16"/>
          <w:szCs w:val="16"/>
        </w:rPr>
      </w:pPr>
      <w:r w:rsidRPr="004C7321">
        <w:rPr>
          <w:rStyle w:val="Znakapoznpodarou"/>
          <w:sz w:val="16"/>
          <w:szCs w:val="16"/>
        </w:rPr>
        <w:footnoteRef/>
      </w:r>
      <w:r w:rsidRPr="004C7321">
        <w:rPr>
          <w:sz w:val="16"/>
          <w:szCs w:val="16"/>
        </w:rPr>
        <w:t xml:space="preserve"> V prosinci 2017 bylo negativní saldo </w:t>
      </w:r>
      <w:r>
        <w:rPr>
          <w:sz w:val="16"/>
          <w:szCs w:val="16"/>
        </w:rPr>
        <w:t xml:space="preserve">důvěry ve stavebnictví (-13 bodů) </w:t>
      </w:r>
      <w:r w:rsidRPr="004C7321">
        <w:rPr>
          <w:sz w:val="16"/>
          <w:szCs w:val="16"/>
        </w:rPr>
        <w:t>nejpříznivější od počátku roku 2009.</w:t>
      </w:r>
    </w:p>
  </w:footnote>
  <w:footnote w:id="8">
    <w:p w:rsidR="00D10378" w:rsidRPr="007950F0" w:rsidRDefault="00D10378" w:rsidP="000C1D78">
      <w:pPr>
        <w:pStyle w:val="Textpoznpodarou"/>
        <w:jc w:val="both"/>
        <w:rPr>
          <w:sz w:val="16"/>
          <w:szCs w:val="16"/>
        </w:rPr>
      </w:pPr>
      <w:r w:rsidRPr="007950F0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Podíl stavebnictví na celkové HPH se v drtivé většině ekonomik EU dlouhodobě snižuje. Vloni byl nejvyšší na Slovensku (7,7 %), Polsku (7,3 %), Finsku (7,1 %) a také Litvě i Estonsku. V ČR (stejně jako v EU15) činil 5,3 %, méně než 3 % dosahoval v Řecku a Irsku.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601A2E" w:rsidRDefault="00C805DC" w:rsidP="00601A2E">
    <w:pPr>
      <w:pStyle w:val="Zhlav"/>
    </w:pPr>
    <w:r>
      <w:t>Analýza ekonomického vývoje v roce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Default="00C805DC" w:rsidP="00937AE2">
    <w:pPr>
      <w:pStyle w:val="Zhlav"/>
    </w:pPr>
    <w:r>
      <w:t>Analýza ekonomického vývoje v roce 2017</w:t>
    </w:r>
  </w:p>
  <w:p w:rsidR="00C805DC" w:rsidRPr="006F5416" w:rsidRDefault="00C805DC" w:rsidP="00937A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3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6502"/>
    <w:rsid w:val="0000209D"/>
    <w:rsid w:val="0000437D"/>
    <w:rsid w:val="00004D5A"/>
    <w:rsid w:val="000056D5"/>
    <w:rsid w:val="00006ABD"/>
    <w:rsid w:val="0000767A"/>
    <w:rsid w:val="00007BEF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7A82"/>
    <w:rsid w:val="000712B3"/>
    <w:rsid w:val="0008263E"/>
    <w:rsid w:val="00082A55"/>
    <w:rsid w:val="00082C19"/>
    <w:rsid w:val="00085395"/>
    <w:rsid w:val="00087634"/>
    <w:rsid w:val="00087F2B"/>
    <w:rsid w:val="00093E3F"/>
    <w:rsid w:val="00093E53"/>
    <w:rsid w:val="00095135"/>
    <w:rsid w:val="00096085"/>
    <w:rsid w:val="000974D1"/>
    <w:rsid w:val="0009799E"/>
    <w:rsid w:val="000A1183"/>
    <w:rsid w:val="000A256D"/>
    <w:rsid w:val="000A3A2C"/>
    <w:rsid w:val="000B525B"/>
    <w:rsid w:val="000C1D78"/>
    <w:rsid w:val="000C3408"/>
    <w:rsid w:val="000C6AFD"/>
    <w:rsid w:val="000D514E"/>
    <w:rsid w:val="000D5637"/>
    <w:rsid w:val="000E6FBD"/>
    <w:rsid w:val="000F030B"/>
    <w:rsid w:val="00100F5C"/>
    <w:rsid w:val="0010106F"/>
    <w:rsid w:val="00101CDA"/>
    <w:rsid w:val="00104C4C"/>
    <w:rsid w:val="00117623"/>
    <w:rsid w:val="0012192F"/>
    <w:rsid w:val="00125D69"/>
    <w:rsid w:val="001405FA"/>
    <w:rsid w:val="00141782"/>
    <w:rsid w:val="001425C3"/>
    <w:rsid w:val="001528B9"/>
    <w:rsid w:val="001612F4"/>
    <w:rsid w:val="00162312"/>
    <w:rsid w:val="0016256B"/>
    <w:rsid w:val="00162A7A"/>
    <w:rsid w:val="00163793"/>
    <w:rsid w:val="001706D6"/>
    <w:rsid w:val="001714F2"/>
    <w:rsid w:val="001730A6"/>
    <w:rsid w:val="00175B9F"/>
    <w:rsid w:val="00181BBC"/>
    <w:rsid w:val="00182799"/>
    <w:rsid w:val="00184B08"/>
    <w:rsid w:val="00185010"/>
    <w:rsid w:val="00186919"/>
    <w:rsid w:val="001916DB"/>
    <w:rsid w:val="00193818"/>
    <w:rsid w:val="001A0487"/>
    <w:rsid w:val="001A0D6B"/>
    <w:rsid w:val="001A552F"/>
    <w:rsid w:val="001B2CA9"/>
    <w:rsid w:val="001B3110"/>
    <w:rsid w:val="001B4729"/>
    <w:rsid w:val="001B6310"/>
    <w:rsid w:val="001B6C09"/>
    <w:rsid w:val="001C05CD"/>
    <w:rsid w:val="001C1B66"/>
    <w:rsid w:val="001D198A"/>
    <w:rsid w:val="001D463E"/>
    <w:rsid w:val="001D68B2"/>
    <w:rsid w:val="001D70E9"/>
    <w:rsid w:val="001E504C"/>
    <w:rsid w:val="001F4597"/>
    <w:rsid w:val="00203DA4"/>
    <w:rsid w:val="002052C6"/>
    <w:rsid w:val="002118B9"/>
    <w:rsid w:val="00217C5B"/>
    <w:rsid w:val="0022139E"/>
    <w:rsid w:val="00222729"/>
    <w:rsid w:val="00222FFB"/>
    <w:rsid w:val="002252E0"/>
    <w:rsid w:val="002255F6"/>
    <w:rsid w:val="00227850"/>
    <w:rsid w:val="00227A53"/>
    <w:rsid w:val="00230C6E"/>
    <w:rsid w:val="00236443"/>
    <w:rsid w:val="00241B06"/>
    <w:rsid w:val="002436BA"/>
    <w:rsid w:val="00244A15"/>
    <w:rsid w:val="00247319"/>
    <w:rsid w:val="0024799E"/>
    <w:rsid w:val="00253C0F"/>
    <w:rsid w:val="002558C1"/>
    <w:rsid w:val="0026207F"/>
    <w:rsid w:val="0026743D"/>
    <w:rsid w:val="00271465"/>
    <w:rsid w:val="00274037"/>
    <w:rsid w:val="00285412"/>
    <w:rsid w:val="00291640"/>
    <w:rsid w:val="002A16D4"/>
    <w:rsid w:val="002A230C"/>
    <w:rsid w:val="002A5D97"/>
    <w:rsid w:val="002B2127"/>
    <w:rsid w:val="002B213A"/>
    <w:rsid w:val="002B38B8"/>
    <w:rsid w:val="002B4845"/>
    <w:rsid w:val="002B6B06"/>
    <w:rsid w:val="002C43BD"/>
    <w:rsid w:val="002D0E59"/>
    <w:rsid w:val="002E02A1"/>
    <w:rsid w:val="002E4E4C"/>
    <w:rsid w:val="00303533"/>
    <w:rsid w:val="00304771"/>
    <w:rsid w:val="003052D4"/>
    <w:rsid w:val="00306C5B"/>
    <w:rsid w:val="003209D6"/>
    <w:rsid w:val="00321924"/>
    <w:rsid w:val="0032656E"/>
    <w:rsid w:val="00330060"/>
    <w:rsid w:val="00332190"/>
    <w:rsid w:val="00336E03"/>
    <w:rsid w:val="0034335E"/>
    <w:rsid w:val="00344668"/>
    <w:rsid w:val="003462D9"/>
    <w:rsid w:val="00347378"/>
    <w:rsid w:val="00360C86"/>
    <w:rsid w:val="00360DE3"/>
    <w:rsid w:val="00360FBC"/>
    <w:rsid w:val="00362E90"/>
    <w:rsid w:val="00363FF4"/>
    <w:rsid w:val="00364FA0"/>
    <w:rsid w:val="003657F3"/>
    <w:rsid w:val="003818DC"/>
    <w:rsid w:val="00384327"/>
    <w:rsid w:val="00385D3E"/>
    <w:rsid w:val="00385D98"/>
    <w:rsid w:val="003870EE"/>
    <w:rsid w:val="00392244"/>
    <w:rsid w:val="003A2B4D"/>
    <w:rsid w:val="003A2D12"/>
    <w:rsid w:val="003A478C"/>
    <w:rsid w:val="003A5525"/>
    <w:rsid w:val="003A6B38"/>
    <w:rsid w:val="003B4331"/>
    <w:rsid w:val="003B461F"/>
    <w:rsid w:val="003B5A32"/>
    <w:rsid w:val="003C3490"/>
    <w:rsid w:val="003C4BE8"/>
    <w:rsid w:val="003C7E62"/>
    <w:rsid w:val="003D6920"/>
    <w:rsid w:val="003E38BA"/>
    <w:rsid w:val="003E4C91"/>
    <w:rsid w:val="003F313C"/>
    <w:rsid w:val="003F37FC"/>
    <w:rsid w:val="003F3890"/>
    <w:rsid w:val="003F4B2C"/>
    <w:rsid w:val="003F551C"/>
    <w:rsid w:val="003F72ED"/>
    <w:rsid w:val="003F7D23"/>
    <w:rsid w:val="00407C13"/>
    <w:rsid w:val="00410638"/>
    <w:rsid w:val="0041501E"/>
    <w:rsid w:val="004159C3"/>
    <w:rsid w:val="004225C6"/>
    <w:rsid w:val="00427E07"/>
    <w:rsid w:val="00432A58"/>
    <w:rsid w:val="00433C0C"/>
    <w:rsid w:val="00434617"/>
    <w:rsid w:val="00436778"/>
    <w:rsid w:val="00440900"/>
    <w:rsid w:val="00441BF6"/>
    <w:rsid w:val="004441A0"/>
    <w:rsid w:val="0045078A"/>
    <w:rsid w:val="0045086D"/>
    <w:rsid w:val="00460FB3"/>
    <w:rsid w:val="00461976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3F18"/>
    <w:rsid w:val="004A14E4"/>
    <w:rsid w:val="004A3212"/>
    <w:rsid w:val="004A5494"/>
    <w:rsid w:val="004A61C5"/>
    <w:rsid w:val="004A77DF"/>
    <w:rsid w:val="004B1417"/>
    <w:rsid w:val="004B48DF"/>
    <w:rsid w:val="004B55B7"/>
    <w:rsid w:val="004B6468"/>
    <w:rsid w:val="004B7125"/>
    <w:rsid w:val="004C26B0"/>
    <w:rsid w:val="004C384C"/>
    <w:rsid w:val="004C3867"/>
    <w:rsid w:val="004C4CD0"/>
    <w:rsid w:val="004C5FBF"/>
    <w:rsid w:val="004C70DC"/>
    <w:rsid w:val="004D0211"/>
    <w:rsid w:val="004D0794"/>
    <w:rsid w:val="004E02EB"/>
    <w:rsid w:val="004E326C"/>
    <w:rsid w:val="004F06F5"/>
    <w:rsid w:val="004F16F7"/>
    <w:rsid w:val="004F33A0"/>
    <w:rsid w:val="0050689D"/>
    <w:rsid w:val="005108C0"/>
    <w:rsid w:val="00511873"/>
    <w:rsid w:val="00512A2F"/>
    <w:rsid w:val="00513B7E"/>
    <w:rsid w:val="00515C74"/>
    <w:rsid w:val="00515FFA"/>
    <w:rsid w:val="005173AF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1238"/>
    <w:rsid w:val="0055599F"/>
    <w:rsid w:val="00556D68"/>
    <w:rsid w:val="00563EB8"/>
    <w:rsid w:val="005647BF"/>
    <w:rsid w:val="00564AF1"/>
    <w:rsid w:val="0057364B"/>
    <w:rsid w:val="00574773"/>
    <w:rsid w:val="00583FFD"/>
    <w:rsid w:val="005911BE"/>
    <w:rsid w:val="00593152"/>
    <w:rsid w:val="005A10F2"/>
    <w:rsid w:val="005A21E0"/>
    <w:rsid w:val="005A28FF"/>
    <w:rsid w:val="005A2C7B"/>
    <w:rsid w:val="005A3DF8"/>
    <w:rsid w:val="005A5549"/>
    <w:rsid w:val="005A7666"/>
    <w:rsid w:val="005B08EB"/>
    <w:rsid w:val="005B121D"/>
    <w:rsid w:val="005C06ED"/>
    <w:rsid w:val="005C2609"/>
    <w:rsid w:val="005D3386"/>
    <w:rsid w:val="005D5802"/>
    <w:rsid w:val="005D7119"/>
    <w:rsid w:val="005D7890"/>
    <w:rsid w:val="005E2A7C"/>
    <w:rsid w:val="005E7C78"/>
    <w:rsid w:val="005F18C5"/>
    <w:rsid w:val="005F3EB1"/>
    <w:rsid w:val="005F46D8"/>
    <w:rsid w:val="005F5469"/>
    <w:rsid w:val="00600079"/>
    <w:rsid w:val="006003D1"/>
    <w:rsid w:val="00601A2E"/>
    <w:rsid w:val="0060404F"/>
    <w:rsid w:val="00604307"/>
    <w:rsid w:val="0060487F"/>
    <w:rsid w:val="00604EAD"/>
    <w:rsid w:val="006075F4"/>
    <w:rsid w:val="00607FF4"/>
    <w:rsid w:val="006104FB"/>
    <w:rsid w:val="0061249B"/>
    <w:rsid w:val="00612A2F"/>
    <w:rsid w:val="00616E05"/>
    <w:rsid w:val="00624093"/>
    <w:rsid w:val="0063201A"/>
    <w:rsid w:val="006350D5"/>
    <w:rsid w:val="006404A7"/>
    <w:rsid w:val="006451E4"/>
    <w:rsid w:val="00645B33"/>
    <w:rsid w:val="00650330"/>
    <w:rsid w:val="006516CB"/>
    <w:rsid w:val="006558BD"/>
    <w:rsid w:val="00657E87"/>
    <w:rsid w:val="00664803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36CB"/>
    <w:rsid w:val="0068673D"/>
    <w:rsid w:val="00695BEF"/>
    <w:rsid w:val="006977F6"/>
    <w:rsid w:val="00697A13"/>
    <w:rsid w:val="006A109C"/>
    <w:rsid w:val="006A3E08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56D4"/>
    <w:rsid w:val="006C6924"/>
    <w:rsid w:val="006C7CA6"/>
    <w:rsid w:val="006D3E8A"/>
    <w:rsid w:val="006D61F6"/>
    <w:rsid w:val="006D64C2"/>
    <w:rsid w:val="006E279A"/>
    <w:rsid w:val="006E313B"/>
    <w:rsid w:val="006E7227"/>
    <w:rsid w:val="006F2595"/>
    <w:rsid w:val="006F438E"/>
    <w:rsid w:val="006F5416"/>
    <w:rsid w:val="00705242"/>
    <w:rsid w:val="00706AD4"/>
    <w:rsid w:val="00707150"/>
    <w:rsid w:val="007140BE"/>
    <w:rsid w:val="00716E3F"/>
    <w:rsid w:val="007211F5"/>
    <w:rsid w:val="007240E2"/>
    <w:rsid w:val="00725BB5"/>
    <w:rsid w:val="00730AE8"/>
    <w:rsid w:val="00730F1B"/>
    <w:rsid w:val="00741493"/>
    <w:rsid w:val="0074369B"/>
    <w:rsid w:val="00750EF8"/>
    <w:rsid w:val="00752180"/>
    <w:rsid w:val="00753CAB"/>
    <w:rsid w:val="00755202"/>
    <w:rsid w:val="00755D3A"/>
    <w:rsid w:val="007578D3"/>
    <w:rsid w:val="007609C6"/>
    <w:rsid w:val="0076175D"/>
    <w:rsid w:val="00763B85"/>
    <w:rsid w:val="0076521E"/>
    <w:rsid w:val="007661E9"/>
    <w:rsid w:val="00775F45"/>
    <w:rsid w:val="00776169"/>
    <w:rsid w:val="00776527"/>
    <w:rsid w:val="00780EF1"/>
    <w:rsid w:val="00783C17"/>
    <w:rsid w:val="00785232"/>
    <w:rsid w:val="00790764"/>
    <w:rsid w:val="0079453C"/>
    <w:rsid w:val="00794677"/>
    <w:rsid w:val="007A516D"/>
    <w:rsid w:val="007B6689"/>
    <w:rsid w:val="007C13A4"/>
    <w:rsid w:val="007C6BBD"/>
    <w:rsid w:val="007C7BAE"/>
    <w:rsid w:val="007D0C24"/>
    <w:rsid w:val="007D40DF"/>
    <w:rsid w:val="007E29B4"/>
    <w:rsid w:val="007E435A"/>
    <w:rsid w:val="007E7E61"/>
    <w:rsid w:val="007F0845"/>
    <w:rsid w:val="007F708D"/>
    <w:rsid w:val="00801E13"/>
    <w:rsid w:val="00807C82"/>
    <w:rsid w:val="00816905"/>
    <w:rsid w:val="00821FF6"/>
    <w:rsid w:val="00822574"/>
    <w:rsid w:val="00825C4D"/>
    <w:rsid w:val="0083143E"/>
    <w:rsid w:val="00831CDE"/>
    <w:rsid w:val="00833BF2"/>
    <w:rsid w:val="00834304"/>
    <w:rsid w:val="00834FAA"/>
    <w:rsid w:val="00836086"/>
    <w:rsid w:val="00846121"/>
    <w:rsid w:val="0084708F"/>
    <w:rsid w:val="008477C8"/>
    <w:rsid w:val="00847931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5A32"/>
    <w:rsid w:val="00876086"/>
    <w:rsid w:val="008873D4"/>
    <w:rsid w:val="0089296D"/>
    <w:rsid w:val="00893E85"/>
    <w:rsid w:val="00894031"/>
    <w:rsid w:val="00895508"/>
    <w:rsid w:val="008B7C02"/>
    <w:rsid w:val="008B7D2B"/>
    <w:rsid w:val="008C0049"/>
    <w:rsid w:val="008C0E88"/>
    <w:rsid w:val="008D0A60"/>
    <w:rsid w:val="008D0DBD"/>
    <w:rsid w:val="008D1E6A"/>
    <w:rsid w:val="008D2A16"/>
    <w:rsid w:val="008E0DC9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0FB1"/>
    <w:rsid w:val="0093139F"/>
    <w:rsid w:val="00932443"/>
    <w:rsid w:val="00937AE2"/>
    <w:rsid w:val="00942C19"/>
    <w:rsid w:val="0094427A"/>
    <w:rsid w:val="00945245"/>
    <w:rsid w:val="009540B7"/>
    <w:rsid w:val="0095759C"/>
    <w:rsid w:val="00974923"/>
    <w:rsid w:val="00980D3D"/>
    <w:rsid w:val="00987A30"/>
    <w:rsid w:val="00992CF3"/>
    <w:rsid w:val="009942B6"/>
    <w:rsid w:val="00994868"/>
    <w:rsid w:val="009968D6"/>
    <w:rsid w:val="009A1CAB"/>
    <w:rsid w:val="009A60D1"/>
    <w:rsid w:val="009A7B2E"/>
    <w:rsid w:val="009B6FD3"/>
    <w:rsid w:val="009C03C8"/>
    <w:rsid w:val="009C1750"/>
    <w:rsid w:val="009C2E29"/>
    <w:rsid w:val="009C3ED8"/>
    <w:rsid w:val="009C554B"/>
    <w:rsid w:val="009C719E"/>
    <w:rsid w:val="009D3ACD"/>
    <w:rsid w:val="009E5273"/>
    <w:rsid w:val="009E5DDB"/>
    <w:rsid w:val="009F46EA"/>
    <w:rsid w:val="009F4CA7"/>
    <w:rsid w:val="00A10D66"/>
    <w:rsid w:val="00A14114"/>
    <w:rsid w:val="00A16413"/>
    <w:rsid w:val="00A16E1D"/>
    <w:rsid w:val="00A17D5B"/>
    <w:rsid w:val="00A230A8"/>
    <w:rsid w:val="00A23E43"/>
    <w:rsid w:val="00A25216"/>
    <w:rsid w:val="00A27420"/>
    <w:rsid w:val="00A30F65"/>
    <w:rsid w:val="00A329DF"/>
    <w:rsid w:val="00A35142"/>
    <w:rsid w:val="00A35EA6"/>
    <w:rsid w:val="00A40EAC"/>
    <w:rsid w:val="00A418BC"/>
    <w:rsid w:val="00A46DE0"/>
    <w:rsid w:val="00A4750C"/>
    <w:rsid w:val="00A50D73"/>
    <w:rsid w:val="00A51F19"/>
    <w:rsid w:val="00A52CAD"/>
    <w:rsid w:val="00A537F0"/>
    <w:rsid w:val="00A53FC7"/>
    <w:rsid w:val="00A55161"/>
    <w:rsid w:val="00A62CE1"/>
    <w:rsid w:val="00A6741E"/>
    <w:rsid w:val="00A75E40"/>
    <w:rsid w:val="00A77D1D"/>
    <w:rsid w:val="00A84923"/>
    <w:rsid w:val="00A857C0"/>
    <w:rsid w:val="00A90FED"/>
    <w:rsid w:val="00AA2996"/>
    <w:rsid w:val="00AA52BF"/>
    <w:rsid w:val="00AA559A"/>
    <w:rsid w:val="00AB2AF1"/>
    <w:rsid w:val="00AB5421"/>
    <w:rsid w:val="00AC45BD"/>
    <w:rsid w:val="00AD168E"/>
    <w:rsid w:val="00AD306C"/>
    <w:rsid w:val="00AD68C4"/>
    <w:rsid w:val="00AE09B3"/>
    <w:rsid w:val="00AE1A83"/>
    <w:rsid w:val="00AE7FB2"/>
    <w:rsid w:val="00B00913"/>
    <w:rsid w:val="00B01593"/>
    <w:rsid w:val="00B023F2"/>
    <w:rsid w:val="00B10A4D"/>
    <w:rsid w:val="00B120A1"/>
    <w:rsid w:val="00B121D2"/>
    <w:rsid w:val="00B14BC1"/>
    <w:rsid w:val="00B17E71"/>
    <w:rsid w:val="00B17FDE"/>
    <w:rsid w:val="00B20632"/>
    <w:rsid w:val="00B2379C"/>
    <w:rsid w:val="00B2687D"/>
    <w:rsid w:val="00B30358"/>
    <w:rsid w:val="00B32DDB"/>
    <w:rsid w:val="00B34528"/>
    <w:rsid w:val="00B34CC9"/>
    <w:rsid w:val="00B402FC"/>
    <w:rsid w:val="00B40FF9"/>
    <w:rsid w:val="00B42470"/>
    <w:rsid w:val="00B439DA"/>
    <w:rsid w:val="00B46604"/>
    <w:rsid w:val="00B530CD"/>
    <w:rsid w:val="00B55F5E"/>
    <w:rsid w:val="00B57338"/>
    <w:rsid w:val="00B5752E"/>
    <w:rsid w:val="00B63A11"/>
    <w:rsid w:val="00B64C24"/>
    <w:rsid w:val="00B6608F"/>
    <w:rsid w:val="00B679FB"/>
    <w:rsid w:val="00B76D1E"/>
    <w:rsid w:val="00B80EC6"/>
    <w:rsid w:val="00B84CF6"/>
    <w:rsid w:val="00B86F03"/>
    <w:rsid w:val="00B92D1D"/>
    <w:rsid w:val="00B938C5"/>
    <w:rsid w:val="00B95940"/>
    <w:rsid w:val="00BA0DD3"/>
    <w:rsid w:val="00BA6C2B"/>
    <w:rsid w:val="00BB12FB"/>
    <w:rsid w:val="00BB2F03"/>
    <w:rsid w:val="00BB46F3"/>
    <w:rsid w:val="00BB4CB1"/>
    <w:rsid w:val="00BB4F98"/>
    <w:rsid w:val="00BC0E31"/>
    <w:rsid w:val="00BC5C12"/>
    <w:rsid w:val="00BC7154"/>
    <w:rsid w:val="00BC731E"/>
    <w:rsid w:val="00BD163C"/>
    <w:rsid w:val="00BD2211"/>
    <w:rsid w:val="00BD366B"/>
    <w:rsid w:val="00BD6D50"/>
    <w:rsid w:val="00BE18B9"/>
    <w:rsid w:val="00BE2495"/>
    <w:rsid w:val="00BE468E"/>
    <w:rsid w:val="00BE6186"/>
    <w:rsid w:val="00BF1578"/>
    <w:rsid w:val="00C21405"/>
    <w:rsid w:val="00C21F94"/>
    <w:rsid w:val="00C27913"/>
    <w:rsid w:val="00C33B68"/>
    <w:rsid w:val="00C36A79"/>
    <w:rsid w:val="00C401D2"/>
    <w:rsid w:val="00C405D4"/>
    <w:rsid w:val="00C4513B"/>
    <w:rsid w:val="00C466D2"/>
    <w:rsid w:val="00C517C6"/>
    <w:rsid w:val="00C5390B"/>
    <w:rsid w:val="00C54697"/>
    <w:rsid w:val="00C60191"/>
    <w:rsid w:val="00C6152B"/>
    <w:rsid w:val="00C66A8D"/>
    <w:rsid w:val="00C73885"/>
    <w:rsid w:val="00C747B1"/>
    <w:rsid w:val="00C805DC"/>
    <w:rsid w:val="00C82191"/>
    <w:rsid w:val="00C83134"/>
    <w:rsid w:val="00C85545"/>
    <w:rsid w:val="00C90CF4"/>
    <w:rsid w:val="00C91E11"/>
    <w:rsid w:val="00C92EB6"/>
    <w:rsid w:val="00C93389"/>
    <w:rsid w:val="00C96D08"/>
    <w:rsid w:val="00CA6AB4"/>
    <w:rsid w:val="00CB259D"/>
    <w:rsid w:val="00CB4930"/>
    <w:rsid w:val="00CC2E7D"/>
    <w:rsid w:val="00CC71EC"/>
    <w:rsid w:val="00CD10A5"/>
    <w:rsid w:val="00CD2076"/>
    <w:rsid w:val="00CD29B5"/>
    <w:rsid w:val="00CD6331"/>
    <w:rsid w:val="00CE153B"/>
    <w:rsid w:val="00CE670B"/>
    <w:rsid w:val="00CF1C4C"/>
    <w:rsid w:val="00CF4908"/>
    <w:rsid w:val="00CF51EC"/>
    <w:rsid w:val="00CF73AE"/>
    <w:rsid w:val="00D040DD"/>
    <w:rsid w:val="00D050F8"/>
    <w:rsid w:val="00D075BE"/>
    <w:rsid w:val="00D1005A"/>
    <w:rsid w:val="00D10378"/>
    <w:rsid w:val="00D11854"/>
    <w:rsid w:val="00D13986"/>
    <w:rsid w:val="00D21D83"/>
    <w:rsid w:val="00D235B7"/>
    <w:rsid w:val="00D25F28"/>
    <w:rsid w:val="00D26071"/>
    <w:rsid w:val="00D27973"/>
    <w:rsid w:val="00D279B8"/>
    <w:rsid w:val="00D32F90"/>
    <w:rsid w:val="00D35E1A"/>
    <w:rsid w:val="00D50F46"/>
    <w:rsid w:val="00D52BE2"/>
    <w:rsid w:val="00D57677"/>
    <w:rsid w:val="00D66223"/>
    <w:rsid w:val="00D8084C"/>
    <w:rsid w:val="00D915EA"/>
    <w:rsid w:val="00D93CE2"/>
    <w:rsid w:val="00D943C6"/>
    <w:rsid w:val="00D965EC"/>
    <w:rsid w:val="00DA7C0C"/>
    <w:rsid w:val="00DB08A9"/>
    <w:rsid w:val="00DB2EC8"/>
    <w:rsid w:val="00DC37E3"/>
    <w:rsid w:val="00DC5B3B"/>
    <w:rsid w:val="00DD129F"/>
    <w:rsid w:val="00DE4C19"/>
    <w:rsid w:val="00DF42FF"/>
    <w:rsid w:val="00DF7AD4"/>
    <w:rsid w:val="00E01C0E"/>
    <w:rsid w:val="00E03F9A"/>
    <w:rsid w:val="00E04694"/>
    <w:rsid w:val="00E04F27"/>
    <w:rsid w:val="00E102BD"/>
    <w:rsid w:val="00E11DE1"/>
    <w:rsid w:val="00E12B1E"/>
    <w:rsid w:val="00E17262"/>
    <w:rsid w:val="00E212C9"/>
    <w:rsid w:val="00E253A2"/>
    <w:rsid w:val="00E3309D"/>
    <w:rsid w:val="00E453F9"/>
    <w:rsid w:val="00E47EBA"/>
    <w:rsid w:val="00E50156"/>
    <w:rsid w:val="00E53470"/>
    <w:rsid w:val="00E539F6"/>
    <w:rsid w:val="00E6519D"/>
    <w:rsid w:val="00E67696"/>
    <w:rsid w:val="00E711D1"/>
    <w:rsid w:val="00E71A58"/>
    <w:rsid w:val="00E72A7A"/>
    <w:rsid w:val="00E733C7"/>
    <w:rsid w:val="00E75C94"/>
    <w:rsid w:val="00E76E61"/>
    <w:rsid w:val="00E924B2"/>
    <w:rsid w:val="00E93820"/>
    <w:rsid w:val="00E94A86"/>
    <w:rsid w:val="00E96143"/>
    <w:rsid w:val="00E972A9"/>
    <w:rsid w:val="00EA0840"/>
    <w:rsid w:val="00EA0C68"/>
    <w:rsid w:val="00EA17B0"/>
    <w:rsid w:val="00EA32BC"/>
    <w:rsid w:val="00EA405F"/>
    <w:rsid w:val="00EB4511"/>
    <w:rsid w:val="00EC03D7"/>
    <w:rsid w:val="00EC25F0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160CE"/>
    <w:rsid w:val="00F162B3"/>
    <w:rsid w:val="00F24407"/>
    <w:rsid w:val="00F24FAA"/>
    <w:rsid w:val="00F3364D"/>
    <w:rsid w:val="00F33E56"/>
    <w:rsid w:val="00F433FE"/>
    <w:rsid w:val="00F437CC"/>
    <w:rsid w:val="00F44537"/>
    <w:rsid w:val="00F46502"/>
    <w:rsid w:val="00F47067"/>
    <w:rsid w:val="00F525EB"/>
    <w:rsid w:val="00F55E08"/>
    <w:rsid w:val="00F63DDE"/>
    <w:rsid w:val="00F63FB7"/>
    <w:rsid w:val="00F6421B"/>
    <w:rsid w:val="00F649D2"/>
    <w:rsid w:val="00F6602B"/>
    <w:rsid w:val="00F73A0C"/>
    <w:rsid w:val="00F756DB"/>
    <w:rsid w:val="00F84E7D"/>
    <w:rsid w:val="00F85066"/>
    <w:rsid w:val="00F859D0"/>
    <w:rsid w:val="00F87A4D"/>
    <w:rsid w:val="00FA5D4D"/>
    <w:rsid w:val="00FB0EE2"/>
    <w:rsid w:val="00FB542E"/>
    <w:rsid w:val="00FC0359"/>
    <w:rsid w:val="00FC0E5F"/>
    <w:rsid w:val="00FC1A95"/>
    <w:rsid w:val="00FC56DE"/>
    <w:rsid w:val="00FC684B"/>
    <w:rsid w:val="00FD3265"/>
    <w:rsid w:val="00FD4916"/>
    <w:rsid w:val="00FE2F78"/>
    <w:rsid w:val="00FE6609"/>
    <w:rsid w:val="00FF3EE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Stavebnictv&#237;\Stavebnictv&#237;-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Velk&#225;%20makro\Stavebnictv&#237;\Stavebnictv&#237;-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2040029038385534E-2"/>
          <c:y val="1.9513175616352848E-2"/>
          <c:w val="0.92433548575002533"/>
          <c:h val="0.7541272225868858"/>
        </c:manualLayout>
      </c:layout>
      <c:barChart>
        <c:barDir val="col"/>
        <c:grouping val="clustered"/>
        <c:ser>
          <c:idx val="0"/>
          <c:order val="0"/>
          <c:tx>
            <c:strRef>
              <c:f>'Graf-Národní účty'!$A$29</c:f>
              <c:strCache>
                <c:ptCount val="1"/>
                <c:pt idx="0">
                  <c:v>Hrubá přidaná hodnota (2010=100)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2700">
              <a:noFill/>
              <a:prstDash val="solid"/>
            </a:ln>
          </c:spPr>
          <c:cat>
            <c:strRef>
              <c:f>'Graf-Národní účty'!$G$28:$S$28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účty'!$G$29:$S$29</c:f>
              <c:numCache>
                <c:formatCode>#,##0.0</c:formatCode>
                <c:ptCount val="13"/>
                <c:pt idx="0">
                  <c:v>95.4</c:v>
                </c:pt>
                <c:pt idx="1">
                  <c:v>95.2</c:v>
                </c:pt>
                <c:pt idx="2">
                  <c:v>99.8</c:v>
                </c:pt>
                <c:pt idx="3">
                  <c:v>99.7</c:v>
                </c:pt>
                <c:pt idx="4">
                  <c:v>96.2</c:v>
                </c:pt>
                <c:pt idx="5">
                  <c:v>100</c:v>
                </c:pt>
                <c:pt idx="6">
                  <c:v>93.3</c:v>
                </c:pt>
                <c:pt idx="7">
                  <c:v>90.4</c:v>
                </c:pt>
                <c:pt idx="8">
                  <c:v>91.6</c:v>
                </c:pt>
                <c:pt idx="9">
                  <c:v>93.4</c:v>
                </c:pt>
                <c:pt idx="10">
                  <c:v>97.1</c:v>
                </c:pt>
                <c:pt idx="11">
                  <c:v>93.5</c:v>
                </c:pt>
                <c:pt idx="12">
                  <c:v>90.8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C2-434C-8A54-96E7B363BB35}"/>
            </c:ext>
          </c:extLst>
        </c:ser>
        <c:gapWidth val="30"/>
        <c:axId val="106060416"/>
        <c:axId val="106151296"/>
      </c:barChart>
      <c:lineChart>
        <c:grouping val="standard"/>
        <c:ser>
          <c:idx val="3"/>
          <c:order val="1"/>
          <c:tx>
            <c:strRef>
              <c:f>'Graf-Národní účty'!$A$30</c:f>
              <c:strCache>
                <c:ptCount val="1"/>
                <c:pt idx="0">
                  <c:v>Objem reálných vyplacených mezd a platů (2010=100)*</c:v>
                </c:pt>
              </c:strCache>
            </c:strRef>
          </c:tx>
          <c:spPr>
            <a:ln w="19050">
              <a:solidFill>
                <a:srgbClr val="F8A124"/>
              </a:solidFill>
              <a:prstDash val="solid"/>
            </a:ln>
          </c:spPr>
          <c:marker>
            <c:symbol val="none"/>
          </c:marker>
          <c:cat>
            <c:strRef>
              <c:f>'Graf-Národní účty'!$G$28:$S$28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účty'!$G$30:$S$30</c:f>
              <c:numCache>
                <c:formatCode>0.0</c:formatCode>
                <c:ptCount val="13"/>
                <c:pt idx="0">
                  <c:v>88.872958608160758</c:v>
                </c:pt>
                <c:pt idx="1">
                  <c:v>93.395491653568655</c:v>
                </c:pt>
                <c:pt idx="2">
                  <c:v>98.797041479858564</c:v>
                </c:pt>
                <c:pt idx="3">
                  <c:v>102.06282607321229</c:v>
                </c:pt>
                <c:pt idx="4">
                  <c:v>101.22804327435941</c:v>
                </c:pt>
                <c:pt idx="5">
                  <c:v>100</c:v>
                </c:pt>
                <c:pt idx="6">
                  <c:v>94.024883186783867</c:v>
                </c:pt>
                <c:pt idx="7">
                  <c:v>89.91279633258182</c:v>
                </c:pt>
                <c:pt idx="8">
                  <c:v>83.094855006536918</c:v>
                </c:pt>
                <c:pt idx="9">
                  <c:v>80.348684479829132</c:v>
                </c:pt>
                <c:pt idx="10">
                  <c:v>82.882459415101778</c:v>
                </c:pt>
                <c:pt idx="11">
                  <c:v>83.497424207242261</c:v>
                </c:pt>
                <c:pt idx="12">
                  <c:v>84.291724583205905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C2-434C-8A54-96E7B363BB35}"/>
            </c:ext>
          </c:extLst>
        </c:ser>
        <c:ser>
          <c:idx val="1"/>
          <c:order val="2"/>
          <c:tx>
            <c:strRef>
              <c:f>'Graf-Národní účty'!$A$31</c:f>
              <c:strCache>
                <c:ptCount val="1"/>
                <c:pt idx="0">
                  <c:v>Reálná hodinová produktivita práce (2010=100)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strRef>
              <c:f>'Graf-Národní účty'!$G$28:$S$28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účty'!$G$31:$S$31</c:f>
              <c:numCache>
                <c:formatCode>0.0</c:formatCode>
                <c:ptCount val="13"/>
                <c:pt idx="0">
                  <c:v>100.40255211866547</c:v>
                </c:pt>
                <c:pt idx="1">
                  <c:v>100.8751063927084</c:v>
                </c:pt>
                <c:pt idx="2">
                  <c:v>107.43517214931229</c:v>
                </c:pt>
                <c:pt idx="3">
                  <c:v>104.01506292037332</c:v>
                </c:pt>
                <c:pt idx="4">
                  <c:v>97.723933671592476</c:v>
                </c:pt>
                <c:pt idx="5">
                  <c:v>100</c:v>
                </c:pt>
                <c:pt idx="6">
                  <c:v>97.47411999196818</c:v>
                </c:pt>
                <c:pt idx="7">
                  <c:v>97.643589669977501</c:v>
                </c:pt>
                <c:pt idx="8">
                  <c:v>102.42555718698395</c:v>
                </c:pt>
                <c:pt idx="9">
                  <c:v>107.79083702217523</c:v>
                </c:pt>
                <c:pt idx="10">
                  <c:v>113.96102538251102</c:v>
                </c:pt>
                <c:pt idx="11">
                  <c:v>111.13831306072888</c:v>
                </c:pt>
                <c:pt idx="12">
                  <c:v>106.57035378062378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C2-434C-8A54-96E7B363BB35}"/>
            </c:ext>
          </c:extLst>
        </c:ser>
        <c:ser>
          <c:idx val="7"/>
          <c:order val="3"/>
          <c:tx>
            <c:strRef>
              <c:f>'Graf-Národní účty'!$A$32</c:f>
              <c:strCache>
                <c:ptCount val="1"/>
                <c:pt idx="0">
                  <c:v>Zaměstnanost (úvazky na plnou pracovní dobu, 2010=100)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FF00"/>
              </a:solidFill>
              <a:ln w="6350">
                <a:solidFill>
                  <a:sysClr val="windowText" lastClr="000000">
                    <a:lumMod val="65000"/>
                    <a:lumOff val="35000"/>
                  </a:sysClr>
                </a:solidFill>
              </a:ln>
            </c:spPr>
          </c:marker>
          <c:cat>
            <c:strRef>
              <c:f>'Graf-Národní účty'!$G$28:$S$28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účty'!$G$32:$S$32</c:f>
              <c:numCache>
                <c:formatCode>0.0</c:formatCode>
                <c:ptCount val="13"/>
                <c:pt idx="0">
                  <c:v>93.834942311721079</c:v>
                </c:pt>
                <c:pt idx="1">
                  <c:v>93.316583871834851</c:v>
                </c:pt>
                <c:pt idx="2">
                  <c:v>92.611540195532683</c:v>
                </c:pt>
                <c:pt idx="3">
                  <c:v>95.825828177616728</c:v>
                </c:pt>
                <c:pt idx="4">
                  <c:v>98.258239443923529</c:v>
                </c:pt>
                <c:pt idx="5">
                  <c:v>100</c:v>
                </c:pt>
                <c:pt idx="6">
                  <c:v>95.048184687154063</c:v>
                </c:pt>
                <c:pt idx="7">
                  <c:v>93.457550274842816</c:v>
                </c:pt>
                <c:pt idx="8">
                  <c:v>90.896448958944049</c:v>
                </c:pt>
                <c:pt idx="9">
                  <c:v>87.079773014457416</c:v>
                </c:pt>
                <c:pt idx="10">
                  <c:v>86.478655019652749</c:v>
                </c:pt>
                <c:pt idx="11">
                  <c:v>84.521634956281318</c:v>
                </c:pt>
                <c:pt idx="12">
                  <c:v>84.068679847519178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DC2-434C-8A54-96E7B363BB35}"/>
            </c:ext>
          </c:extLst>
        </c:ser>
        <c:marker val="1"/>
        <c:axId val="106060416"/>
        <c:axId val="106151296"/>
      </c:lineChart>
      <c:lineChart>
        <c:grouping val="standard"/>
        <c:ser>
          <c:idx val="2"/>
          <c:order val="4"/>
          <c:tx>
            <c:strRef>
              <c:f>'Graf-Národní účty'!$A$33</c:f>
              <c:strCache>
                <c:ptCount val="1"/>
                <c:pt idx="0">
                  <c:v>Míra investic (v %)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ysDash"/>
            </a:ln>
          </c:spPr>
          <c:marker>
            <c:symbol val="none"/>
          </c:marker>
          <c:cat>
            <c:strRef>
              <c:f>'Graf-Národní účty'!$G$28:$S$28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účty'!$G$33:$S$33</c:f>
              <c:numCache>
                <c:formatCode>0.0</c:formatCode>
                <c:ptCount val="13"/>
                <c:pt idx="0">
                  <c:v>14.489303930773719</c:v>
                </c:pt>
                <c:pt idx="1">
                  <c:v>14.664232714676533</c:v>
                </c:pt>
                <c:pt idx="2">
                  <c:v>15.547097243023369</c:v>
                </c:pt>
                <c:pt idx="3">
                  <c:v>17.816022300327063</c:v>
                </c:pt>
                <c:pt idx="4">
                  <c:v>14.576024553319424</c:v>
                </c:pt>
                <c:pt idx="5">
                  <c:v>16.380925290042057</c:v>
                </c:pt>
                <c:pt idx="6">
                  <c:v>14.799255943109909</c:v>
                </c:pt>
                <c:pt idx="7">
                  <c:v>14.726700747149035</c:v>
                </c:pt>
                <c:pt idx="8">
                  <c:v>12.842435709577529</c:v>
                </c:pt>
                <c:pt idx="9">
                  <c:v>15.824123599903089</c:v>
                </c:pt>
                <c:pt idx="10">
                  <c:v>15.532659660120812</c:v>
                </c:pt>
                <c:pt idx="11">
                  <c:v>15.685974182898081</c:v>
                </c:pt>
                <c:pt idx="12">
                  <c:v>16.289384371550948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DC2-434C-8A54-96E7B363BB35}"/>
            </c:ext>
          </c:extLst>
        </c:ser>
        <c:ser>
          <c:idx val="5"/>
          <c:order val="5"/>
          <c:tx>
            <c:strRef>
              <c:f>'Graf-Národní účty'!$A$34</c:f>
              <c:strCache>
                <c:ptCount val="1"/>
                <c:pt idx="0">
                  <c:v>Míra zisku nefinančních podniků (v %)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ysDash"/>
            </a:ln>
          </c:spPr>
          <c:marker>
            <c:symbol val="none"/>
          </c:marker>
          <c:cat>
            <c:strRef>
              <c:f>'Graf-Národní účty'!$G$28:$S$28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'Graf-Národní účty'!$G$34:$S$34</c:f>
              <c:numCache>
                <c:formatCode>0.0</c:formatCode>
                <c:ptCount val="13"/>
                <c:pt idx="0">
                  <c:v>46.752371572235759</c:v>
                </c:pt>
                <c:pt idx="1">
                  <c:v>43.636546487655245</c:v>
                </c:pt>
                <c:pt idx="2">
                  <c:v>46.130449263795242</c:v>
                </c:pt>
                <c:pt idx="3">
                  <c:v>43.984376378684544</c:v>
                </c:pt>
                <c:pt idx="4">
                  <c:v>42.368792104026319</c:v>
                </c:pt>
                <c:pt idx="5">
                  <c:v>42.419000566233308</c:v>
                </c:pt>
                <c:pt idx="6">
                  <c:v>39.224053131805213</c:v>
                </c:pt>
                <c:pt idx="7">
                  <c:v>36.000470498287044</c:v>
                </c:pt>
                <c:pt idx="8">
                  <c:v>38.934113360997102</c:v>
                </c:pt>
                <c:pt idx="9">
                  <c:v>41.982415358329263</c:v>
                </c:pt>
                <c:pt idx="10">
                  <c:v>43.968630758452761</c:v>
                </c:pt>
                <c:pt idx="11">
                  <c:v>42.065421593545999</c:v>
                </c:pt>
                <c:pt idx="12">
                  <c:v>41.353121142182374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DC2-434C-8A54-96E7B363BB35}"/>
            </c:ext>
          </c:extLst>
        </c:ser>
        <c:marker val="1"/>
        <c:axId val="107626880"/>
        <c:axId val="107048960"/>
      </c:lineChart>
      <c:catAx>
        <c:axId val="106060416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06151296"/>
        <c:crossesAt val="100"/>
        <c:lblAlgn val="ctr"/>
        <c:lblOffset val="0"/>
        <c:tickLblSkip val="1"/>
        <c:tickMarkSkip val="4"/>
      </c:catAx>
      <c:valAx>
        <c:axId val="106151296"/>
        <c:scaling>
          <c:orientation val="minMax"/>
          <c:max val="120"/>
          <c:min val="8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06060416"/>
        <c:crosses val="autoZero"/>
        <c:crossBetween val="between"/>
        <c:majorUnit val="5"/>
      </c:valAx>
      <c:valAx>
        <c:axId val="107048960"/>
        <c:scaling>
          <c:orientation val="minMax"/>
          <c:max val="50"/>
          <c:min val="0"/>
        </c:scaling>
        <c:axPos val="r"/>
        <c:numFmt formatCode="0" sourceLinked="0"/>
        <c:tickLblPos val="nextTo"/>
        <c:crossAx val="107626880"/>
        <c:crosses val="max"/>
        <c:crossBetween val="between"/>
      </c:valAx>
      <c:catAx>
        <c:axId val="107626880"/>
        <c:scaling>
          <c:orientation val="minMax"/>
        </c:scaling>
        <c:delete val="1"/>
        <c:axPos val="b"/>
        <c:numFmt formatCode="General" sourceLinked="1"/>
        <c:tickLblPos val="none"/>
        <c:crossAx val="107048960"/>
        <c:crosses val="autoZero"/>
        <c:auto val="1"/>
        <c:lblAlgn val="ctr"/>
        <c:lblOffset val="100"/>
      </c:cat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825173196790622E-2"/>
          <c:y val="0.81810356023404951"/>
          <c:w val="0.88531755998340822"/>
          <c:h val="0.17446685410282986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2040029038385493E-2"/>
          <c:y val="1.9513175616352921E-2"/>
          <c:w val="0.92433548575002433"/>
          <c:h val="0.76155690645052365"/>
        </c:manualLayout>
      </c:layout>
      <c:lineChart>
        <c:grouping val="standard"/>
        <c:ser>
          <c:idx val="0"/>
          <c:order val="0"/>
          <c:tx>
            <c:strRef>
              <c:f>'Graf-stavební práce S'!$D$4</c:f>
              <c:strCache>
                <c:ptCount val="1"/>
                <c:pt idx="0">
                  <c:v>Bytové budovy</c:v>
                </c:pt>
              </c:strCache>
            </c:strRef>
          </c:tx>
          <c:spPr>
            <a:ln w="22225">
              <a:solidFill>
                <a:srgbClr val="0071BC"/>
              </a:solidFill>
            </a:ln>
          </c:spPr>
          <c:marker>
            <c:symbol val="none"/>
          </c:marker>
          <c:cat>
            <c:numRef>
              <c:f>'Graf-stavební práce S'!$C$16:$C$28</c:f>
              <c:numCache>
                <c:formatCode>0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'Graf-stavební práce S'!$D$16:$D$28</c:f>
              <c:numCache>
                <c:formatCode>#,##0</c:formatCode>
                <c:ptCount val="13"/>
                <c:pt idx="0">
                  <c:v>58.818641364066103</c:v>
                </c:pt>
                <c:pt idx="1">
                  <c:v>68.959892001446178</c:v>
                </c:pt>
                <c:pt idx="2">
                  <c:v>80.630953920443133</c:v>
                </c:pt>
                <c:pt idx="3">
                  <c:v>80.150026903180958</c:v>
                </c:pt>
                <c:pt idx="4">
                  <c:v>65.687689495415327</c:v>
                </c:pt>
                <c:pt idx="5">
                  <c:v>56.711000000000006</c:v>
                </c:pt>
                <c:pt idx="6">
                  <c:v>61.111000000000004</c:v>
                </c:pt>
                <c:pt idx="7">
                  <c:v>50.453999999999994</c:v>
                </c:pt>
                <c:pt idx="8">
                  <c:v>43.690000000000012</c:v>
                </c:pt>
                <c:pt idx="9">
                  <c:v>46.343999999999994</c:v>
                </c:pt>
                <c:pt idx="10">
                  <c:v>51.603000000000002</c:v>
                </c:pt>
                <c:pt idx="11">
                  <c:v>57.574000000000005</c:v>
                </c:pt>
                <c:pt idx="12">
                  <c:v>59.966000000000001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4F-449B-B94B-93F59C3A1B7E}"/>
            </c:ext>
          </c:extLst>
        </c:ser>
        <c:ser>
          <c:idx val="1"/>
          <c:order val="1"/>
          <c:tx>
            <c:strRef>
              <c:f>'Graf-stavební práce S'!$E$4</c:f>
              <c:strCache>
                <c:ptCount val="1"/>
                <c:pt idx="0">
                  <c:v>Nebytové budovy nevýrobní</c:v>
                </c:pt>
              </c:strCache>
            </c:strRef>
          </c:tx>
          <c:spPr>
            <a:ln w="22225">
              <a:solidFill>
                <a:srgbClr val="BD1B21"/>
              </a:solidFill>
            </a:ln>
          </c:spPr>
          <c:marker>
            <c:symbol val="none"/>
          </c:marker>
          <c:cat>
            <c:numRef>
              <c:f>'Graf-stavební práce S'!$C$16:$C$28</c:f>
              <c:numCache>
                <c:formatCode>0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'Graf-stavební práce S'!$E$16:$E$28</c:f>
              <c:numCache>
                <c:formatCode>#,##0</c:formatCode>
                <c:ptCount val="13"/>
                <c:pt idx="0">
                  <c:v>53.60564868461222</c:v>
                </c:pt>
                <c:pt idx="1">
                  <c:v>64.920537063059058</c:v>
                </c:pt>
                <c:pt idx="2">
                  <c:v>63.567281719881024</c:v>
                </c:pt>
                <c:pt idx="3">
                  <c:v>65.036916750354749</c:v>
                </c:pt>
                <c:pt idx="4">
                  <c:v>66.210068986541103</c:v>
                </c:pt>
                <c:pt idx="5">
                  <c:v>62.929000000000002</c:v>
                </c:pt>
                <c:pt idx="6">
                  <c:v>62.364000000000004</c:v>
                </c:pt>
                <c:pt idx="7">
                  <c:v>61.037000000000006</c:v>
                </c:pt>
                <c:pt idx="8">
                  <c:v>55.079000000000001</c:v>
                </c:pt>
                <c:pt idx="9">
                  <c:v>59.810999999999993</c:v>
                </c:pt>
                <c:pt idx="10">
                  <c:v>56.185000000000002</c:v>
                </c:pt>
                <c:pt idx="11">
                  <c:v>42.645000000000003</c:v>
                </c:pt>
                <c:pt idx="12">
                  <c:v>48.379000000000005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4F-449B-B94B-93F59C3A1B7E}"/>
            </c:ext>
          </c:extLst>
        </c:ser>
        <c:ser>
          <c:idx val="2"/>
          <c:order val="2"/>
          <c:tx>
            <c:strRef>
              <c:f>'Graf-stavební práce S'!$F$4</c:f>
              <c:strCache>
                <c:ptCount val="1"/>
                <c:pt idx="0">
                  <c:v>Nebytové budovy výrobní</c:v>
                </c:pt>
              </c:strCache>
            </c:strRef>
          </c:tx>
          <c:spPr>
            <a:ln w="22225">
              <a:solidFill>
                <a:srgbClr val="7DBB2D"/>
              </a:solidFill>
            </a:ln>
          </c:spPr>
          <c:marker>
            <c:symbol val="none"/>
          </c:marker>
          <c:cat>
            <c:numRef>
              <c:f>'Graf-stavební práce S'!$C$16:$C$28</c:f>
              <c:numCache>
                <c:formatCode>0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'Graf-stavební práce S'!$F$16:$F$28</c:f>
              <c:numCache>
                <c:formatCode>#,##0</c:formatCode>
                <c:ptCount val="13"/>
                <c:pt idx="0">
                  <c:v>67.897494707140893</c:v>
                </c:pt>
                <c:pt idx="1">
                  <c:v>72.727779427550658</c:v>
                </c:pt>
                <c:pt idx="2">
                  <c:v>91.471284429676629</c:v>
                </c:pt>
                <c:pt idx="3">
                  <c:v>88.138023390106511</c:v>
                </c:pt>
                <c:pt idx="4">
                  <c:v>63.625182468539471</c:v>
                </c:pt>
                <c:pt idx="5">
                  <c:v>54.336999999999996</c:v>
                </c:pt>
                <c:pt idx="6">
                  <c:v>62.355999999999995</c:v>
                </c:pt>
                <c:pt idx="7">
                  <c:v>60.698000000000263</c:v>
                </c:pt>
                <c:pt idx="8">
                  <c:v>58.63</c:v>
                </c:pt>
                <c:pt idx="9">
                  <c:v>60.615000000000002</c:v>
                </c:pt>
                <c:pt idx="10">
                  <c:v>62.155000000000001</c:v>
                </c:pt>
                <c:pt idx="11">
                  <c:v>71.170999999999978</c:v>
                </c:pt>
                <c:pt idx="12">
                  <c:v>87.816999999999993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4F-449B-B94B-93F59C3A1B7E}"/>
            </c:ext>
          </c:extLst>
        </c:ser>
        <c:ser>
          <c:idx val="3"/>
          <c:order val="3"/>
          <c:tx>
            <c:strRef>
              <c:f>'Graf-stavební práce S'!$G$4</c:f>
              <c:strCache>
                <c:ptCount val="1"/>
                <c:pt idx="0">
                  <c:v>Vodohospodářské stavby</c:v>
                </c:pt>
              </c:strCache>
            </c:strRef>
          </c:tx>
          <c:spPr>
            <a:ln w="22225">
              <a:solidFill>
                <a:srgbClr val="48AEE7"/>
              </a:solidFill>
            </a:ln>
          </c:spPr>
          <c:marker>
            <c:symbol val="none"/>
          </c:marker>
          <c:cat>
            <c:numRef>
              <c:f>'Graf-stavební práce S'!$C$16:$C$28</c:f>
              <c:numCache>
                <c:formatCode>0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'Graf-stavební práce S'!$G$16:$G$28</c:f>
              <c:numCache>
                <c:formatCode>#,##0</c:formatCode>
                <c:ptCount val="13"/>
                <c:pt idx="0">
                  <c:v>4.7864008744399635</c:v>
                </c:pt>
                <c:pt idx="1">
                  <c:v>4.6751604276779259</c:v>
                </c:pt>
                <c:pt idx="2">
                  <c:v>4.5690227537031918</c:v>
                </c:pt>
                <c:pt idx="3">
                  <c:v>4.4319987855547316</c:v>
                </c:pt>
                <c:pt idx="4">
                  <c:v>7.0831826430222806</c:v>
                </c:pt>
                <c:pt idx="5">
                  <c:v>6.4009999999999998</c:v>
                </c:pt>
                <c:pt idx="6">
                  <c:v>6.1209999999999845</c:v>
                </c:pt>
                <c:pt idx="7">
                  <c:v>8.3370000000000015</c:v>
                </c:pt>
                <c:pt idx="8">
                  <c:v>6.9279999999999955</c:v>
                </c:pt>
                <c:pt idx="9">
                  <c:v>5.242</c:v>
                </c:pt>
                <c:pt idx="10">
                  <c:v>4.7039999999999997</c:v>
                </c:pt>
                <c:pt idx="11">
                  <c:v>2.98</c:v>
                </c:pt>
                <c:pt idx="12">
                  <c:v>2.9699999999999998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C4F-449B-B94B-93F59C3A1B7E}"/>
            </c:ext>
          </c:extLst>
        </c:ser>
        <c:ser>
          <c:idx val="4"/>
          <c:order val="4"/>
          <c:tx>
            <c:strRef>
              <c:f>'Graf-stavební práce S'!$H$4</c:f>
              <c:strCache>
                <c:ptCount val="1"/>
                <c:pt idx="0">
                  <c:v>Inženýrské stavby</c:v>
                </c:pt>
              </c:strCache>
            </c:strRef>
          </c:tx>
          <c:spPr>
            <a:ln w="22225">
              <a:solidFill>
                <a:srgbClr val="7030A0"/>
              </a:solidFill>
            </a:ln>
          </c:spPr>
          <c:marker>
            <c:symbol val="none"/>
          </c:marker>
          <c:cat>
            <c:numRef>
              <c:f>'Graf-stavební práce S'!$C$16:$C$28</c:f>
              <c:numCache>
                <c:formatCode>0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'Graf-stavební práce S'!$H$16:$H$28</c:f>
              <c:numCache>
                <c:formatCode>#,##0</c:formatCode>
                <c:ptCount val="13"/>
                <c:pt idx="0">
                  <c:v>129.73595700670072</c:v>
                </c:pt>
                <c:pt idx="1">
                  <c:v>132.36490554669271</c:v>
                </c:pt>
                <c:pt idx="2">
                  <c:v>138.34841691702496</c:v>
                </c:pt>
                <c:pt idx="3">
                  <c:v>160.39469725533581</c:v>
                </c:pt>
                <c:pt idx="4">
                  <c:v>173.31131139844464</c:v>
                </c:pt>
                <c:pt idx="5">
                  <c:v>175.911</c:v>
                </c:pt>
                <c:pt idx="6">
                  <c:v>140.26499999999999</c:v>
                </c:pt>
                <c:pt idx="7">
                  <c:v>124.262</c:v>
                </c:pt>
                <c:pt idx="8">
                  <c:v>119.423</c:v>
                </c:pt>
                <c:pt idx="9">
                  <c:v>130.56300000000002</c:v>
                </c:pt>
                <c:pt idx="10">
                  <c:v>151.69299999999998</c:v>
                </c:pt>
                <c:pt idx="11">
                  <c:v>117.92700000000002</c:v>
                </c:pt>
                <c:pt idx="12">
                  <c:v>114.768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C4F-449B-B94B-93F59C3A1B7E}"/>
            </c:ext>
          </c:extLst>
        </c:ser>
        <c:ser>
          <c:idx val="5"/>
          <c:order val="5"/>
          <c:tx>
            <c:strRef>
              <c:f>'Graf-stavební práce S'!$I$4</c:f>
              <c:strCache>
                <c:ptCount val="1"/>
                <c:pt idx="0">
                  <c:v>Opravy a údržba</c:v>
                </c:pt>
              </c:strCache>
            </c:strRef>
          </c:tx>
          <c:spPr>
            <a:ln w="22225">
              <a:solidFill>
                <a:srgbClr val="F8A124"/>
              </a:solidFill>
            </a:ln>
          </c:spPr>
          <c:marker>
            <c:symbol val="none"/>
          </c:marker>
          <c:cat>
            <c:numRef>
              <c:f>'Graf-stavební práce S'!$C$16:$C$28</c:f>
              <c:numCache>
                <c:formatCode>0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'Graf-stavební práce S'!$I$16:$I$28</c:f>
              <c:numCache>
                <c:formatCode>#,##0</c:formatCode>
                <c:ptCount val="13"/>
                <c:pt idx="0">
                  <c:v>110.61892903654987</c:v>
                </c:pt>
                <c:pt idx="1">
                  <c:v>119.33140329350022</c:v>
                </c:pt>
                <c:pt idx="2">
                  <c:v>128.858280087298</c:v>
                </c:pt>
                <c:pt idx="3">
                  <c:v>137.86096491546721</c:v>
                </c:pt>
                <c:pt idx="4">
                  <c:v>131.79178300803778</c:v>
                </c:pt>
                <c:pt idx="5">
                  <c:v>121.504</c:v>
                </c:pt>
                <c:pt idx="6">
                  <c:v>119.636</c:v>
                </c:pt>
                <c:pt idx="7">
                  <c:v>109.145</c:v>
                </c:pt>
                <c:pt idx="8">
                  <c:v>103.83799999999999</c:v>
                </c:pt>
                <c:pt idx="9">
                  <c:v>114.438</c:v>
                </c:pt>
                <c:pt idx="10">
                  <c:v>119.76400000000002</c:v>
                </c:pt>
                <c:pt idx="11">
                  <c:v>118.422</c:v>
                </c:pt>
                <c:pt idx="12">
                  <c:v>123.642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C4F-449B-B94B-93F59C3A1B7E}"/>
            </c:ext>
          </c:extLst>
        </c:ser>
        <c:ser>
          <c:idx val="6"/>
          <c:order val="6"/>
          <c:tx>
            <c:strRef>
              <c:f>'Graf-stavební práce S'!$J$4</c:f>
              <c:strCache>
                <c:ptCount val="1"/>
                <c:pt idx="0">
                  <c:v>Stavební práce v zahraničí</c:v>
                </c:pt>
              </c:strCache>
            </c:strRef>
          </c:tx>
          <c:spPr>
            <a:ln w="22225">
              <a:solidFill>
                <a:srgbClr val="808080"/>
              </a:solidFill>
            </a:ln>
          </c:spPr>
          <c:marker>
            <c:symbol val="none"/>
          </c:marker>
          <c:cat>
            <c:numRef>
              <c:f>'Graf-stavební práce S'!$C$16:$C$28</c:f>
              <c:numCache>
                <c:formatCode>0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'Graf-stavební práce S'!$J$16:$J$28</c:f>
              <c:numCache>
                <c:formatCode>#,##0</c:formatCode>
                <c:ptCount val="13"/>
                <c:pt idx="0">
                  <c:v>5.9631002791796766</c:v>
                </c:pt>
                <c:pt idx="1">
                  <c:v>9.5983156128160889</c:v>
                </c:pt>
                <c:pt idx="2">
                  <c:v>14.041810155952968</c:v>
                </c:pt>
                <c:pt idx="3">
                  <c:v>11.588756</c:v>
                </c:pt>
                <c:pt idx="4">
                  <c:v>13.168216000000001</c:v>
                </c:pt>
                <c:pt idx="5">
                  <c:v>10.897</c:v>
                </c:pt>
                <c:pt idx="6">
                  <c:v>12.168000000000001</c:v>
                </c:pt>
                <c:pt idx="7">
                  <c:v>10.056000000000004</c:v>
                </c:pt>
                <c:pt idx="8">
                  <c:v>9.8840000000000003</c:v>
                </c:pt>
                <c:pt idx="9">
                  <c:v>11.263</c:v>
                </c:pt>
                <c:pt idx="10">
                  <c:v>12.947000000000001</c:v>
                </c:pt>
                <c:pt idx="11">
                  <c:v>13.89</c:v>
                </c:pt>
                <c:pt idx="12">
                  <c:v>15.889000000000006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C4F-449B-B94B-93F59C3A1B7E}"/>
            </c:ext>
          </c:extLst>
        </c:ser>
        <c:marker val="1"/>
        <c:axId val="134448640"/>
        <c:axId val="134450176"/>
      </c:lineChart>
      <c:catAx>
        <c:axId val="134448640"/>
        <c:scaling>
          <c:orientation val="minMax"/>
        </c:scaling>
        <c:axPos val="b"/>
        <c:numFmt formatCode="0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34450176"/>
        <c:crossesAt val="0"/>
        <c:lblAlgn val="ctr"/>
        <c:lblOffset val="0"/>
        <c:tickLblSkip val="1"/>
        <c:tickMarkSkip val="4"/>
      </c:catAx>
      <c:valAx>
        <c:axId val="134450176"/>
        <c:scaling>
          <c:orientation val="minMax"/>
          <c:max val="180"/>
          <c:min val="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34448640"/>
        <c:crosses val="autoZero"/>
        <c:crossBetween val="between"/>
        <c:majorUnit val="20"/>
      </c:val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825126813686833E-2"/>
          <c:y val="0.8328222447371384"/>
          <c:w val="0.91958409208407565"/>
          <c:h val="0.15288078351908141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9586-E96A-49EF-916A-F0022FF9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11</TotalTime>
  <Pages>5</Pages>
  <Words>1356</Words>
  <Characters>8001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9339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kamenicky3604</cp:lastModifiedBy>
  <cp:revision>4</cp:revision>
  <cp:lastPrinted>2014-07-17T14:07:00Z</cp:lastPrinted>
  <dcterms:created xsi:type="dcterms:W3CDTF">2018-10-29T16:03:00Z</dcterms:created>
  <dcterms:modified xsi:type="dcterms:W3CDTF">2018-10-29T16:13:00Z</dcterms:modified>
</cp:coreProperties>
</file>