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92" w:rsidRPr="001D07EC" w:rsidRDefault="004C03EA" w:rsidP="004B7E92">
      <w:pPr>
        <w:pStyle w:val="Nadpis1"/>
      </w:pPr>
      <w:r w:rsidRPr="004C03EA">
        <w:rPr>
          <w:caps/>
        </w:rPr>
        <w:t>Průměrná míra inflace v roce 2019 byla 2,8 %</w:t>
      </w:r>
    </w:p>
    <w:p w:rsidR="004B7E92" w:rsidRPr="001D07EC" w:rsidRDefault="004B7E92" w:rsidP="004B7E92">
      <w:pPr>
        <w:pStyle w:val="Nadpis2"/>
      </w:pPr>
      <w:r w:rsidRPr="001D07EC">
        <w:t>Indexy spotřebitelských cen – inflace – prosinec 201</w:t>
      </w:r>
      <w:r w:rsidR="004C03EA">
        <w:t>9</w:t>
      </w:r>
    </w:p>
    <w:p w:rsidR="004C03EA" w:rsidRPr="0072569E" w:rsidRDefault="004C03EA" w:rsidP="004C291A">
      <w:pPr>
        <w:pStyle w:val="Perex"/>
        <w:spacing w:before="120" w:line="288" w:lineRule="auto"/>
        <w:rPr>
          <w:b w:val="0"/>
        </w:rPr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prosinci</w:t>
      </w:r>
      <w:r w:rsidRPr="002E7BAD">
        <w:t xml:space="preserve"> proti </w:t>
      </w:r>
      <w:r>
        <w:t>listopadu</w:t>
      </w:r>
      <w:r w:rsidRPr="002E7BAD">
        <w:t xml:space="preserve"> o 0,</w:t>
      </w:r>
      <w:r>
        <w:t>2</w:t>
      </w:r>
      <w:r w:rsidRPr="002E7BAD">
        <w:t> %</w:t>
      </w:r>
      <w:r>
        <w:t xml:space="preserve">. Tento vývoj byl ovlivněn zejména růstem </w:t>
      </w:r>
      <w:r w:rsidRPr="00186648">
        <w:t>cen v</w:t>
      </w:r>
      <w:r>
        <w:t> </w:t>
      </w:r>
      <w:r w:rsidRPr="00186648">
        <w:t>oddíle</w:t>
      </w:r>
      <w:r>
        <w:t xml:space="preserve"> potraviny a nealkoholické nápoje.</w:t>
      </w:r>
      <w:r w:rsidRPr="00186648">
        <w:t xml:space="preserve"> </w:t>
      </w:r>
      <w:r w:rsidRPr="002E7BAD">
        <w:t>Meziročně vzrostly spotřebitelské ceny v </w:t>
      </w:r>
      <w:r>
        <w:t>prosinci</w:t>
      </w:r>
      <w:r w:rsidRPr="002E7BAD">
        <w:t xml:space="preserve"> o </w:t>
      </w:r>
      <w:r>
        <w:t>3,2</w:t>
      </w:r>
      <w:r w:rsidRPr="002E7BAD">
        <w:t> %</w:t>
      </w:r>
      <w:r>
        <w:t>, což bylo o 0,1</w:t>
      </w:r>
      <w:r w:rsidRPr="00895A77">
        <w:t xml:space="preserve"> procentního bodu </w:t>
      </w:r>
      <w:r>
        <w:t>více než </w:t>
      </w:r>
      <w:r w:rsidRPr="00895A77">
        <w:t>v</w:t>
      </w:r>
      <w:r>
        <w:t> listopadu</w:t>
      </w:r>
      <w:r w:rsidRPr="00FC7031">
        <w:t>.</w:t>
      </w:r>
      <w:r>
        <w:t xml:space="preserve"> </w:t>
      </w:r>
      <w:r w:rsidRPr="00635D83">
        <w:t xml:space="preserve">Průměrná míra inflace </w:t>
      </w:r>
      <w:r>
        <w:t>za celý rok </w:t>
      </w:r>
      <w:r w:rsidRPr="00635D83">
        <w:t>201</w:t>
      </w:r>
      <w:r>
        <w:t>9 byla </w:t>
      </w:r>
      <w:r w:rsidRPr="00635D83">
        <w:t>2,</w:t>
      </w:r>
      <w:r>
        <w:t>8 </w:t>
      </w:r>
      <w:r w:rsidRPr="00186648">
        <w:t>%</w:t>
      </w:r>
      <w:r>
        <w:t>.</w:t>
      </w:r>
    </w:p>
    <w:p w:rsidR="004C03EA" w:rsidRPr="002E7BAD" w:rsidRDefault="004C03EA" w:rsidP="004C03EA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4C03EA" w:rsidRDefault="004C03EA" w:rsidP="004C03E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Meziměsíční r</w:t>
      </w:r>
      <w:r w:rsidRPr="0049363E">
        <w:rPr>
          <w:rFonts w:cs="Arial"/>
          <w:szCs w:val="20"/>
        </w:rPr>
        <w:t xml:space="preserve">ůst </w:t>
      </w:r>
      <w:r>
        <w:rPr>
          <w:rFonts w:cs="Arial"/>
          <w:szCs w:val="20"/>
        </w:rPr>
        <w:t xml:space="preserve">spotřebitelských </w:t>
      </w:r>
      <w:r w:rsidRPr="0049363E">
        <w:rPr>
          <w:rFonts w:cs="Arial"/>
          <w:szCs w:val="20"/>
        </w:rPr>
        <w:t xml:space="preserve">cen v oddíle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byl způsoben především vyššími cenami zeleniny o 4,4 %, z toho ceny brambor vzrostly o 7,5 %. Ceny nealkoholických nápojů byly vyšší o 2,5 %, vepřového masa o 3</w:t>
      </w:r>
      <w:r w:rsidRPr="00E841E7">
        <w:rPr>
          <w:rFonts w:cs="Arial"/>
          <w:szCs w:val="20"/>
        </w:rPr>
        <w:t>,1</w:t>
      </w:r>
      <w:r>
        <w:rPr>
          <w:rFonts w:cs="Arial"/>
          <w:szCs w:val="20"/>
        </w:rPr>
        <w:t> %, ovoce o 1,3 % a polotučného trvanlivého mléka o 3,4 %. V oddíle bydlení vzrostly zejména ceny elektřiny o 0,8 %. Vývoj cen v oddíle doprava byl ovlivněn vyššími cenami automobilů o 0,9 %.</w:t>
      </w:r>
    </w:p>
    <w:p w:rsidR="004C03EA" w:rsidRDefault="004C03EA" w:rsidP="004C03EA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2E7BAD">
        <w:rPr>
          <w:rFonts w:eastAsia="Calibri" w:cs="Arial"/>
          <w:szCs w:val="20"/>
        </w:rPr>
        <w:t>Na snižování celkové hladiny spotřebitelských cen působil v </w:t>
      </w:r>
      <w:r>
        <w:rPr>
          <w:rFonts w:eastAsia="Calibri" w:cs="Arial"/>
          <w:szCs w:val="20"/>
        </w:rPr>
        <w:t>prosinci</w:t>
      </w:r>
      <w:r w:rsidRPr="002E7BAD">
        <w:rPr>
          <w:rFonts w:eastAsia="Calibri" w:cs="Arial"/>
          <w:szCs w:val="20"/>
        </w:rPr>
        <w:t xml:space="preserve"> především pokles cen v oddíle </w:t>
      </w:r>
      <w:r>
        <w:rPr>
          <w:rFonts w:eastAsia="Calibri" w:cs="Arial"/>
          <w:szCs w:val="20"/>
        </w:rPr>
        <w:t>alkoholické nápoje, tabák, kde se snížily ceny vína o 2,6 % a ceny lihovin o 1,2 %. V oddíle ostatní zboží a služby byly nižší zejména ceny výrobků a služeb pro osobní péči o 1,3 %. Z potravin klesly c</w:t>
      </w:r>
      <w:r w:rsidRPr="002E7BAD">
        <w:rPr>
          <w:rFonts w:eastAsia="Calibri" w:cs="Arial"/>
          <w:szCs w:val="20"/>
        </w:rPr>
        <w:t xml:space="preserve">eny </w:t>
      </w:r>
      <w:r>
        <w:rPr>
          <w:rFonts w:eastAsia="Calibri" w:cs="Arial"/>
          <w:szCs w:val="20"/>
        </w:rPr>
        <w:t>jogurtů o 6,5 %, sýrů a tvarohů o 1,0 %, olejů a tuků o 1,5 %.</w:t>
      </w:r>
    </w:p>
    <w:p w:rsidR="004C03EA" w:rsidRDefault="004C03EA" w:rsidP="004C03EA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a ceny služeb vzrostly shodně o 0,2 %</w:t>
      </w:r>
      <w:r w:rsidRPr="00D554D7">
        <w:rPr>
          <w:rFonts w:cs="Arial"/>
          <w:szCs w:val="20"/>
        </w:rPr>
        <w:t>.</w:t>
      </w:r>
    </w:p>
    <w:p w:rsidR="004C03EA" w:rsidRPr="002E7BAD" w:rsidRDefault="004C03EA" w:rsidP="004C03EA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4C03EA" w:rsidRPr="007E2B5C" w:rsidRDefault="004C03EA" w:rsidP="004C03E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 xml:space="preserve">Meziročně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prosinci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3,2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0,1 procentního bodu více než v listopadu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Zrychlení meziročního cenového růstu nastalo v oddíle alkoholické </w:t>
      </w:r>
      <w:proofErr w:type="gramStart"/>
      <w:r>
        <w:rPr>
          <w:rFonts w:cs="Arial"/>
          <w:szCs w:val="20"/>
        </w:rPr>
        <w:t>nápoje</w:t>
      </w:r>
      <w:proofErr w:type="gramEnd"/>
      <w:r>
        <w:rPr>
          <w:rFonts w:cs="Arial"/>
          <w:szCs w:val="20"/>
        </w:rPr>
        <w:t xml:space="preserve">, tabák, kde vzrostly ceny lihovin o 4,0 % (v listopadu o 2,2 %). </w:t>
      </w:r>
      <w:r w:rsidRPr="00944142">
        <w:rPr>
          <w:rFonts w:cs="Arial"/>
          <w:szCs w:val="20"/>
        </w:rPr>
        <w:t>V</w:t>
      </w:r>
      <w:r>
        <w:rPr>
          <w:rFonts w:cs="Arial"/>
          <w:szCs w:val="20"/>
        </w:rPr>
        <w:t>ývoj cen v</w:t>
      </w:r>
      <w:r w:rsidRPr="00944142">
        <w:rPr>
          <w:rFonts w:cs="Arial"/>
          <w:szCs w:val="20"/>
        </w:rPr>
        <w:t xml:space="preserve"> oddíle doprava </w:t>
      </w:r>
      <w:r>
        <w:rPr>
          <w:rFonts w:cs="Arial"/>
          <w:szCs w:val="20"/>
        </w:rPr>
        <w:t>ovlivnilo zmírnění poklesu</w:t>
      </w:r>
      <w:r w:rsidRPr="00944142">
        <w:rPr>
          <w:rFonts w:cs="Arial"/>
          <w:szCs w:val="20"/>
        </w:rPr>
        <w:t xml:space="preserve"> cen pohonných hmot a olejů</w:t>
      </w:r>
      <w:r>
        <w:rPr>
          <w:rFonts w:cs="Arial"/>
          <w:szCs w:val="20"/>
        </w:rPr>
        <w:t>. Ty byly v prosinci nižší o 1,2 % (v listopadu o 4,3 %). Ke zpomalení meziročního cenového růstu došlo v prosinci v oddíle potraviny a nealkoholické nápoje. Ceny ovoce byly vyšší o 11,1 % (v listopadu o 16,2 %), ceny zeleniny o 4,3 % (v listopadu o 11,8 %), z čehož ceny brambor meziročně vzrostly o 2,4 % (v listopadu o 23,5 %). Ceny jogurtů přešly z listopadového růstu o 5,7 % v pokles o 0,2 % v prosinci.</w:t>
      </w:r>
    </w:p>
    <w:p w:rsidR="004C03EA" w:rsidRPr="007E2B5C" w:rsidRDefault="004C03EA" w:rsidP="004C03E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E2B5C">
        <w:rPr>
          <w:rFonts w:cs="Arial"/>
          <w:szCs w:val="20"/>
        </w:rPr>
        <w:t>Na meziroční zvyšování cenové hladiny měly v </w:t>
      </w:r>
      <w:r>
        <w:rPr>
          <w:rFonts w:cs="Arial"/>
          <w:szCs w:val="20"/>
        </w:rPr>
        <w:t>prosinci</w:t>
      </w:r>
      <w:r w:rsidRPr="007E2B5C">
        <w:rPr>
          <w:rFonts w:cs="Arial"/>
          <w:szCs w:val="20"/>
        </w:rPr>
        <w:t xml:space="preserve"> nadále největší vliv ceny v oddíle bydlení, kde se zvýšily ceny nájemného z bytu o 3,7 %, vodného a stočného shodně o 2,6 %, elektřiny o 12,3 %, zemního plynu o 3,0 %, tepla a teplé vody o 4,0 %. Druhé v pořadí vlivu byly ceny v oddíle potraviny a nealkoholické nápoje, kde vzrostly ceny vepřového masa o 17,4 %, uzenin o 9,7 %, polotučného trvanlivého mléka o 5,1 %, sýrů a</w:t>
      </w:r>
      <w:r>
        <w:rPr>
          <w:rFonts w:cs="Arial"/>
          <w:szCs w:val="20"/>
        </w:rPr>
        <w:t> </w:t>
      </w:r>
      <w:r w:rsidRPr="007E2B5C">
        <w:rPr>
          <w:rFonts w:cs="Arial"/>
          <w:szCs w:val="20"/>
        </w:rPr>
        <w:t>tvarohů o 2,9 %</w:t>
      </w:r>
      <w:r>
        <w:rPr>
          <w:rFonts w:cs="Arial"/>
          <w:szCs w:val="20"/>
        </w:rPr>
        <w:t>, cukru o 17,9 %</w:t>
      </w:r>
      <w:r w:rsidRPr="007E2B5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7E2B5C">
        <w:rPr>
          <w:rFonts w:cs="Arial"/>
          <w:szCs w:val="20"/>
        </w:rPr>
        <w:t>Vliv na zvýšení celkové cenové hladiny měly také ceny v oddíle stravování a ubytování, kde byly vyšší ceny stravovacích služeb o 4,8 % a ceny ubytovacích služeb o 3,3 %.</w:t>
      </w:r>
    </w:p>
    <w:p w:rsidR="004C03EA" w:rsidRDefault="004C03EA" w:rsidP="004C03EA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</w:t>
      </w:r>
      <w:r>
        <w:rPr>
          <w:rFonts w:eastAsia="Calibri"/>
          <w:szCs w:val="22"/>
        </w:rPr>
        <w:t xml:space="preserve">celkové </w:t>
      </w:r>
      <w:r w:rsidRPr="00432CD2">
        <w:rPr>
          <w:rFonts w:eastAsia="Calibri"/>
          <w:szCs w:val="22"/>
        </w:rPr>
        <w:t xml:space="preserve">cenové hladiny </w:t>
      </w:r>
      <w:r>
        <w:rPr>
          <w:rFonts w:eastAsia="Calibri"/>
          <w:szCs w:val="22"/>
        </w:rPr>
        <w:t xml:space="preserve">v prosinci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 xml:space="preserve">y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pošty a telekomunikace</w:t>
      </w:r>
      <w:r>
        <w:rPr>
          <w:rFonts w:eastAsia="Calibri"/>
          <w:szCs w:val="22"/>
        </w:rPr>
        <w:t xml:space="preserve"> především vlivem cen telefonních a faxových služeb, které byly nižší o 4,3 %.</w:t>
      </w:r>
    </w:p>
    <w:p w:rsidR="004C03EA" w:rsidRDefault="004C03EA" w:rsidP="004C03E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3,1 %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3,6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</w:t>
      </w:r>
      <w:r>
        <w:rPr>
          <w:rFonts w:cs="Arial"/>
          <w:szCs w:val="20"/>
        </w:rPr>
        <w:t xml:space="preserve"> index spotřebitelských cen bez </w:t>
      </w:r>
      <w:r w:rsidRPr="00D554D7">
        <w:rPr>
          <w:rFonts w:cs="Arial"/>
          <w:szCs w:val="20"/>
        </w:rPr>
        <w:t xml:space="preserve">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103,1</w:t>
      </w:r>
      <w:r w:rsidRPr="00916640">
        <w:rPr>
          <w:rFonts w:cs="Arial"/>
          <w:szCs w:val="20"/>
        </w:rPr>
        <w:t> %.</w:t>
      </w:r>
    </w:p>
    <w:p w:rsidR="004C03EA" w:rsidRDefault="004C03EA" w:rsidP="004C03EA">
      <w:pPr>
        <w:pStyle w:val="Zkladntext"/>
        <w:spacing w:after="240"/>
        <w:jc w:val="both"/>
        <w:outlineLvl w:val="0"/>
        <w:rPr>
          <w:rFonts w:eastAsia="Calibri"/>
          <w:i/>
          <w:iCs/>
          <w:szCs w:val="22"/>
        </w:rPr>
      </w:pPr>
      <w:r w:rsidRPr="00682477">
        <w:rPr>
          <w:rFonts w:cs="Arial"/>
          <w:b/>
          <w:bCs/>
          <w:szCs w:val="20"/>
        </w:rPr>
        <w:t>Průměrná míra inflace</w:t>
      </w:r>
      <w:r w:rsidRPr="00682477">
        <w:rPr>
          <w:rFonts w:cs="Arial"/>
          <w:szCs w:val="20"/>
        </w:rPr>
        <w:t xml:space="preserve"> vyjádřená přírůstkem indexu spotřebitelských cen v roce 201</w:t>
      </w:r>
      <w:r>
        <w:rPr>
          <w:rFonts w:cs="Arial"/>
          <w:szCs w:val="20"/>
        </w:rPr>
        <w:t>9</w:t>
      </w:r>
      <w:r w:rsidRPr="00682477">
        <w:rPr>
          <w:rFonts w:cs="Arial"/>
          <w:szCs w:val="20"/>
        </w:rPr>
        <w:t xml:space="preserve"> proti </w:t>
      </w:r>
      <w:r>
        <w:rPr>
          <w:rFonts w:eastAsia="Calibri"/>
          <w:szCs w:val="22"/>
        </w:rPr>
        <w:t xml:space="preserve">průměru roku </w:t>
      </w:r>
      <w:r w:rsidRPr="004D7C35">
        <w:rPr>
          <w:rFonts w:eastAsia="Calibri"/>
          <w:szCs w:val="22"/>
        </w:rPr>
        <w:t>201</w:t>
      </w:r>
      <w:r>
        <w:rPr>
          <w:rFonts w:eastAsia="Calibri"/>
          <w:szCs w:val="22"/>
        </w:rPr>
        <w:t>8</w:t>
      </w:r>
      <w:r w:rsidRPr="004D7C35">
        <w:rPr>
          <w:rFonts w:eastAsia="Calibri"/>
          <w:szCs w:val="22"/>
        </w:rPr>
        <w:t xml:space="preserve"> byla 2,</w:t>
      </w:r>
      <w:r>
        <w:rPr>
          <w:rFonts w:eastAsia="Calibri"/>
          <w:szCs w:val="22"/>
        </w:rPr>
        <w:t>8</w:t>
      </w:r>
      <w:r w:rsidRPr="004D7C35">
        <w:rPr>
          <w:rFonts w:eastAsia="Calibri"/>
          <w:szCs w:val="22"/>
        </w:rPr>
        <w:t> %, což bylo o 0,</w:t>
      </w:r>
      <w:r>
        <w:rPr>
          <w:rFonts w:eastAsia="Calibri"/>
          <w:szCs w:val="22"/>
        </w:rPr>
        <w:t>7</w:t>
      </w:r>
      <w:r w:rsidRPr="004D7C35">
        <w:rPr>
          <w:rFonts w:eastAsia="Calibri"/>
          <w:szCs w:val="22"/>
        </w:rPr>
        <w:t xml:space="preserve"> procentního bodu </w:t>
      </w:r>
      <w:r>
        <w:rPr>
          <w:rFonts w:eastAsia="Calibri"/>
          <w:szCs w:val="22"/>
        </w:rPr>
        <w:t>více</w:t>
      </w:r>
      <w:r w:rsidRPr="004D7C35">
        <w:rPr>
          <w:rFonts w:eastAsia="Calibri"/>
          <w:szCs w:val="22"/>
        </w:rPr>
        <w:t xml:space="preserve"> než v roce 201</w:t>
      </w:r>
      <w:r>
        <w:rPr>
          <w:rFonts w:eastAsia="Calibri"/>
          <w:szCs w:val="22"/>
        </w:rPr>
        <w:t>8</w:t>
      </w:r>
      <w:r w:rsidRPr="004D7C35">
        <w:rPr>
          <w:rFonts w:eastAsia="Calibri"/>
          <w:szCs w:val="22"/>
        </w:rPr>
        <w:t>.</w:t>
      </w:r>
      <w:r>
        <w:rPr>
          <w:rFonts w:eastAsia="Calibri"/>
          <w:szCs w:val="22"/>
        </w:rPr>
        <w:t xml:space="preserve"> </w:t>
      </w:r>
      <w:r w:rsidRPr="004D7C35">
        <w:rPr>
          <w:rFonts w:eastAsia="Calibri"/>
          <w:szCs w:val="22"/>
        </w:rPr>
        <w:t xml:space="preserve">Byla to </w:t>
      </w:r>
      <w:r>
        <w:rPr>
          <w:rFonts w:eastAsia="Calibri"/>
          <w:szCs w:val="22"/>
        </w:rPr>
        <w:t>druhá</w:t>
      </w:r>
      <w:r w:rsidRPr="004D7C35">
        <w:rPr>
          <w:rFonts w:eastAsia="Calibri"/>
          <w:szCs w:val="22"/>
        </w:rPr>
        <w:t xml:space="preserve"> nejvyšší</w:t>
      </w:r>
      <w:r>
        <w:rPr>
          <w:rFonts w:eastAsia="Calibri"/>
          <w:szCs w:val="22"/>
        </w:rPr>
        <w:t xml:space="preserve"> průměrná roční míra inflace za posledních 11 </w:t>
      </w:r>
      <w:r w:rsidRPr="004D7C35">
        <w:rPr>
          <w:rFonts w:eastAsia="Calibri"/>
          <w:szCs w:val="22"/>
        </w:rPr>
        <w:t>let (vyšší míra in</w:t>
      </w:r>
      <w:r>
        <w:rPr>
          <w:rFonts w:eastAsia="Calibri"/>
          <w:szCs w:val="22"/>
        </w:rPr>
        <w:t>flace byla pouze v roce 2012 ve </w:t>
      </w:r>
      <w:r w:rsidRPr="004D7C35">
        <w:rPr>
          <w:rFonts w:eastAsia="Calibri"/>
          <w:szCs w:val="22"/>
        </w:rPr>
        <w:t>výši 3,3 %</w:t>
      </w:r>
      <w:r w:rsidRPr="007C02FC">
        <w:rPr>
          <w:rFonts w:eastAsia="Calibri"/>
          <w:szCs w:val="22"/>
        </w:rPr>
        <w:t xml:space="preserve">). </w:t>
      </w:r>
      <w:r>
        <w:rPr>
          <w:rFonts w:eastAsia="Calibri"/>
          <w:szCs w:val="22"/>
        </w:rPr>
        <w:t xml:space="preserve">Ceny zboží </w:t>
      </w:r>
      <w:r w:rsidRPr="008A73AA">
        <w:rPr>
          <w:rFonts w:eastAsia="Calibri"/>
          <w:szCs w:val="22"/>
        </w:rPr>
        <w:t>úhrnem vzrostly o 2,3 % a ceny služeb o 3,7 %.</w:t>
      </w:r>
    </w:p>
    <w:p w:rsidR="004C03EA" w:rsidRPr="004D7C35" w:rsidRDefault="004C03EA" w:rsidP="004C03EA">
      <w:pPr>
        <w:pStyle w:val="Zkladntext"/>
        <w:spacing w:after="240"/>
        <w:jc w:val="both"/>
        <w:rPr>
          <w:rFonts w:eastAsia="Calibri"/>
          <w:i/>
          <w:iCs/>
          <w:szCs w:val="22"/>
        </w:rPr>
      </w:pPr>
      <w:r w:rsidRPr="007C02FC">
        <w:rPr>
          <w:rFonts w:eastAsia="Calibri"/>
          <w:szCs w:val="22"/>
        </w:rPr>
        <w:lastRenderedPageBreak/>
        <w:t>(Shrnutí vývoje indexu spotřebitelských cen v roce 201</w:t>
      </w:r>
      <w:r>
        <w:rPr>
          <w:rFonts w:eastAsia="Calibri"/>
          <w:szCs w:val="22"/>
        </w:rPr>
        <w:t>9</w:t>
      </w:r>
      <w:r w:rsidRPr="007C02FC">
        <w:rPr>
          <w:rFonts w:eastAsia="Calibri"/>
          <w:szCs w:val="22"/>
        </w:rPr>
        <w:t xml:space="preserve"> je součástí souběžně vydávané</w:t>
      </w:r>
      <w:r w:rsidRPr="004D7C35">
        <w:rPr>
          <w:rFonts w:eastAsia="Calibri"/>
          <w:szCs w:val="22"/>
        </w:rPr>
        <w:t xml:space="preserve"> analýzy za 4. čtvrtletí.)</w:t>
      </w:r>
    </w:p>
    <w:p w:rsidR="004C03EA" w:rsidRDefault="004C03EA" w:rsidP="004C03E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Eurostatu </w:t>
      </w:r>
      <w:r>
        <w:rPr>
          <w:rFonts w:cs="Arial"/>
          <w:b/>
          <w:sz w:val="20"/>
          <w:szCs w:val="20"/>
        </w:rPr>
        <w:t xml:space="preserve">v listopadu </w:t>
      </w:r>
      <w:r w:rsidRPr="00112ABB">
        <w:rPr>
          <w:rFonts w:cs="Arial"/>
          <w:sz w:val="20"/>
          <w:szCs w:val="20"/>
        </w:rPr>
        <w:t>1,</w:t>
      </w:r>
      <w:r>
        <w:rPr>
          <w:rFonts w:cs="Arial"/>
          <w:sz w:val="20"/>
          <w:szCs w:val="20"/>
        </w:rPr>
        <w:t>3</w:t>
      </w:r>
      <w:r w:rsidRPr="00112ABB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což 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0,2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více než v říjnu. </w:t>
      </w:r>
      <w:r w:rsidRPr="006F3483">
        <w:rPr>
          <w:rFonts w:cs="Arial"/>
          <w:bCs/>
          <w:sz w:val="20"/>
          <w:szCs w:val="22"/>
        </w:rPr>
        <w:t>Nejvíce ceny vzrostly v</w:t>
      </w:r>
      <w:r>
        <w:rPr>
          <w:rFonts w:cs="Arial"/>
          <w:bCs/>
          <w:sz w:val="20"/>
          <w:szCs w:val="22"/>
        </w:rPr>
        <w:t> Rumunsku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(o 3,8 </w:t>
      </w:r>
      <w:r w:rsidRPr="00A76035">
        <w:rPr>
          <w:rFonts w:cs="Arial"/>
          <w:bCs/>
          <w:sz w:val="20"/>
          <w:szCs w:val="22"/>
        </w:rPr>
        <w:t>%)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nejméně v Itálii a v Portugalsku (shodně o 0,2 %)</w:t>
      </w:r>
      <w:r>
        <w:rPr>
          <w:rFonts w:cs="Arial"/>
          <w:bCs/>
          <w:sz w:val="20"/>
          <w:szCs w:val="22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Cs/>
          <w:sz w:val="20"/>
          <w:szCs w:val="22"/>
        </w:rPr>
        <w:t>Na</w:t>
      </w:r>
      <w:r w:rsidRPr="006F3483">
        <w:rPr>
          <w:rFonts w:cs="Arial"/>
          <w:bCs/>
          <w:sz w:val="20"/>
          <w:szCs w:val="22"/>
        </w:rPr>
        <w:t> </w:t>
      </w:r>
      <w:r>
        <w:rPr>
          <w:rFonts w:cs="Arial"/>
          <w:bCs/>
          <w:sz w:val="20"/>
          <w:szCs w:val="22"/>
        </w:rPr>
        <w:t>Slovensku</w:t>
      </w:r>
      <w:r w:rsidRPr="005649D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se ceny v listopadu zvýšily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3,2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říjnu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2,9</w:t>
      </w:r>
      <w:r w:rsidRPr="005649DF">
        <w:rPr>
          <w:rFonts w:cs="Arial"/>
          <w:sz w:val="20"/>
          <w:szCs w:val="20"/>
        </w:rPr>
        <w:t> %).</w:t>
      </w:r>
      <w:r>
        <w:rPr>
          <w:rFonts w:cs="Arial"/>
          <w:sz w:val="20"/>
          <w:szCs w:val="20"/>
        </w:rPr>
        <w:t xml:space="preserve"> V Německu</w:t>
      </w:r>
      <w:r w:rsidRPr="006F3483">
        <w:rPr>
          <w:rFonts w:cs="Arial"/>
          <w:bCs/>
          <w:sz w:val="20"/>
          <w:szCs w:val="22"/>
        </w:rPr>
        <w:t xml:space="preserve"> cenový růst v</w:t>
      </w:r>
      <w:r>
        <w:rPr>
          <w:rFonts w:cs="Arial"/>
          <w:bCs/>
          <w:sz w:val="20"/>
          <w:szCs w:val="22"/>
        </w:rPr>
        <w:t> listopadu zrychlil</w:t>
      </w:r>
      <w:r w:rsidRPr="006F3483">
        <w:rPr>
          <w:rFonts w:cs="Arial"/>
          <w:bCs/>
          <w:sz w:val="20"/>
          <w:szCs w:val="22"/>
        </w:rPr>
        <w:t xml:space="preserve"> na </w:t>
      </w:r>
      <w:r>
        <w:rPr>
          <w:rFonts w:cs="Arial"/>
          <w:bCs/>
          <w:sz w:val="20"/>
          <w:szCs w:val="22"/>
        </w:rPr>
        <w:t>1,2</w:t>
      </w:r>
      <w:r w:rsidRPr="006F3483">
        <w:rPr>
          <w:rFonts w:cs="Arial"/>
          <w:bCs/>
          <w:sz w:val="20"/>
          <w:szCs w:val="22"/>
        </w:rPr>
        <w:t> % z</w:t>
      </w:r>
      <w:r>
        <w:rPr>
          <w:rFonts w:cs="Arial"/>
          <w:bCs/>
          <w:sz w:val="20"/>
          <w:szCs w:val="22"/>
        </w:rPr>
        <w:t> 0,9</w:t>
      </w:r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 xml:space="preserve"> říjnu. </w:t>
      </w: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prosinci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</w:t>
      </w:r>
      <w:r w:rsidRPr="007D1FA4">
        <w:rPr>
          <w:rFonts w:cs="Arial"/>
          <w:b/>
          <w:sz w:val="20"/>
          <w:szCs w:val="20"/>
        </w:rPr>
        <w:t>meziměsíčně</w:t>
      </w:r>
      <w:r w:rsidRPr="005E287B">
        <w:rPr>
          <w:rFonts w:cs="Arial"/>
          <w:sz w:val="20"/>
          <w:szCs w:val="20"/>
        </w:rPr>
        <w:t xml:space="preserve"> </w:t>
      </w:r>
      <w:r w:rsidRPr="0008480C">
        <w:rPr>
          <w:rFonts w:cs="Arial"/>
          <w:sz w:val="20"/>
          <w:szCs w:val="20"/>
        </w:rPr>
        <w:t>o 0,2 % a </w:t>
      </w:r>
      <w:r w:rsidRPr="0008480C">
        <w:rPr>
          <w:rFonts w:cs="Arial"/>
          <w:b/>
          <w:sz w:val="20"/>
          <w:szCs w:val="20"/>
        </w:rPr>
        <w:t>meziročně</w:t>
      </w:r>
      <w:r w:rsidRPr="0008480C">
        <w:rPr>
          <w:rFonts w:cs="Arial"/>
          <w:sz w:val="20"/>
          <w:szCs w:val="20"/>
        </w:rPr>
        <w:t xml:space="preserve"> o 3,2 %. Bleskový odhad meziroční změny HICP </w:t>
      </w:r>
      <w:r w:rsidRPr="0008480C">
        <w:rPr>
          <w:rFonts w:cs="Arial"/>
          <w:b/>
          <w:sz w:val="20"/>
          <w:szCs w:val="20"/>
        </w:rPr>
        <w:t>pro</w:t>
      </w:r>
      <w:r w:rsidRPr="0008480C">
        <w:rPr>
          <w:rFonts w:cs="Arial"/>
          <w:b/>
          <w:bCs/>
          <w:sz w:val="20"/>
          <w:szCs w:val="20"/>
        </w:rPr>
        <w:t xml:space="preserve"> eurozónu </w:t>
      </w:r>
      <w:r w:rsidRPr="0008480C">
        <w:rPr>
          <w:rFonts w:cs="Arial"/>
          <w:b/>
          <w:sz w:val="20"/>
          <w:szCs w:val="20"/>
        </w:rPr>
        <w:t>za</w:t>
      </w:r>
      <w:r w:rsidRPr="0008480C">
        <w:rPr>
          <w:rFonts w:cs="Arial"/>
          <w:b/>
          <w:bCs/>
          <w:sz w:val="20"/>
          <w:szCs w:val="20"/>
        </w:rPr>
        <w:t> pro</w:t>
      </w:r>
      <w:r>
        <w:rPr>
          <w:rFonts w:cs="Arial"/>
          <w:b/>
          <w:bCs/>
          <w:sz w:val="20"/>
          <w:szCs w:val="20"/>
        </w:rPr>
        <w:t>sinec</w:t>
      </w:r>
      <w:r w:rsidRPr="007C69AE">
        <w:rPr>
          <w:rFonts w:cs="Arial"/>
          <w:b/>
          <w:bCs/>
          <w:sz w:val="20"/>
          <w:szCs w:val="20"/>
        </w:rPr>
        <w:t> 2019</w:t>
      </w:r>
      <w:r>
        <w:rPr>
          <w:rFonts w:cs="Arial"/>
          <w:sz w:val="20"/>
          <w:szCs w:val="20"/>
        </w:rPr>
        <w:t xml:space="preserve"> </w:t>
      </w:r>
      <w:r w:rsidRPr="00A448A9">
        <w:rPr>
          <w:rFonts w:cs="Arial"/>
          <w:sz w:val="20"/>
          <w:szCs w:val="20"/>
        </w:rPr>
        <w:t xml:space="preserve">je </w:t>
      </w:r>
      <w:r w:rsidRPr="00013ADC">
        <w:rPr>
          <w:rFonts w:cs="Arial"/>
          <w:sz w:val="20"/>
          <w:szCs w:val="20"/>
        </w:rPr>
        <w:t>1,3</w:t>
      </w:r>
      <w:r w:rsidRPr="00A448A9">
        <w:rPr>
          <w:rFonts w:cs="Arial"/>
          <w:sz w:val="20"/>
          <w:szCs w:val="20"/>
        </w:rPr>
        <w:t> %, jak</w:t>
      </w:r>
      <w:r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uvedl Eurostat. (Více informací na internetových stránkách Eurostatu: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4C03EA" w:rsidRPr="00EA5EF0" w:rsidRDefault="004C03EA" w:rsidP="004C03EA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EA5EF0">
        <w:rPr>
          <w:szCs w:val="20"/>
        </w:rPr>
        <w:t xml:space="preserve">Celková úroveň spotřebitelských cen </w:t>
      </w:r>
      <w:r w:rsidRPr="00EA5EF0">
        <w:rPr>
          <w:b/>
          <w:bCs/>
          <w:szCs w:val="20"/>
        </w:rPr>
        <w:t>domácností důchodců</w:t>
      </w:r>
      <w:r w:rsidRPr="00EA5EF0">
        <w:rPr>
          <w:szCs w:val="20"/>
        </w:rPr>
        <w:t xml:space="preserve"> v prosinci ve srovnání s předcházejícím měsícem vzrostla o 0,2 %. Tento vývoj ovlivnily především ceny v oddíle potraviny a nealkoholické nápoje, které vzrostly o 0,8 %. V tomto oddíle byly vyšší zejména ceny zeleniny, masa a nealkoholických nápojů. </w:t>
      </w:r>
      <w:r w:rsidRPr="00EA5EF0">
        <w:rPr>
          <w:rFonts w:eastAsia="Calibri" w:cs="Arial"/>
          <w:szCs w:val="20"/>
        </w:rPr>
        <w:t>V oddíle bydlení se ceny zvýšily o 0,3 %, zejména vyššími cenami elektřiny. V oddíle rekreace a kultura vzrostly spotřebitelské ceny o 0,3 %. Opačný vliv na změnu cenové hladiny měl pokles cen v oddíle alkoholické nápoje, tabák o 0,3 %. V tomto oddíle byly nižší ceny vína a lihovin.</w:t>
      </w:r>
    </w:p>
    <w:p w:rsidR="004C03EA" w:rsidRPr="00EA5EF0" w:rsidRDefault="004C03EA" w:rsidP="004C03E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EA5EF0">
        <w:rPr>
          <w:b/>
          <w:bCs/>
          <w:sz w:val="20"/>
          <w:szCs w:val="20"/>
        </w:rPr>
        <w:t>V hlavním městě Praze</w:t>
      </w:r>
      <w:r w:rsidRPr="00EA5EF0">
        <w:rPr>
          <w:sz w:val="20"/>
          <w:szCs w:val="20"/>
        </w:rPr>
        <w:t xml:space="preserve"> úhrnný index spotřebitelských cen (životních nákladů) ve srovnání s minulým měsícem vzrostl o 0,1 % (v ČR o 0,2 %). V oddíle potraviny a nealkoholické nápoje ceny vzrostly o 0,5 % (v ČR o 0,7 %). V tomto oddíle byly vyšší zejména ceny zeleniny, masa a nealkoholických nápojů. V oddíle bydlení došlo k růstu cen o 0,3 % (v ČR o 0,4 %). Zvýšily se zde především ceny nájemného z bytu. V oddíle stravování a ubytování se projevily vyšší ceny stravovacích služeb. Na druhé straně došlo v Praze k poklesu spotřebitelských cen v oddíle bytové vybavení, zařízení domácnosti o 1,2 % (v ČR o 0,3 %). V oddíle ostatní zboží a služby ceny klesly o 0,6 % (v ČR také o 0,6 %)</w:t>
      </w:r>
      <w:r w:rsidRPr="00EA5EF0">
        <w:rPr>
          <w:rFonts w:cs="Arial"/>
          <w:sz w:val="20"/>
          <w:szCs w:val="20"/>
        </w:rPr>
        <w:t>.</w:t>
      </w:r>
    </w:p>
    <w:p w:rsidR="004C03EA" w:rsidRPr="00DE40E0" w:rsidRDefault="004C03EA" w:rsidP="004C03E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4C03EA" w:rsidRPr="00DE40E0" w:rsidRDefault="004C03EA" w:rsidP="004C03EA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DE40E0">
        <w:rPr>
          <w:rFonts w:cs="Arial"/>
          <w:sz w:val="20"/>
          <w:szCs w:val="20"/>
        </w:rPr>
        <w:t>* * *</w:t>
      </w:r>
    </w:p>
    <w:p w:rsidR="004B7E92" w:rsidRPr="002445D8" w:rsidRDefault="004C03EA" w:rsidP="004C03EA">
      <w:pPr>
        <w:jc w:val="both"/>
      </w:pPr>
      <w:r w:rsidRPr="00DE40E0">
        <w:rPr>
          <w:rFonts w:cs="Arial"/>
          <w:iCs/>
          <w:szCs w:val="20"/>
        </w:rPr>
        <w:t>Od ledna 2020 budou indexy spotřebitelských cen počítány na aktualizovaných vahách, které budou vycházet z výdajů domácností v roce 2018. Nově vypočítávané indexy budou na všech úrovních spotřebního koše řetězeny k časové řadě indexů o 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p w:rsidR="004B7E92" w:rsidRDefault="004B7E92" w:rsidP="004B7E92">
      <w:pPr>
        <w:spacing w:after="0" w:line="240" w:lineRule="auto"/>
      </w:pPr>
    </w:p>
    <w:sectPr w:rsidR="004B7E92" w:rsidSect="00D5359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13" w:rsidRDefault="007C1F13" w:rsidP="00E71A58">
      <w:r>
        <w:separator/>
      </w:r>
    </w:p>
  </w:endnote>
  <w:endnote w:type="continuationSeparator" w:id="0">
    <w:p w:rsidR="007C1F13" w:rsidRDefault="007C1F1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92" w:rsidRPr="00F1639F" w:rsidRDefault="00B55E92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6985" b="635"/>
          <wp:wrapNone/>
          <wp:docPr id="13" name="Picture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7FE7" w:rsidRPr="00F1639F">
      <w:rPr>
        <w:szCs w:val="16"/>
      </w:rPr>
      <w:fldChar w:fldCharType="begin"/>
    </w:r>
    <w:r w:rsidRPr="00F1639F">
      <w:rPr>
        <w:szCs w:val="16"/>
      </w:rPr>
      <w:instrText>PAGE   \* MERGEFORMAT</w:instrText>
    </w:r>
    <w:r w:rsidR="00BF7FE7" w:rsidRPr="00F1639F">
      <w:rPr>
        <w:szCs w:val="16"/>
      </w:rPr>
      <w:fldChar w:fldCharType="separate"/>
    </w:r>
    <w:r w:rsidR="00D5359D">
      <w:rPr>
        <w:szCs w:val="16"/>
      </w:rPr>
      <w:t>14</w:t>
    </w:r>
    <w:r w:rsidR="00BF7FE7" w:rsidRPr="00F1639F">
      <w:rPr>
        <w:szCs w:val="16"/>
      </w:rPr>
      <w:fldChar w:fldCharType="end"/>
    </w:r>
    <w:r w:rsidRPr="00F1639F">
      <w:rPr>
        <w:szCs w:val="16"/>
      </w:rPr>
      <w:tab/>
    </w:r>
    <w:r>
      <w:rPr>
        <w:rStyle w:val="ZpatChar"/>
        <w:szCs w:val="16"/>
      </w:rPr>
      <w:t>leden – prosinec 201</w:t>
    </w:r>
    <w:r w:rsidR="008F48F4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>
      <w:rPr>
        <w:rStyle w:val="ZpatChar"/>
        <w:i/>
        <w:szCs w:val="16"/>
      </w:rPr>
      <w:t>January – December 201</w:t>
    </w:r>
    <w:r w:rsidR="008F48F4">
      <w:rPr>
        <w:rStyle w:val="ZpatChar"/>
        <w:i/>
        <w:szCs w:val="16"/>
      </w:rP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92" w:rsidRPr="00F1639F" w:rsidRDefault="00B55E92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7620"/>
          <wp:wrapNone/>
          <wp:docPr id="12" name="Picture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639F">
      <w:rPr>
        <w:szCs w:val="16"/>
      </w:rPr>
      <w:tab/>
    </w:r>
    <w:r>
      <w:rPr>
        <w:rStyle w:val="ZpatChar"/>
        <w:szCs w:val="16"/>
      </w:rPr>
      <w:t>leden – prosinec 201</w:t>
    </w:r>
    <w:r w:rsidR="008F48F4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>
      <w:rPr>
        <w:rStyle w:val="ZpatChar"/>
        <w:i/>
        <w:szCs w:val="16"/>
      </w:rPr>
      <w:t>January – December 201</w:t>
    </w:r>
    <w:r w:rsidR="008F48F4">
      <w:rPr>
        <w:rStyle w:val="ZpatChar"/>
        <w:i/>
        <w:szCs w:val="16"/>
      </w:rPr>
      <w:t>9</w:t>
    </w:r>
    <w:r w:rsidRPr="00F1639F">
      <w:rPr>
        <w:szCs w:val="16"/>
      </w:rPr>
      <w:tab/>
    </w:r>
    <w:r w:rsidR="00BF7FE7" w:rsidRPr="00F1639F">
      <w:rPr>
        <w:rStyle w:val="ZpatChar"/>
        <w:szCs w:val="16"/>
      </w:rPr>
      <w:fldChar w:fldCharType="begin"/>
    </w:r>
    <w:r w:rsidRPr="00F1639F">
      <w:rPr>
        <w:rStyle w:val="ZpatChar"/>
        <w:szCs w:val="16"/>
      </w:rPr>
      <w:instrText>PAGE   \* MERGEFORMAT</w:instrText>
    </w:r>
    <w:r w:rsidR="00BF7FE7" w:rsidRPr="00F1639F">
      <w:rPr>
        <w:rStyle w:val="ZpatChar"/>
        <w:szCs w:val="16"/>
      </w:rPr>
      <w:fldChar w:fldCharType="separate"/>
    </w:r>
    <w:r w:rsidR="00D5359D">
      <w:rPr>
        <w:rStyle w:val="ZpatChar"/>
        <w:szCs w:val="16"/>
      </w:rPr>
      <w:t>13</w:t>
    </w:r>
    <w:r w:rsidR="00BF7FE7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13" w:rsidRDefault="007C1F13" w:rsidP="00E71A58">
      <w:r>
        <w:separator/>
      </w:r>
    </w:p>
  </w:footnote>
  <w:footnote w:type="continuationSeparator" w:id="0">
    <w:p w:rsidR="007C1F13" w:rsidRDefault="007C1F13" w:rsidP="00E71A58">
      <w:r>
        <w:continuationSeparator/>
      </w:r>
    </w:p>
  </w:footnote>
  <w:footnote w:id="1">
    <w:p w:rsidR="004C03EA" w:rsidRDefault="004C03EA" w:rsidP="004C03E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92" w:rsidRPr="00937AE2" w:rsidRDefault="00B55E92" w:rsidP="00937AE2">
    <w:pPr>
      <w:pStyle w:val="Zhlav"/>
    </w:pPr>
    <w:r>
      <w:t>Indexy spotřebitelských cen</w:t>
    </w:r>
  </w:p>
  <w:p w:rsidR="00B55E92" w:rsidRPr="00937AE2" w:rsidRDefault="00B55E92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92" w:rsidRPr="00937AE2" w:rsidRDefault="00B55E92" w:rsidP="00937AE2">
    <w:pPr>
      <w:pStyle w:val="Zhlav"/>
    </w:pPr>
    <w:r>
      <w:t>Indexy spotřebitelských cen</w:t>
    </w:r>
  </w:p>
  <w:p w:rsidR="00B55E92" w:rsidRPr="00937AE2" w:rsidRDefault="00B55E92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50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443286"/>
    <w:rsid w:val="0000209D"/>
    <w:rsid w:val="00004D5A"/>
    <w:rsid w:val="000056D5"/>
    <w:rsid w:val="0000767A"/>
    <w:rsid w:val="00010702"/>
    <w:rsid w:val="000234D6"/>
    <w:rsid w:val="00023D29"/>
    <w:rsid w:val="00026389"/>
    <w:rsid w:val="00027B41"/>
    <w:rsid w:val="00031AE0"/>
    <w:rsid w:val="000322EF"/>
    <w:rsid w:val="00033FCD"/>
    <w:rsid w:val="00041CEC"/>
    <w:rsid w:val="0004694F"/>
    <w:rsid w:val="000522E4"/>
    <w:rsid w:val="000554D6"/>
    <w:rsid w:val="00060C89"/>
    <w:rsid w:val="000610E1"/>
    <w:rsid w:val="00062EC5"/>
    <w:rsid w:val="00062F22"/>
    <w:rsid w:val="00063819"/>
    <w:rsid w:val="00065F44"/>
    <w:rsid w:val="000712B3"/>
    <w:rsid w:val="0008263E"/>
    <w:rsid w:val="00082C19"/>
    <w:rsid w:val="00085395"/>
    <w:rsid w:val="00087634"/>
    <w:rsid w:val="00087F2B"/>
    <w:rsid w:val="00092C25"/>
    <w:rsid w:val="000974D1"/>
    <w:rsid w:val="0009799E"/>
    <w:rsid w:val="000A0BD4"/>
    <w:rsid w:val="000A1183"/>
    <w:rsid w:val="000A256D"/>
    <w:rsid w:val="000A3A2C"/>
    <w:rsid w:val="000A6824"/>
    <w:rsid w:val="000C3408"/>
    <w:rsid w:val="000C6AFD"/>
    <w:rsid w:val="000D5637"/>
    <w:rsid w:val="000E3278"/>
    <w:rsid w:val="000E656C"/>
    <w:rsid w:val="000E6FBD"/>
    <w:rsid w:val="00100F5C"/>
    <w:rsid w:val="001043DB"/>
    <w:rsid w:val="00104C4C"/>
    <w:rsid w:val="0012192F"/>
    <w:rsid w:val="00124E27"/>
    <w:rsid w:val="00125D69"/>
    <w:rsid w:val="00136B47"/>
    <w:rsid w:val="001405FA"/>
    <w:rsid w:val="001425C3"/>
    <w:rsid w:val="0016256B"/>
    <w:rsid w:val="00163793"/>
    <w:rsid w:val="00170267"/>
    <w:rsid w:val="001706D6"/>
    <w:rsid w:val="001714F2"/>
    <w:rsid w:val="00184B08"/>
    <w:rsid w:val="00185010"/>
    <w:rsid w:val="001931B1"/>
    <w:rsid w:val="001A552F"/>
    <w:rsid w:val="001B2CA9"/>
    <w:rsid w:val="001B3110"/>
    <w:rsid w:val="001B4729"/>
    <w:rsid w:val="001B6927"/>
    <w:rsid w:val="001B6C09"/>
    <w:rsid w:val="001C05CD"/>
    <w:rsid w:val="001D07EC"/>
    <w:rsid w:val="001D68B2"/>
    <w:rsid w:val="001E598F"/>
    <w:rsid w:val="001F4597"/>
    <w:rsid w:val="002118B9"/>
    <w:rsid w:val="00217C5B"/>
    <w:rsid w:val="00220113"/>
    <w:rsid w:val="0022139E"/>
    <w:rsid w:val="002252E0"/>
    <w:rsid w:val="002255F6"/>
    <w:rsid w:val="00227850"/>
    <w:rsid w:val="00230C6E"/>
    <w:rsid w:val="002339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C43BD"/>
    <w:rsid w:val="002D0E59"/>
    <w:rsid w:val="002E02A1"/>
    <w:rsid w:val="002E4E4C"/>
    <w:rsid w:val="002E57D3"/>
    <w:rsid w:val="002F1AA2"/>
    <w:rsid w:val="002F1EB1"/>
    <w:rsid w:val="00304771"/>
    <w:rsid w:val="00304CEB"/>
    <w:rsid w:val="003052D4"/>
    <w:rsid w:val="00306C5B"/>
    <w:rsid w:val="00310261"/>
    <w:rsid w:val="00310D9F"/>
    <w:rsid w:val="003209D6"/>
    <w:rsid w:val="0032656E"/>
    <w:rsid w:val="00332190"/>
    <w:rsid w:val="00340EA8"/>
    <w:rsid w:val="00344668"/>
    <w:rsid w:val="003462D9"/>
    <w:rsid w:val="003657F3"/>
    <w:rsid w:val="003818DC"/>
    <w:rsid w:val="00385D98"/>
    <w:rsid w:val="003A2087"/>
    <w:rsid w:val="003A2B4D"/>
    <w:rsid w:val="003A478C"/>
    <w:rsid w:val="003A5525"/>
    <w:rsid w:val="003A6B38"/>
    <w:rsid w:val="003B5A32"/>
    <w:rsid w:val="003C3490"/>
    <w:rsid w:val="003D3BEB"/>
    <w:rsid w:val="003D6920"/>
    <w:rsid w:val="003E2E2D"/>
    <w:rsid w:val="003E4C91"/>
    <w:rsid w:val="003F313C"/>
    <w:rsid w:val="003F551C"/>
    <w:rsid w:val="00403859"/>
    <w:rsid w:val="00407C13"/>
    <w:rsid w:val="00410128"/>
    <w:rsid w:val="00410638"/>
    <w:rsid w:val="004205BE"/>
    <w:rsid w:val="00432A58"/>
    <w:rsid w:val="00434617"/>
    <w:rsid w:val="00440900"/>
    <w:rsid w:val="00443286"/>
    <w:rsid w:val="004441A0"/>
    <w:rsid w:val="00445267"/>
    <w:rsid w:val="00453904"/>
    <w:rsid w:val="00470E22"/>
    <w:rsid w:val="00473CBA"/>
    <w:rsid w:val="00476240"/>
    <w:rsid w:val="00476439"/>
    <w:rsid w:val="0047735C"/>
    <w:rsid w:val="004776BC"/>
    <w:rsid w:val="0048139F"/>
    <w:rsid w:val="00481E40"/>
    <w:rsid w:val="00484A1D"/>
    <w:rsid w:val="00484ECE"/>
    <w:rsid w:val="00485691"/>
    <w:rsid w:val="004915CB"/>
    <w:rsid w:val="00496DA6"/>
    <w:rsid w:val="004A1719"/>
    <w:rsid w:val="004A3212"/>
    <w:rsid w:val="004A61C5"/>
    <w:rsid w:val="004A77DF"/>
    <w:rsid w:val="004B1417"/>
    <w:rsid w:val="004B55B7"/>
    <w:rsid w:val="004B6468"/>
    <w:rsid w:val="004B7E92"/>
    <w:rsid w:val="004C03EA"/>
    <w:rsid w:val="004C291A"/>
    <w:rsid w:val="004C384C"/>
    <w:rsid w:val="004C3867"/>
    <w:rsid w:val="004C4CD0"/>
    <w:rsid w:val="004C70DC"/>
    <w:rsid w:val="004D0211"/>
    <w:rsid w:val="004D0794"/>
    <w:rsid w:val="004F06F5"/>
    <w:rsid w:val="004F33A0"/>
    <w:rsid w:val="004F6E31"/>
    <w:rsid w:val="004F78D0"/>
    <w:rsid w:val="005043B4"/>
    <w:rsid w:val="005108C0"/>
    <w:rsid w:val="00511873"/>
    <w:rsid w:val="00512A2F"/>
    <w:rsid w:val="00513B7E"/>
    <w:rsid w:val="00515C74"/>
    <w:rsid w:val="0052007E"/>
    <w:rsid w:val="00520771"/>
    <w:rsid w:val="0052337A"/>
    <w:rsid w:val="00525137"/>
    <w:rsid w:val="005251DD"/>
    <w:rsid w:val="00531334"/>
    <w:rsid w:val="00532CE7"/>
    <w:rsid w:val="0053324C"/>
    <w:rsid w:val="00534715"/>
    <w:rsid w:val="00534A28"/>
    <w:rsid w:val="00541508"/>
    <w:rsid w:val="0055599F"/>
    <w:rsid w:val="00555A43"/>
    <w:rsid w:val="00556D68"/>
    <w:rsid w:val="005647BF"/>
    <w:rsid w:val="005657DB"/>
    <w:rsid w:val="00570DE9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79F"/>
    <w:rsid w:val="006324E5"/>
    <w:rsid w:val="00635F8A"/>
    <w:rsid w:val="006404A7"/>
    <w:rsid w:val="006442CB"/>
    <w:rsid w:val="006451E4"/>
    <w:rsid w:val="00645B33"/>
    <w:rsid w:val="0064742C"/>
    <w:rsid w:val="0065032E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A2DAB"/>
    <w:rsid w:val="006A5A8B"/>
    <w:rsid w:val="006A6488"/>
    <w:rsid w:val="006B344A"/>
    <w:rsid w:val="006B5E86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6E7E54"/>
    <w:rsid w:val="00706AD4"/>
    <w:rsid w:val="00712942"/>
    <w:rsid w:val="007140BE"/>
    <w:rsid w:val="00717071"/>
    <w:rsid w:val="007211F5"/>
    <w:rsid w:val="00725BB5"/>
    <w:rsid w:val="00730AE8"/>
    <w:rsid w:val="00736C79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6EE0"/>
    <w:rsid w:val="007B6689"/>
    <w:rsid w:val="007B6FAE"/>
    <w:rsid w:val="007C1F13"/>
    <w:rsid w:val="007D31BA"/>
    <w:rsid w:val="007D40DF"/>
    <w:rsid w:val="007E7E61"/>
    <w:rsid w:val="007F0845"/>
    <w:rsid w:val="008035FE"/>
    <w:rsid w:val="00807C82"/>
    <w:rsid w:val="00814AC8"/>
    <w:rsid w:val="00816905"/>
    <w:rsid w:val="00821FF6"/>
    <w:rsid w:val="0083143E"/>
    <w:rsid w:val="00831CDE"/>
    <w:rsid w:val="00834304"/>
    <w:rsid w:val="00834FAA"/>
    <w:rsid w:val="00836086"/>
    <w:rsid w:val="00846A78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3E85"/>
    <w:rsid w:val="00894031"/>
    <w:rsid w:val="008B236F"/>
    <w:rsid w:val="008B74EB"/>
    <w:rsid w:val="008B7C02"/>
    <w:rsid w:val="008B7D2B"/>
    <w:rsid w:val="008B7F78"/>
    <w:rsid w:val="008C0049"/>
    <w:rsid w:val="008C0E88"/>
    <w:rsid w:val="008C7F9F"/>
    <w:rsid w:val="008D1E6A"/>
    <w:rsid w:val="008D2A16"/>
    <w:rsid w:val="008D521A"/>
    <w:rsid w:val="008E2677"/>
    <w:rsid w:val="008E2C57"/>
    <w:rsid w:val="008E31FF"/>
    <w:rsid w:val="008E4078"/>
    <w:rsid w:val="008E6F06"/>
    <w:rsid w:val="008F029B"/>
    <w:rsid w:val="008F3468"/>
    <w:rsid w:val="008F3FC9"/>
    <w:rsid w:val="008F48F4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399F"/>
    <w:rsid w:val="00924AC8"/>
    <w:rsid w:val="0092597A"/>
    <w:rsid w:val="00930CFE"/>
    <w:rsid w:val="00931689"/>
    <w:rsid w:val="00937AE2"/>
    <w:rsid w:val="0094427A"/>
    <w:rsid w:val="00947AA5"/>
    <w:rsid w:val="00956240"/>
    <w:rsid w:val="00960DE9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60A6"/>
    <w:rsid w:val="009C719E"/>
    <w:rsid w:val="009D3ACD"/>
    <w:rsid w:val="009D75FE"/>
    <w:rsid w:val="009E06B5"/>
    <w:rsid w:val="009E5DDB"/>
    <w:rsid w:val="009F34F3"/>
    <w:rsid w:val="009F4CA7"/>
    <w:rsid w:val="00A1039A"/>
    <w:rsid w:val="00A10D66"/>
    <w:rsid w:val="00A14114"/>
    <w:rsid w:val="00A2191F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61C"/>
    <w:rsid w:val="00A75E40"/>
    <w:rsid w:val="00A77D1D"/>
    <w:rsid w:val="00A80FBD"/>
    <w:rsid w:val="00A834DC"/>
    <w:rsid w:val="00A857C0"/>
    <w:rsid w:val="00A9118E"/>
    <w:rsid w:val="00A93687"/>
    <w:rsid w:val="00A97E9B"/>
    <w:rsid w:val="00AA08F8"/>
    <w:rsid w:val="00AA238D"/>
    <w:rsid w:val="00AA2996"/>
    <w:rsid w:val="00AA456C"/>
    <w:rsid w:val="00AA52BF"/>
    <w:rsid w:val="00AA559A"/>
    <w:rsid w:val="00AB1DA0"/>
    <w:rsid w:val="00AB2AF1"/>
    <w:rsid w:val="00AC37D1"/>
    <w:rsid w:val="00AD306C"/>
    <w:rsid w:val="00AE09B3"/>
    <w:rsid w:val="00AE1A83"/>
    <w:rsid w:val="00B00913"/>
    <w:rsid w:val="00B01593"/>
    <w:rsid w:val="00B10A4D"/>
    <w:rsid w:val="00B15AE5"/>
    <w:rsid w:val="00B17E71"/>
    <w:rsid w:val="00B17FDE"/>
    <w:rsid w:val="00B2379C"/>
    <w:rsid w:val="00B2687D"/>
    <w:rsid w:val="00B32DDB"/>
    <w:rsid w:val="00B34528"/>
    <w:rsid w:val="00B402FC"/>
    <w:rsid w:val="00B46604"/>
    <w:rsid w:val="00B55E92"/>
    <w:rsid w:val="00B55F5E"/>
    <w:rsid w:val="00B5752E"/>
    <w:rsid w:val="00B63A11"/>
    <w:rsid w:val="00B64C24"/>
    <w:rsid w:val="00B66060"/>
    <w:rsid w:val="00B6608F"/>
    <w:rsid w:val="00B679FB"/>
    <w:rsid w:val="00B73F8F"/>
    <w:rsid w:val="00B76D1E"/>
    <w:rsid w:val="00B80EC6"/>
    <w:rsid w:val="00B92D1D"/>
    <w:rsid w:val="00B938C5"/>
    <w:rsid w:val="00B95940"/>
    <w:rsid w:val="00BA4898"/>
    <w:rsid w:val="00BB46F3"/>
    <w:rsid w:val="00BB4CB1"/>
    <w:rsid w:val="00BB4F98"/>
    <w:rsid w:val="00BC7154"/>
    <w:rsid w:val="00BD366B"/>
    <w:rsid w:val="00BD6D50"/>
    <w:rsid w:val="00BE18B9"/>
    <w:rsid w:val="00BE2495"/>
    <w:rsid w:val="00BE3108"/>
    <w:rsid w:val="00BF1578"/>
    <w:rsid w:val="00BF7FE7"/>
    <w:rsid w:val="00C21F94"/>
    <w:rsid w:val="00C23A57"/>
    <w:rsid w:val="00C26106"/>
    <w:rsid w:val="00C27913"/>
    <w:rsid w:val="00C33B68"/>
    <w:rsid w:val="00C36A79"/>
    <w:rsid w:val="00C405D4"/>
    <w:rsid w:val="00C44549"/>
    <w:rsid w:val="00C4513B"/>
    <w:rsid w:val="00C54697"/>
    <w:rsid w:val="00C5683D"/>
    <w:rsid w:val="00C73885"/>
    <w:rsid w:val="00C747B1"/>
    <w:rsid w:val="00C82191"/>
    <w:rsid w:val="00C90CF4"/>
    <w:rsid w:val="00C92EB6"/>
    <w:rsid w:val="00C93389"/>
    <w:rsid w:val="00CA6EB2"/>
    <w:rsid w:val="00CB4930"/>
    <w:rsid w:val="00CC2E7D"/>
    <w:rsid w:val="00CC32EB"/>
    <w:rsid w:val="00CD10A5"/>
    <w:rsid w:val="00CD2076"/>
    <w:rsid w:val="00CE670B"/>
    <w:rsid w:val="00CF121D"/>
    <w:rsid w:val="00CF51EC"/>
    <w:rsid w:val="00CF73AE"/>
    <w:rsid w:val="00D017EA"/>
    <w:rsid w:val="00D040DD"/>
    <w:rsid w:val="00D11EE2"/>
    <w:rsid w:val="00D13986"/>
    <w:rsid w:val="00D16F4A"/>
    <w:rsid w:val="00D25F28"/>
    <w:rsid w:val="00D27973"/>
    <w:rsid w:val="00D50F46"/>
    <w:rsid w:val="00D5359D"/>
    <w:rsid w:val="00D66223"/>
    <w:rsid w:val="00D71226"/>
    <w:rsid w:val="00D8084C"/>
    <w:rsid w:val="00D815B9"/>
    <w:rsid w:val="00DA0D0C"/>
    <w:rsid w:val="00DA7C0C"/>
    <w:rsid w:val="00DB2EC8"/>
    <w:rsid w:val="00DB5695"/>
    <w:rsid w:val="00DC5B3B"/>
    <w:rsid w:val="00DD129F"/>
    <w:rsid w:val="00DD1FAB"/>
    <w:rsid w:val="00DD625A"/>
    <w:rsid w:val="00DD685B"/>
    <w:rsid w:val="00DF42FF"/>
    <w:rsid w:val="00E01C0E"/>
    <w:rsid w:val="00E03F9A"/>
    <w:rsid w:val="00E04694"/>
    <w:rsid w:val="00E12B1E"/>
    <w:rsid w:val="00E14911"/>
    <w:rsid w:val="00E17262"/>
    <w:rsid w:val="00E22315"/>
    <w:rsid w:val="00E253A2"/>
    <w:rsid w:val="00E3309D"/>
    <w:rsid w:val="00E40406"/>
    <w:rsid w:val="00E50156"/>
    <w:rsid w:val="00E53470"/>
    <w:rsid w:val="00E539F6"/>
    <w:rsid w:val="00E620E8"/>
    <w:rsid w:val="00E6519D"/>
    <w:rsid w:val="00E67696"/>
    <w:rsid w:val="00E71A58"/>
    <w:rsid w:val="00E72A7A"/>
    <w:rsid w:val="00E75C94"/>
    <w:rsid w:val="00E813BC"/>
    <w:rsid w:val="00E86364"/>
    <w:rsid w:val="00E93820"/>
    <w:rsid w:val="00E96E34"/>
    <w:rsid w:val="00EA052B"/>
    <w:rsid w:val="00EA0C68"/>
    <w:rsid w:val="00EB6381"/>
    <w:rsid w:val="00EC03D7"/>
    <w:rsid w:val="00ED62C6"/>
    <w:rsid w:val="00ED64C1"/>
    <w:rsid w:val="00EE3446"/>
    <w:rsid w:val="00EE3E78"/>
    <w:rsid w:val="00EE4B1B"/>
    <w:rsid w:val="00EF150D"/>
    <w:rsid w:val="00EF1F5A"/>
    <w:rsid w:val="00F04811"/>
    <w:rsid w:val="00F0488C"/>
    <w:rsid w:val="00F0585C"/>
    <w:rsid w:val="00F11300"/>
    <w:rsid w:val="00F15AAA"/>
    <w:rsid w:val="00F15BEF"/>
    <w:rsid w:val="00F1639F"/>
    <w:rsid w:val="00F24407"/>
    <w:rsid w:val="00F24FAA"/>
    <w:rsid w:val="00F3364D"/>
    <w:rsid w:val="00F36D9F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0BF0"/>
    <w:rsid w:val="00F73A0C"/>
    <w:rsid w:val="00F756DB"/>
    <w:rsid w:val="00F85066"/>
    <w:rsid w:val="00FA03C7"/>
    <w:rsid w:val="00FA5B19"/>
    <w:rsid w:val="00FA5D4D"/>
    <w:rsid w:val="00FC0E5F"/>
    <w:rsid w:val="00FC1A95"/>
    <w:rsid w:val="00FC56DE"/>
    <w:rsid w:val="00FC684B"/>
    <w:rsid w:val="00FD3359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48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3">
    <w:name w:val="Body Text 3"/>
    <w:basedOn w:val="Normln"/>
    <w:link w:val="Zkladntext3Char"/>
    <w:semiHidden/>
    <w:rsid w:val="004B7E92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4B7E92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B7E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7E92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B7E92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B7E92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B7E92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B7E92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4B7E92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B7E92"/>
    <w:rPr>
      <w:vertAlign w:val="superscript"/>
    </w:rPr>
  </w:style>
  <w:style w:type="paragraph" w:customStyle="1" w:styleId="Perex">
    <w:name w:val="Perex_"/>
    <w:next w:val="Normln"/>
    <w:qFormat/>
    <w:rsid w:val="004B7E9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7E92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7E92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4B7E92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48F4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tlid-translation">
    <w:name w:val="tlid-translation"/>
    <w:basedOn w:val="Standardnpsmoodstavce"/>
    <w:rsid w:val="00504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8\Publikace%20cb%20CZ-EN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2FF0-0F52-4D17-99DE-BA7CB029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CZ-EN_2017-08-14.dotx</Template>
  <TotalTime>1</TotalTime>
  <Pages>2</Pages>
  <Words>883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Publikace cb CZ, EN_2017-08-14</vt:lpstr>
      <vt:lpstr>Publikace cb CZ, EN_2017-08-14</vt:lpstr>
    </vt:vector>
  </TitlesOfParts>
  <Company>CSU</Company>
  <LinksUpToDate>false</LinksUpToDate>
  <CharactersWithSpaces>6083</CharactersWithSpaces>
  <SharedDoc>false</SharedDoc>
  <HyperlinkBase/>
  <HLinks>
    <vt:vector size="18" baseType="variant">
      <vt:variant>
        <vt:i4>7602181</vt:i4>
      </vt:variant>
      <vt:variant>
        <vt:i4>20834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327723</vt:i4>
      </vt:variant>
      <vt:variant>
        <vt:i4>-1</vt:i4>
      </vt:variant>
      <vt:variant>
        <vt:i4>2060</vt:i4>
      </vt:variant>
      <vt:variant>
        <vt:i4>1</vt:i4>
      </vt:variant>
      <vt:variant>
        <vt:lpwstr>CSU RGB CB CZ logo-02</vt:lpwstr>
      </vt:variant>
      <vt:variant>
        <vt:lpwstr/>
      </vt:variant>
      <vt:variant>
        <vt:i4>327720</vt:i4>
      </vt:variant>
      <vt:variant>
        <vt:i4>-1</vt:i4>
      </vt:variant>
      <vt:variant>
        <vt:i4>2061</vt:i4>
      </vt:variant>
      <vt:variant>
        <vt:i4>1</vt:i4>
      </vt:variant>
      <vt:variant>
        <vt:lpwstr>CSU RGB CB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</cp:revision>
  <cp:lastPrinted>2019-01-21T08:14:00Z</cp:lastPrinted>
  <dcterms:created xsi:type="dcterms:W3CDTF">2020-01-20T10:10:00Z</dcterms:created>
  <dcterms:modified xsi:type="dcterms:W3CDTF">2020-01-20T10:10:00Z</dcterms:modified>
</cp:coreProperties>
</file>